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17"/>
          <w:szCs w:val="17"/>
          <w:color w:val="auto"/>
        </w:rPr>
        <w:t>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2" w:lineRule="exact"/>
        <w:rPr>
          <w:sz w:val="24"/>
          <w:szCs w:val="24"/>
          <w:color w:val="auto"/>
        </w:rPr>
      </w:pPr>
    </w:p>
    <w:p>
      <w:pPr>
        <w:ind w:left="3760"/>
        <w:spacing w:after="0"/>
        <w:rPr>
          <w:sz w:val="20"/>
          <w:szCs w:val="20"/>
          <w:color w:val="auto"/>
        </w:rPr>
      </w:pPr>
      <w:r>
        <w:rPr>
          <w:rFonts w:ascii="Arial" w:cs="Arial" w:eastAsia="Arial" w:hAnsi="Arial"/>
          <w:sz w:val="17"/>
          <w:szCs w:val="17"/>
          <w:color w:val="auto"/>
        </w:rPr>
        <w:t>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26" w:lineRule="exact"/>
        <w:rPr>
          <w:sz w:val="24"/>
          <w:szCs w:val="24"/>
          <w:color w:val="auto"/>
        </w:rPr>
      </w:pPr>
    </w:p>
    <w:p>
      <w:pPr>
        <w:ind w:right="420"/>
        <w:spacing w:after="0" w:line="285" w:lineRule="auto"/>
        <w:tabs>
          <w:tab w:leader="none" w:pos="341" w:val="left"/>
        </w:tabs>
        <w:numPr>
          <w:ilvl w:val="0"/>
          <w:numId w:val="1"/>
        </w:numPr>
        <w:rPr>
          <w:rFonts w:ascii="MS PGothic" w:cs="MS PGothic" w:eastAsia="MS PGothic" w:hAnsi="MS PGothic"/>
          <w:sz w:val="15"/>
          <w:szCs w:val="15"/>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December 31, 2021</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43" w:lineRule="exact"/>
        <w:rPr>
          <w:sz w:val="24"/>
          <w:szCs w:val="24"/>
          <w:color w:val="auto"/>
        </w:rPr>
      </w:pPr>
    </w:p>
    <w:p>
      <w:pPr>
        <w:spacing w:after="0" w:line="262" w:lineRule="auto"/>
        <w:tabs>
          <w:tab w:leader="none" w:pos="304" w:val="left"/>
        </w:tabs>
        <w:numPr>
          <w:ilvl w:val="0"/>
          <w:numId w:val="2"/>
        </w:numPr>
        <w:rPr>
          <w:rFonts w:ascii="MS PGothic" w:cs="MS PGothic" w:eastAsia="MS PGothic" w:hAnsi="MS PGothic"/>
          <w:sz w:val="15"/>
          <w:szCs w:val="1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tbl>
      <w:tblPr>
        <w:tblLayout w:type="fixed"/>
        <w:tblInd w:w="1220" w:type="dxa"/>
        <w:tblCellMar>
          <w:top w:w="0" w:type="dxa"/>
          <w:left w:w="0" w:type="dxa"/>
          <w:bottom w:w="0" w:type="dxa"/>
          <w:right w:w="0" w:type="dxa"/>
        </w:tblCellMar>
      </w:tblPr>
      <w:tr>
        <w:trPr>
          <w:trHeight w:val="260"/>
        </w:trPr>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1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For the transition period from __ to __</w:t>
            </w:r>
          </w:p>
        </w:tc>
        <w:tc>
          <w:tcPr>
            <w:tcW w:w="4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98"/>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Commission File Number 001-08106</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2"/>
        </w:trPr>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00" w:type="dxa"/>
            <w:vAlign w:val="bottom"/>
            <w:gridSpan w:val="3"/>
          </w:tcPr>
          <w:p>
            <w:pPr>
              <w:jc w:val="right"/>
              <w:ind w:right="180"/>
              <w:spacing w:after="0"/>
              <w:rPr>
                <w:sz w:val="20"/>
                <w:szCs w:val="20"/>
                <w:color w:val="auto"/>
              </w:rPr>
            </w:pPr>
            <w:r>
              <w:rPr>
                <w:rFonts w:ascii="Arial" w:cs="Arial" w:eastAsia="Arial" w:hAnsi="Arial"/>
                <w:sz w:val="17"/>
                <w:szCs w:val="17"/>
                <w:color w:val="auto"/>
                <w:w w:val="91"/>
              </w:rPr>
              <w:t>_____________________________________________</w:t>
            </w: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049"/>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00" w:type="dxa"/>
            <w:vAlign w:val="bottom"/>
            <w:gridSpan w:val="3"/>
          </w:tcPr>
          <w:p>
            <w:pPr>
              <w:jc w:val="center"/>
              <w:ind w:right="20"/>
              <w:spacing w:after="0"/>
              <w:rPr>
                <w:sz w:val="20"/>
                <w:szCs w:val="20"/>
                <w:color w:val="auto"/>
              </w:rPr>
            </w:pPr>
            <w:r>
              <w:rPr>
                <w:rFonts w:ascii="Arial" w:cs="Arial" w:eastAsia="Arial" w:hAnsi="Arial"/>
                <w:sz w:val="40"/>
                <w:szCs w:val="40"/>
                <w:b w:val="1"/>
                <w:bCs w:val="1"/>
                <w:color w:val="auto"/>
                <w:w w:val="90"/>
              </w:rPr>
              <w:t>MasTec, Inc.</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2"/>
        </w:trPr>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00" w:type="dxa"/>
            <w:vAlign w:val="bottom"/>
            <w:gridSpan w:val="3"/>
          </w:tcPr>
          <w:p>
            <w:pPr>
              <w:jc w:val="center"/>
              <w:ind w:right="20"/>
              <w:spacing w:after="0"/>
              <w:rPr>
                <w:sz w:val="20"/>
                <w:szCs w:val="20"/>
                <w:color w:val="auto"/>
              </w:rPr>
            </w:pPr>
            <w:r>
              <w:rPr>
                <w:rFonts w:ascii="Arial" w:cs="Arial" w:eastAsia="Arial" w:hAnsi="Arial"/>
                <w:sz w:val="17"/>
                <w:szCs w:val="17"/>
                <w:b w:val="1"/>
                <w:bCs w:val="1"/>
                <w:i w:val="1"/>
                <w:iCs w:val="1"/>
                <w:color w:val="auto"/>
                <w:w w:val="85"/>
              </w:rPr>
              <w:t>(Exact name of registrant as specified in its charter)</w:t>
            </w: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9"/>
        </w:trPr>
        <w:tc>
          <w:tcPr>
            <w:tcW w:w="680" w:type="dxa"/>
            <w:vAlign w:val="bottom"/>
          </w:tcPr>
          <w:p>
            <w:pPr>
              <w:spacing w:after="0"/>
              <w:rPr>
                <w:sz w:val="19"/>
                <w:szCs w:val="19"/>
                <w:color w:val="auto"/>
              </w:rPr>
            </w:pPr>
          </w:p>
        </w:tc>
        <w:tc>
          <w:tcPr>
            <w:tcW w:w="1680" w:type="dxa"/>
            <w:vAlign w:val="bottom"/>
            <w:gridSpan w:val="2"/>
          </w:tcPr>
          <w:p>
            <w:pPr>
              <w:jc w:val="center"/>
              <w:ind w:left="91"/>
              <w:spacing w:after="0"/>
              <w:rPr>
                <w:sz w:val="20"/>
                <w:szCs w:val="20"/>
                <w:color w:val="auto"/>
              </w:rPr>
            </w:pPr>
            <w:r>
              <w:rPr>
                <w:rFonts w:ascii="Arial" w:cs="Arial" w:eastAsia="Arial" w:hAnsi="Arial"/>
                <w:sz w:val="15"/>
                <w:szCs w:val="15"/>
                <w:b w:val="1"/>
                <w:bCs w:val="1"/>
                <w:color w:val="auto"/>
                <w:w w:val="95"/>
              </w:rPr>
              <w:t>Florida</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60" w:type="dxa"/>
            <w:vAlign w:val="bottom"/>
            <w:gridSpan w:val="2"/>
          </w:tcPr>
          <w:p>
            <w:pPr>
              <w:jc w:val="right"/>
              <w:ind w:right="1172"/>
              <w:spacing w:after="0"/>
              <w:rPr>
                <w:sz w:val="20"/>
                <w:szCs w:val="20"/>
                <w:color w:val="auto"/>
              </w:rPr>
            </w:pPr>
            <w:r>
              <w:rPr>
                <w:rFonts w:ascii="Arial" w:cs="Arial" w:eastAsia="Arial" w:hAnsi="Arial"/>
                <w:sz w:val="15"/>
                <w:szCs w:val="15"/>
                <w:b w:val="1"/>
                <w:bCs w:val="1"/>
                <w:color w:val="auto"/>
              </w:rPr>
              <w:t>65-0829355</w:t>
            </w:r>
          </w:p>
        </w:tc>
      </w:tr>
      <w:tr>
        <w:trPr>
          <w:trHeight w:val="167"/>
        </w:trPr>
        <w:tc>
          <w:tcPr>
            <w:tcW w:w="680" w:type="dxa"/>
            <w:vAlign w:val="bottom"/>
          </w:tcPr>
          <w:p>
            <w:pPr>
              <w:spacing w:after="0"/>
              <w:rPr>
                <w:sz w:val="14"/>
                <w:szCs w:val="14"/>
                <w:color w:val="auto"/>
              </w:rPr>
            </w:pPr>
          </w:p>
        </w:tc>
        <w:tc>
          <w:tcPr>
            <w:tcW w:w="1680" w:type="dxa"/>
            <w:vAlign w:val="bottom"/>
            <w:gridSpan w:val="2"/>
          </w:tcPr>
          <w:p>
            <w:pPr>
              <w:jc w:val="center"/>
              <w:ind w:left="71"/>
              <w:spacing w:after="0"/>
              <w:rPr>
                <w:sz w:val="20"/>
                <w:szCs w:val="20"/>
                <w:color w:val="auto"/>
              </w:rPr>
            </w:pPr>
            <w:r>
              <w:rPr>
                <w:rFonts w:ascii="Arial" w:cs="Arial" w:eastAsia="Arial" w:hAnsi="Arial"/>
                <w:sz w:val="12"/>
                <w:szCs w:val="12"/>
                <w:b w:val="1"/>
                <w:bCs w:val="1"/>
                <w:i w:val="1"/>
                <w:iCs w:val="1"/>
                <w:color w:val="auto"/>
                <w:w w:val="91"/>
              </w:rPr>
              <w:t>(State or other jurisdiction of</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tcPr>
          <w:p>
            <w:pPr>
              <w:jc w:val="center"/>
              <w:ind w:right="812"/>
              <w:spacing w:after="0"/>
              <w:rPr>
                <w:sz w:val="20"/>
                <w:szCs w:val="20"/>
                <w:color w:val="auto"/>
              </w:rPr>
            </w:pPr>
            <w:r>
              <w:rPr>
                <w:rFonts w:ascii="Arial" w:cs="Arial" w:eastAsia="Arial" w:hAnsi="Arial"/>
                <w:sz w:val="12"/>
                <w:szCs w:val="12"/>
                <w:b w:val="1"/>
                <w:bCs w:val="1"/>
                <w:i w:val="1"/>
                <w:iCs w:val="1"/>
                <w:color w:val="auto"/>
                <w:w w:val="95"/>
              </w:rPr>
              <w:t>(I.R.S. Employer</w:t>
            </w:r>
          </w:p>
        </w:tc>
      </w:tr>
      <w:tr>
        <w:trPr>
          <w:trHeight w:val="175"/>
        </w:trPr>
        <w:tc>
          <w:tcPr>
            <w:tcW w:w="680" w:type="dxa"/>
            <w:vAlign w:val="bottom"/>
          </w:tcPr>
          <w:p>
            <w:pPr>
              <w:spacing w:after="0"/>
              <w:rPr>
                <w:sz w:val="15"/>
                <w:szCs w:val="15"/>
                <w:color w:val="auto"/>
              </w:rPr>
            </w:pPr>
          </w:p>
        </w:tc>
        <w:tc>
          <w:tcPr>
            <w:tcW w:w="5780" w:type="dxa"/>
            <w:vAlign w:val="bottom"/>
            <w:gridSpan w:val="5"/>
          </w:tcPr>
          <w:p>
            <w:pPr>
              <w:jc w:val="center"/>
              <w:ind w:right="3960"/>
              <w:spacing w:after="0"/>
              <w:rPr>
                <w:sz w:val="20"/>
                <w:szCs w:val="20"/>
                <w:color w:val="auto"/>
              </w:rPr>
            </w:pPr>
            <w:r>
              <w:rPr>
                <w:rFonts w:ascii="Arial" w:cs="Arial" w:eastAsia="Arial" w:hAnsi="Arial"/>
                <w:sz w:val="12"/>
                <w:szCs w:val="12"/>
                <w:b w:val="1"/>
                <w:bCs w:val="1"/>
                <w:i w:val="1"/>
                <w:iCs w:val="1"/>
                <w:color w:val="auto"/>
                <w:w w:val="92"/>
              </w:rPr>
              <w:t>incorporation or organization)</w:t>
            </w:r>
          </w:p>
        </w:tc>
        <w:tc>
          <w:tcPr>
            <w:tcW w:w="40" w:type="dxa"/>
            <w:vAlign w:val="bottom"/>
          </w:tcPr>
          <w:p>
            <w:pPr>
              <w:spacing w:after="0"/>
              <w:rPr>
                <w:sz w:val="15"/>
                <w:szCs w:val="15"/>
                <w:color w:val="auto"/>
              </w:rPr>
            </w:pPr>
          </w:p>
        </w:tc>
        <w:tc>
          <w:tcPr>
            <w:tcW w:w="2320" w:type="dxa"/>
            <w:vAlign w:val="bottom"/>
          </w:tcPr>
          <w:p>
            <w:pPr>
              <w:jc w:val="center"/>
              <w:ind w:right="812"/>
              <w:spacing w:after="0"/>
              <w:rPr>
                <w:sz w:val="20"/>
                <w:szCs w:val="20"/>
                <w:color w:val="auto"/>
              </w:rPr>
            </w:pPr>
            <w:r>
              <w:rPr>
                <w:rFonts w:ascii="Arial" w:cs="Arial" w:eastAsia="Arial" w:hAnsi="Arial"/>
                <w:sz w:val="12"/>
                <w:szCs w:val="12"/>
                <w:b w:val="1"/>
                <w:bCs w:val="1"/>
                <w:i w:val="1"/>
                <w:iCs w:val="1"/>
                <w:color w:val="auto"/>
                <w:w w:val="94"/>
              </w:rPr>
              <w:t>Identification No.)</w:t>
            </w:r>
          </w:p>
        </w:tc>
      </w:tr>
      <w:tr>
        <w:trPr>
          <w:trHeight w:val="358"/>
        </w:trPr>
        <w:tc>
          <w:tcPr>
            <w:tcW w:w="6460" w:type="dxa"/>
            <w:vAlign w:val="bottom"/>
            <w:gridSpan w:val="6"/>
          </w:tcPr>
          <w:p>
            <w:pPr>
              <w:jc w:val="center"/>
              <w:ind w:right="3280"/>
              <w:spacing w:after="0"/>
              <w:rPr>
                <w:sz w:val="20"/>
                <w:szCs w:val="20"/>
                <w:color w:val="auto"/>
              </w:rPr>
            </w:pPr>
            <w:r>
              <w:rPr>
                <w:rFonts w:ascii="Arial" w:cs="Arial" w:eastAsia="Arial" w:hAnsi="Arial"/>
                <w:sz w:val="15"/>
                <w:szCs w:val="15"/>
                <w:b w:val="1"/>
                <w:bCs w:val="1"/>
                <w:color w:val="auto"/>
                <w:w w:val="89"/>
              </w:rPr>
              <w:t>800 S. Douglas Road, 12th Floor</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0"/>
        </w:trPr>
        <w:tc>
          <w:tcPr>
            <w:tcW w:w="6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5"/>
                <w:szCs w:val="15"/>
                <w:b w:val="1"/>
                <w:bCs w:val="1"/>
                <w:color w:val="auto"/>
              </w:rPr>
              <w:t>Coral Gables, Florida</w:t>
            </w: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60" w:type="dxa"/>
            <w:vAlign w:val="bottom"/>
            <w:gridSpan w:val="2"/>
          </w:tcPr>
          <w:p>
            <w:pPr>
              <w:jc w:val="right"/>
              <w:ind w:right="1352"/>
              <w:spacing w:after="0"/>
              <w:rPr>
                <w:sz w:val="20"/>
                <w:szCs w:val="20"/>
                <w:color w:val="auto"/>
              </w:rPr>
            </w:pPr>
            <w:r>
              <w:rPr>
                <w:rFonts w:ascii="Arial" w:cs="Arial" w:eastAsia="Arial" w:hAnsi="Arial"/>
                <w:sz w:val="15"/>
                <w:szCs w:val="15"/>
                <w:b w:val="1"/>
                <w:bCs w:val="1"/>
                <w:color w:val="auto"/>
              </w:rPr>
              <w:t>33134</w:t>
            </w:r>
          </w:p>
        </w:tc>
      </w:tr>
      <w:tr>
        <w:trPr>
          <w:trHeight w:val="167"/>
        </w:trPr>
        <w:tc>
          <w:tcPr>
            <w:tcW w:w="6460" w:type="dxa"/>
            <w:vAlign w:val="bottom"/>
            <w:gridSpan w:val="6"/>
          </w:tcPr>
          <w:p>
            <w:pPr>
              <w:jc w:val="center"/>
              <w:ind w:right="3260"/>
              <w:spacing w:after="0"/>
              <w:rPr>
                <w:sz w:val="20"/>
                <w:szCs w:val="20"/>
                <w:color w:val="auto"/>
              </w:rPr>
            </w:pPr>
            <w:r>
              <w:rPr>
                <w:rFonts w:ascii="Arial" w:cs="Arial" w:eastAsia="Arial" w:hAnsi="Arial"/>
                <w:sz w:val="12"/>
                <w:szCs w:val="12"/>
                <w:b w:val="1"/>
                <w:bCs w:val="1"/>
                <w:i w:val="1"/>
                <w:iCs w:val="1"/>
                <w:color w:val="auto"/>
                <w:w w:val="89"/>
              </w:rPr>
              <w:t>(Address of principal executive offices)</w:t>
            </w:r>
          </w:p>
        </w:tc>
        <w:tc>
          <w:tcPr>
            <w:tcW w:w="40" w:type="dxa"/>
            <w:vAlign w:val="bottom"/>
          </w:tcPr>
          <w:p>
            <w:pPr>
              <w:spacing w:after="0"/>
              <w:rPr>
                <w:sz w:val="14"/>
                <w:szCs w:val="14"/>
                <w:color w:val="auto"/>
              </w:rPr>
            </w:pPr>
          </w:p>
        </w:tc>
        <w:tc>
          <w:tcPr>
            <w:tcW w:w="2320" w:type="dxa"/>
            <w:vAlign w:val="bottom"/>
          </w:tcPr>
          <w:p>
            <w:pPr>
              <w:jc w:val="center"/>
              <w:ind w:right="812"/>
              <w:spacing w:after="0"/>
              <w:rPr>
                <w:sz w:val="20"/>
                <w:szCs w:val="20"/>
                <w:color w:val="auto"/>
              </w:rPr>
            </w:pPr>
            <w:r>
              <w:rPr>
                <w:rFonts w:ascii="Arial" w:cs="Arial" w:eastAsia="Arial" w:hAnsi="Arial"/>
                <w:sz w:val="12"/>
                <w:szCs w:val="12"/>
                <w:b w:val="1"/>
                <w:bCs w:val="1"/>
                <w:i w:val="1"/>
                <w:iCs w:val="1"/>
                <w:color w:val="auto"/>
                <w:w w:val="94"/>
              </w:rPr>
              <w:t>(Zip Code)</w:t>
            </w:r>
          </w:p>
        </w:tc>
      </w:tr>
      <w:tr>
        <w:trPr>
          <w:trHeight w:val="330"/>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00" w:type="dxa"/>
            <w:vAlign w:val="bottom"/>
            <w:gridSpan w:val="3"/>
          </w:tcPr>
          <w:p>
            <w:pPr>
              <w:jc w:val="right"/>
              <w:ind w:right="1540"/>
              <w:spacing w:after="0"/>
              <w:rPr>
                <w:sz w:val="20"/>
                <w:szCs w:val="20"/>
                <w:color w:val="auto"/>
              </w:rPr>
            </w:pPr>
            <w:r>
              <w:rPr>
                <w:rFonts w:ascii="Arial" w:cs="Arial" w:eastAsia="Arial" w:hAnsi="Arial"/>
                <w:sz w:val="17"/>
                <w:szCs w:val="17"/>
                <w:b w:val="1"/>
                <w:bCs w:val="1"/>
                <w:color w:val="auto"/>
              </w:rPr>
              <w:t>(305) 599-1800</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3"/>
          </w:tcPr>
          <w:p>
            <w:pPr>
              <w:jc w:val="center"/>
              <w:spacing w:after="0"/>
              <w:rPr>
                <w:sz w:val="20"/>
                <w:szCs w:val="20"/>
                <w:color w:val="auto"/>
              </w:rPr>
            </w:pPr>
            <w:r>
              <w:rPr>
                <w:rFonts w:ascii="Arial" w:cs="Arial" w:eastAsia="Arial" w:hAnsi="Arial"/>
                <w:sz w:val="12"/>
                <w:szCs w:val="12"/>
                <w:b w:val="1"/>
                <w:bCs w:val="1"/>
                <w:i w:val="1"/>
                <w:iCs w:val="1"/>
                <w:color w:val="auto"/>
                <w:w w:val="90"/>
              </w:rPr>
              <w:t>(Registrant’s telephone number, including area code)</w:t>
            </w:r>
          </w:p>
        </w:tc>
        <w:tc>
          <w:tcPr>
            <w:tcW w:w="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426"/>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0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2"/>
        </w:trPr>
        <w:tc>
          <w:tcPr>
            <w:tcW w:w="23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0"/>
              </w:rPr>
              <w:t>Title of each class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Name of each exchange on which registered</w:t>
            </w:r>
          </w:p>
        </w:tc>
      </w:tr>
      <w:tr>
        <w:trPr>
          <w:trHeight w:val="205"/>
        </w:trPr>
        <w:tc>
          <w:tcPr>
            <w:tcW w:w="6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2"/>
              </w:rPr>
              <w:t>Trading symbol(s)</w:t>
            </w:r>
          </w:p>
        </w:tc>
        <w:tc>
          <w:tcPr>
            <w:tcW w:w="40" w:type="dxa"/>
            <w:vAlign w:val="bottom"/>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r>
      <w:tr>
        <w:trPr>
          <w:trHeight w:val="230"/>
        </w:trPr>
        <w:tc>
          <w:tcPr>
            <w:tcW w:w="236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Common Stock, $0.10 Par Value</w:t>
            </w:r>
          </w:p>
        </w:tc>
        <w:tc>
          <w:tcPr>
            <w:tcW w:w="156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MTZ</w:t>
            </w: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7"/>
                <w:szCs w:val="17"/>
                <w:b w:val="1"/>
                <w:bCs w:val="1"/>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3123565</wp:posOffset>
            </wp:positionH>
            <wp:positionV relativeFrom="paragraph">
              <wp:posOffset>-2456815</wp:posOffset>
            </wp:positionV>
            <wp:extent cx="903605" cy="174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3605" cy="17462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240"/>
          </w:cols>
          <w:pgMar w:left="320" w:top="921" w:right="339" w:bottom="379" w:gutter="0" w:footer="0" w:header="0"/>
        </w:sectPr>
      </w:pPr>
    </w:p>
    <w:p>
      <w:pPr>
        <w:spacing w:after="0" w:line="106" w:lineRule="exact"/>
        <w:rPr>
          <w:sz w:val="24"/>
          <w:szCs w:val="24"/>
          <w:color w:val="auto"/>
        </w:rPr>
      </w:pPr>
    </w:p>
    <w:p>
      <w:pPr>
        <w:ind w:left="1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5" w:lineRule="exact"/>
        <w:rPr>
          <w:sz w:val="24"/>
          <w:szCs w:val="24"/>
          <w:color w:val="auto"/>
        </w:rPr>
      </w:pPr>
    </w:p>
    <w:p>
      <w:pPr>
        <w:sectPr>
          <w:pgSz w:w="11900" w:h="16838" w:orient="portrait"/>
          <w:cols w:equalWidth="0" w:num="3">
            <w:col w:w="7180" w:space="200"/>
            <w:col w:w="380" w:space="120"/>
            <w:col w:w="3360"/>
          </w:cols>
          <w:pgMar w:left="320" w:top="921" w:right="339" w:bottom="379" w:gutter="0" w:footer="0" w:header="0"/>
          <w:type w:val="continuous"/>
        </w:sectPr>
      </w:pPr>
    </w:p>
    <w:p>
      <w:pPr>
        <w:spacing w:after="0" w:line="27" w:lineRule="exact"/>
        <w:rPr>
          <w:sz w:val="24"/>
          <w:szCs w:val="24"/>
          <w:color w:val="auto"/>
        </w:rPr>
      </w:pPr>
    </w:p>
    <w:p>
      <w:pPr>
        <w:jc w:val="center"/>
        <w:ind w:left="1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4">
            <w:col w:w="7320" w:space="140"/>
            <w:col w:w="400" w:space="60"/>
            <w:col w:w="200" w:space="60"/>
            <w:col w:w="3060"/>
          </w:cols>
          <w:pgMar w:left="320" w:top="921" w:right="339" w:bottom="379" w:gutter="0" w:footer="0" w:header="0"/>
          <w:type w:val="continuous"/>
        </w:sectPr>
      </w:pPr>
    </w:p>
    <w:p>
      <w:pPr>
        <w:jc w:val="both"/>
        <w:ind w:firstLine="154"/>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ind w:firstLine="180"/>
        <w:spacing w:after="0" w:line="19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9" w:lineRule="exact"/>
        <w:rPr>
          <w:sz w:val="24"/>
          <w:szCs w:val="24"/>
          <w:color w:val="auto"/>
        </w:rPr>
      </w:pPr>
    </w:p>
    <w:p>
      <w:pPr>
        <w:jc w:val="both"/>
        <w:ind w:firstLine="160"/>
        <w:spacing w:after="0" w:line="30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4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80" w:type="dxa"/>
            <w:vAlign w:val="bottom"/>
          </w:tcPr>
          <w:p>
            <w:pPr>
              <w:ind w:left="1060"/>
              <w:spacing w:after="0" w:line="151" w:lineRule="exact"/>
              <w:rPr>
                <w:sz w:val="20"/>
                <w:szCs w:val="20"/>
                <w:color w:val="auto"/>
              </w:rPr>
            </w:pPr>
            <w:r>
              <w:rPr>
                <w:rFonts w:ascii="MS PGothic" w:cs="MS PGothic" w:eastAsia="MS PGothic" w:hAnsi="MS PGothic"/>
                <w:sz w:val="15"/>
                <w:szCs w:val="15"/>
                <w:color w:val="auto"/>
              </w:rPr>
              <w:t>☑</w:t>
            </w:r>
          </w:p>
        </w:tc>
        <w:tc>
          <w:tcPr>
            <w:tcW w:w="4440" w:type="dxa"/>
            <w:vAlign w:val="bottom"/>
          </w:tcPr>
          <w:p>
            <w:pPr>
              <w:ind w:left="1880"/>
              <w:spacing w:after="0"/>
              <w:rPr>
                <w:sz w:val="20"/>
                <w:szCs w:val="20"/>
                <w:color w:val="auto"/>
              </w:rPr>
            </w:pPr>
            <w:r>
              <w:rPr>
                <w:rFonts w:ascii="Arial" w:cs="Arial" w:eastAsia="Arial" w:hAnsi="Arial"/>
                <w:sz w:val="15"/>
                <w:szCs w:val="15"/>
                <w:color w:val="auto"/>
              </w:rPr>
              <w:t>Accelerated filer</w:t>
            </w:r>
          </w:p>
        </w:tc>
        <w:tc>
          <w:tcPr>
            <w:tcW w:w="1080" w:type="dxa"/>
            <w:vAlign w:val="bottom"/>
          </w:tcPr>
          <w:p>
            <w:pPr>
              <w:ind w:left="9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0"/>
        </w:trPr>
        <w:tc>
          <w:tcPr>
            <w:tcW w:w="2420" w:type="dxa"/>
            <w:vAlign w:val="bottom"/>
          </w:tcPr>
          <w:p>
            <w:pPr>
              <w:spacing w:after="0"/>
              <w:rPr>
                <w:sz w:val="20"/>
                <w:szCs w:val="20"/>
                <w:color w:val="auto"/>
              </w:rPr>
            </w:pPr>
            <w:r>
              <w:rPr>
                <w:rFonts w:ascii="Arial" w:cs="Arial" w:eastAsia="Arial" w:hAnsi="Arial"/>
                <w:sz w:val="15"/>
                <w:szCs w:val="15"/>
                <w:color w:val="auto"/>
              </w:rPr>
              <w:t>Non-accelerated filer</w:t>
            </w:r>
          </w:p>
        </w:tc>
        <w:tc>
          <w:tcPr>
            <w:tcW w:w="3080" w:type="dxa"/>
            <w:vAlign w:val="bottom"/>
          </w:tcPr>
          <w:p>
            <w:pPr>
              <w:ind w:left="1060"/>
              <w:spacing w:after="0" w:line="151" w:lineRule="exact"/>
              <w:rPr>
                <w:sz w:val="20"/>
                <w:szCs w:val="20"/>
                <w:color w:val="auto"/>
              </w:rPr>
            </w:pPr>
            <w:r>
              <w:rPr>
                <w:rFonts w:ascii="MS PGothic" w:cs="MS PGothic" w:eastAsia="MS PGothic" w:hAnsi="MS PGothic"/>
                <w:sz w:val="15"/>
                <w:szCs w:val="15"/>
                <w:color w:val="auto"/>
              </w:rPr>
              <w:t>☐</w:t>
            </w:r>
          </w:p>
        </w:tc>
        <w:tc>
          <w:tcPr>
            <w:tcW w:w="4440" w:type="dxa"/>
            <w:vAlign w:val="bottom"/>
          </w:tcPr>
          <w:p>
            <w:pPr>
              <w:ind w:left="1880"/>
              <w:spacing w:after="0"/>
              <w:rPr>
                <w:sz w:val="20"/>
                <w:szCs w:val="20"/>
                <w:color w:val="auto"/>
              </w:rPr>
            </w:pPr>
            <w:r>
              <w:rPr>
                <w:rFonts w:ascii="Arial" w:cs="Arial" w:eastAsia="Arial" w:hAnsi="Arial"/>
                <w:sz w:val="15"/>
                <w:szCs w:val="15"/>
                <w:color w:val="auto"/>
              </w:rPr>
              <w:t>Smaller reporting company</w:t>
            </w:r>
          </w:p>
        </w:tc>
        <w:tc>
          <w:tcPr>
            <w:tcW w:w="1080" w:type="dxa"/>
            <w:vAlign w:val="bottom"/>
          </w:tcPr>
          <w:p>
            <w:pPr>
              <w:ind w:left="9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0"/>
        </w:trPr>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40" w:type="dxa"/>
            <w:vAlign w:val="bottom"/>
          </w:tcPr>
          <w:p>
            <w:pPr>
              <w:ind w:left="1880"/>
              <w:spacing w:after="0"/>
              <w:rPr>
                <w:sz w:val="20"/>
                <w:szCs w:val="20"/>
                <w:color w:val="auto"/>
              </w:rPr>
            </w:pPr>
            <w:r>
              <w:rPr>
                <w:rFonts w:ascii="Arial" w:cs="Arial" w:eastAsia="Arial" w:hAnsi="Arial"/>
                <w:sz w:val="15"/>
                <w:szCs w:val="15"/>
                <w:color w:val="auto"/>
              </w:rPr>
              <w:t>Emerging growth company</w:t>
            </w:r>
          </w:p>
        </w:tc>
        <w:tc>
          <w:tcPr>
            <w:tcW w:w="1080" w:type="dxa"/>
            <w:vAlign w:val="bottom"/>
          </w:tcPr>
          <w:p>
            <w:pPr>
              <w:ind w:left="9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67" w:lineRule="exact"/>
        <w:rPr>
          <w:sz w:val="24"/>
          <w:szCs w:val="24"/>
          <w:color w:val="auto"/>
        </w:rPr>
      </w:pPr>
    </w:p>
    <w:p>
      <w:pPr>
        <w:jc w:val="both"/>
        <w:ind w:firstLine="236"/>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9" w:lineRule="exact"/>
        <w:rPr>
          <w:sz w:val="24"/>
          <w:szCs w:val="24"/>
          <w:color w:val="auto"/>
        </w:rPr>
      </w:pPr>
    </w:p>
    <w:p>
      <w:pPr>
        <w:jc w:val="both"/>
        <w:ind w:firstLine="190"/>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ind w:left="140"/>
        <w:spacing w:after="0" w:line="173" w:lineRule="exact"/>
        <w:tabs>
          <w:tab w:leader="none" w:pos="6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0" w:lineRule="exact"/>
        <w:rPr>
          <w:sz w:val="24"/>
          <w:szCs w:val="24"/>
          <w:color w:val="auto"/>
        </w:rPr>
      </w:pPr>
    </w:p>
    <w:p>
      <w:pPr>
        <w:jc w:val="both"/>
        <w:ind w:firstLine="300"/>
        <w:spacing w:after="0" w:line="255" w:lineRule="auto"/>
        <w:rPr>
          <w:sz w:val="20"/>
          <w:szCs w:val="20"/>
          <w:color w:val="auto"/>
        </w:rPr>
      </w:pPr>
      <w:r>
        <w:rPr>
          <w:rFonts w:ascii="Arial" w:cs="Arial" w:eastAsia="Arial" w:hAnsi="Arial"/>
          <w:sz w:val="15"/>
          <w:szCs w:val="15"/>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$5.9 billion, based on the closing price per share for the registrant’s common stock on the New York Stock Exchange on June 30, 2021.</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5"/>
          <w:szCs w:val="15"/>
          <w:color w:val="auto"/>
        </w:rPr>
        <w:t>There were 76,428,997 shares of common stock outstanding as of February 24, 2022.</w:t>
      </w:r>
    </w:p>
    <w:p>
      <w:pPr>
        <w:spacing w:after="0" w:line="102" w:lineRule="exact"/>
        <w:rPr>
          <w:sz w:val="24"/>
          <w:szCs w:val="24"/>
          <w:color w:val="auto"/>
        </w:rPr>
      </w:pPr>
    </w:p>
    <w:p>
      <w:pPr>
        <w:jc w:val="both"/>
        <w:ind w:firstLine="225"/>
        <w:spacing w:after="0" w:line="266" w:lineRule="auto"/>
        <w:rPr>
          <w:sz w:val="20"/>
          <w:szCs w:val="20"/>
          <w:color w:val="auto"/>
        </w:rPr>
      </w:pPr>
      <w:r>
        <w:rPr>
          <w:rFonts w:ascii="Arial" w:cs="Arial" w:eastAsia="Arial" w:hAnsi="Arial"/>
          <w:sz w:val="15"/>
          <w:szCs w:val="15"/>
          <w:color w:val="auto"/>
        </w:rPr>
        <w:t>The registrant’s definitive proxy statement to be filed with the Securities and Exchange Commission pursuant to Regulation 14A for the 2022 annual meeting of shareholders is incorporated by reference in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6788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24130"/>
                    </a:xfrm>
                    <a:prstGeom prst="rect">
                      <a:avLst/>
                    </a:prstGeom>
                    <a:noFill/>
                  </pic:spPr>
                </pic:pic>
              </a:graphicData>
            </a:graphic>
          </wp:anchor>
        </w:drawing>
      </w:r>
    </w:p>
    <w:p>
      <w:pPr>
        <w:sectPr>
          <w:pgSz w:w="11900" w:h="16838" w:orient="portrait"/>
          <w:cols w:equalWidth="0" w:num="1">
            <w:col w:w="11240"/>
          </w:cols>
          <w:pgMar w:left="320" w:top="921" w:right="339" w:bottom="37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20" w:type="dxa"/>
            <w:vAlign w:val="bottom"/>
            <w:gridSpan w:val="7"/>
          </w:tcPr>
          <w:p>
            <w:pPr>
              <w:ind w:left="100"/>
              <w:spacing w:after="0"/>
              <w:rPr>
                <w:sz w:val="20"/>
                <w:szCs w:val="20"/>
                <w:color w:val="auto"/>
              </w:rPr>
            </w:pPr>
            <w:r>
              <w:rPr>
                <w:rFonts w:ascii="Arial" w:cs="Arial" w:eastAsia="Arial" w:hAnsi="Arial"/>
                <w:sz w:val="15"/>
                <w:szCs w:val="15"/>
                <w:b w:val="1"/>
                <w:bCs w:val="1"/>
                <w:color w:val="auto"/>
              </w:rPr>
              <w:t>TABLE OF CONTENTS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43"/>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79"/>
              </w:rPr>
              <w:t>Page</w:t>
            </w:r>
          </w:p>
        </w:tc>
      </w:tr>
      <w:tr>
        <w:trPr>
          <w:trHeight w:val="180"/>
        </w:trPr>
        <w:tc>
          <w:tcPr>
            <w:tcW w:w="660" w:type="dxa"/>
            <w:vAlign w:val="bottom"/>
            <w:gridSpan w:val="8"/>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Part I</w:t>
              </w:r>
            </w:hyperlink>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gridSpan w:val="3"/>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5">
              <w:r>
                <w:rPr>
                  <w:rFonts w:ascii="Arial" w:cs="Arial" w:eastAsia="Arial" w:hAnsi="Arial"/>
                  <w:sz w:val="15"/>
                  <w:szCs w:val="15"/>
                  <w:color w:val="0000FF"/>
                  <w:w w:val="81"/>
                </w:rPr>
                <w:t>Item 1</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5">
              <w:r>
                <w:rPr>
                  <w:rFonts w:ascii="Arial" w:cs="Arial" w:eastAsia="Arial" w:hAnsi="Arial"/>
                  <w:sz w:val="15"/>
                  <w:szCs w:val="15"/>
                  <w:color w:val="0000FF"/>
                </w:rPr>
                <w:t>Business</w:t>
              </w:r>
            </w:hyperlink>
          </w:p>
        </w:tc>
        <w:tc>
          <w:tcPr>
            <w:tcW w:w="300" w:type="dxa"/>
            <w:vAlign w:val="bottom"/>
            <w:gridSpan w:val="3"/>
          </w:tcPr>
          <w:p>
            <w:pPr>
              <w:jc w:val="right"/>
              <w:spacing w:after="0"/>
              <w:rPr>
                <w:rFonts w:ascii="Arial" w:cs="Arial" w:eastAsia="Arial" w:hAnsi="Arial"/>
                <w:sz w:val="15"/>
                <w:szCs w:val="15"/>
                <w:color w:val="0000FF"/>
              </w:rPr>
            </w:pPr>
            <w:hyperlink w:anchor="page5">
              <w:r>
                <w:rPr>
                  <w:rFonts w:ascii="Arial" w:cs="Arial" w:eastAsia="Arial" w:hAnsi="Arial"/>
                  <w:sz w:val="15"/>
                  <w:szCs w:val="15"/>
                  <w:color w:val="0000FF"/>
                </w:rPr>
                <w:t>5</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5"/>
              </w:rPr>
            </w:pPr>
            <w:hyperlink w:anchor="page16">
              <w:r>
                <w:rPr>
                  <w:rFonts w:ascii="Arial" w:cs="Arial" w:eastAsia="Arial" w:hAnsi="Arial"/>
                  <w:sz w:val="15"/>
                  <w:szCs w:val="15"/>
                  <w:color w:val="0000FF"/>
                  <w:w w:val="85"/>
                </w:rPr>
                <w:t>Item 1A</w:t>
              </w:r>
            </w:hyperlink>
          </w:p>
        </w:tc>
        <w:tc>
          <w:tcPr>
            <w:tcW w:w="10220" w:type="dxa"/>
            <w:vAlign w:val="bottom"/>
            <w:gridSpan w:val="21"/>
          </w:tcPr>
          <w:p>
            <w:pPr>
              <w:ind w:left="380"/>
              <w:spacing w:after="0"/>
              <w:rPr>
                <w:rFonts w:ascii="Arial" w:cs="Arial" w:eastAsia="Arial" w:hAnsi="Arial"/>
                <w:sz w:val="15"/>
                <w:szCs w:val="15"/>
                <w:color w:val="0000FF"/>
              </w:rPr>
            </w:pPr>
            <w:hyperlink w:anchor="page16">
              <w:r>
                <w:rPr>
                  <w:rFonts w:ascii="Arial" w:cs="Arial" w:eastAsia="Arial" w:hAnsi="Arial"/>
                  <w:sz w:val="15"/>
                  <w:szCs w:val="15"/>
                  <w:color w:val="0000FF"/>
                </w:rPr>
                <w:t>Risk Factors</w:t>
              </w:r>
            </w:hyperlink>
          </w:p>
        </w:tc>
        <w:tc>
          <w:tcPr>
            <w:tcW w:w="300" w:type="dxa"/>
            <w:vAlign w:val="bottom"/>
            <w:gridSpan w:val="3"/>
          </w:tcPr>
          <w:p>
            <w:pPr>
              <w:jc w:val="right"/>
              <w:spacing w:after="0"/>
              <w:rPr>
                <w:rFonts w:ascii="Arial" w:cs="Arial" w:eastAsia="Arial" w:hAnsi="Arial"/>
                <w:sz w:val="15"/>
                <w:szCs w:val="15"/>
                <w:color w:val="0000FF"/>
              </w:rPr>
            </w:pPr>
            <w:hyperlink w:anchor="page16">
              <w:r>
                <w:rPr>
                  <w:rFonts w:ascii="Arial" w:cs="Arial" w:eastAsia="Arial" w:hAnsi="Arial"/>
                  <w:sz w:val="15"/>
                  <w:szCs w:val="15"/>
                  <w:color w:val="0000FF"/>
                </w:rPr>
                <w:t>16</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5"/>
              </w:rPr>
            </w:pPr>
            <w:hyperlink w:anchor="page27">
              <w:r>
                <w:rPr>
                  <w:rFonts w:ascii="Arial" w:cs="Arial" w:eastAsia="Arial" w:hAnsi="Arial"/>
                  <w:sz w:val="15"/>
                  <w:szCs w:val="15"/>
                  <w:color w:val="0000FF"/>
                  <w:w w:val="85"/>
                </w:rPr>
                <w:t>Item 1B</w:t>
              </w:r>
            </w:hyperlink>
          </w:p>
        </w:tc>
        <w:tc>
          <w:tcPr>
            <w:tcW w:w="10220" w:type="dxa"/>
            <w:vAlign w:val="bottom"/>
            <w:gridSpan w:val="21"/>
          </w:tcPr>
          <w:p>
            <w:pPr>
              <w:ind w:left="380"/>
              <w:spacing w:after="0"/>
              <w:rPr>
                <w:rFonts w:ascii="Arial" w:cs="Arial" w:eastAsia="Arial" w:hAnsi="Arial"/>
                <w:sz w:val="15"/>
                <w:szCs w:val="15"/>
                <w:color w:val="0000FF"/>
              </w:rPr>
            </w:pPr>
            <w:hyperlink w:anchor="page27">
              <w:r>
                <w:rPr>
                  <w:rFonts w:ascii="Arial" w:cs="Arial" w:eastAsia="Arial" w:hAnsi="Arial"/>
                  <w:sz w:val="15"/>
                  <w:szCs w:val="15"/>
                  <w:color w:val="0000FF"/>
                </w:rPr>
                <w:t>Unresolved Staff Comments</w:t>
              </w:r>
            </w:hyperlink>
          </w:p>
        </w:tc>
        <w:tc>
          <w:tcPr>
            <w:tcW w:w="300" w:type="dxa"/>
            <w:vAlign w:val="bottom"/>
            <w:gridSpan w:val="3"/>
          </w:tcPr>
          <w:p>
            <w:pPr>
              <w:jc w:val="right"/>
              <w:spacing w:after="0"/>
              <w:rPr>
                <w:rFonts w:ascii="Arial" w:cs="Arial" w:eastAsia="Arial" w:hAnsi="Arial"/>
                <w:sz w:val="15"/>
                <w:szCs w:val="15"/>
                <w:color w:val="0000FF"/>
              </w:rPr>
            </w:pPr>
            <w:hyperlink w:anchor="page27">
              <w:r>
                <w:rPr>
                  <w:rFonts w:ascii="Arial" w:cs="Arial" w:eastAsia="Arial" w:hAnsi="Arial"/>
                  <w:sz w:val="15"/>
                  <w:szCs w:val="15"/>
                  <w:color w:val="0000FF"/>
                </w:rPr>
                <w:t>27</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7">
              <w:r>
                <w:rPr>
                  <w:rFonts w:ascii="Arial" w:cs="Arial" w:eastAsia="Arial" w:hAnsi="Arial"/>
                  <w:sz w:val="15"/>
                  <w:szCs w:val="15"/>
                  <w:color w:val="0000FF"/>
                  <w:w w:val="81"/>
                </w:rPr>
                <w:t>Item 2</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7">
              <w:r>
                <w:rPr>
                  <w:rFonts w:ascii="Arial" w:cs="Arial" w:eastAsia="Arial" w:hAnsi="Arial"/>
                  <w:sz w:val="15"/>
                  <w:szCs w:val="15"/>
                  <w:color w:val="0000FF"/>
                </w:rPr>
                <w:t>Properties</w:t>
              </w:r>
            </w:hyperlink>
          </w:p>
        </w:tc>
        <w:tc>
          <w:tcPr>
            <w:tcW w:w="300" w:type="dxa"/>
            <w:vAlign w:val="bottom"/>
            <w:gridSpan w:val="3"/>
          </w:tcPr>
          <w:p>
            <w:pPr>
              <w:jc w:val="right"/>
              <w:spacing w:after="0"/>
              <w:rPr>
                <w:rFonts w:ascii="Arial" w:cs="Arial" w:eastAsia="Arial" w:hAnsi="Arial"/>
                <w:sz w:val="15"/>
                <w:szCs w:val="15"/>
                <w:color w:val="0000FF"/>
              </w:rPr>
            </w:pPr>
            <w:hyperlink w:anchor="page27">
              <w:r>
                <w:rPr>
                  <w:rFonts w:ascii="Arial" w:cs="Arial" w:eastAsia="Arial" w:hAnsi="Arial"/>
                  <w:sz w:val="15"/>
                  <w:szCs w:val="15"/>
                  <w:color w:val="0000FF"/>
                </w:rPr>
                <w:t>27</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7">
              <w:r>
                <w:rPr>
                  <w:rFonts w:ascii="Arial" w:cs="Arial" w:eastAsia="Arial" w:hAnsi="Arial"/>
                  <w:sz w:val="15"/>
                  <w:szCs w:val="15"/>
                  <w:color w:val="0000FF"/>
                  <w:w w:val="81"/>
                </w:rPr>
                <w:t>Item 3</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7">
              <w:r>
                <w:rPr>
                  <w:rFonts w:ascii="Arial" w:cs="Arial" w:eastAsia="Arial" w:hAnsi="Arial"/>
                  <w:sz w:val="15"/>
                  <w:szCs w:val="15"/>
                  <w:color w:val="0000FF"/>
                </w:rPr>
                <w:t>Legal Proceedings</w:t>
              </w:r>
            </w:hyperlink>
          </w:p>
        </w:tc>
        <w:tc>
          <w:tcPr>
            <w:tcW w:w="300" w:type="dxa"/>
            <w:vAlign w:val="bottom"/>
            <w:gridSpan w:val="3"/>
          </w:tcPr>
          <w:p>
            <w:pPr>
              <w:jc w:val="right"/>
              <w:spacing w:after="0"/>
              <w:rPr>
                <w:rFonts w:ascii="Arial" w:cs="Arial" w:eastAsia="Arial" w:hAnsi="Arial"/>
                <w:sz w:val="15"/>
                <w:szCs w:val="15"/>
                <w:color w:val="0000FF"/>
              </w:rPr>
            </w:pPr>
            <w:hyperlink w:anchor="page27">
              <w:r>
                <w:rPr>
                  <w:rFonts w:ascii="Arial" w:cs="Arial" w:eastAsia="Arial" w:hAnsi="Arial"/>
                  <w:sz w:val="15"/>
                  <w:szCs w:val="15"/>
                  <w:color w:val="0000FF"/>
                </w:rPr>
                <w:t>27</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7">
              <w:r>
                <w:rPr>
                  <w:rFonts w:ascii="Arial" w:cs="Arial" w:eastAsia="Arial" w:hAnsi="Arial"/>
                  <w:sz w:val="15"/>
                  <w:szCs w:val="15"/>
                  <w:color w:val="0000FF"/>
                  <w:w w:val="81"/>
                </w:rPr>
                <w:t>Item 4</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7">
              <w:r>
                <w:rPr>
                  <w:rFonts w:ascii="Arial" w:cs="Arial" w:eastAsia="Arial" w:hAnsi="Arial"/>
                  <w:sz w:val="15"/>
                  <w:szCs w:val="15"/>
                  <w:color w:val="0000FF"/>
                </w:rPr>
                <w:t>Mine Safety Disclosures</w:t>
              </w:r>
            </w:hyperlink>
          </w:p>
        </w:tc>
        <w:tc>
          <w:tcPr>
            <w:tcW w:w="300" w:type="dxa"/>
            <w:vAlign w:val="bottom"/>
            <w:gridSpan w:val="3"/>
          </w:tcPr>
          <w:p>
            <w:pPr>
              <w:jc w:val="right"/>
              <w:spacing w:after="0"/>
              <w:rPr>
                <w:rFonts w:ascii="Arial" w:cs="Arial" w:eastAsia="Arial" w:hAnsi="Arial"/>
                <w:sz w:val="15"/>
                <w:szCs w:val="15"/>
                <w:color w:val="0000FF"/>
              </w:rPr>
            </w:pPr>
            <w:hyperlink w:anchor="page27">
              <w:r>
                <w:rPr>
                  <w:rFonts w:ascii="Arial" w:cs="Arial" w:eastAsia="Arial" w:hAnsi="Arial"/>
                  <w:sz w:val="15"/>
                  <w:szCs w:val="15"/>
                  <w:color w:val="0000FF"/>
                </w:rPr>
                <w:t>28</w:t>
              </w:r>
            </w:hyperlink>
          </w:p>
        </w:tc>
      </w:tr>
      <w:tr>
        <w:trPr>
          <w:trHeight w:val="20"/>
        </w:trPr>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380" w:type="dxa"/>
            <w:vAlign w:val="bottom"/>
            <w:tcBorders>
              <w:bottom w:val="single" w:sz="8" w:color="0000FF"/>
            </w:tcBorders>
            <w:gridSpan w:val="3"/>
          </w:tcPr>
          <w:p>
            <w:pPr>
              <w:spacing w:after="0"/>
              <w:rPr>
                <w:rFonts w:ascii="Arial" w:cs="Arial" w:eastAsia="Arial" w:hAnsi="Arial"/>
                <w:sz w:val="15"/>
                <w:szCs w:val="15"/>
                <w:color w:val="0000FF"/>
                <w:w w:val="89"/>
              </w:rPr>
            </w:pPr>
            <w:hyperlink w:anchor="page28">
              <w:r>
                <w:rPr>
                  <w:rFonts w:ascii="Arial" w:cs="Arial" w:eastAsia="Arial" w:hAnsi="Arial"/>
                  <w:sz w:val="15"/>
                  <w:szCs w:val="15"/>
                  <w:color w:val="0000FF"/>
                  <w:w w:val="89"/>
                </w:rPr>
                <w:t>Part II</w:t>
              </w:r>
            </w:hyperlink>
          </w:p>
        </w:tc>
        <w:tc>
          <w:tcPr>
            <w:tcW w:w="280" w:type="dxa"/>
            <w:vAlign w:val="bottom"/>
            <w:gridSpan w:val="5"/>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rPr>
                <w:rFonts w:ascii="Arial" w:cs="Arial" w:eastAsia="Arial" w:hAnsi="Arial"/>
                <w:sz w:val="15"/>
                <w:szCs w:val="15"/>
                <w:color w:val="0000FF"/>
                <w:w w:val="83"/>
              </w:rPr>
            </w:pPr>
            <w:hyperlink w:anchor="page28">
              <w:r>
                <w:rPr>
                  <w:rFonts w:ascii="Arial" w:cs="Arial" w:eastAsia="Arial" w:hAnsi="Arial"/>
                  <w:sz w:val="15"/>
                  <w:szCs w:val="15"/>
                  <w:color w:val="0000FF"/>
                  <w:w w:val="83"/>
                </w:rPr>
                <w:t>28</w:t>
              </w:r>
            </w:hyperlink>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8">
              <w:r>
                <w:rPr>
                  <w:rFonts w:ascii="Arial" w:cs="Arial" w:eastAsia="Arial" w:hAnsi="Arial"/>
                  <w:sz w:val="15"/>
                  <w:szCs w:val="15"/>
                  <w:color w:val="0000FF"/>
                  <w:w w:val="81"/>
                </w:rPr>
                <w:t>Item 5</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8">
              <w:r>
                <w:rPr>
                  <w:rFonts w:ascii="Arial" w:cs="Arial" w:eastAsia="Arial" w:hAnsi="Arial"/>
                  <w:sz w:val="15"/>
                  <w:szCs w:val="15"/>
                  <w:color w:val="0000FF"/>
                </w:rPr>
                <w:t>Market for the Registrant’s Common Equity, Related Shareholder Matters and Issuer Purchases of Equity Securities</w:t>
              </w:r>
            </w:hyperlink>
          </w:p>
        </w:tc>
        <w:tc>
          <w:tcPr>
            <w:tcW w:w="300" w:type="dxa"/>
            <w:vAlign w:val="bottom"/>
            <w:gridSpan w:val="3"/>
          </w:tcPr>
          <w:p>
            <w:pPr>
              <w:jc w:val="right"/>
              <w:spacing w:after="0"/>
              <w:rPr>
                <w:rFonts w:ascii="Arial" w:cs="Arial" w:eastAsia="Arial" w:hAnsi="Arial"/>
                <w:sz w:val="15"/>
                <w:szCs w:val="15"/>
                <w:color w:val="0000FF"/>
              </w:rPr>
            </w:pPr>
            <w:hyperlink w:anchor="page28">
              <w:r>
                <w:rPr>
                  <w:rFonts w:ascii="Arial" w:cs="Arial" w:eastAsia="Arial" w:hAnsi="Arial"/>
                  <w:sz w:val="15"/>
                  <w:szCs w:val="15"/>
                  <w:color w:val="0000FF"/>
                </w:rPr>
                <w:t>28</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9">
              <w:r>
                <w:rPr>
                  <w:rFonts w:ascii="Arial" w:cs="Arial" w:eastAsia="Arial" w:hAnsi="Arial"/>
                  <w:sz w:val="15"/>
                  <w:szCs w:val="15"/>
                  <w:color w:val="0000FF"/>
                  <w:w w:val="81"/>
                </w:rPr>
                <w:t>Item 6</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9">
              <w:r>
                <w:rPr>
                  <w:rFonts w:ascii="Arial" w:cs="Arial" w:eastAsia="Arial" w:hAnsi="Arial"/>
                  <w:sz w:val="15"/>
                  <w:szCs w:val="15"/>
                  <w:color w:val="0000FF"/>
                </w:rPr>
                <w:t>Selected Financial Data</w:t>
              </w:r>
            </w:hyperlink>
          </w:p>
        </w:tc>
        <w:tc>
          <w:tcPr>
            <w:tcW w:w="300" w:type="dxa"/>
            <w:vAlign w:val="bottom"/>
            <w:gridSpan w:val="3"/>
          </w:tcPr>
          <w:p>
            <w:pPr>
              <w:jc w:val="right"/>
              <w:spacing w:after="0"/>
              <w:rPr>
                <w:rFonts w:ascii="Arial" w:cs="Arial" w:eastAsia="Arial" w:hAnsi="Arial"/>
                <w:sz w:val="15"/>
                <w:szCs w:val="15"/>
                <w:color w:val="0000FF"/>
              </w:rPr>
            </w:pPr>
            <w:hyperlink w:anchor="page29">
              <w:r>
                <w:rPr>
                  <w:rFonts w:ascii="Arial" w:cs="Arial" w:eastAsia="Arial" w:hAnsi="Arial"/>
                  <w:sz w:val="15"/>
                  <w:szCs w:val="15"/>
                  <w:color w:val="0000FF"/>
                </w:rPr>
                <w:t>29</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29">
              <w:r>
                <w:rPr>
                  <w:rFonts w:ascii="Arial" w:cs="Arial" w:eastAsia="Arial" w:hAnsi="Arial"/>
                  <w:sz w:val="15"/>
                  <w:szCs w:val="15"/>
                  <w:color w:val="0000FF"/>
                  <w:w w:val="81"/>
                </w:rPr>
                <w:t>Item 7</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29">
              <w:r>
                <w:rPr>
                  <w:rFonts w:ascii="Arial" w:cs="Arial" w:eastAsia="Arial" w:hAnsi="Arial"/>
                  <w:sz w:val="15"/>
                  <w:szCs w:val="15"/>
                  <w:color w:val="0000FF"/>
                </w:rPr>
                <w:t>Management’s Discussion and Analysis of Financial Condition and Results of Operations</w:t>
              </w:r>
            </w:hyperlink>
          </w:p>
        </w:tc>
        <w:tc>
          <w:tcPr>
            <w:tcW w:w="300" w:type="dxa"/>
            <w:vAlign w:val="bottom"/>
            <w:gridSpan w:val="3"/>
          </w:tcPr>
          <w:p>
            <w:pPr>
              <w:jc w:val="right"/>
              <w:spacing w:after="0"/>
              <w:rPr>
                <w:rFonts w:ascii="Arial" w:cs="Arial" w:eastAsia="Arial" w:hAnsi="Arial"/>
                <w:sz w:val="15"/>
                <w:szCs w:val="15"/>
                <w:color w:val="0000FF"/>
              </w:rPr>
            </w:pPr>
            <w:hyperlink w:anchor="page29">
              <w:r>
                <w:rPr>
                  <w:rFonts w:ascii="Arial" w:cs="Arial" w:eastAsia="Arial" w:hAnsi="Arial"/>
                  <w:sz w:val="15"/>
                  <w:szCs w:val="15"/>
                  <w:color w:val="0000FF"/>
                </w:rPr>
                <w:t>29</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5"/>
              </w:rPr>
            </w:pPr>
            <w:hyperlink w:anchor="page44">
              <w:r>
                <w:rPr>
                  <w:rFonts w:ascii="Arial" w:cs="Arial" w:eastAsia="Arial" w:hAnsi="Arial"/>
                  <w:sz w:val="15"/>
                  <w:szCs w:val="15"/>
                  <w:color w:val="0000FF"/>
                  <w:w w:val="85"/>
                </w:rPr>
                <w:t>Item 7A</w:t>
              </w:r>
            </w:hyperlink>
          </w:p>
        </w:tc>
        <w:tc>
          <w:tcPr>
            <w:tcW w:w="10220" w:type="dxa"/>
            <w:vAlign w:val="bottom"/>
            <w:gridSpan w:val="21"/>
          </w:tcPr>
          <w:p>
            <w:pPr>
              <w:ind w:left="380"/>
              <w:spacing w:after="0"/>
              <w:rPr>
                <w:rFonts w:ascii="Arial" w:cs="Arial" w:eastAsia="Arial" w:hAnsi="Arial"/>
                <w:sz w:val="15"/>
                <w:szCs w:val="15"/>
                <w:color w:val="0000FF"/>
              </w:rPr>
            </w:pPr>
            <w:hyperlink w:anchor="page44">
              <w:r>
                <w:rPr>
                  <w:rFonts w:ascii="Arial" w:cs="Arial" w:eastAsia="Arial" w:hAnsi="Arial"/>
                  <w:sz w:val="15"/>
                  <w:szCs w:val="15"/>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5"/>
                <w:szCs w:val="15"/>
                <w:color w:val="0000FF"/>
              </w:rPr>
            </w:pPr>
            <w:hyperlink w:anchor="page44">
              <w:r>
                <w:rPr>
                  <w:rFonts w:ascii="Arial" w:cs="Arial" w:eastAsia="Arial" w:hAnsi="Arial"/>
                  <w:sz w:val="15"/>
                  <w:szCs w:val="15"/>
                  <w:color w:val="0000FF"/>
                </w:rPr>
                <w:t>44</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44">
              <w:r>
                <w:rPr>
                  <w:rFonts w:ascii="Arial" w:cs="Arial" w:eastAsia="Arial" w:hAnsi="Arial"/>
                  <w:sz w:val="15"/>
                  <w:szCs w:val="15"/>
                  <w:color w:val="0000FF"/>
                  <w:w w:val="81"/>
                </w:rPr>
                <w:t>Item 8</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44">
              <w:r>
                <w:rPr>
                  <w:rFonts w:ascii="Arial" w:cs="Arial" w:eastAsia="Arial" w:hAnsi="Arial"/>
                  <w:sz w:val="15"/>
                  <w:szCs w:val="15"/>
                  <w:color w:val="0000FF"/>
                </w:rPr>
                <w:t>Financial Statements and Supplementary Data</w:t>
              </w:r>
            </w:hyperlink>
          </w:p>
        </w:tc>
        <w:tc>
          <w:tcPr>
            <w:tcW w:w="300" w:type="dxa"/>
            <w:vAlign w:val="bottom"/>
            <w:gridSpan w:val="3"/>
          </w:tcPr>
          <w:p>
            <w:pPr>
              <w:jc w:val="right"/>
              <w:spacing w:after="0"/>
              <w:rPr>
                <w:rFonts w:ascii="Arial" w:cs="Arial" w:eastAsia="Arial" w:hAnsi="Arial"/>
                <w:sz w:val="15"/>
                <w:szCs w:val="15"/>
                <w:color w:val="0000FF"/>
              </w:rPr>
            </w:pPr>
            <w:hyperlink w:anchor="page44">
              <w:r>
                <w:rPr>
                  <w:rFonts w:ascii="Arial" w:cs="Arial" w:eastAsia="Arial" w:hAnsi="Arial"/>
                  <w:sz w:val="15"/>
                  <w:szCs w:val="15"/>
                  <w:color w:val="0000FF"/>
                </w:rPr>
                <w:t>45</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80" w:type="dxa"/>
            <w:vAlign w:val="bottom"/>
            <w:gridSpan w:val="5"/>
          </w:tcPr>
          <w:p>
            <w:pPr>
              <w:spacing w:after="0"/>
              <w:rPr>
                <w:rFonts w:ascii="Arial" w:cs="Arial" w:eastAsia="Arial" w:hAnsi="Arial"/>
                <w:sz w:val="15"/>
                <w:szCs w:val="15"/>
                <w:color w:val="0000FF"/>
                <w:w w:val="81"/>
              </w:rPr>
            </w:pPr>
            <w:hyperlink w:anchor="page85">
              <w:r>
                <w:rPr>
                  <w:rFonts w:ascii="Arial" w:cs="Arial" w:eastAsia="Arial" w:hAnsi="Arial"/>
                  <w:sz w:val="15"/>
                  <w:szCs w:val="15"/>
                  <w:color w:val="0000FF"/>
                  <w:w w:val="81"/>
                </w:rPr>
                <w:t>Item 9</w:t>
              </w:r>
            </w:hyperlink>
          </w:p>
        </w:tc>
        <w:tc>
          <w:tcPr>
            <w:tcW w:w="100" w:type="dxa"/>
            <w:vAlign w:val="bottom"/>
            <w:gridSpan w:val="2"/>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85">
              <w:r>
                <w:rPr>
                  <w:rFonts w:ascii="Arial" w:cs="Arial" w:eastAsia="Arial" w:hAnsi="Arial"/>
                  <w:sz w:val="15"/>
                  <w:szCs w:val="15"/>
                  <w:color w:val="0000FF"/>
                </w:rPr>
                <w:t>Changes in and Disagreements with Accountants on Accounting and Financial Disclosure</w:t>
              </w:r>
            </w:hyperlink>
          </w:p>
        </w:tc>
        <w:tc>
          <w:tcPr>
            <w:tcW w:w="300" w:type="dxa"/>
            <w:vAlign w:val="bottom"/>
            <w:gridSpan w:val="3"/>
          </w:tcPr>
          <w:p>
            <w:pPr>
              <w:jc w:val="right"/>
              <w:spacing w:after="0"/>
              <w:rPr>
                <w:rFonts w:ascii="Arial" w:cs="Arial" w:eastAsia="Arial" w:hAnsi="Arial"/>
                <w:sz w:val="15"/>
                <w:szCs w:val="15"/>
                <w:color w:val="0000FF"/>
              </w:rPr>
            </w:pPr>
            <w:hyperlink w:anchor="page85">
              <w:r>
                <w:rPr>
                  <w:rFonts w:ascii="Arial" w:cs="Arial" w:eastAsia="Arial" w:hAnsi="Arial"/>
                  <w:sz w:val="15"/>
                  <w:szCs w:val="15"/>
                  <w:color w:val="0000FF"/>
                </w:rPr>
                <w:t>86</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5"/>
              </w:rPr>
            </w:pPr>
            <w:hyperlink w:anchor="page86">
              <w:r>
                <w:rPr>
                  <w:rFonts w:ascii="Arial" w:cs="Arial" w:eastAsia="Arial" w:hAnsi="Arial"/>
                  <w:sz w:val="15"/>
                  <w:szCs w:val="15"/>
                  <w:color w:val="0000FF"/>
                  <w:w w:val="85"/>
                </w:rPr>
                <w:t>Item 9A</w:t>
              </w:r>
            </w:hyperlink>
          </w:p>
        </w:tc>
        <w:tc>
          <w:tcPr>
            <w:tcW w:w="10220" w:type="dxa"/>
            <w:vAlign w:val="bottom"/>
            <w:gridSpan w:val="21"/>
          </w:tcPr>
          <w:p>
            <w:pPr>
              <w:ind w:left="380"/>
              <w:spacing w:after="0"/>
              <w:rPr>
                <w:rFonts w:ascii="Arial" w:cs="Arial" w:eastAsia="Arial" w:hAnsi="Arial"/>
                <w:sz w:val="15"/>
                <w:szCs w:val="15"/>
                <w:color w:val="0000FF"/>
              </w:rPr>
            </w:pPr>
            <w:hyperlink w:anchor="page86">
              <w:r>
                <w:rPr>
                  <w:rFonts w:ascii="Arial" w:cs="Arial" w:eastAsia="Arial" w:hAnsi="Arial"/>
                  <w:sz w:val="15"/>
                  <w:szCs w:val="15"/>
                  <w:color w:val="0000FF"/>
                </w:rPr>
                <w:t>Controls and Procedures</w:t>
              </w:r>
            </w:hyperlink>
          </w:p>
        </w:tc>
        <w:tc>
          <w:tcPr>
            <w:tcW w:w="300" w:type="dxa"/>
            <w:vAlign w:val="bottom"/>
            <w:gridSpan w:val="3"/>
          </w:tcPr>
          <w:p>
            <w:pPr>
              <w:jc w:val="right"/>
              <w:spacing w:after="0"/>
              <w:rPr>
                <w:rFonts w:ascii="Arial" w:cs="Arial" w:eastAsia="Arial" w:hAnsi="Arial"/>
                <w:sz w:val="15"/>
                <w:szCs w:val="15"/>
                <w:color w:val="0000FF"/>
              </w:rPr>
            </w:pPr>
            <w:hyperlink w:anchor="page86">
              <w:r>
                <w:rPr>
                  <w:rFonts w:ascii="Arial" w:cs="Arial" w:eastAsia="Arial" w:hAnsi="Arial"/>
                  <w:sz w:val="15"/>
                  <w:szCs w:val="15"/>
                  <w:color w:val="0000FF"/>
                </w:rPr>
                <w:t>86</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5"/>
              </w:rPr>
            </w:pPr>
            <w:hyperlink w:anchor="page87">
              <w:r>
                <w:rPr>
                  <w:rFonts w:ascii="Arial" w:cs="Arial" w:eastAsia="Arial" w:hAnsi="Arial"/>
                  <w:sz w:val="15"/>
                  <w:szCs w:val="15"/>
                  <w:color w:val="0000FF"/>
                  <w:w w:val="85"/>
                </w:rPr>
                <w:t>Item 9B</w:t>
              </w:r>
            </w:hyperlink>
          </w:p>
        </w:tc>
        <w:tc>
          <w:tcPr>
            <w:tcW w:w="10220" w:type="dxa"/>
            <w:vAlign w:val="bottom"/>
            <w:gridSpan w:val="21"/>
          </w:tcPr>
          <w:p>
            <w:pPr>
              <w:ind w:left="380"/>
              <w:spacing w:after="0"/>
              <w:rPr>
                <w:rFonts w:ascii="Arial" w:cs="Arial" w:eastAsia="Arial" w:hAnsi="Arial"/>
                <w:sz w:val="15"/>
                <w:szCs w:val="15"/>
                <w:color w:val="0000FF"/>
              </w:rPr>
            </w:pPr>
            <w:hyperlink w:anchor="page87">
              <w:r>
                <w:rPr>
                  <w:rFonts w:ascii="Arial" w:cs="Arial" w:eastAsia="Arial" w:hAnsi="Arial"/>
                  <w:sz w:val="15"/>
                  <w:szCs w:val="15"/>
                  <w:color w:val="0000FF"/>
                </w:rPr>
                <w:t>Other Information</w:t>
              </w:r>
            </w:hyperlink>
          </w:p>
        </w:tc>
        <w:tc>
          <w:tcPr>
            <w:tcW w:w="300" w:type="dxa"/>
            <w:vAlign w:val="bottom"/>
            <w:gridSpan w:val="3"/>
          </w:tcPr>
          <w:p>
            <w:pPr>
              <w:jc w:val="right"/>
              <w:spacing w:after="0"/>
              <w:rPr>
                <w:rFonts w:ascii="Arial" w:cs="Arial" w:eastAsia="Arial" w:hAnsi="Arial"/>
                <w:sz w:val="15"/>
                <w:szCs w:val="15"/>
                <w:color w:val="0000FF"/>
              </w:rPr>
            </w:pPr>
            <w:hyperlink w:anchor="page87">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3"/>
              </w:rPr>
            </w:pPr>
            <w:hyperlink w:anchor="page88">
              <w:r>
                <w:rPr>
                  <w:rFonts w:ascii="Arial" w:cs="Arial" w:eastAsia="Arial" w:hAnsi="Arial"/>
                  <w:sz w:val="15"/>
                  <w:szCs w:val="15"/>
                  <w:color w:val="0000FF"/>
                  <w:w w:val="83"/>
                </w:rPr>
                <w:t>Item 9C</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Disclosure Regarding Foreign Jurisdictions that Prevent Inspections</w:t>
              </w:r>
            </w:hyperlink>
          </w:p>
        </w:tc>
        <w:tc>
          <w:tcPr>
            <w:tcW w:w="300" w:type="dxa"/>
            <w:vAlign w:val="bottom"/>
            <w:gridSpan w:val="3"/>
          </w:tcPr>
          <w:p>
            <w:pPr>
              <w:jc w:val="right"/>
              <w:spacing w:after="0"/>
              <w:rPr>
                <w:rFonts w:ascii="Arial" w:cs="Arial" w:eastAsia="Arial" w:hAnsi="Arial"/>
                <w:sz w:val="15"/>
                <w:szCs w:val="15"/>
                <w:color w:val="0000FF"/>
              </w:rPr>
            </w:pPr>
            <w:hyperlink w:anchor="page87">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0"/>
        </w:trPr>
        <w:tc>
          <w:tcPr>
            <w:tcW w:w="660" w:type="dxa"/>
            <w:vAlign w:val="bottom"/>
            <w:gridSpan w:val="8"/>
          </w:tcPr>
          <w:p>
            <w:pPr>
              <w:spacing w:after="0" w:line="160" w:lineRule="exact"/>
              <w:rPr>
                <w:rFonts w:ascii="Arial" w:cs="Arial" w:eastAsia="Arial" w:hAnsi="Arial"/>
                <w:sz w:val="15"/>
                <w:szCs w:val="15"/>
                <w:color w:val="0000FF"/>
              </w:rPr>
            </w:pPr>
            <w:hyperlink w:anchor="page88">
              <w:r>
                <w:rPr>
                  <w:rFonts w:ascii="Arial" w:cs="Arial" w:eastAsia="Arial" w:hAnsi="Arial"/>
                  <w:sz w:val="15"/>
                  <w:szCs w:val="15"/>
                  <w:color w:val="0000FF"/>
                </w:rPr>
                <w:t>Part III</w:t>
              </w:r>
            </w:hyperlink>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00" w:type="dxa"/>
            <w:vAlign w:val="bottom"/>
            <w:gridSpan w:val="3"/>
          </w:tcPr>
          <w:p>
            <w:pPr>
              <w:jc w:val="right"/>
              <w:spacing w:after="0" w:line="160" w:lineRule="exact"/>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10</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Directors, Executive Officers and Corporate Governance</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60" w:type="dxa"/>
            <w:vAlign w:val="bottom"/>
            <w:gridSpan w:val="6"/>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11</w:t>
              </w:r>
            </w:hyperlink>
          </w:p>
        </w:tc>
        <w:tc>
          <w:tcPr>
            <w:tcW w:w="20" w:type="dxa"/>
            <w:vAlign w:val="bottom"/>
          </w:tcPr>
          <w:p>
            <w:pPr>
              <w:spacing w:after="0"/>
              <w:rPr>
                <w:sz w:val="15"/>
                <w:szCs w:val="15"/>
                <w:color w:val="auto"/>
              </w:rPr>
            </w:pPr>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Executive Compensation</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12</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Security Ownership of Certain Beneficial Owners and Management and Related Shareholder Matters</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13</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Certain Relationships and Related Transactions, and Director Independence</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14</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Principal Accounting Fees and Services</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88</w:t>
              </w:r>
            </w:hyperlink>
          </w:p>
        </w:tc>
      </w:tr>
      <w:tr>
        <w:trPr>
          <w:trHeight w:val="20"/>
        </w:trPr>
        <w:tc>
          <w:tcPr>
            <w:tcW w:w="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0"/>
        </w:trPr>
        <w:tc>
          <w:tcPr>
            <w:tcW w:w="440" w:type="dxa"/>
            <w:vAlign w:val="bottom"/>
            <w:tcBorders>
              <w:bottom w:val="single" w:sz="8" w:color="0000FF"/>
            </w:tcBorders>
            <w:gridSpan w:val="5"/>
          </w:tcPr>
          <w:p>
            <w:pPr>
              <w:spacing w:after="0" w:line="160" w:lineRule="exact"/>
              <w:rPr>
                <w:rFonts w:ascii="Arial" w:cs="Arial" w:eastAsia="Arial" w:hAnsi="Arial"/>
                <w:sz w:val="15"/>
                <w:szCs w:val="15"/>
                <w:color w:val="0000FF"/>
                <w:w w:val="91"/>
              </w:rPr>
            </w:pPr>
            <w:hyperlink w:anchor="page88">
              <w:r>
                <w:rPr>
                  <w:rFonts w:ascii="Arial" w:cs="Arial" w:eastAsia="Arial" w:hAnsi="Arial"/>
                  <w:sz w:val="15"/>
                  <w:szCs w:val="15"/>
                  <w:color w:val="0000FF"/>
                  <w:w w:val="91"/>
                </w:rPr>
                <w:t>Part IV</w:t>
              </w:r>
            </w:hyperlink>
          </w:p>
        </w:tc>
        <w:tc>
          <w:tcPr>
            <w:tcW w:w="22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0000FF"/>
            </w:tcBorders>
            <w:gridSpan w:val="2"/>
          </w:tcPr>
          <w:p>
            <w:pPr>
              <w:jc w:val="right"/>
              <w:spacing w:after="0" w:line="160" w:lineRule="exact"/>
              <w:rPr>
                <w:rFonts w:ascii="Arial" w:cs="Arial" w:eastAsia="Arial" w:hAnsi="Arial"/>
                <w:sz w:val="15"/>
                <w:szCs w:val="15"/>
                <w:color w:val="0000FF"/>
                <w:w w:val="83"/>
              </w:rPr>
            </w:pPr>
            <w:hyperlink w:anchor="page88">
              <w:r>
                <w:rPr>
                  <w:rFonts w:ascii="Arial" w:cs="Arial" w:eastAsia="Arial" w:hAnsi="Arial"/>
                  <w:sz w:val="15"/>
                  <w:szCs w:val="15"/>
                  <w:color w:val="0000FF"/>
                  <w:w w:val="83"/>
                </w:rPr>
                <w:t>88</w:t>
              </w:r>
            </w:hyperlink>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88">
              <w:r>
                <w:rPr>
                  <w:rFonts w:ascii="Arial" w:cs="Arial" w:eastAsia="Arial" w:hAnsi="Arial"/>
                  <w:sz w:val="15"/>
                  <w:szCs w:val="15"/>
                  <w:color w:val="0000FF"/>
                  <w:w w:val="87"/>
                </w:rPr>
                <w:t>Item 15</w:t>
              </w:r>
            </w:hyperlink>
          </w:p>
        </w:tc>
        <w:tc>
          <w:tcPr>
            <w:tcW w:w="10220" w:type="dxa"/>
            <w:vAlign w:val="bottom"/>
            <w:gridSpan w:val="21"/>
          </w:tcPr>
          <w:p>
            <w:pPr>
              <w:ind w:left="380"/>
              <w:spacing w:after="0"/>
              <w:rPr>
                <w:rFonts w:ascii="Arial" w:cs="Arial" w:eastAsia="Arial" w:hAnsi="Arial"/>
                <w:sz w:val="15"/>
                <w:szCs w:val="15"/>
                <w:color w:val="0000FF"/>
              </w:rPr>
            </w:pPr>
            <w:hyperlink w:anchor="page88">
              <w:r>
                <w:rPr>
                  <w:rFonts w:ascii="Arial" w:cs="Arial" w:eastAsia="Arial" w:hAnsi="Arial"/>
                  <w:sz w:val="15"/>
                  <w:szCs w:val="15"/>
                  <w:color w:val="0000FF"/>
                </w:rPr>
                <w:t>Exhibits and Financial Statement Schedules</w:t>
              </w:r>
            </w:hyperlink>
          </w:p>
        </w:tc>
        <w:tc>
          <w:tcPr>
            <w:tcW w:w="300" w:type="dxa"/>
            <w:vAlign w:val="bottom"/>
            <w:gridSpan w:val="3"/>
          </w:tcPr>
          <w:p>
            <w:pPr>
              <w:jc w:val="right"/>
              <w:spacing w:after="0"/>
              <w:rPr>
                <w:rFonts w:ascii="Arial" w:cs="Arial" w:eastAsia="Arial" w:hAnsi="Arial"/>
                <w:sz w:val="15"/>
                <w:szCs w:val="15"/>
                <w:color w:val="0000FF"/>
              </w:rPr>
            </w:pPr>
            <w:hyperlink w:anchor="page88">
              <w:r>
                <w:rPr>
                  <w:rFonts w:ascii="Arial" w:cs="Arial" w:eastAsia="Arial" w:hAnsi="Arial"/>
                  <w:sz w:val="15"/>
                  <w:szCs w:val="15"/>
                  <w:color w:val="0000FF"/>
                </w:rPr>
                <w:t>89</w:t>
              </w:r>
            </w:hyperlink>
          </w:p>
        </w:tc>
      </w:tr>
      <w:tr>
        <w:trPr>
          <w:trHeight w:val="20"/>
        </w:trPr>
        <w:tc>
          <w:tcPr>
            <w:tcW w:w="18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480" w:type="dxa"/>
            <w:vAlign w:val="bottom"/>
            <w:gridSpan w:val="7"/>
          </w:tcPr>
          <w:p>
            <w:pPr>
              <w:spacing w:after="0"/>
              <w:rPr>
                <w:rFonts w:ascii="Arial" w:cs="Arial" w:eastAsia="Arial" w:hAnsi="Arial"/>
                <w:sz w:val="15"/>
                <w:szCs w:val="15"/>
                <w:color w:val="0000FF"/>
                <w:w w:val="87"/>
              </w:rPr>
            </w:pPr>
            <w:hyperlink w:anchor="page90">
              <w:r>
                <w:rPr>
                  <w:rFonts w:ascii="Arial" w:cs="Arial" w:eastAsia="Arial" w:hAnsi="Arial"/>
                  <w:sz w:val="15"/>
                  <w:szCs w:val="15"/>
                  <w:color w:val="0000FF"/>
                  <w:w w:val="87"/>
                </w:rPr>
                <w:t>Item 16</w:t>
              </w:r>
            </w:hyperlink>
          </w:p>
        </w:tc>
        <w:tc>
          <w:tcPr>
            <w:tcW w:w="10220" w:type="dxa"/>
            <w:vAlign w:val="bottom"/>
            <w:gridSpan w:val="21"/>
          </w:tcPr>
          <w:p>
            <w:pPr>
              <w:ind w:left="380"/>
              <w:spacing w:after="0"/>
              <w:rPr>
                <w:rFonts w:ascii="Arial" w:cs="Arial" w:eastAsia="Arial" w:hAnsi="Arial"/>
                <w:sz w:val="15"/>
                <w:szCs w:val="15"/>
                <w:color w:val="0000FF"/>
              </w:rPr>
            </w:pPr>
            <w:hyperlink w:anchor="page90">
              <w:r>
                <w:rPr>
                  <w:rFonts w:ascii="Arial" w:cs="Arial" w:eastAsia="Arial" w:hAnsi="Arial"/>
                  <w:sz w:val="15"/>
                  <w:szCs w:val="15"/>
                  <w:color w:val="0000FF"/>
                </w:rPr>
                <w:t>Form 10-K Summary</w:t>
              </w:r>
            </w:hyperlink>
          </w:p>
        </w:tc>
        <w:tc>
          <w:tcPr>
            <w:tcW w:w="300" w:type="dxa"/>
            <w:vAlign w:val="bottom"/>
            <w:gridSpan w:val="3"/>
          </w:tcPr>
          <w:p>
            <w:pPr>
              <w:jc w:val="right"/>
              <w:spacing w:after="0"/>
              <w:rPr>
                <w:rFonts w:ascii="Arial" w:cs="Arial" w:eastAsia="Arial" w:hAnsi="Arial"/>
                <w:sz w:val="15"/>
                <w:szCs w:val="15"/>
                <w:color w:val="0000FF"/>
              </w:rPr>
            </w:pPr>
            <w:hyperlink w:anchor="page90">
              <w:r>
                <w:rPr>
                  <w:rFonts w:ascii="Arial" w:cs="Arial" w:eastAsia="Arial" w:hAnsi="Arial"/>
                  <w:sz w:val="15"/>
                  <w:szCs w:val="15"/>
                  <w:color w:val="0000FF"/>
                </w:rPr>
                <w:t>90</w:t>
              </w:r>
            </w:hyperlink>
          </w:p>
        </w:tc>
      </w:tr>
      <w:tr>
        <w:trPr>
          <w:trHeight w:val="20"/>
        </w:trPr>
        <w:tc>
          <w:tcPr>
            <w:tcW w:w="18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0"/>
        </w:trPr>
        <w:tc>
          <w:tcPr>
            <w:tcW w:w="660" w:type="dxa"/>
            <w:vAlign w:val="bottom"/>
            <w:gridSpan w:val="8"/>
          </w:tcPr>
          <w:p>
            <w:pPr>
              <w:spacing w:after="0"/>
              <w:rPr>
                <w:rFonts w:ascii="Arial" w:cs="Arial" w:eastAsia="Arial" w:hAnsi="Arial"/>
                <w:sz w:val="15"/>
                <w:szCs w:val="15"/>
                <w:color w:val="0000FF"/>
                <w:w w:val="86"/>
              </w:rPr>
            </w:pPr>
            <w:hyperlink w:anchor="page91">
              <w:r>
                <w:rPr>
                  <w:rFonts w:ascii="Arial" w:cs="Arial" w:eastAsia="Arial" w:hAnsi="Arial"/>
                  <w:sz w:val="15"/>
                  <w:szCs w:val="15"/>
                  <w:color w:val="0000FF"/>
                  <w:w w:val="86"/>
                </w:rPr>
                <w:t>Signatures</w:t>
              </w:r>
            </w:hyperlink>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gridSpan w:val="3"/>
          </w:tcPr>
          <w:p>
            <w:pPr>
              <w:jc w:val="right"/>
              <w:spacing w:after="0"/>
              <w:rPr>
                <w:rFonts w:ascii="Arial" w:cs="Arial" w:eastAsia="Arial" w:hAnsi="Arial"/>
                <w:sz w:val="15"/>
                <w:szCs w:val="15"/>
                <w:color w:val="0000FF"/>
              </w:rPr>
            </w:pPr>
            <w:hyperlink w:anchor="page91">
              <w:r>
                <w:rPr>
                  <w:rFonts w:ascii="Arial" w:cs="Arial" w:eastAsia="Arial" w:hAnsi="Arial"/>
                  <w:sz w:val="15"/>
                  <w:szCs w:val="15"/>
                  <w:color w:val="0000FF"/>
                </w:rPr>
                <w:t>92</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57150</wp:posOffset>
            </wp:positionV>
            <wp:extent cx="716788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80" w:top="839"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0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79" w:lineRule="exact"/>
        <w:rPr>
          <w:sz w:val="20"/>
          <w:szCs w:val="20"/>
          <w:color w:val="auto"/>
        </w:rPr>
      </w:pPr>
    </w:p>
    <w:p>
      <w:pPr>
        <w:ind w:left="800" w:hanging="201"/>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future growth and profitability;</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competitive strengths; and</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strategy and the trends we anticipate in the industries and economies in which we operate.</w:t>
      </w:r>
    </w:p>
    <w:p>
      <w:pPr>
        <w:spacing w:after="0" w:line="10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59" w:lineRule="exact"/>
        <w:rPr>
          <w:sz w:val="20"/>
          <w:szCs w:val="20"/>
          <w:color w:val="auto"/>
        </w:rPr>
      </w:pPr>
    </w:p>
    <w:p>
      <w:pPr>
        <w:ind w:left="800" w:hanging="201"/>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market conditions, technological developments, regulatory or policy changes, including permitting processes and tax incentives that affect us or our customers’ industries;</w:t>
      </w:r>
    </w:p>
    <w:p>
      <w:pPr>
        <w:spacing w:after="0" w:line="125" w:lineRule="exact"/>
        <w:rPr>
          <w:rFonts w:ascii="Arial" w:cs="Arial" w:eastAsia="Arial" w:hAnsi="Arial"/>
          <w:sz w:val="13"/>
          <w:szCs w:val="13"/>
          <w:color w:val="auto"/>
        </w:rPr>
      </w:pPr>
    </w:p>
    <w:p>
      <w:pPr>
        <w:ind w:left="800" w:hanging="201"/>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of federal, local, state, foreign or tax legislation and other regulations affecting the industries we serve and related projects and expenditures;</w:t>
      </w:r>
    </w:p>
    <w:p>
      <w:pPr>
        <w:spacing w:after="0" w:line="102" w:lineRule="exact"/>
        <w:rPr>
          <w:rFonts w:ascii="Arial" w:cs="Arial" w:eastAsia="Arial" w:hAnsi="Arial"/>
          <w:sz w:val="15"/>
          <w:szCs w:val="15"/>
          <w:color w:val="auto"/>
        </w:rPr>
      </w:pPr>
    </w:p>
    <w:p>
      <w:pPr>
        <w:jc w:val="both"/>
        <w:ind w:left="820" w:hanging="221"/>
        <w:spacing w:after="0" w:line="255"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on demand for our services of changes in the amount of capital expenditures by our customers due to, among other things, economic conditions, including the potential adverse effects of the coronavirus (“COVID-19”) pandemic on economic activity, including inflationary issues, supply chain disruptions and higher interest rates, climate-related matters, the availability and cost of financing, and customer consolidation in the industries we serve;</w:t>
      </w:r>
    </w:p>
    <w:p>
      <w:pPr>
        <w:spacing w:after="0" w:line="74" w:lineRule="exact"/>
        <w:rPr>
          <w:rFonts w:ascii="Arial" w:cs="Arial" w:eastAsia="Arial" w:hAnsi="Arial"/>
          <w:sz w:val="15"/>
          <w:szCs w:val="15"/>
          <w:color w:val="auto"/>
        </w:rPr>
      </w:pPr>
    </w:p>
    <w:p>
      <w:pPr>
        <w:ind w:left="820" w:hanging="221"/>
        <w:spacing w:after="0" w:line="266"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activity in the industries we serve and the impact on our customers’ expenditure levels caused by fluctuations in commodity prices, including for oil, natural gas, electricity and other energy sources;</w:t>
      </w:r>
    </w:p>
    <w:p>
      <w:pPr>
        <w:spacing w:after="0" w:line="67" w:lineRule="exact"/>
        <w:rPr>
          <w:rFonts w:ascii="Arial" w:cs="Arial" w:eastAsia="Arial" w:hAnsi="Arial"/>
          <w:sz w:val="15"/>
          <w:szCs w:val="15"/>
          <w:color w:val="auto"/>
        </w:rPr>
      </w:pPr>
    </w:p>
    <w:p>
      <w:pPr>
        <w:ind w:left="820" w:hanging="221"/>
        <w:spacing w:after="0" w:line="266" w:lineRule="auto"/>
        <w:tabs>
          <w:tab w:leader="none" w:pos="801"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67" w:lineRule="exact"/>
        <w:rPr>
          <w:rFonts w:ascii="Arial" w:cs="Arial" w:eastAsia="Arial" w:hAnsi="Arial"/>
          <w:sz w:val="15"/>
          <w:szCs w:val="15"/>
          <w:color w:val="auto"/>
        </w:rPr>
      </w:pPr>
    </w:p>
    <w:p>
      <w:pPr>
        <w:jc w:val="both"/>
        <w:ind w:left="820" w:hanging="221"/>
        <w:spacing w:after="0" w:line="255"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completed or potential acquisitions, including our ability to integrate acquired businesses within expected timeframes and to achieve the revenue, cost savings and earnings levels from such acquisitions at or above the levels projected, including the risk of potential asset impairment charges and write-downs of goodwill, as well as our ability to identify suitable acquisition or strategic investment opportunities;</w:t>
      </w:r>
    </w:p>
    <w:p>
      <w:pPr>
        <w:spacing w:after="0" w:line="74" w:lineRule="exact"/>
        <w:rPr>
          <w:rFonts w:ascii="Arial" w:cs="Arial" w:eastAsia="Arial" w:hAnsi="Arial"/>
          <w:sz w:val="15"/>
          <w:szCs w:val="15"/>
          <w:color w:val="auto"/>
        </w:rPr>
      </w:pPr>
    </w:p>
    <w:p>
      <w:pPr>
        <w:ind w:left="820" w:hanging="221"/>
        <w:spacing w:after="0" w:line="266"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 key management and skilled employees, including from acquired businesses, our ability to enforce any noncompetition agreements, and our ability to maintain a workforce based upon current and anticipated workloads;</w:t>
      </w:r>
    </w:p>
    <w:p>
      <w:pPr>
        <w:spacing w:after="0" w:line="67"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timing and extent of fluctuations in operational, geographic and weather factors affecting our customers, projects and the industries in which we operate;</w:t>
      </w:r>
    </w:p>
    <w:p>
      <w:pPr>
        <w:spacing w:after="0" w:line="102" w:lineRule="exact"/>
        <w:rPr>
          <w:rFonts w:ascii="Arial" w:cs="Arial" w:eastAsia="Arial" w:hAnsi="Arial"/>
          <w:sz w:val="15"/>
          <w:szCs w:val="15"/>
          <w:color w:val="auto"/>
        </w:rPr>
      </w:pPr>
    </w:p>
    <w:p>
      <w:pPr>
        <w:jc w:val="both"/>
        <w:ind w:left="820" w:hanging="221"/>
        <w:spacing w:after="0" w:line="255"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74" w:lineRule="exact"/>
        <w:rPr>
          <w:rFonts w:ascii="Arial" w:cs="Arial" w:eastAsia="Arial" w:hAnsi="Arial"/>
          <w:sz w:val="15"/>
          <w:szCs w:val="15"/>
          <w:color w:val="auto"/>
        </w:rPr>
      </w:pPr>
    </w:p>
    <w:p>
      <w:pPr>
        <w:ind w:left="820" w:hanging="221"/>
        <w:spacing w:after="0" w:line="266" w:lineRule="auto"/>
        <w:tabs>
          <w:tab w:leader="none" w:pos="81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of state and federal regulatory initiatives, including costs of compliance with existing and potential future safety and environmental requirements, including with respect to climate change;</w:t>
      </w:r>
    </w:p>
    <w:p>
      <w:pPr>
        <w:spacing w:after="0" w:line="67"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dependence on a limited number of customers and our ability to replace non-recurring projects with new projects;</w:t>
      </w:r>
    </w:p>
    <w:p>
      <w:pPr>
        <w:spacing w:after="0" w:line="102"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associated with potential environmental issues and other hazards from our operations;</w:t>
      </w:r>
    </w:p>
    <w:p>
      <w:pPr>
        <w:spacing w:after="0" w:line="102" w:lineRule="exact"/>
        <w:rPr>
          <w:rFonts w:ascii="Arial" w:cs="Arial" w:eastAsia="Arial" w:hAnsi="Arial"/>
          <w:sz w:val="15"/>
          <w:szCs w:val="15"/>
          <w:color w:val="auto"/>
        </w:rPr>
      </w:pPr>
    </w:p>
    <w:p>
      <w:pPr>
        <w:ind w:left="820" w:hanging="221"/>
        <w:spacing w:after="0" w:line="266" w:lineRule="auto"/>
        <w:tabs>
          <w:tab w:leader="none" w:pos="798" w:val="left"/>
        </w:tabs>
        <w:numPr>
          <w:ilvl w:val="0"/>
          <w:numId w:val="4"/>
        </w:numPr>
        <w:rPr>
          <w:rFonts w:ascii="Arial" w:cs="Arial" w:eastAsia="Arial" w:hAnsi="Arial"/>
          <w:sz w:val="15"/>
          <w:szCs w:val="15"/>
          <w:color w:val="auto"/>
        </w:rPr>
      </w:pPr>
      <w:r>
        <w:rPr>
          <w:rFonts w:ascii="Arial" w:cs="Arial" w:eastAsia="Arial" w:hAnsi="Arial"/>
          <w:sz w:val="15"/>
          <w:szCs w:val="15"/>
          <w:color w:val="auto"/>
        </w:rPr>
        <w:t>disputes with, or failures of, our subcontractors to deliver agreed-upon supplies or services in a timely fashion, and the risk of being required to pay our subcontractors even if our customers do not pay us;</w:t>
      </w:r>
    </w:p>
    <w:p>
      <w:pPr>
        <w:spacing w:after="0" w:line="67"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our strategic arrangements, including our equity investments;</w:t>
      </w:r>
    </w:p>
    <w:p>
      <w:pPr>
        <w:spacing w:after="0" w:line="102"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exposure resulting from system or information technology interruptions or data security breaches;</w:t>
      </w:r>
    </w:p>
    <w:p>
      <w:pPr>
        <w:spacing w:after="0" w:line="108"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5"/>
          <w:szCs w:val="15"/>
          <w:color w:val="auto"/>
        </w:rPr>
        <w:t>any material changes in estimates for legal costs or case settlements or adverse determinations on any claim, lawsuit or proceeding;</w:t>
      </w:r>
    </w:p>
    <w:p>
      <w:pPr>
        <w:spacing w:after="0" w:line="97" w:lineRule="exact"/>
        <w:rPr>
          <w:rFonts w:ascii="Arial" w:cs="Arial" w:eastAsia="Arial" w:hAnsi="Arial"/>
          <w:sz w:val="17"/>
          <w:szCs w:val="17"/>
          <w:color w:val="auto"/>
        </w:rPr>
      </w:pPr>
    </w:p>
    <w:p>
      <w:pPr>
        <w:ind w:left="800" w:hanging="201"/>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adequacy of our insurance, legal and other reserves;</w:t>
      </w:r>
    </w:p>
    <w:p>
      <w:pPr>
        <w:spacing w:after="0" w:line="102"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outcome of our plans for future operations, growth and services, including business development efforts, backlog, acquisitions and dispositions;</w:t>
      </w:r>
    </w:p>
    <w:p>
      <w:pPr>
        <w:spacing w:after="0" w:line="102" w:lineRule="exact"/>
        <w:rPr>
          <w:rFonts w:ascii="Arial" w:cs="Arial" w:eastAsia="Arial" w:hAnsi="Arial"/>
          <w:sz w:val="15"/>
          <w:szCs w:val="15"/>
          <w:color w:val="auto"/>
        </w:rPr>
      </w:pPr>
    </w:p>
    <w:p>
      <w:pPr>
        <w:ind w:left="820" w:hanging="221"/>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fuel, maintenance, materials, labor and other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3" w:name="page4"/>
    <w:bookmarkEnd w:id="3"/>
    <w:p>
      <w:pPr>
        <w:ind w:left="820" w:hanging="221"/>
        <w:spacing w:after="0" w:line="303" w:lineRule="auto"/>
        <w:tabs>
          <w:tab w:leader="none" w:pos="874"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associated with volatility of our stock price or any dilution or stock price volatility that shareholders may experience in connection with shares we may issue as consideration for earn-out obligations or as purchase consideration in connection with past or future acquisitions, or as a result of other stock issuances;</w:t>
      </w:r>
    </w:p>
    <w:p>
      <w:pPr>
        <w:spacing w:after="0" w:line="42" w:lineRule="exact"/>
        <w:rPr>
          <w:rFonts w:ascii="Arial" w:cs="Arial" w:eastAsia="Arial" w:hAnsi="Arial"/>
          <w:sz w:val="14"/>
          <w:szCs w:val="14"/>
          <w:color w:val="auto"/>
        </w:rPr>
      </w:pPr>
    </w:p>
    <w:p>
      <w:pPr>
        <w:ind w:left="820" w:hanging="221"/>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restrictions imposed by our credit facility, senior notes and any future loans or securities;</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obtain performance and surety bonds;</w:t>
      </w:r>
    </w:p>
    <w:p>
      <w:pPr>
        <w:spacing w:after="0" w:line="102" w:lineRule="exact"/>
        <w:rPr>
          <w:rFonts w:ascii="Arial" w:cs="Arial" w:eastAsia="Arial" w:hAnsi="Arial"/>
          <w:sz w:val="15"/>
          <w:szCs w:val="15"/>
          <w:color w:val="auto"/>
        </w:rPr>
      </w:pPr>
    </w:p>
    <w:p>
      <w:pPr>
        <w:ind w:left="820" w:hanging="221"/>
        <w:spacing w:after="0" w:line="266" w:lineRule="auto"/>
        <w:tabs>
          <w:tab w:leader="none" w:pos="810"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67" w:lineRule="exact"/>
        <w:rPr>
          <w:rFonts w:ascii="Arial" w:cs="Arial" w:eastAsia="Arial" w:hAnsi="Arial"/>
          <w:sz w:val="15"/>
          <w:szCs w:val="15"/>
          <w:color w:val="auto"/>
        </w:rPr>
      </w:pPr>
    </w:p>
    <w:p>
      <w:pPr>
        <w:ind w:left="820" w:hanging="221"/>
        <w:spacing w:after="0" w:line="266" w:lineRule="auto"/>
        <w:tabs>
          <w:tab w:leader="none" w:pos="810"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associated with operating in or expanding into additional international markets, including risks from fluctuations in foreign currencies, foreign labor and general business conditions and risks from failure to comply with laws applicable to our foreign activities and/or governmental policy uncertainty;</w:t>
      </w:r>
    </w:p>
    <w:p>
      <w:pPr>
        <w:spacing w:after="0" w:line="67" w:lineRule="exact"/>
        <w:rPr>
          <w:rFonts w:ascii="Arial" w:cs="Arial" w:eastAsia="Arial" w:hAnsi="Arial"/>
          <w:sz w:val="15"/>
          <w:szCs w:val="15"/>
          <w:color w:val="auto"/>
        </w:rPr>
      </w:pPr>
    </w:p>
    <w:p>
      <w:pPr>
        <w:ind w:left="800" w:hanging="201"/>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small number of our existing shareholders have the ability to influence major corporate decisions; and</w:t>
      </w:r>
    </w:p>
    <w:p>
      <w:pPr>
        <w:spacing w:after="0" w:line="102" w:lineRule="exact"/>
        <w:rPr>
          <w:rFonts w:ascii="Arial" w:cs="Arial" w:eastAsia="Arial" w:hAnsi="Arial"/>
          <w:sz w:val="15"/>
          <w:szCs w:val="15"/>
          <w:color w:val="auto"/>
        </w:rPr>
      </w:pPr>
    </w:p>
    <w:p>
      <w:pPr>
        <w:jc w:val="both"/>
        <w:ind w:left="820" w:hanging="221"/>
        <w:spacing w:after="0" w:line="255" w:lineRule="auto"/>
        <w:tabs>
          <w:tab w:leader="none" w:pos="851"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Securities and Exchange Commission (the “SEC”).</w:t>
      </w:r>
    </w:p>
    <w:p>
      <w:pPr>
        <w:spacing w:after="0" w:line="7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PART I</w:t>
      </w:r>
    </w:p>
    <w:p>
      <w:pPr>
        <w:spacing w:after="0" w:line="152"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06" w:lineRule="exact"/>
        <w:rPr>
          <w:sz w:val="20"/>
          <w:szCs w:val="20"/>
          <w:color w:val="auto"/>
        </w:rPr>
      </w:pPr>
    </w:p>
    <w:p>
      <w:pPr>
        <w:jc w:val="both"/>
        <w:ind w:firstLine="599"/>
        <w:spacing w:after="0" w:line="237"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Our customers are primarily in these industries. Including our predecessor companies, we have been in business for over 90 years. For the twelve month period ended December 31, 2021, we had an average of approximately 590 locations and 25,000 employees, and as of December 31, 2021, we had approximately 27,000 employees. We offer our services under the MasTec</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other service marks. We have been consistently ranked among the top specialty contractors by Engineering News-Record for the past several years.</w:t>
      </w:r>
    </w:p>
    <w:p>
      <w:pPr>
        <w:spacing w:after="0" w:line="8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4"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seek to grow and diversify our business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74"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During the fourth quarter of 2021, we renamed our Electrical Transmission segment as the Power Delivery segment to better represent the nature of the segment’s operations, end markets and customer characteristics, including from the effects of our recent acquisitions. There was no change to the composition of the segment or its historical results.</w:t>
      </w:r>
    </w:p>
    <w:p>
      <w:pPr>
        <w:spacing w:after="0" w:line="64"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Our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Our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We perform engineering, construction and maintenance services for pipelines and processing facilities for the energy and utilities industries through our Oil and Gas segment. Our Power Delivery segment primarily serves the energy and utility industries through the engineering, construction and maintenance of power transmission and distribution infrastructure, including electrical and gas transmission lines, distribution network systems and substations. The Other segment includes certain equity investees, the services of which vary from those provided by our primary segments, as well as other small business units that perform construction and other services for certain international end-markets. See Note 13 - Segments and Related Information and Note 14 - Commitments and Contingencies in the notes to the audited consolidated financial statements, which are incorporated by reference, for segment related information and significant customer concentrations.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this Form 10-K, “$” means U.S. dollars unless otherwise indicated.</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Trends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Our industry is composed of national, regional and local companies that provide services to customers in a range of industries. We believe the following industry trends affect demand for our services: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Opportunities in our Communications Segment</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Significant advances in technology and rapid innovation in service offerings to data consumers continue to increase demand for faster and more reliable wireless and wireline/fiber communications network services. The amount of network data traffic is experiencing significant and accelerating levels of growth from increased usage of mobile devices, advancements in the “Internet of Things (IoT)” and a significant increase in the use of mobile and remote technologies, an existing trend accelerated by the COVID-19 pandemic. Increased data usage is expected to significantly increase data traffic, resulting in the need for new and upgraded networks. Contributing to the increase in data usage are video and streaming technologies, ‘smart’ technologies, including ‘Smart City’ and ‘Smart Home’ applications, artificial intelligence and other advanced data services, including video surveillance, robotics, drones, digital health applications and autonomous vehicles, among others. Cisco Systems, Inc. (“Cisco”) predicts that broadband connection speeds in North America will more than double by 2023, from approximately 55 Mbps in 2018 to over 140 Mbps in 2023, according to its March 2020 Annual Internet Report, 2018-2023.</w:t>
      </w:r>
    </w:p>
    <w:p>
      <w:pPr>
        <w:spacing w:after="0" w:line="7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According to Deloitte &amp; Touche LLP’s (“Deloitte”) 2021 Outlook for the US Telecommunications, Media and Entertainment Industry publication, in 2020, US telecommunications networks were key in driving changes in how people live, work and learn amidst the COVID-19 pandemic, and helped to mitigate the pandemic’s negative effects by keeping people and communities connected. The publication predicts that telecommunications providers will serve as the bedrock for the ability of businesses to recover and thrive by continuing to enable new modes of communication. Telecommunications companies are projected to have an even larger role in shaping the future as next generation 5G wireless technology gains traction among both businesses and consumers. 5G, the next generation of wireless and fixed wireless network capacity, is expected to provide a platform for the IoT, which can be harnessed to drive innovation and improvements in commerce, transportation, supply chain, research, healthcare, education, public safety, the development of Smart Cities, Smart Homes and Smart Farming, among many other applications. 5G is expected to provide businesses with significant real-time visibility, insight and control over assets, products and services, with the potential to transform how businesses operate and deliver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 w:name="page6"/>
    <w:bookmarkEnd w:id="5"/>
    <w:p>
      <w:pPr>
        <w:jc w:val="both"/>
        <w:ind w:firstLine="599"/>
        <w:spacing w:after="0" w:line="247" w:lineRule="auto"/>
        <w:rPr>
          <w:sz w:val="20"/>
          <w:szCs w:val="20"/>
          <w:color w:val="auto"/>
        </w:rPr>
      </w:pPr>
      <w:r>
        <w:rPr>
          <w:rFonts w:ascii="Arial" w:cs="Arial" w:eastAsia="Arial" w:hAnsi="Arial"/>
          <w:sz w:val="15"/>
          <w:szCs w:val="15"/>
          <w:color w:val="auto"/>
        </w:rPr>
        <w:t>In response to these growing opportunities, communications service providers (“CSPs”) are expanding, densifying and optimizing current wireless and wireline/fiber communications network capacity, while initiating a build-out of 5G infrastructure. To achieve nationwide coverage levels, changes to the structure of the network architecture for 5G wireless communications will require a longer period of installation when compared to past generation changes in wireless infrastructure. In order to maintain performance standards as 5G is built-out, CSPs will need to undertake targeted strategic improvements to their 4G legacy networks by upgrading 4G core infrastructure alongside 5G deployment areas. Cisco, in its Annual Internet Report, predicts that 5G devices and connections will be over 10 percent of global mobile devices and connections by 2023. Large scale 5G deployments, which are expected over the next several years, will include additional and improved tower capacity, as well as deployment of numerous higher bandwidth small/micro cells, distributed antenna systems and fiber network expansion to densify network performance.</w:t>
      </w:r>
    </w:p>
    <w:p>
      <w:pPr>
        <w:spacing w:after="0" w:line="8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We believe that nationwide 5G tower deployments, including the impact of recently available C-band and mid-band spectrum, deployment of small/micro cells and fiber network expansion by major carriers in support of 5G will lead to significant demand for 5G telecommunications infrastructure over multiple years. A December 2020 report by Grand View Research indicated that the global 5G infrastructure market is expected to expand at a compound annual growth rate of almost 60% from 2020 to 2027, and a September 2020 publication by Boston Consulting Group projects that U.S. telecommunications companies will invest over $250 billion to build 5G networks from 2020-2025. In August 2020, the Federal Communications Commission’s (the “FCC”) initiatives to speed deployment of 5G technology in the United States through the Facilitate America’s Superiority in 5G Technology, or “FAST” Plan, were upheld by the U.S. Court of Appeals. The FAST Plan is designed to make more spectrum available to the market and encourage implementation of and investment in 5G technology across the United States by streamlining regulatory processes and updating infrastructure policies. Mid-band spectrum is considered to be ideal for 5G infrastructure, as it is viewed to provide the optimum mix of speed and coverage for 5G. The FCC has recently completed multiple auctions, and is expected to continue to have auctions to make mid-band spectrum available for 5G wireless, IoT and other advanced spectrum-based services.</w:t>
      </w:r>
    </w:p>
    <w:p>
      <w:pPr>
        <w:spacing w:after="0" w:line="7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Several initiatives designed to drive development of telecommunications and 5G infrastructure in rural areas are also underway. The Connect America Fund (“CAF”) program is designed to improve the quality and expand the availability of high-speed internet service in rural areas, and in January 2020, the FCC announced its Rural Digital Opportunity Fund (“RDOF”), which is a follow-up initiative to the CAF program. RDOF will make over $20 billion in funding available over the next 10 years to build and connect gigabit broadband speeds in unserved rural areas. Additionally, in October 2020, the FCC established the 5G Fund for Rural America, which will provide up to $9 billion in funding over the next decade to bring 5G wireless broadband connectivity to rural America. In addition, in November 2021, the Infrastructure Investment and Jobs Act (the “IIJ Act”) was signed into law, which provides for funding in many of the markets we serve, including approximately $65 billion to improve and expand the nation’s broadband infrastructure and to make broadband more affordable for low-income Americans.</w:t>
      </w:r>
    </w:p>
    <w:p>
      <w:pPr>
        <w:spacing w:after="0" w:line="8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The market for Smart City initiatives, in which cities use IoT technologies to collect and use insights gained from data to manage city assets, resources and services more efficiently, is a developing trend that is expected to accelerate due to the combination of increased data speeds and data capacity capabilities of wireless and wireline networks and developing IoT applications. To address the expected escalating demands for resources of so many residents living, working, driving and interacting with each other, cities are looking at ways to become ‘smarter’ and more efficient in responding to these needs, including through Smart City initiatives to address and improve traffic flow, public safety and energy efficiency. According to CTIA’s Smart Cities Playbook, smart lighting solutions have the potential to save more than $1 billion per year across the United States and smart traffic management systems have the potential to reduce congestion by 40% and save $100 million annually. Forbes Magazine in 2019 estimated that two-thirds of cities globally are investing in Smart City technologies, including such technologies as Wi-Fi kiosks, smart lighting solutions, utility meters, smart traffic management systems, video sensors, weather sensors, drone sensors for public safety efforts and radio frequency identification sensors in the pavement. According to Mordor Intelligence’s “Smart Cities Market - Growth, Trends, COVID-19 Impact and Forecasts (2022-2027),” the Smart Cities market was valued at approximately $740 billion in 2020 and is expected to grow at an estimated compound annual growth rate of approximately 18% from 2021 through 2026.</w:t>
      </w:r>
    </w:p>
    <w:p>
      <w:pPr>
        <w:spacing w:after="0" w:line="70"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Smart Home technologies represent a wide range of solutions for monitoring, controlling and automating functions in a home. These technologies are expected to benefit from the global rollout of 5G and improvements in Wi-Fi technologies, which are revolutionizing the delivery of IoT services. According to Mordor Intelligence’s Global Smart Home Market 2020-2025 report, the demand for smart home solutions is expected to increase significantly as consumers look to add smart home technologies such as connected cameras, video doorbells and security systems, lighting and energy management solutions and entertainment controls. Mordor Intelligence predicts that the Smart Home market will grow from approximately $80 billion in 2019 to approximately $224 billion in 2025. We believe that opportunities for installation and maintenance of both Smart City and Smart Home technologies will provide our install-to-the-home group opportunities for future growth, providing an offset to declining trends in subscribership for satellite TV.</w:t>
      </w:r>
    </w:p>
    <w:p>
      <w:pPr>
        <w:spacing w:after="0" w:line="6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We believe that we are well-positioned, as one of the largest providers of communications infrastructure services, to substantially benefit from the expected multi-year significant and broad opportunities in the telecommunications market as previously described.</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Opportunities in our Clean Energy and Infrastructure Segment</w:t>
      </w:r>
    </w:p>
    <w:p>
      <w:pPr>
        <w:spacing w:after="0" w:line="102"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Climate change initiatives and the desire to reduce carbon emissions continue to gain momentum, driving trends in the mix of fuel sources used in energy generation toward cleaner and more sustainable energy sources. According to Deloitte’s Industry Outlooks 2021: Power, Utilities &amp; Renewables report, businesses, states, cities and utilities have announced decarbonization plans, with many utilities and their customers announcing and accelerating plans to fully decarbonize over the next three decades. Demand for clean energy sources continues to grow, with renewables reporting rising levels of usage and capacity as well as declining costs. Potential new governmental and policy initiatives could drive even further growth in renewable energy infrastructure, and it is expected that the transition to a renewable energy economy will require rapid transformation of the power sector and significant investment. According to a January 2021 publication by BloombergNEF, global investment in low-carbon energy transition projects totaled $501 billion in 2020, with renewables totaling $304 billion of the total global 2020 investment, for which wind and solar were the primary drivers. The recently passed IIJ Act includes funding for renewable energy innovation and deployment. Included within the $65 billion allocated to power infrastructure and energy programs is funding for: fuels and technology investment, including various carbon initiatives;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15"/>
          <w:szCs w:val="15"/>
          <w:color w:val="auto"/>
        </w:rPr>
        <w:t>clean energy technology supply chains, including battery power initiatives; solar energy research and development; and the development and deployment of hydrogen from clean energy sources, among others.</w:t>
      </w:r>
    </w:p>
    <w:p>
      <w:pPr>
        <w:spacing w:after="0" w:line="6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3"/>
          <w:szCs w:val="13"/>
          <w:color w:val="auto"/>
        </w:rPr>
        <w:t>Growing corporate initiatives for smaller, standalone distributed generation facilities, together with regulatory and other policy initiatives at the federal, state and municipal levels, have spurred demand for clean energy production from sustainable power sources, including electrical power production from renewable sources such as wind, solar and biomass. Currently, almost 40 states, as well as the District of Columbia and four territories, have adopted renewable portfolio standards (“RPS”) or renewable energy goals, with five states updating or adopting new clean energy standards in 2021. States have created these standards to diversify their energy resources, promote domestic energy production and encourage economic development. According to Deloitte’s 2021 Renewable Energy Industry Outlook, rising state renewable portfolio standards, increasing levels of corporate and residential demand, and improving economic competitiveness of renewable sources continue to be key drivers for their growth, with potential future federal policy initiatives, mandates and stimulus providing additional growth drivers. Renewable energy policies have helped to drive the U.S. market for wind, solar and other renewable energy sources. According to BloombergNEF’s January 2021 publication, U.S. investment in renewable energy capacity approximated $49 billion in 2020. In addition, growing efforts to address electric grid resiliency are expected to drive growth in renewables, as utilities and their customers increasingly consider renewable microgrids combined with energy storage solutions to support critical facilities.</w:t>
      </w:r>
    </w:p>
    <w:p>
      <w:pPr>
        <w:spacing w:after="0" w:line="58"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4"/>
          <w:szCs w:val="14"/>
          <w:color w:val="auto"/>
        </w:rPr>
        <w:t>In 2020, renewable energy production experienced record-high levels of penetration. According to the July 2021 Monthly Energy Review by U.S. Energy Information Administration (the “EIA”), renewable sources generated a record number of kilowatt hours of electricity in 2020 in the United States, second only to natural gas. Wind, currently the most prevalent source of renewable electricity in the United States, grew 14% from 2020, and solar grew 26% from 2020 for utility-scale solar generation, and 19% for small-scale solar generation. The EIA noted in its January 2022 Short-Term Energy Outlook that one of the most significant shifts in the mix of U.S. electricity generation over the past 10 years has been the rapid expansion of renewable energy resources, especially solar and wind. The amount of solar power generating capacity operated by the U.S. electric power sector at the end of 2021 is 20 times more than it was at the end of 2011, and U.S. wind power capacity is more than twice what it was 10 years ago. In its January 2022 Short-Term Energy Outlook, the EIA forecasts that most of the growth in U.S. electricity generation in 2022 and 2023 will come from new renewable energy sources, and according to a January 2022 EIA article, solar is expected to account for nearly half of new additions in 2022. The Department of Energy’s (“DOE”) Annual Energy Outlook 2021 projects that renewable electric generating technologies, such as wind and solar, are expected to represent 60% of new capacity additions through 2050 due to a combination of declining capital costs, expected increases in state RPS targets and current and potential tax incentives. Renewable power generation is expected to contribute over 40% of U.S. power generation capacity by 2050, with solar and wind projected at 47% and 34%, respectively, of the total renewable power generation mix in 2050. Advancing technologies and improvements in cost and scalability of renewable energy projects are making these energy sources increasingly viable.</w:t>
      </w:r>
    </w:p>
    <w:p>
      <w:pPr>
        <w:spacing w:after="0" w:line="7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a result of the trends and factors discussed above, we expect a continuing increase in demand for construction of renewable infrastructure in the coming years. In addition, we believe that replacement and repowering of existing wind turbines and foundations with next generation, higher efficiency turbines, as well as maintenance of aging wind farms, will provide increased opportunities for wind infrastructure projects.</w:t>
      </w:r>
    </w:p>
    <w:p>
      <w:pPr>
        <w:spacing w:after="0" w:line="74"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believe that industrial plant construction opportunities exist in a wide variety of industries, including in the renewable energy industry, as power companies explore ways to reduce their carbon footprint. We expect that the need for baseload backup power generation, coupled with the relative low price and environmental advantage of cleaner burning natural gas will continue to drive demand for gas-fired electrical generating plants and conversions of coal-fired power plants to natural gas. According to the EIA’s January 2022 Short-Term Energy Outlook, another significant shift in the mix of U.S. electricity generation has been a steady decline in the use of coal-fired power plants since their peak output in 2007 and the increasing use of natural gas. A wide variety of industries may seek to expand, convert or construct new plants to take advantage of this economical, cleaner, lower cost and lower carbon fuel source. Biofuel and biomass as alternative fuel sources also present opportunities for the renewable energy market. Industrial facilities and power plants in the biofuels/biomass, food processing, natural gas and related industries present opportunities as additional domestic energy reserves are produced, transported and processed.</w:t>
      </w:r>
    </w:p>
    <w:p>
      <w:pPr>
        <w:spacing w:after="0" w:line="70"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also provide heavy civil infrastructure construction services, including the construction and maintenance of buildings, roads, bridges, water/sewer systems and other civil infrastructure. We believe that initiatives to upgrade and replace aging infrastructure, along with potential governmental stimulus programs and other policy incentives, will lead to increased investment and future growth opportunities in this area. The IIJ Act includes approximately $110 billion of funding for roads and bridges, including $40 billion of funding for bridge repair, replacement and rehabilitation and $16 billion of funding for other major infrastructure projects, as well as approximately $50 billion of funding for water infrastructure, including for weatherization efforts to reduce the impact of climate change and to protect against droughts and floods.</w:t>
      </w:r>
    </w:p>
    <w:p>
      <w:pPr>
        <w:spacing w:after="0" w:line="7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We are one of the leading renewables contractors in North America, with expertise in wind, solar and biomass, as well as construction of industrial and other power plants and heavy civil infrastructure, and we expect to benefit from market trends in these industries.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Opportunities in our Power Delivery Segment</w:t>
      </w:r>
    </w:p>
    <w:p>
      <w:pPr>
        <w:spacing w:after="0" w:line="102"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The U.S. electrical transmission and distribution infrastructure (the “grid”) is composed of a network of electric generating facilities, high voltage transmission lines, substations and distribution lines that bring power to homes and businesses. The grid will continue to require significant ongoing maintenance, upgrade and expansion to continue delivery of reliable and affordable power. This will include strengthening aging infrastructure, addressing future grid resiliency and modernization efforts (“Smart Grid”) and adapting to changing energy supply, population shifts and distribution requirements, including the impact of the shift toward electric vehicle technologies. According to a June 2021 IBIS World report, U.S. industry revenue for construction and repair work on electric power transmission infrastructure is projected to approximate $43.5 billion in 2021. We expect future growth in electric transmission and distribution infrastructure from projects to digitize, modernize, harden and secure the grid against increasing levels of disruption from natural and man-made disasters, including extreme weather events, wildfires and potential cyber-attacks, as well as to address changing energy supply requirements and grid reliability. The IIJ Act includes approximately $65 billion for upgrades to power infrastructure, research and development of transmission and electricity distribution technologies and smart grid technologies. The funding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 w:name="page8"/>
    <w:bookmarkEnd w:id="7"/>
    <w:p>
      <w:pPr>
        <w:jc w:val="both"/>
        <w:spacing w:after="0" w:line="266" w:lineRule="auto"/>
        <w:rPr>
          <w:sz w:val="20"/>
          <w:szCs w:val="20"/>
          <w:color w:val="auto"/>
        </w:rPr>
      </w:pPr>
      <w:r>
        <w:rPr>
          <w:rFonts w:ascii="Arial" w:cs="Arial" w:eastAsia="Arial" w:hAnsi="Arial"/>
          <w:sz w:val="15"/>
          <w:szCs w:val="15"/>
          <w:color w:val="auto"/>
        </w:rPr>
        <w:t>is focused on grid reliability and security, renewable energy innovation and deployment, and ensuring supply chains critical for energy innovation. The IIJ Act also includes $7.5 billion for investment in a national network of electric vehicle chargers.</w:t>
      </w:r>
    </w:p>
    <w:p>
      <w:pPr>
        <w:spacing w:after="0" w:line="67"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3"/>
          <w:szCs w:val="13"/>
          <w:color w:val="auto"/>
        </w:rPr>
        <w:t>Clean energy production trends are expected to lead to increased investment in electric infrastructure, with a changing fuel mix that is moving toward cleaner and more sustainable energy sources, such as natural gas and renewables. Deloitte’s 2021 Power and Utilities Industry Outlook reported intermittent record-high levels of renewable energy production in 2020. Additionally, the report indicated that many utilities and their customers announced plans to fully decarbonize over the next three decades. These trends, along with potential changes in governmental policy toward national net zero carbon emission targets, are expected to drive significant future investment in electric infrastructure. According to the DOE’s Annual Energy Outlook 2021, the percentage of U.S. electricity generated by renewable sources is expected to double to over 40% by 2050. Renewable electric generating technologies are expected to represent 60% of new capacity additions through 2050, with the balance coming almost entirely from natural gas. The expected growth in electrical power generation from renewable energy sources will require significant investment in transmission lines, as wind, solar and other renewable power generation resources are typically located in remote areas of the country, far from industrial users and major population centers. Growth in electrical power generation from renewable sources in the U.S. will also require grid updates to provide for storage of electricity from renewable energy sources and capabilities that can accommodate supply and demand for these new energy sources.</w:t>
      </w:r>
    </w:p>
    <w:p>
      <w:pPr>
        <w:spacing w:after="0" w:line="58"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color w:val="auto"/>
        </w:rPr>
        <w:t>Future demand for electrical transmission and distribution infrastructure is also expected to result from ‘Smart Utility’ initiatives, which seek to address growing populations, environmental goals and the need to optimize resources, as well as electric vehicles, as consumers and automakers increasingly shift toward electric vehicle technologies.</w:t>
      </w:r>
    </w:p>
    <w:p>
      <w:pPr>
        <w:spacing w:after="0" w:line="43"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According to the DOE’s Annual Energy Outlook 2021, approximately 760 net gigawatts of new electricity generating capacity are expected to be added in the U.S. through 2050, requiring significant investment in transmission and distribution by electric utility companies. We believe significant capital investment in the transmission and distribution system will continue to be required to meet the above-mentioned needs, and that we are well-positioned to benefit from these trends.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Opportunities in our Oil and Gas Segment</w:t>
      </w:r>
    </w:p>
    <w:p>
      <w:pPr>
        <w:spacing w:after="0" w:line="10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We are one of the largest pipeline contractors in North America, with a balanced portfolio of service offerings, including union and non-union services. Our pipeline offerings include the construction and maintenance of large diameter (“long-haul”) pipeline, midstream pipeline, gathering lines and related compressor, pumping stations and treatment plants, as well as gas utility distribution services and pipeline integrity maintenance, including replacement and rehabilitation of aging infrastructure.</w:t>
      </w:r>
    </w:p>
    <w:p>
      <w:pPr>
        <w:spacing w:after="0" w:line="59"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Disruptions in economic activity and regulatory actions have reduced overall demand and U.S. production of fossil energy products, negatively affecting demand for oil, natural gas and product pipeline construction activity. While we expect that energy consumption, demand and U.S. production will increase in the future based on current commodity prices and economic activity, the related cost, time and complexity of pipeline construction projects has increased due to the impact of regulatory, judicial and environmental challenges and governmental actions. The effect that these trends may have on future pipeline project awards, or the timing of future project work, is uncertain.</w:t>
      </w:r>
    </w:p>
    <w:p>
      <w:pPr>
        <w:spacing w:after="0" w:line="64"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We expect that natural gas power generation will remain a fuel of choice for both primary power generation and baseload backup power generation to support intermittent clean energy sources, and that this trend will drive the growth of natural gas as a source of base load lower-carbon power generation, both in the U.S. and abroad. We believe that trends in natural gas power generation will require continued construction of pipeline infrastructure to provide fuel safely and efficiently to these facilities. In addition, demand for liquified natural gas (“LNG”) exports has risen in recent years. This trend is expected to drive construction of pipeline infrastructure for the transport of LNG to coastal export facilities in North America. Additionally, we believe that gas utility distribution spending for replacement and rehabilitation of aging infrastructure will accelerate over the next several years due to regulatory, sustainability and safety concerns. Similarly, we expect that aging pipeline infrastructure will increasingly require replacement lines and pipeline integrity services as our customers look to enhance the safety, productivity and lives of existing infrastructure. In addition, developing trends in decarbonization and carbon emission reductions are expected to create demand for carbon capture technologies. Pipeline infrastructure is expected to play a key role in this transformation and we believe that we are well positioned to support these developing market trends. The recently passed IIJ Act includes funding for carbon initiatives, including for carbon capture technologies.</w:t>
      </w:r>
    </w:p>
    <w:p>
      <w:pPr>
        <w:spacing w:after="0" w:line="73"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We believe that the above-mentioned trends will support continued levels of future project activity across multiple service offerings we provide and that we are well-positioned to benefit from these trends.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Competitive Strengths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competitive strengths include:</w:t>
      </w:r>
    </w:p>
    <w:p>
      <w:pPr>
        <w:spacing w:after="0" w:line="98" w:lineRule="exact"/>
        <w:rPr>
          <w:sz w:val="20"/>
          <w:szCs w:val="20"/>
          <w:color w:val="auto"/>
        </w:rPr>
      </w:pPr>
    </w:p>
    <w:p>
      <w:pPr>
        <w:jc w:val="both"/>
        <w:ind w:firstLine="599"/>
        <w:spacing w:after="0" w:line="257" w:lineRule="auto"/>
        <w:rPr>
          <w:sz w:val="20"/>
          <w:szCs w:val="20"/>
          <w:color w:val="auto"/>
        </w:rPr>
      </w:pPr>
      <w:r>
        <w:rPr>
          <w:rFonts w:ascii="Arial" w:cs="Arial" w:eastAsia="Arial" w:hAnsi="Arial"/>
          <w:sz w:val="15"/>
          <w:szCs w:val="15"/>
          <w:b w:val="1"/>
          <w:bCs w:val="1"/>
          <w:i w:val="1"/>
          <w:iCs w:val="1"/>
          <w:color w:val="auto"/>
        </w:rPr>
        <w:t>Diverse Customer Relationships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serve a diversified customer and industry base. Our customers include some of the largest communications, utility and power companies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North America, among others. We have longstanding relationships and have developed strong alliances with many of our customers, and we strive to maintain these customer relationships and our status as a preferred vendor to our customers.</w:t>
      </w:r>
    </w:p>
    <w:p>
      <w:pPr>
        <w:spacing w:after="0" w:line="74"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b w:val="1"/>
          <w:bCs w:val="1"/>
          <w:i w:val="1"/>
          <w:iCs w:val="1"/>
          <w:color w:val="auto"/>
        </w:rPr>
        <w:t>Reputation for Reliable Customer Service and Technical Expertise</w:t>
      </w:r>
      <w:r>
        <w:rPr>
          <w:rFonts w:ascii="Arial" w:cs="Arial" w:eastAsia="Arial" w:hAnsi="Arial"/>
          <w:sz w:val="14"/>
          <w:szCs w:val="14"/>
          <w:color w:val="auto"/>
        </w:rPr>
        <w:t>. We have established a reputation for quality customer service and technical expertise. Our reputation gives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an advantage when competing for new work, both from existing and potential customers. In addition, we have broad capabilities and expertise in a wide variety of service offerings, including wireless, wireline/fiber and customer fulfillment activities, clean energy power generation, electrical utility, pipeline, heavy civil and industrial infrastructure.</w:t>
      </w:r>
    </w:p>
    <w:p>
      <w:pPr>
        <w:spacing w:after="0" w:line="55" w:lineRule="exact"/>
        <w:rPr>
          <w:sz w:val="20"/>
          <w:szCs w:val="20"/>
          <w:color w:val="auto"/>
        </w:rPr>
      </w:pPr>
    </w:p>
    <w:p>
      <w:pPr>
        <w:jc w:val="both"/>
        <w:ind w:firstLine="599"/>
        <w:spacing w:after="0" w:line="276" w:lineRule="auto"/>
        <w:rPr>
          <w:sz w:val="20"/>
          <w:szCs w:val="20"/>
          <w:color w:val="auto"/>
        </w:rPr>
      </w:pPr>
      <w:r>
        <w:rPr>
          <w:rFonts w:ascii="Arial" w:cs="Arial" w:eastAsia="Arial" w:hAnsi="Arial"/>
          <w:sz w:val="14"/>
          <w:szCs w:val="14"/>
          <w:b w:val="1"/>
          <w:bCs w:val="1"/>
          <w:i w:val="1"/>
          <w:iCs w:val="1"/>
          <w:color w:val="auto"/>
        </w:rPr>
        <w:t>North American Footprint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our predecessor companies, we have been in business for over 90 years and are one of the largest infrastructure construction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in North America operating primarily in the United States and Canada, with approximately 590 locations. For the twelve month period ended December 31, 2021, we had an average of 25,000 employees, and as of December 31, 2021, we had approximately 27,000 employees. We offer comprehensive end-to-end infrastructure services to our customers and believe that our experience, technical expertise, geographic reach, financial resources and size are important to our customers.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 w:name="page9"/>
    <w:bookmarkEnd w:id="8"/>
    <w:p>
      <w:pPr>
        <w:jc w:val="both"/>
        <w:ind w:firstLine="599"/>
        <w:spacing w:after="0" w:line="276" w:lineRule="auto"/>
        <w:rPr>
          <w:sz w:val="20"/>
          <w:szCs w:val="20"/>
          <w:color w:val="auto"/>
        </w:rPr>
      </w:pPr>
      <w:r>
        <w:rPr>
          <w:rFonts w:ascii="Arial" w:cs="Arial" w:eastAsia="Arial" w:hAnsi="Arial"/>
          <w:sz w:val="14"/>
          <w:szCs w:val="14"/>
          <w:b w:val="1"/>
          <w:bCs w:val="1"/>
          <w:i w:val="1"/>
          <w:iCs w:val="1"/>
          <w:color w:val="auto"/>
        </w:rPr>
        <w:t>Ability to Respond Quickly and Effectively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skills required to serve our end-markets are similar, which allows us to utilize qualified personnel across multiple end-markets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projects. We are able to respond quickly and effectively to industry and technological changes, demand and major weather events by allocating our employees, fleet and other assets as and where they are needed, enabling us to provide cost-effective and timely services for our customers. We have demonstrated that we have the ability and resources required to handle large and complex projects, and our geographic reach, scalability and financial stability enable us to meet our customers’ changing needs.</w:t>
      </w:r>
    </w:p>
    <w:p>
      <w:pPr>
        <w:spacing w:after="0" w:line="58"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5"/>
          <w:szCs w:val="15"/>
          <w:b w:val="1"/>
          <w:bCs w:val="1"/>
          <w:i w:val="1"/>
          <w:iCs w:val="1"/>
          <w:color w:val="auto"/>
        </w:rPr>
        <w:t>Experienced Management Team</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management team plays a significant role in establishing and maintaining long-term relationships with our customers, supporting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Sustainability</w:t>
      </w:r>
    </w:p>
    <w:p>
      <w:pPr>
        <w:spacing w:after="0" w:line="10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As a leading infrastructure construction services provider, we are committed to conducting our operations in a safe, diverse and socially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all our stakeholders. We strive to achieve these goals through an organizational structure that provides excellent service delivery; establishes a reputation of integrity within the communities in which we work; and provides our team members growth opportunities in a diverse, inclusive and injury-free environment.</w:t>
      </w:r>
    </w:p>
    <w:p>
      <w:pPr>
        <w:spacing w:after="0" w:line="83"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b w:val="1"/>
          <w:bCs w:val="1"/>
          <w:i w:val="1"/>
          <w:iCs w:val="1"/>
          <w:color w:val="auto"/>
        </w:rPr>
        <w:t>Sustainability Governance</w:t>
      </w:r>
      <w:r>
        <w:rPr>
          <w:rFonts w:ascii="Arial" w:cs="Arial" w:eastAsia="Arial" w:hAnsi="Arial"/>
          <w:sz w:val="14"/>
          <w:szCs w:val="14"/>
          <w:color w:val="auto"/>
        </w:rPr>
        <w:t>. We believe that sustainability is central to our mission and success. The Nominating, Sustainability and Corporate Governance Committee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Board of Directors has oversight of sustainability matters for MasTec, including overseeing and periodically reviewing MasTec’s integration of corporate responsibility and sustainability, including environmental, social and governance principles and climate-related issues into our business strategy and decision-making processes.</w:t>
      </w:r>
    </w:p>
    <w:p>
      <w:pPr>
        <w:spacing w:after="0" w:line="59"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Our sustainability reporting is guided by the concepts and disclosures under the Sustainability Accounting Standards Board (“SASB”) for the Engineering and Construction Services Industry and the Task Force on Climate-Related Disclosures (“TCFD”). We are working to develop our processes and reporting for sustainability-related matters. Our Sustainability Report, including our SASB and TCFD reference tables, along with our Nominating, Sustainability and Corporate Governance Board Committee charter and our policies on Human and Labor Rights and Safety, Health and Environmental matters can be found on our website at https://investors.mastec.com. No reference to our website or our website address in this report constitutes incorporation by reference of the information contained on the website and such information is not part of this report.</w:t>
      </w:r>
    </w:p>
    <w:p>
      <w:pPr>
        <w:spacing w:after="0" w:line="65"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b w:val="1"/>
          <w:bCs w:val="1"/>
          <w:i w:val="1"/>
          <w:iCs w:val="1"/>
          <w:color w:val="auto"/>
        </w:rPr>
        <w:t>Stakeholder Engagement</w:t>
      </w:r>
      <w:r>
        <w:rPr>
          <w:rFonts w:ascii="Arial" w:cs="Arial" w:eastAsia="Arial" w:hAnsi="Arial"/>
          <w:sz w:val="13"/>
          <w:szCs w:val="13"/>
          <w:color w:val="auto"/>
        </w:rPr>
        <w:t>. Stakeholder engagement is a key element of our sustainability efforts and communications. We regularly engage with our investors, employees,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subcontractors, suppliers and communities to understand the priority sustainability issues for our business. The feedback we receive from these engagement efforts informs our understanding of the issues most significant to our stakeholders. We seek to monitor these issues and effectively communicate with our stakeholders to strengthen these relationships.</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Investing in a Sustainable Future</w:t>
      </w:r>
    </w:p>
    <w:p>
      <w:pPr>
        <w:spacing w:after="0" w:line="10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Investment in sustainable business opportunities is a key component of our business strategy for future growth. Through the construction services we provide, we help to modernize, connect and make our communities safer and more sustainable while helping to build our nation’s infrastructure, including the development and expansion of our nation’s clean energy footprint and the transformation of our electrical grid and pipeline infrastructure. The telecommunications and install-to-the home services we provide are also expected to play a key role in expanding connectivity to and within homes and communities, including in rural areas, facilitating the transformation to an inclusive and sustainable future. We are committed to working together with our customers to upgrade our nation’s infrastructure – to build better, stronger and more versatile infrastructure to meet the opportunities and challenges of our nation’s future.</w:t>
      </w:r>
    </w:p>
    <w:p>
      <w:pPr>
        <w:spacing w:after="0" w:line="8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b w:val="1"/>
          <w:bCs w:val="1"/>
          <w:i w:val="1"/>
          <w:iCs w:val="1"/>
          <w:color w:val="auto"/>
        </w:rPr>
        <w:t>Clean Energy Infrastructure</w:t>
      </w:r>
      <w:r>
        <w:rPr>
          <w:rFonts w:ascii="Arial" w:cs="Arial" w:eastAsia="Arial" w:hAnsi="Arial"/>
          <w:sz w:val="15"/>
          <w:szCs w:val="15"/>
          <w:color w:val="auto"/>
        </w:rPr>
        <w:t>. As a leading North American clean energy contractor, we are committed to working with our customers to advance the transition to a lower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carbon economy. Our clean energy and infrastructure group provides engineering, procurement and construction services and project management solutions to the power market, with services across wind, solar, biofuels, waste-to-energy (WtE) and biogas, cogeneration or combined heat and power projects, gas and hydrogen-fired power projects and battery storage. We continue to invest in our clean energy and infrastructure group, which has grown significantly from $300 million in revenue for 2017 to approximately $1.9 billion in revenue for the year ended December 31, 2021. As interest in climate change solutions continues to increase, including decarbonization of power generation, we anticipate expanding growth opportunities in our clean energy and infrastructure group. Given these trends, we anticipate that our clean energy and infrastructure group will continue to significantly expand and approach 30% of our total revenue over the next several years.</w:t>
      </w:r>
    </w:p>
    <w:p>
      <w:pPr>
        <w:spacing w:after="0" w:line="77" w:lineRule="exact"/>
        <w:rPr>
          <w:sz w:val="20"/>
          <w:szCs w:val="20"/>
          <w:color w:val="auto"/>
        </w:rPr>
      </w:pPr>
    </w:p>
    <w:p>
      <w:pPr>
        <w:jc w:val="both"/>
        <w:ind w:firstLine="599"/>
        <w:spacing w:after="0" w:line="294" w:lineRule="auto"/>
        <w:rPr>
          <w:sz w:val="20"/>
          <w:szCs w:val="20"/>
          <w:color w:val="auto"/>
        </w:rPr>
      </w:pPr>
      <w:r>
        <w:rPr>
          <w:rFonts w:ascii="Arial" w:cs="Arial" w:eastAsia="Arial" w:hAnsi="Arial"/>
          <w:sz w:val="13"/>
          <w:szCs w:val="13"/>
          <w:b w:val="1"/>
          <w:bCs w:val="1"/>
          <w:i w:val="1"/>
          <w:iCs w:val="1"/>
          <w:color w:val="auto"/>
        </w:rPr>
        <w:t>Power delivery infrastructure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believe the nation’s electrical transmission and distribution grid infrastructure will require significant capital investment to support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transition to low-carbon renewable power sources and the broader adoption of electric vehicles. We build infrastructure that connects our nation’s power generation sources to consumers, including infrastructure solutions that link remotely located renewable electric generation capacity to energy consumers and provide access to new renewable and efficient natural gas generation sources. We also work with our customers to design and build innovative, smart energy solutions, including for the modernization of overstressed sections of the electric grid with insufficient capacity, and to upgrade aging electric infrastructure. Our projects improve the performance, safety, resiliency and efficiency of the nation’s electrical grid and advance the goal of modern, smart energy solutions for our nation’s future that will contribute to the diversification of power generation sources in the future.</w:t>
      </w:r>
    </w:p>
    <w:p>
      <w:pPr>
        <w:spacing w:after="0" w:line="50" w:lineRule="exact"/>
        <w:rPr>
          <w:sz w:val="20"/>
          <w:szCs w:val="20"/>
          <w:color w:val="auto"/>
        </w:rPr>
      </w:pPr>
    </w:p>
    <w:p>
      <w:pPr>
        <w:jc w:val="both"/>
        <w:ind w:firstLine="599"/>
        <w:spacing w:after="0" w:line="257" w:lineRule="auto"/>
        <w:rPr>
          <w:sz w:val="20"/>
          <w:szCs w:val="20"/>
          <w:color w:val="auto"/>
        </w:rPr>
      </w:pPr>
      <w:r>
        <w:rPr>
          <w:rFonts w:ascii="Arial" w:cs="Arial" w:eastAsia="Arial" w:hAnsi="Arial"/>
          <w:sz w:val="15"/>
          <w:szCs w:val="15"/>
          <w:b w:val="1"/>
          <w:bCs w:val="1"/>
          <w:i w:val="1"/>
          <w:iCs w:val="1"/>
          <w:color w:val="auto"/>
        </w:rPr>
        <w:t>Telecommunications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build wireless and wireline/fiber infrastructure that connects communities and improves communications infrastructure across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nation. The COVID-19 pandemic has accelerated demand for wireline and wireless infrastructure to support telecommuting and tele-learning activities, among others. Technological advances that improve speed, connectivity and bandwidth across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 w:name="page10"/>
    <w:bookmarkEnd w:id="9"/>
    <w:p>
      <w:pPr>
        <w:jc w:val="both"/>
        <w:spacing w:after="0" w:line="236" w:lineRule="auto"/>
        <w:rPr>
          <w:sz w:val="20"/>
          <w:szCs w:val="20"/>
          <w:color w:val="auto"/>
        </w:rPr>
      </w:pPr>
      <w:r>
        <w:rPr>
          <w:rFonts w:ascii="Arial" w:cs="Arial" w:eastAsia="Arial" w:hAnsi="Arial"/>
          <w:sz w:val="15"/>
          <w:szCs w:val="15"/>
          <w:color w:val="auto"/>
        </w:rPr>
        <w:t>our nation, including in dense urban areas and in rural communities, are expected to serve as the foundation for transformative technological innovations, including ‘Smart City’ and urbanization projects and advances in connected technologies. The faster speeds and reduced latency associated with 5G is forecast to serve as the foundation for transformative technological innovations, such as connected cars, robotics, telematics, healthcare, industrial applications and entertainment, which have the potential to improve living standards across all communities as well as to reduce our nation’s carbon footprint. We are participating in the buildout of this 5G telecommunications infrastructure, helping to revolutionize our nation’s telecommunications technologies. We are also proud to have participated in the buildout and expansion of FirstNet</w:t>
      </w:r>
      <w:r>
        <w:rPr>
          <w:rFonts w:ascii="Arial" w:cs="Arial" w:eastAsia="Arial" w:hAnsi="Arial"/>
          <w:sz w:val="19"/>
          <w:szCs w:val="19"/>
          <w:color w:val="auto"/>
          <w:vertAlign w:val="superscript"/>
        </w:rPr>
        <w:t>TM</w:t>
      </w:r>
      <w:r>
        <w:rPr>
          <w:rFonts w:ascii="Arial" w:cs="Arial" w:eastAsia="Arial" w:hAnsi="Arial"/>
          <w:sz w:val="15"/>
          <w:szCs w:val="15"/>
          <w:color w:val="auto"/>
        </w:rPr>
        <w:t>, the nation’s first wireless official public safety network for first responders.</w:t>
      </w:r>
    </w:p>
    <w:p>
      <w:pPr>
        <w:spacing w:after="0" w:line="8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i w:val="1"/>
          <w:iCs w:val="1"/>
          <w:color w:val="auto"/>
        </w:rPr>
        <w:t>Energy pipeline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pipeline integrity and line maintenance promote environmental and public safety, including methane reduction initiatives, while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enhancing the safety, productivity and useful lives of our customers’ assets. Pipeline infrastructure also provides a lower carbon emission and environmentally safer transportation alternative for oil and gas products versus truck and rail transport. A study published by the National Bureau of Economic Research found that the air pollution and greenhouse gas effects of shipping crude oil by rail are nearly twice as large as those for oil pipelines. Additionally, our natural gas pipeline construction services help our customers access and distribute cleaner burning natural gas throughout the United States, assisting in the transition from high carbon emission electricity sources to natural gas as a cleaner burning and lower carbon emission fuel source.</w:t>
      </w:r>
    </w:p>
    <w:p>
      <w:pPr>
        <w:spacing w:after="0" w:line="75" w:lineRule="exact"/>
        <w:rPr>
          <w:sz w:val="20"/>
          <w:szCs w:val="20"/>
          <w:color w:val="auto"/>
        </w:rPr>
      </w:pPr>
    </w:p>
    <w:p>
      <w:pPr>
        <w:jc w:val="both"/>
        <w:ind w:firstLine="599"/>
        <w:spacing w:after="0" w:line="257" w:lineRule="auto"/>
        <w:rPr>
          <w:sz w:val="20"/>
          <w:szCs w:val="20"/>
          <w:color w:val="auto"/>
        </w:rPr>
      </w:pPr>
      <w:r>
        <w:rPr>
          <w:rFonts w:ascii="Arial" w:cs="Arial" w:eastAsia="Arial" w:hAnsi="Arial"/>
          <w:sz w:val="15"/>
          <w:szCs w:val="15"/>
          <w:b w:val="1"/>
          <w:bCs w:val="1"/>
          <w:i w:val="1"/>
          <w:iCs w:val="1"/>
          <w:color w:val="auto"/>
        </w:rPr>
        <w:t>Water pipelines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water pipeline services increase the efficiency of water used in energy field operations in an environmentally focused manner. We build expansive water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pipeline gathering networks, which allow for the recycling of water, thereby reducing freshwater requirements as well as the amount of water disposed. Additionally, the use of water pipelines reduces the need for trucking, which saves time, money and reduces pollution and carbon emissions.</w:t>
      </w:r>
    </w:p>
    <w:p>
      <w:pPr>
        <w:spacing w:after="0" w:line="74"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b w:val="1"/>
          <w:bCs w:val="1"/>
          <w:i w:val="1"/>
          <w:iCs w:val="1"/>
          <w:color w:val="auto"/>
        </w:rPr>
        <w:t xml:space="preserve">Carbon initiatives. </w:t>
      </w:r>
      <w:r>
        <w:rPr>
          <w:rFonts w:ascii="Arial" w:cs="Arial" w:eastAsia="Arial" w:hAnsi="Arial"/>
          <w:sz w:val="15"/>
          <w:szCs w:val="15"/>
          <w:color w:val="auto"/>
        </w:rPr>
        <w:t>Developing trends in decarbonization and carbon emission reductions are expected to create demand for carbon capture technologies, biofuel generation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electricity generation utilizing environmentally-friendly hydrogen fuel. Pipeline infrastructure is expected to play a key role in this transformation and we believe that we are well positioned to support these developing market trends.</w:t>
      </w:r>
    </w:p>
    <w:p>
      <w:pPr>
        <w:spacing w:after="0" w:line="74"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b w:val="1"/>
          <w:bCs w:val="1"/>
          <w:i w:val="1"/>
          <w:iCs w:val="1"/>
          <w:color w:val="auto"/>
        </w:rPr>
        <w:t>Emergency restoration services</w:t>
      </w:r>
      <w:r>
        <w:rPr>
          <w:rFonts w:ascii="Arial" w:cs="Arial" w:eastAsia="Arial" w:hAnsi="Arial"/>
          <w:sz w:val="13"/>
          <w:szCs w:val="13"/>
          <w:color w:val="auto"/>
        </w:rPr>
        <w:t>. The increased frequency and severity of weather and climate-related events, including hurricanes, wildfires and ice storms, exacerbated in part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climate change, have created a greater need for power and telecommunications reliability and restoration services. Following the occurrence of storms and other natural disasters, our dedicated crews are quickly on-site, helping to restore power, landline and cellular services in affected areas. Our power delivery crews are also involved in preventative and restoration efforts for wildfire-related events. Our crews are among those that are called upon to maintain and patrol electrical lines during high-risk periods, such as in periods of drought, high wind and extreme temperatures, so that power lines can be proactively and safely managed, as well as to assist with restoration efforts following wildfire events. MasTec is proud to work with and support communities affected by natural disasters, including repair and modernization efforts for telecommunications and electric grid infrastructure.</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Environmental Stewardship</w:t>
      </w:r>
    </w:p>
    <w:p>
      <w:pPr>
        <w:spacing w:after="0" w:line="106"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matters are an integral part of our business planning and decision-making processes. We believe in sustainable development and are committed to integrating biodiversity preservation principles into our operational practices. Our corporate policies and Code of Business Conduct and Ethics require that all applicable environmental regulations and compliance requirements are met in the course of our operations. Our planning processes incorporate procedures to ensure compliance with all such laws and regulations.</w:t>
      </w:r>
    </w:p>
    <w:p>
      <w:pPr>
        <w:spacing w:after="0" w:line="52"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b w:val="1"/>
          <w:bCs w:val="1"/>
          <w:i w:val="1"/>
          <w:iCs w:val="1"/>
          <w:color w:val="auto"/>
        </w:rPr>
        <w:t>Climate change mitigation and environmental initiatives</w:t>
      </w:r>
      <w:r>
        <w:rPr>
          <w:rFonts w:ascii="Arial" w:cs="Arial" w:eastAsia="Arial" w:hAnsi="Arial"/>
          <w:sz w:val="13"/>
          <w:szCs w:val="13"/>
          <w:color w:val="auto"/>
        </w:rPr>
        <w:t>. We are committed to minimizing the effects of our operations on the climate and the environment and endeavor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reduce our carbon footprint, energy usage and greenhouse gas emissions. We seek to foster conservation and environmental awareness within our operations, and we endeavor to identify and incorporate energy, carbon and water efficiency considerations into our project planning and execution. We understand the importance of tracking and managing climate-related matters, including greenhouse gas emissions. We are evaluating processes that will enable us to measure and manage our climate-related risks and opportunities on an enterprise-wide basis. We have implemented GPS, smart idling and other advanced technologies in approximately 75% of our vehicle fleet operations to improve fleet efficiency, fuel consumption and safety. Additionally, certain of our operations have invested in equipment containing advanced emissions reduction technologies, helping to reduce our carbon footprint.</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Community and Social Matters</w:t>
      </w:r>
    </w:p>
    <w:p>
      <w:pPr>
        <w:spacing w:after="0" w:line="10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 disaster relief efforts for communities affected by hurricanes, flooding and similar events. We also have an unwavering commitment to our team members in times of need. In addition to community outreach programs, we seek to develop strong relationships with our local communities, businesses, subcontractors and suppliers, and we have been recognized for our efforts in community and outreach programs by various organizations.</w:t>
      </w:r>
    </w:p>
    <w:p>
      <w:pPr>
        <w:spacing w:after="0" w:line="65"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We place a significant priority on respectful collaboration with our local communities, including indigenous communities, and we utilize indigenous community subcontractors and suppliers within our operations. We support our local communities by utilizing local businesses for goods and services, including for project crews and office operations, and we are active members of our local chambers of commerce and economic development organizations. Our community outreach programs include programs tailored to military veterans, who represent approximately 3% of our workforce.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 w:name="page11"/>
    <w:bookmarkEnd w:id="10"/>
    <w:p>
      <w:pPr>
        <w:ind w:left="300"/>
        <w:spacing w:after="0"/>
        <w:rPr>
          <w:sz w:val="20"/>
          <w:szCs w:val="20"/>
          <w:color w:val="auto"/>
        </w:rPr>
      </w:pPr>
      <w:r>
        <w:rPr>
          <w:rFonts w:ascii="Arial" w:cs="Arial" w:eastAsia="Arial" w:hAnsi="Arial"/>
          <w:sz w:val="15"/>
          <w:szCs w:val="15"/>
          <w:b w:val="1"/>
          <w:bCs w:val="1"/>
          <w:color w:val="auto"/>
        </w:rPr>
        <w:t>Leadership and Governance</w:t>
      </w:r>
    </w:p>
    <w:p>
      <w:pPr>
        <w:spacing w:after="0" w:line="106"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 Among the ethical matters addressed in our Code of Business Conduct and Ethics are our policies on discrimination and harassment, ethical and fair business practices and compliance with insider trading policies, anti-bribery and anti-corruption guidelines and the Foreign Corrupt Practices Act. Training programs related to governance matters are routinely provided at intervals based on an employee’s position and responsibilities. We also expect our subcontractors and suppliers to maintain proper business conduct and ethics protocols.</w:t>
      </w:r>
    </w:p>
    <w:p>
      <w:pPr>
        <w:spacing w:after="0" w:line="54"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i w:val="1"/>
          <w:iCs w:val="1"/>
          <w:color w:val="auto"/>
        </w:rPr>
        <w:t>Governance Principles and Shareholder Alignment</w:t>
      </w:r>
      <w:r>
        <w:rPr>
          <w:rFonts w:ascii="Arial" w:cs="Arial" w:eastAsia="Arial" w:hAnsi="Arial"/>
          <w:sz w:val="15"/>
          <w:szCs w:val="15"/>
          <w:color w:val="auto"/>
        </w:rPr>
        <w:t>. We seek to align the interests of our Board of Directors and management with those of our shareholders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stakeholders, and we believe that an independent, well-diversified Board is an essential attribute of effective Board governance. Diverse backgrounds are integral to effective governance, risk management and business opportunity assessments, which are key components of creating long-term value. Our Board has racial, ethnic and gender diversity, with approximately 60% of our Board representing women or minorities as of December 31, 2021. Our Board also has a diverse skill set, including members with financial, risk management, health and safety and industry expertise.</w:t>
      </w:r>
    </w:p>
    <w:p>
      <w:pPr>
        <w:spacing w:after="0" w:line="79"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Our management team and our Board of Directors have significant ownership in MasTec’s common stock, which further aligns their interests with those of our other shareholders. Our single class capital structure is grounded on the “one-share, one-vote” principle, which we believe is aligned with strong corporate governance standards. We have detailed governance procedures, including our Audit Committee Charter, Compensation Committee Charter and our Nominating, Sustainability and Corporate Governance Committee Charter. These charters, as well our comprehensive Code of Business Conduct and Ethics and Board of Director Governance Principles, can be viewed on the “Investors” page of our website at MasTec.com.</w:t>
      </w:r>
    </w:p>
    <w:p>
      <w:pPr>
        <w:spacing w:after="0" w:line="79"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i w:val="1"/>
          <w:iCs w:val="1"/>
          <w:color w:val="auto"/>
        </w:rPr>
        <w:t>Risk Mitigation Practices</w:t>
      </w:r>
      <w:r>
        <w:rPr>
          <w:rFonts w:ascii="Arial" w:cs="Arial" w:eastAsia="Arial" w:hAnsi="Arial"/>
          <w:sz w:val="15"/>
          <w:szCs w:val="15"/>
          <w:color w:val="auto"/>
        </w:rPr>
        <w:t>. We believe that responsible corporate governance requires great attention to potential business and other risks. As part of our corporate risk mitigation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we regularly assess potential risks and hazards within our business and operations, including potential risks associated with climate change. Risk assessments are performed on an ongoing basis at both the organizational and at the project level. We also apply a risk-based approach with respect to cyber security. We are committed to the privacy of employee, customer and company information and undertake significant efforts to protect this information. We continually evaluate cyber risks to properly safeguard our systems and business operations.</w:t>
      </w:r>
    </w:p>
    <w:p>
      <w:pPr>
        <w:spacing w:after="0" w:line="79"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b w:val="1"/>
          <w:bCs w:val="1"/>
          <w:i w:val="1"/>
          <w:iCs w:val="1"/>
          <w:color w:val="auto"/>
        </w:rPr>
        <w:t>Sustainability and Climate-Related Governance</w:t>
      </w:r>
      <w:r>
        <w:rPr>
          <w:rFonts w:ascii="Arial" w:cs="Arial" w:eastAsia="Arial" w:hAnsi="Arial"/>
          <w:sz w:val="14"/>
          <w:szCs w:val="14"/>
          <w:color w:val="auto"/>
        </w:rPr>
        <w:t>. The Nominating, Sustainability and Corporate Governance Committee of the Board of Directors has oversight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sustainability-oriented matters for MasTec, including overseeing MasTec’s approach to considering, evaluating and integrating climate-related risks and opportunities into its business strategy and decision-making processes. This Committee is also responsible for considering MasTec’s material sustainability issues, discussing associated risks with the full Board and management and reviewing and considering whether MasTec has appropriate policies, processes, strategies and initiatives in place to address such matters, including climate-related risks and opportunities. The potential implications and financial impact of the climate-related risks and opportunities remains uncertain, but we recognize that these risks and opportunities could be significant to our business. We regularly assess our business risks and opportunities, and we are working to develop our process to assess the potential effects and magnitude of climate-related risks and opportunities on our operations, financial results and key business strategies, as guided by the recommendations of the TCFD.</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Strategy</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key elements of our business strategy are as follows:</w:t>
      </w:r>
    </w:p>
    <w:p>
      <w:pPr>
        <w:spacing w:after="0" w:line="98"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14"/>
          <w:szCs w:val="14"/>
          <w:b w:val="1"/>
          <w:bCs w:val="1"/>
          <w:i w:val="1"/>
          <w:iCs w:val="1"/>
          <w:color w:val="auto"/>
        </w:rPr>
        <w:t>Focus on Growth Opportunities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that our end-markets offer multiple growth opportunities, and we expect continued spending by key customers in many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industries we serve. We expect development of wireless and wireline/fiber infrastructure; development of clean energy infrastructure; expansion, maintenance and upgrades of power delivery infrastructure, including electrical and gas transmission lines and distribution networks; development of pipeline infrastructure, including carbon capture technologies and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61" w:lineRule="exact"/>
        <w:rPr>
          <w:sz w:val="20"/>
          <w:szCs w:val="20"/>
          <w:color w:val="auto"/>
        </w:rPr>
      </w:pPr>
    </w:p>
    <w:p>
      <w:pPr>
        <w:jc w:val="both"/>
        <w:ind w:firstLine="599"/>
        <w:spacing w:after="0" w:line="298" w:lineRule="auto"/>
        <w:rPr>
          <w:sz w:val="20"/>
          <w:szCs w:val="20"/>
          <w:color w:val="auto"/>
        </w:rPr>
      </w:pPr>
      <w:r>
        <w:rPr>
          <w:rFonts w:ascii="Arial" w:cs="Arial" w:eastAsia="Arial" w:hAnsi="Arial"/>
          <w:sz w:val="13"/>
          <w:szCs w:val="13"/>
          <w:b w:val="1"/>
          <w:bCs w:val="1"/>
          <w:i w:val="1"/>
          <w:iCs w:val="1"/>
          <w:color w:val="auto"/>
        </w:rPr>
        <w:t>Operational Excellence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seek to effectively manage our projects and services to maintain appropriate profit margins and cash flows. We also strive to identify opportunities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evaluating opportunities to improve our working capital cycle time, hiring and retaining experienced operating and financial professionals, and developing, expanding and integrating the use of financial systems and information technology capabilities within our business.</w:t>
      </w:r>
    </w:p>
    <w:p>
      <w:pPr>
        <w:spacing w:after="0" w:line="50"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b w:val="1"/>
          <w:bCs w:val="1"/>
          <w:i w:val="1"/>
          <w:iCs w:val="1"/>
          <w:color w:val="auto"/>
        </w:rPr>
        <w:t>Maintain Conservative Capital Structure</w:t>
      </w:r>
      <w:r>
        <w:rPr>
          <w:rFonts w:ascii="Arial" w:cs="Arial" w:eastAsia="Arial" w:hAnsi="Arial"/>
          <w:sz w:val="15"/>
          <w:szCs w:val="15"/>
          <w:color w:val="auto"/>
        </w:rPr>
        <w:t>. We evaluate our capital structure on an ongoing basis and have expanded our financial resources in recent years. We believe that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sufficient capital resources to fund our planned operations. As of December 31, 2021, we had approximately $0.7 billion of borrowing availability under our revolving credit facility, with aggregate borrowing commitments of $2.0 billion under our new unsecured senior credit facility, and $600 million of 4.50% senior notes due 2028. We may consider opportunities to borrow additional funds, or to refinance, repurchase or retire outstanding debt or repurchase shares of our common stock as part of our ongoing capital structure evaluation. See Item 7. “Management’s Discussion and Analysis of Financial Condition and Results of Operations - Summary of Financial Condition, Liquidity and Capital Resources,” for details pertaining to recent capital structure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1" w:name="page12"/>
    <w:bookmarkEnd w:id="11"/>
    <w:p>
      <w:pPr>
        <w:jc w:val="both"/>
        <w:ind w:firstLine="599"/>
        <w:spacing w:after="0" w:line="294" w:lineRule="auto"/>
        <w:rPr>
          <w:sz w:val="20"/>
          <w:szCs w:val="20"/>
          <w:color w:val="auto"/>
        </w:rPr>
      </w:pPr>
      <w:r>
        <w:rPr>
          <w:rFonts w:ascii="Arial" w:cs="Arial" w:eastAsia="Arial" w:hAnsi="Arial"/>
          <w:sz w:val="13"/>
          <w:szCs w:val="13"/>
          <w:b w:val="1"/>
          <w:bCs w:val="1"/>
          <w:i w:val="1"/>
          <w:iCs w:val="1"/>
          <w:color w:val="auto"/>
        </w:rPr>
        <w:t>Leverage Core Performance and Expertise through Strategic Acquisitions and Other Arrangements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pursue selected acquisitions, investments and strategic arrangements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allow us to expand our operations, service offerings, customer base or geographic reach. We have diversified our business and expanded our service offerings and geographic footprint in recent years, both organically and through acquisitions. For discussion of our recent acquisitions, see Item 7. “Management’s Discussion and Analysis of Financial Condition and Results of Operations - Business,” which is incorporated by reference. In our efforts to maximize the potential of the businesses we acquire, we work to integrate them into our operations and internal control environment in a timely and efficient manner. We evaluate our business and operations on a regular basis, and from time to time, we may divest certain businesses or assets or curtail selected business activities or operations that do not produce adequate revenue or margin or those that no longer fit within our long-term business strategy.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Our core services are the engineering, building, installation, maintenance and upgrade of infrastructure, primarily for communications, power generation, utility and pipeline customers. We provide similar services to each of these customers, including:</w:t>
      </w:r>
    </w:p>
    <w:p>
      <w:pPr>
        <w:spacing w:after="0" w:line="63" w:lineRule="exact"/>
        <w:rPr>
          <w:sz w:val="20"/>
          <w:szCs w:val="20"/>
          <w:color w:val="auto"/>
        </w:rPr>
      </w:pPr>
    </w:p>
    <w:p>
      <w:pPr>
        <w:jc w:val="both"/>
        <w:ind w:firstLine="599"/>
        <w:spacing w:after="0" w:line="304" w:lineRule="auto"/>
        <w:rPr>
          <w:sz w:val="20"/>
          <w:szCs w:val="20"/>
          <w:color w:val="auto"/>
        </w:rPr>
      </w:pPr>
      <w:r>
        <w:rPr>
          <w:rFonts w:ascii="Arial" w:cs="Arial" w:eastAsia="Arial" w:hAnsi="Arial"/>
          <w:sz w:val="13"/>
          <w:szCs w:val="13"/>
          <w:b w:val="1"/>
          <w:bCs w:val="1"/>
          <w:i w:val="1"/>
          <w:iCs w:val="1"/>
          <w:color w:val="auto"/>
        </w:rPr>
        <w:t>Build</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build infrastructure projects for customers across a range of industries. We specialize in building underground and overhead distribution systems, including trenches,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conduits, cell towers, fiber, cable and power lines that provide wireless and wireline/fiber communications; clean energy infrastructure, including for renewable energy power generation; pipeline infrastructure, including for natural gas and other product transport; power delivery services, including electrical and gas transmission and distribution systems; heavy industrial plants; compressor and pump stations and treatment plants; water and sewer infrastructure, including water pipelines; and other civil construction infrastructure.</w:t>
      </w:r>
    </w:p>
    <w:p>
      <w:pPr>
        <w:spacing w:after="0" w:line="42" w:lineRule="exact"/>
        <w:rPr>
          <w:sz w:val="20"/>
          <w:szCs w:val="20"/>
          <w:color w:val="auto"/>
        </w:rPr>
      </w:pPr>
    </w:p>
    <w:p>
      <w:pPr>
        <w:jc w:val="both"/>
        <w:ind w:firstLine="599"/>
        <w:spacing w:after="0" w:line="257" w:lineRule="auto"/>
        <w:rPr>
          <w:sz w:val="20"/>
          <w:szCs w:val="20"/>
          <w:color w:val="auto"/>
        </w:rPr>
      </w:pPr>
      <w:r>
        <w:rPr>
          <w:rFonts w:ascii="Arial" w:cs="Arial" w:eastAsia="Arial" w:hAnsi="Arial"/>
          <w:sz w:val="15"/>
          <w:szCs w:val="15"/>
          <w:b w:val="1"/>
          <w:bCs w:val="1"/>
          <w:i w:val="1"/>
          <w:iCs w:val="1"/>
          <w:color w:val="auto"/>
        </w:rPr>
        <w:t>Install</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install electrical and gas distribution and transmission systems, power generation facilities, buried and aerial fiber optic and other cables, and provide various install-to-the-home products and services, including home automation and energy management solutions in a variety of environments for our customers. In connection with our installation work, we deploy and manage network connections that involve our customers’ hardware, software and network equipment.</w:t>
      </w:r>
    </w:p>
    <w:p>
      <w:pPr>
        <w:spacing w:after="0" w:line="70"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5"/>
          <w:szCs w:val="15"/>
          <w:b w:val="1"/>
          <w:bCs w:val="1"/>
          <w:i w:val="1"/>
          <w:iCs w:val="1"/>
          <w:color w:val="auto"/>
        </w:rPr>
        <w:t>Maintain and Upgrade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offer 24 hour/365 days-a-year maintenance and upgrade support to our customers. Our comprehensive service offerings include the regular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maintenance of our customers’ distribution facilities, networks and infrastructure, including communications, power generation, pipeline, electrical distribution and transmission and heavy civil infrastructure. We also provide emergency services for service restoration following natural disasters and accidents. Our upgrade work ranges from routine replacements and upgrades to major overhauls.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 ended December 31, 2021 revenue derived from projects performed under master service and other service agreements totaled 38% of consolidated revenue, and for each of the years ended December 31, 2020 and 2019, totaled 36%.</w:t>
      </w:r>
    </w:p>
    <w:p>
      <w:pPr>
        <w:spacing w:after="0" w:line="71"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65"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We believe that our industry experience, technical expertise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06"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we will realize approximately 75% of our estimated year-end 2021 backlog in 2022. The following table presents 18-month estimated backlog by reportable segment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6"/>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 xml:space="preserve">Reportable Segment </w:t>
            </w:r>
            <w:r>
              <w:rPr>
                <w:rFonts w:ascii="Arial" w:cs="Arial" w:eastAsia="Arial" w:hAnsi="Arial"/>
                <w:sz w:val="13"/>
                <w:szCs w:val="13"/>
                <w:b w:val="1"/>
                <w:bCs w:val="1"/>
                <w:color w:val="auto"/>
              </w:rPr>
              <w:t>(in millions)</w:t>
            </w:r>
            <w:r>
              <w:rPr>
                <w:rFonts w:ascii="Arial" w:cs="Arial" w:eastAsia="Arial" w:hAnsi="Arial"/>
                <w:sz w:val="15"/>
                <w:szCs w:val="15"/>
                <w:b w:val="1"/>
                <w:bCs w:val="1"/>
                <w:color w:val="auto"/>
              </w:rPr>
              <w:t>:</w:t>
            </w:r>
          </w:p>
        </w:tc>
        <w:tc>
          <w:tcPr>
            <w:tcW w:w="146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2021</w:t>
            </w: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2021</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2020</w:t>
            </w:r>
          </w:p>
        </w:tc>
      </w:tr>
      <w:tr>
        <w:trPr>
          <w:trHeight w:val="195"/>
        </w:trPr>
        <w:tc>
          <w:tcPr>
            <w:tcW w:w="6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Communications</w:t>
            </w:r>
          </w:p>
        </w:tc>
        <w:tc>
          <w:tcPr>
            <w:tcW w:w="54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4,504</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4,469</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w:t>
            </w:r>
          </w:p>
        </w:tc>
      </w:tr>
      <w:tr>
        <w:trPr>
          <w:trHeight w:val="197"/>
        </w:trPr>
        <w:tc>
          <w:tcPr>
            <w:tcW w:w="6960" w:type="dxa"/>
            <w:vAlign w:val="bottom"/>
          </w:tcPr>
          <w:p>
            <w:pPr>
              <w:ind w:left="200"/>
              <w:spacing w:after="0"/>
              <w:rPr>
                <w:sz w:val="20"/>
                <w:szCs w:val="20"/>
                <w:color w:val="auto"/>
              </w:rPr>
            </w:pPr>
            <w:r>
              <w:rPr>
                <w:rFonts w:ascii="Arial" w:cs="Arial" w:eastAsia="Arial" w:hAnsi="Arial"/>
                <w:sz w:val="15"/>
                <w:szCs w:val="15"/>
                <w:color w:val="auto"/>
              </w:rPr>
              <w:t>Clean Energy and Infrastructure</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1,543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1,570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1,025</w:t>
            </w:r>
          </w:p>
        </w:tc>
      </w:tr>
      <w:tr>
        <w:trPr>
          <w:trHeight w:val="203"/>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Oil and Gas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2,486</w:t>
            </w:r>
          </w:p>
        </w:tc>
      </w:tr>
      <w:tr>
        <w:trPr>
          <w:trHeight w:val="197"/>
        </w:trPr>
        <w:tc>
          <w:tcPr>
            <w:tcW w:w="6960" w:type="dxa"/>
            <w:vAlign w:val="bottom"/>
          </w:tcPr>
          <w:p>
            <w:pPr>
              <w:ind w:left="200"/>
              <w:spacing w:after="0"/>
              <w:rPr>
                <w:sz w:val="20"/>
                <w:szCs w:val="20"/>
                <w:color w:val="auto"/>
              </w:rPr>
            </w:pPr>
            <w:r>
              <w:rPr>
                <w:rFonts w:ascii="Arial" w:cs="Arial" w:eastAsia="Arial" w:hAnsi="Arial"/>
                <w:sz w:val="15"/>
                <w:szCs w:val="15"/>
                <w:color w:val="auto"/>
              </w:rPr>
              <w:t>Power Delivery</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2,865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1,318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557</w:t>
            </w:r>
          </w:p>
        </w:tc>
      </w:tr>
      <w:tr>
        <w:trPr>
          <w:trHeight w:val="203"/>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6960" w:type="dxa"/>
            <w:vAlign w:val="bottom"/>
          </w:tcPr>
          <w:p>
            <w:pPr>
              <w:ind w:left="20"/>
              <w:spacing w:after="0"/>
              <w:rPr>
                <w:sz w:val="20"/>
                <w:szCs w:val="20"/>
                <w:color w:val="auto"/>
              </w:rPr>
            </w:pPr>
            <w:r>
              <w:rPr>
                <w:rFonts w:ascii="Arial" w:cs="Arial" w:eastAsia="Arial" w:hAnsi="Arial"/>
                <w:sz w:val="15"/>
                <w:szCs w:val="15"/>
                <w:color w:val="auto"/>
              </w:rPr>
              <w:t>Estimated 18-month backlog</w:t>
            </w:r>
          </w:p>
        </w:tc>
        <w:tc>
          <w:tcPr>
            <w:tcW w:w="54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9,939</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8,523</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7,874</w:t>
            </w:r>
          </w:p>
        </w:tc>
      </w:tr>
    </w:tbl>
    <w:p>
      <w:pPr>
        <w:spacing w:after="0" w:line="16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As of December 31, 2021, 63%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and/or COVID-19 effects or climate-related matters, and/or other project-related factors. These effects, among others,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71"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2021, total 18-month backlog differed from the amount of our remaining performance obligations due primarily to the inclusion of $6.6 billion of estimated future revenue under master service and other service agreements within our backlog estimates, as described above, and the exclusion of approximately $1.6 billion of remaining performance obligations and estimated future revenue under master service and other service agreements in excess of 18 months, which amount is not included in the backlog estimates above. Backlog expected to be realized in 2022 differs from the amount of remaining performance obligations expected to be recognized for the same period due primarily to the inclusion of approximately $3.5 billion of estimated future revenue under master service and other service agreements that is included within the related backlog estimate.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06" w:lineRule="exact"/>
        <w:rPr>
          <w:sz w:val="20"/>
          <w:szCs w:val="20"/>
          <w:color w:val="auto"/>
        </w:rPr>
      </w:pPr>
    </w:p>
    <w:p>
      <w:pPr>
        <w:jc w:val="both"/>
        <w:ind w:firstLine="599"/>
        <w:spacing w:after="0" w:line="259" w:lineRule="auto"/>
        <w:rPr>
          <w:sz w:val="20"/>
          <w:szCs w:val="20"/>
          <w:color w:val="auto"/>
        </w:rPr>
      </w:pPr>
      <w:r>
        <w:rPr>
          <w:rFonts w:ascii="Arial" w:cs="Arial" w:eastAsia="Arial" w:hAnsi="Arial"/>
          <w:sz w:val="14"/>
          <w:szCs w:val="14"/>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and an integrated organizational structure designed to permit rapid deployment of our services, we are able to quickly and efficiently allocate resources to meet customer needs. We offer services that are branded under the MasTec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service mark and other service marks.</w:t>
      </w:r>
    </w:p>
    <w:p>
      <w:pPr>
        <w:spacing w:after="0" w:line="5"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3"/>
          <w:szCs w:val="13"/>
          <w:color w:val="auto"/>
        </w:rPr>
        <w:t>We have a business development and marketing plan emphasizing the MasTec</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and international level.</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Safety and Insurance/Risk Management</w:t>
      </w:r>
    </w:p>
    <w:p>
      <w:pPr>
        <w:spacing w:after="0" w:line="106"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 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strive continuously to assess and improve our safety programs and performance. We also provide Company-wide training for other workplace and risk management programs, including for cyber security, workplace diversity and harassment, emergency preparedness and other potential workplace hazards, among others.</w:t>
      </w:r>
    </w:p>
    <w:p>
      <w:pPr>
        <w:spacing w:after="0" w:line="73"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We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5"/>
          <w:szCs w:val="15"/>
          <w:color w:val="auto"/>
        </w:rPr>
        <w:t>also maintain excess umbrella coverage and an insurance policy with respect to employee group medical claims, which is subject to annual per employee maximum losses.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Suppliers, Materials and Working Capital</w:t>
      </w:r>
    </w:p>
    <w:p>
      <w:pPr>
        <w:spacing w:after="0" w:line="106"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and have not experienced significant difficulty in obtaining project-related materials or supplies as and when required for the projects we manage.</w:t>
      </w:r>
    </w:p>
    <w:p>
      <w:pPr>
        <w:spacing w:after="0" w:line="59"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Our industry is highly competitive and highly fragmented. We compete with a number of companies in the markets in which we operate, ranging from small local independent companies to large national firms, including Quanta Services, Inc., MYR Group, Inc., Dycom Industries, Inc., Jacobs Engineering Group Inc., Primoris Services Corporation, Pike Electric, Inc., Bechtel Corporation, M.A. Mortenson Company, Black &amp; Veatch and Nexius.</w:t>
      </w:r>
    </w:p>
    <w:p>
      <w:pPr>
        <w:spacing w:after="0" w:line="74"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Certain barriers to entry exist in the markets in which we operate, including adequate financial resources, technical expertise, high safety ratings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and Environmental Matters</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not generally subject to such regulation and oversight.</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addition to environmental laws and regulations, our operations are subject to numerous other laws and regulations, among them:</w:t>
      </w:r>
    </w:p>
    <w:p>
      <w:pPr>
        <w:spacing w:after="0" w:line="102" w:lineRule="exact"/>
        <w:rPr>
          <w:sz w:val="20"/>
          <w:szCs w:val="20"/>
          <w:color w:val="auto"/>
        </w:rPr>
      </w:pPr>
    </w:p>
    <w:p>
      <w:pPr>
        <w:ind w:left="800" w:hanging="2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regulations related to worker safety and health, including those established by the Occupational Safety and Health Administration (“OSHA”) and state equivalents;</w:t>
      </w:r>
    </w:p>
    <w:p>
      <w:pPr>
        <w:spacing w:after="0" w:line="113" w:lineRule="exact"/>
        <w:rPr>
          <w:rFonts w:ascii="Arial" w:cs="Arial" w:eastAsia="Arial" w:hAnsi="Arial"/>
          <w:sz w:val="14"/>
          <w:szCs w:val="14"/>
          <w:color w:val="auto"/>
        </w:rPr>
      </w:pPr>
    </w:p>
    <w:p>
      <w:pPr>
        <w:ind w:left="820" w:hanging="22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regulations related to vehicle registrations, including those of the states and the U.S. Department of Transportation (“DOT”);</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contractor licensing requirements;</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permitting and inspection requirements;</w:t>
      </w:r>
    </w:p>
    <w:p>
      <w:pPr>
        <w:spacing w:after="0" w:line="102" w:lineRule="exact"/>
        <w:rPr>
          <w:rFonts w:ascii="Arial" w:cs="Arial" w:eastAsia="Arial" w:hAnsi="Arial"/>
          <w:sz w:val="15"/>
          <w:szCs w:val="15"/>
          <w:color w:val="auto"/>
        </w:rPr>
      </w:pPr>
    </w:p>
    <w:p>
      <w:pPr>
        <w:ind w:left="800" w:hanging="201"/>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building and electrical codes; and</w:t>
      </w:r>
    </w:p>
    <w:p>
      <w:pPr>
        <w:spacing w:after="0" w:line="102" w:lineRule="exact"/>
        <w:rPr>
          <w:rFonts w:ascii="Arial" w:cs="Arial" w:eastAsia="Arial" w:hAnsi="Arial"/>
          <w:sz w:val="15"/>
          <w:szCs w:val="15"/>
          <w:color w:val="auto"/>
        </w:rPr>
      </w:pPr>
    </w:p>
    <w:p>
      <w:pPr>
        <w:ind w:left="820" w:hanging="22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cyber data protection and security.</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are subject to numerous environmental laws, regulations and programs, including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In particular, our pipeline-related activities require careful adherence to environmental regulations because such operations may have impacts on groundwater, surface waters and other environmentally sensitive areas. Similarly, our power delivery construction operations often require us to operate in remote areas involving environmentally sensitive habitats as well as areas that are subject to risk of wildfire.</w:t>
      </w:r>
    </w:p>
    <w:p>
      <w:pPr>
        <w:spacing w:after="0" w:line="79"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have a substantial investment in construction equipment that utilizes fuel. Any changes in laws requiring us to use equipment that runs on alternative fuels could require a significant investment, which could have a material adverse effect on our results of operations, cash flows and liquidity. 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w:t>
      </w:r>
    </w:p>
    <w:p>
      <w:pPr>
        <w:spacing w:after="0" w:line="7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In addition, we could be held liable for significant penalties and damages under certain environmental laws and regulations. Our contracts with customers may also impose liabilities on us regarding environmental issues that arise through the performance of our services. From time to time, we may incur unanticipated and substantial costs and obligations related to environmental compliance and/or remediation matters. We believe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 w:name="page15"/>
    <w:bookmarkEnd w:id="14"/>
    <w:p>
      <w:pPr>
        <w:jc w:val="both"/>
        <w:spacing w:after="0" w:line="266" w:lineRule="auto"/>
        <w:rPr>
          <w:sz w:val="20"/>
          <w:szCs w:val="20"/>
          <w:color w:val="auto"/>
        </w:rPr>
      </w:pPr>
      <w:r>
        <w:rPr>
          <w:rFonts w:ascii="Arial" w:cs="Arial" w:eastAsia="Arial" w:hAnsi="Arial"/>
          <w:sz w:val="15"/>
          <w:szCs w:val="15"/>
          <w:color w:val="auto"/>
        </w:rPr>
        <w:t>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6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Additionally, there are significant environmental regulations under consideration to address climate change, regulate emissions of greenhouse gases and encourage the use of clean energy technologies. We regularly monitor proposed regulations and legislation and have processes in place to adapt our business and operations, as necessary, to meet any such new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Information About Geographic Areas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We operate primarily in the United States and Canada. See Note 13 - Segments and Related Information in the notes to the audited consolidated financial statements, which is incorporated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 Management</w:t>
      </w:r>
    </w:p>
    <w:p>
      <w:pPr>
        <w:spacing w:after="0" w:line="106"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diversity and inclusion in the workplace and value the diverse and varied perspectives and experiences of our employees. We believe that our commitment to our employees, together with our team culture, fosters an environment of strong employee engagement. When our employees are safe, healthy and engaged, we are most productive.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spacing w:after="0" w:line="5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For the twelve month period ended December 31, 2021, we had an average of approximately 25,000 employees, of which approximately 5,000 were represented by unions or were subject to collective bargaining agreements, and as of December 31, 2021, we had approximately 27,000 employees, of which approximately 7,000 were represented by unions or were subject to collective bargaining agreements. Approximately 97% of our employees are located in the U.S.</w:t>
      </w:r>
    </w:p>
    <w:p>
      <w:pPr>
        <w:spacing w:after="0" w:line="70"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color w:val="auto"/>
        </w:rPr>
        <w:t xml:space="preserve">Safety. </w:t>
      </w:r>
      <w:r>
        <w:rPr>
          <w:rFonts w:ascii="Arial" w:cs="Arial" w:eastAsia="Arial" w:hAnsi="Arial"/>
          <w:sz w:val="15"/>
          <w:szCs w:val="15"/>
          <w:color w:val="auto"/>
        </w:rPr>
        <w:t>Safety is a core value at MasTec. It is a mindset that permeates all aspects of our operations, and an attitude that our employees exhibit, strongly and openly. We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 the need of our workforce to have a safe workplace and are committed to maintaining a strong and sustainable safety culture within our organization. We continually evaluate our safety programs to protect our most important asset – our team members. For example, the COVID-19 pandemic presented unprecedented challenges in many parts of our business and operations, including with respect to keeping our employees safe. Accordingly, we adjusted our standard operating procedures within our business operations to ensure employee and customer safety and continue to monitor evolving health guidelines and respond to changes as appropriate. We have also developed human resource guidance to assist our employees with the effects of the COVID-19 pandemic.</w:t>
      </w:r>
    </w:p>
    <w:p>
      <w:pPr>
        <w:spacing w:after="0" w:line="79"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have a proactive safety culture, and our safety leadership structure is designed to create accountability within each of our businesses and at the corporate level. Our safety management process includes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are driven by our commitment to safety and our “Zero Harm” culture to develop and implement safety programs and processes with safety excellence as our goal. We strive continuously to improve our safety performance and provide regular safety training and skill-level improvement programs, including: safety orientation for new employees, safety leadership training for our front-line leaders, OSHA construction outreach training, defensive driving and DOT training, operator qualification and electric worker training, excavation and ground penetration safety training, among others. We have adopted numerous safety initiatives throughout our organization, including fleet telematics applications.</w:t>
      </w:r>
    </w:p>
    <w:p>
      <w:pPr>
        <w:spacing w:after="0" w:line="70"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Through our risk management programs and other safety initiatives, we educate our staff, subcontractors and suppliers on safety matters. The high standards of safety, incident prevention and hazard control that we expect within our operations are also expected of our subcontractors and suppliers. We have memberships and participate in numerous safety and other organizations that promote industry safety. Our safety performance is periodically recognized by our customers as well as by safety organizations.</w:t>
      </w:r>
    </w:p>
    <w:p>
      <w:pPr>
        <w:spacing w:after="0" w:line="55"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color w:val="auto"/>
        </w:rPr>
        <w:t xml:space="preserve">Health and Wellness. </w:t>
      </w:r>
      <w:r>
        <w:rPr>
          <w:rFonts w:ascii="Arial" w:cs="Arial" w:eastAsia="Arial" w:hAnsi="Arial"/>
          <w:sz w:val="15"/>
          <w:szCs w:val="15"/>
          <w:color w:val="auto"/>
        </w:rPr>
        <w:t>Encouraging good health and following a healthy lifestyle is a MasTec philosophy. We encourage all our employees to take an active role in living a</w:t>
      </w:r>
      <w:r>
        <w:rPr>
          <w:rFonts w:ascii="Arial" w:cs="Arial" w:eastAsia="Arial" w:hAnsi="Arial"/>
          <w:sz w:val="15"/>
          <w:szCs w:val="15"/>
          <w:b w:val="1"/>
          <w:bCs w:val="1"/>
          <w:color w:val="auto"/>
        </w:rPr>
        <w:t xml:space="preserve"> </w:t>
      </w:r>
      <w:r>
        <w:rPr>
          <w:rFonts w:ascii="Arial" w:cs="Arial" w:eastAsia="Arial" w:hAnsi="Arial"/>
          <w:sz w:val="15"/>
          <w:szCs w:val="15"/>
          <w:color w:val="auto"/>
        </w:rPr>
        <w:t>healthy lifestyle and offer wellness tools and resources to help achieve and maintain good health. We offer a comprehensive and flexible benefits program, including medical, dental, vision and prescription insurance, as well as access to telehealth services, which we have expanded in light of the COVID-19 pandemic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spacing w:after="0" w:line="75"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b w:val="1"/>
          <w:bCs w:val="1"/>
          <w:color w:val="auto"/>
        </w:rPr>
        <w:t xml:space="preserve">Professional and Career Development. </w:t>
      </w:r>
      <w:r>
        <w:rPr>
          <w:rFonts w:ascii="Arial" w:cs="Arial" w:eastAsia="Arial" w:hAnsi="Arial"/>
          <w:sz w:val="13"/>
          <w:szCs w:val="13"/>
          <w:color w:val="auto"/>
        </w:rPr>
        <w:t>We believe that professional development is essential to the success of our business, as it drives employee engagement and ensures that</w:t>
      </w:r>
      <w:r>
        <w:rPr>
          <w:rFonts w:ascii="Arial" w:cs="Arial" w:eastAsia="Arial" w:hAnsi="Arial"/>
          <w:sz w:val="13"/>
          <w:szCs w:val="13"/>
          <w:b w:val="1"/>
          <w:bCs w:val="1"/>
          <w:color w:val="auto"/>
        </w:rPr>
        <w:t xml:space="preserve"> </w:t>
      </w:r>
      <w:r>
        <w:rPr>
          <w:rFonts w:ascii="Arial" w:cs="Arial" w:eastAsia="Arial" w:hAnsi="Arial"/>
          <w:sz w:val="13"/>
          <w:szCs w:val="13"/>
          <w:color w:val="auto"/>
        </w:rPr>
        <w:t>our team members have the requisite skills and training to deliver the highest level of excellence to our customers. An employee’s career development begins with the onboarding process and continues throughout the employee’s career. Ongoing training is designed to develop an employee’s technical, professional and leadership skills and is customized to meet the qualifications and requirements necessary for our employees to succeed in their positions.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We seek to develop and cultivate current and future leaders, and design our training programs to create high performing teams, improve productivity, positively affect employee motivation and retention and further enhance 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and experienced workforce.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 w:name="page16"/>
    <w:bookmarkEnd w:id="15"/>
    <w:p>
      <w:pPr>
        <w:jc w:val="both"/>
        <w:ind w:firstLine="599"/>
        <w:spacing w:after="0" w:line="304" w:lineRule="auto"/>
        <w:rPr>
          <w:sz w:val="20"/>
          <w:szCs w:val="20"/>
          <w:color w:val="auto"/>
        </w:rPr>
      </w:pPr>
      <w:r>
        <w:rPr>
          <w:rFonts w:ascii="Arial" w:cs="Arial" w:eastAsia="Arial" w:hAnsi="Arial"/>
          <w:sz w:val="13"/>
          <w:szCs w:val="13"/>
          <w:b w:val="1"/>
          <w:bCs w:val="1"/>
          <w:color w:val="auto"/>
        </w:rPr>
        <w:t xml:space="preserve">Team Culture, Diversity and Inclusion. </w:t>
      </w:r>
      <w:r>
        <w:rPr>
          <w:rFonts w:ascii="Arial" w:cs="Arial" w:eastAsia="Arial" w:hAnsi="Arial"/>
          <w:sz w:val="13"/>
          <w:szCs w:val="13"/>
          <w:color w:val="auto"/>
        </w:rPr>
        <w:t>Our success depends upon the success of our team, which requires us to have exceptional team members, as well as an exceptional</w:t>
      </w:r>
      <w:r>
        <w:rPr>
          <w:rFonts w:ascii="Arial" w:cs="Arial" w:eastAsia="Arial" w:hAnsi="Arial"/>
          <w:sz w:val="13"/>
          <w:szCs w:val="13"/>
          <w:b w:val="1"/>
          <w:bCs w:val="1"/>
          <w:color w:val="auto"/>
        </w:rPr>
        <w:t xml:space="preserve"> </w:t>
      </w:r>
      <w:r>
        <w:rPr>
          <w:rFonts w:ascii="Arial" w:cs="Arial" w:eastAsia="Arial" w:hAnsi="Arial"/>
          <w:sz w:val="13"/>
          <w:szCs w:val="13"/>
          <w:color w:val="auto"/>
        </w:rPr>
        <w:t>team. Teamwork is part of our culture and is one of our core values. We believe that our employees and our customers benefit from the collective and well-coordinated efforts that result from effective employee engagement, teamwork and collaboration. We seek to foster an environment of strong employee engagement through our commitment to our employees and our team culture. A strong team culture, together with effective processes and people, allows us to consistently meet the needs of our customers and stakeholders.</w:t>
      </w:r>
    </w:p>
    <w:p>
      <w:pPr>
        <w:spacing w:after="0" w:line="4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are committed to diversity and inclusion in the workplace and to fostering an environment where our employees can freely bring diverse perspectives and varied experiences to work. We seek to attract the best talent and foster a culture of inclusion, teamwork, support and empowerment where all talented individuals have access to opportunities and can achieve success. Our commitment to diversity, equality and inclusion, together with our culture of belonging allows us to recruit and retain highly talented employees so that we are able to deliver exceptional results to our customers. In 2021, 49% of our overall U.S. workforce and 48% of our U.S. executive, manager and professional workforce was represented by women and minorities.</w:t>
      </w:r>
    </w:p>
    <w:p>
      <w:pPr>
        <w:spacing w:after="0" w:line="79" w:lineRule="exact"/>
        <w:rPr>
          <w:sz w:val="20"/>
          <w:szCs w:val="20"/>
          <w:color w:val="auto"/>
        </w:rPr>
      </w:pPr>
    </w:p>
    <w:p>
      <w:pPr>
        <w:jc w:val="both"/>
        <w:ind w:firstLine="599"/>
        <w:spacing w:after="0" w:line="344" w:lineRule="auto"/>
        <w:rPr>
          <w:sz w:val="20"/>
          <w:szCs w:val="20"/>
          <w:color w:val="auto"/>
        </w:rPr>
      </w:pPr>
      <w:r>
        <w:rPr>
          <w:rFonts w:ascii="Arial" w:cs="Arial" w:eastAsia="Arial" w:hAnsi="Arial"/>
          <w:sz w:val="13"/>
          <w:szCs w:val="13"/>
          <w:color w:val="auto"/>
        </w:rPr>
        <w:t>Certain of our businesses have incorporated the use of annual diversity assessments and goal setting targets to expand diversity within our management and employee teams, and we expect to continue in these efforts. A notable portion of our workforce includes military veterans, and we regularly engage in outreach programs tailored to military veterans.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06"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3"/>
          <w:szCs w:val="13"/>
          <w:color w:val="auto"/>
        </w:rPr>
        <w:t>A copy of this Form 10-K, as well as our Quarterly Reports on Form 10-Q, Current Reports on Form 8-K and any amendments to those reports filed or furnished pursuant to Section 13(a) or 15(d) of the Securities Exchange Act of 1934 are available free of charge on our website, www.mastec.com, as soon as reasonably practicable after we electronically file these reports with, or furnish these reports to,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and senior financial officers, and the charters for each of our Audit, Compensation, and Nominating, Sustainability and Corporate Governance Committees are also available on our website in the Investors section under the tab “Corporate Governance,” or may be obtained by contacting our Vice President of Investor Relations by phone at (305) 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our Website to Distribute Material Company Information</w:t>
      </w:r>
    </w:p>
    <w:p>
      <w:pPr>
        <w:spacing w:after="0" w:line="10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new information is made available on the Investors section of our website.</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described above.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Industries We Serve</w:t>
      </w:r>
    </w:p>
    <w:p>
      <w:pPr>
        <w:spacing w:after="0" w:line="10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b w:val="1"/>
          <w:bCs w:val="1"/>
          <w:i w:val="1"/>
          <w:iCs w:val="1"/>
          <w:color w:val="auto"/>
        </w:rPr>
        <w:t>Changes to laws, governmental regulations and policies, including governmental permitting processes and tax incentives, could affect demand for our services. Additionally, demand for construction services depends on industry activity and expenditure levels, which can be affected by a variety of factors, including the effects of climate-related matters. Our inability or failure to adjust to such changes or activity could result in decreased demand for our services and adversely affect our results of operations, cash flows and liquidity.</w:t>
      </w:r>
    </w:p>
    <w:p>
      <w:pPr>
        <w:spacing w:after="0" w:line="4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The industries we serve are subject to effects of governmental regulation, climate change initiatives and political or social activism, any of which could result in reduced demand for our services, delays in timing of construction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(“FERC”), among others. In addition, our utility customers are regulated by state public utility commissions. These agencies or governments could change their interpretation of current regulations and/or may impose additional regulations, which could have an adverse effect on our customers, reduce demand for our services and adversely affect our results of operations, cash flows and liquidity. Our customers in the oil and gas industry could be adversely affected by regulatory initiatives or additional requirements, restrictions or legislation imposed by federal, state, local, or foreign governments, including from climate-related matters and/or any related changes in end-customer demand. We build renewable energy infrastructure, including wind, solar and other renewable energy facilities, for which the development may be partially dependent upon federal tax credits, existing renewable portfolio standards and other tax or state incentives. Elimination of, or changes to, existing renewable portfolio standards, tax incentives or similar environmental policies could negatively affect demand for our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6" w:name="page17"/>
    <w:bookmarkEnd w:id="16"/>
    <w:p>
      <w:pPr>
        <w:jc w:val="both"/>
        <w:ind w:firstLine="599"/>
        <w:spacing w:after="0" w:line="266" w:lineRule="auto"/>
        <w:rPr>
          <w:sz w:val="20"/>
          <w:szCs w:val="20"/>
          <w:color w:val="auto"/>
        </w:rPr>
      </w:pPr>
      <w:r>
        <w:rPr>
          <w:rFonts w:ascii="Arial" w:cs="Arial" w:eastAsia="Arial" w:hAnsi="Arial"/>
          <w:sz w:val="15"/>
          <w:szCs w:val="15"/>
          <w:color w:val="auto"/>
        </w:rPr>
        <w:t>All of the above factors could result in fewer projects than anticipated or a delay in the timing of construction of these projects and the related infrastructure, which could negatively affect demand for our services and have a material adverse effect on our results of operations, cash flows and liquidity.</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i w:val="1"/>
          <w:iCs w:val="1"/>
          <w:color w:val="auto"/>
        </w:rPr>
        <w:t>Unfavorable market conditions, market or political uncertainty, health outbreaks such as the COVID-19 pandemic, and/or economic downturns or unfavorable market conditions, including from inflation, supply chain disruptions or rising interest rates could reduce capital expenditures in the industries we serve or could adversely affect our customers, which could result in decreased demand or impair our customers’ ability to pay for our services.</w:t>
      </w:r>
    </w:p>
    <w:p>
      <w:pPr>
        <w:spacing w:after="0" w:line="74"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Demand for our services has been, and will likely continue to be, cyclical in nature and vulnerable to general downturns in the U.S. economy and the economies of the countries in which we operate. Unfavorable market conditions, including from inflation or supply chain disruptions, market uncertainty, health outbreaks such as the COVID-19 pandemic, and/or economic downturns could have a negative effect on demand for, or the profitability of, our customers’ services. We continually monitor our customers’ industries and their relative health compared to the economy as a whole. Our customers may not have the ability to fund capital expenditures for infrastructure or may have difficulty obtaining financing for planned projects during economic downturns. Uncertain or adverse economic or political conditions, the lack of availability of debt or equity financing and/or higher interest rates could reduce our customers’ capital spending and/or cause project cancellations or deferrals. On November 15, 2021, the IIJ Act was signed into law. While the IIJ Act provides for funding in many of the markets in which we operate, timing of the awards for projects funded by the IIJ Act is uncertain. We may not be able to obtain the expected benefits from the IIJ Act or any other infrastructure or stimulus spending. Any of these conditions could materially and adversely affect our results of operations, cash flows and liquidity, and could add uncertainty to our backlog determinations.</w:t>
      </w:r>
    </w:p>
    <w:p>
      <w:pPr>
        <w:spacing w:after="0" w:line="82"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The oil and gas markets have historically been and are likely to continue to be volatile. Oil and gas prices are subject to large fluctuations in response to changes in supply and demand, including from disruptions in global economic activity such as the COVID-19 pandemic, climate change initiatives and demand for alternative energy sources, legislative and regulatory changes, as well as market and political uncertainty, including from unrest and/or military actions involving oil-producing nations, and a variety of other factors that are beyond our control. Such market volatility can affect our customers’ investment decisions and subject us to project cancellations, deferrals or unexpected changes in the timing of project work. Demand for pipeline construction services is sensitive to levels of activity in the oil and gas industry, as well as industrial and utility customer demand and regulatory constraints. Economic factors, including economic downturns, can also negatively affect demand in our other business segments. Our customers in the power delivery, clean energy and infrastructure and communications segments could be negatively affected if projects or services are ordered at a reduced rate, or not at all, which in turn, could adversely affect demand for our services. A decrease in demand for the services we provide from any of the above factors, among others, could materially and adversely affect our results of operations, cash flows and liquidity.</w:t>
      </w:r>
    </w:p>
    <w:p>
      <w:pPr>
        <w:spacing w:after="0" w:line="58"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An impairment of the financial condition of one or more of our customers due to economic downturns, or due to the potential adverse effects on economic activity of health outbreaks, such as the COVID-19 pandemic, could hinder our customers’ ability to pay us on a timely basis. In the past, we have incurred significant losses from customers who filed for bankruptcy or experienced financial difficulties following a general economic downturn, for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Our results of operations, cash flows and liquidity could be materially and adversely affected if a client fails to pay us on a timely basis or defaults in making payments on a project for which we have devoted significant resources.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Many of 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spacing w:after="0" w:line="67"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6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We derive a substantial portion of our revenue from customers in industries that are subject to rapid changes in technology, governmental regulation, changing consumer demands and consolidation. Technological advances in the markets we serve, including advances resulting from climate-related initiatives, could render existing projects or technologies uncompetitive or obsolete, and/or our could alter our customers’ existing operating models. Our failure to rapidly adopt and master new technologies as they are developed or adapt to changing customer requirements could reduce demand for our services. Additionally, consolidation among our customers could result in the loss of customer revenue or could negatively affect customer demand for the services we provide and have a material adverse effect on our results of operations, cash flows and liquidity.</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Operations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failure to properly manage projects, or project delays, including those resulting from difficult work sites and environments, could result in additional costs or claims, which could have a material adverse effect on our operating results, cash flows and liquidity.</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Certain of our engagements involve large-scale, complex projects that may occur over extended time periods. The quality of our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5"/>
          <w:szCs w:val="15"/>
          <w:color w:val="auto"/>
        </w:rPr>
        <w:t>performance on such projects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w:t>
      </w:r>
    </w:p>
    <w:p>
      <w:pPr>
        <w:spacing w:after="0" w:line="74"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third-party, equipment and material delivery delays, permitting delays, schedule changes, delays from customer failure to timely obtain rights-of-way, weather-related delays, delays by subcontractors in completing their portion of projects and governmental, market and political or other factors, some of which are beyond our control and could affect our ability to complete a project as originally scheduled. In some cases, delays and additional costs may be substantial, and/or we may be required to cancel or defer a project and/or compensate the customer for the delay. We may not be able to recover any of such costs. Any such delays, cancellations, errors or other failures to meet customer expectations could result in damage claims substantially in excess of the revenue associated with a project. Delays or cancellations could also negatively affect our reputation or relationships with our customers, which could adversely affect our ability to secure new contracts.</w:t>
      </w:r>
    </w:p>
    <w:p>
      <w:pPr>
        <w:spacing w:after="0" w:line="70"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could also encounter project delays due to local opposition, including political and social activism, which could include injunctive actions or public protests related to the siting of our projects,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6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occasionally bring claims against project owners for additional costs that exceed the contract price or for amounts not included in the original contract price. Similarly,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often occur due to matters such as owner-caused delays or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81"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Additionally, we generally warrant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spacing w:after="0" w:line="74" w:lineRule="exact"/>
        <w:rPr>
          <w:sz w:val="20"/>
          <w:szCs w:val="20"/>
          <w:color w:val="auto"/>
        </w:rPr>
      </w:pPr>
    </w:p>
    <w:p>
      <w:pPr>
        <w:jc w:val="both"/>
        <w:spacing w:after="0" w:line="344" w:lineRule="auto"/>
        <w:rPr>
          <w:sz w:val="20"/>
          <w:szCs w:val="20"/>
          <w:color w:val="auto"/>
        </w:rPr>
      </w:pPr>
      <w:r>
        <w:rPr>
          <w:rFonts w:ascii="Arial" w:cs="Arial" w:eastAsia="Arial" w:hAnsi="Arial"/>
          <w:sz w:val="13"/>
          <w:szCs w:val="13"/>
          <w:b w:val="1"/>
          <w:bCs w:val="1"/>
          <w:i w:val="1"/>
          <w:iCs w:val="1"/>
          <w:color w:val="auto"/>
        </w:rPr>
        <w:t>We may not accurately estimate the costs associated with services provided under fixed price contracts, which could impair our financial performance. Additionally, we recognize revenue for certain projects using the cost-to-cost method of accounting; therefore, variations of actual results from our assumptions could reduce our profitability.</w:t>
      </w:r>
    </w:p>
    <w:p>
      <w:pPr>
        <w:spacing w:after="0" w:line="21"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would be reduced if actual costs to complete a project exceed our original estimates. Our profitability is therefore dependent upon our ability to accurately estimate the costs associated with our services and our ability to execute in accordance with our plans. A variety of factors could negatively affect these estimates or our ability to execute according to our plans,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58"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In addition, we recognize revenue from fixed price contracts, as well as for certain projects pursuant to master and other service agreements, over time utilizing the cost-to-cost measure of progress, or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The full amount of an estimated loss on a contract is recognized in the period such losses are determined. Any such adjustments could result in reduced profitability and negatively affect our results of operations.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5"/>
          <w:szCs w:val="15"/>
          <w:b w:val="1"/>
          <w:bCs w:val="1"/>
          <w:i w:val="1"/>
          <w:iCs w:val="1"/>
          <w:color w:val="auto"/>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spacing w:after="0" w:line="74"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Our business is concentrated among relatively few customers, and a substantial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13 - Segments and Related Information and Note 14 - Commitments and Contingencies in the notes to the audited consolidated financial statements, which are incorporated by reference, for revenue concentration information.</w:t>
      </w:r>
    </w:p>
    <w:p>
      <w:pPr>
        <w:spacing w:after="0" w:line="65"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We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spacing w:after="0" w:line="64"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or, for services that are provided on a non-recurring basis, if we complete the required work under a significant number of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67"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4"/>
          <w:szCs w:val="14"/>
          <w:color w:val="auto"/>
        </w:rPr>
        <w:t>Our backlog consists of the estimated amount of revenue we expect to realize from future work on uncompleted contracts, including new contracts under which work has not begun, as well as revenue from change orders and renewal options, amounts under master service and other service agreements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Estimated backlog for work under master service and other service agreements is determined based on historical trends, anticipated seasonal impacts, experience from similar projects and estimates of customer demand based on communications with our customers. These estimates may prove inaccurate, which could cause estimated revenue to be realized in periods later than originally expected, or not at all. In the past, we have experienced postponements, cancellations and reductions in expected future work due to changes in our customers’ spending plans, market volatility, changes in governmental permitting,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125"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In times of low unemployment, it can be difficult for us to find appropriately skilled and qualified personnel at affordable rates and our labor costs may increase due to shortages in the supply of skilled labor and increases in compensation rates generally.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Additionally, our business is managed by a number of key executive and operational officers, many of whom have extensive industry experience, and is dependent upon retaining and recruiting qualified management to execute our business strategy. Lack of skilled labor, the loss of key personnel, labor shortages and/or increased turnover rates could lead to increased wage rates and increased costs to attract and retain employees, and could negatively affect our ability to operate efficiently, all of which could materially adversely affect our results of operations, cash flows and liquidity.</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results are based, in part, upon estimates and assumptions that may differ from actual results.</w:t>
      </w:r>
    </w:p>
    <w:p>
      <w:pPr>
        <w:spacing w:after="0" w:line="102"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key estimates. Actual results could differ materially from the estimates and assumptions that we use, which could have a material adverse effect on our results of operations, cash flows and liquidity.</w:t>
      </w:r>
    </w:p>
    <w:p>
      <w:pPr>
        <w:spacing w:after="0" w:line="6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In addition, accounting rules and regulations are subject to review and interpretation by the Financial Accounting Standards Board (the “FASB”), the SEC and various other governing bodies. A change in accounting rules and regulations pursuant to FASB or SEC guidance could have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5"/>
          <w:szCs w:val="15"/>
          <w:color w:val="auto"/>
        </w:rPr>
        <w:t>a material effect on our reported financial results, and the adoption of new or revised accounting principles could require that we make significant changes to our systems, processes and controls, which could have an adverse effect on our results of operations, cash flows and liquidity.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subject to operational risk, including from operational and physical hazards that could result in substantial liabilities and weaken our financial condition.</w:t>
      </w:r>
    </w:p>
    <w:p>
      <w:pPr>
        <w:spacing w:after="0" w:line="125" w:lineRule="exact"/>
        <w:rPr>
          <w:sz w:val="20"/>
          <w:szCs w:val="20"/>
          <w:color w:val="auto"/>
        </w:rPr>
      </w:pPr>
    </w:p>
    <w:p>
      <w:pPr>
        <w:jc w:val="both"/>
        <w:ind w:firstLine="599"/>
        <w:spacing w:after="0" w:line="287" w:lineRule="auto"/>
        <w:rPr>
          <w:sz w:val="20"/>
          <w:szCs w:val="20"/>
          <w:color w:val="auto"/>
        </w:rPr>
      </w:pPr>
      <w:r>
        <w:rPr>
          <w:rFonts w:ascii="Arial" w:cs="Arial" w:eastAsia="Arial" w:hAnsi="Arial"/>
          <w:sz w:val="13"/>
          <w:szCs w:val="13"/>
          <w:color w:val="auto"/>
        </w:rPr>
        <w:t>Our business is subject to operational hazards due to the nature of services we provide and the conditions in which we operate, including electricity, fires, explosions, mechanical failures and weather-related incidents. While we invest substantial resources in occupational health and safety programs, there can be no assurance that we will be able to mitigate all such hazards or avoid significant liability. Construction projects undertaken by us expose our employees to electrical lines, pipelines carrying potentially explosive or toxic materials, heavy equipment, transportation accidents, adverse weather conditions and the risk of damage to equipment and property. These risks and hazards, among others, can cause personal injuries and loss of life, severe damage to or destruction of property and equipment and other consequential damages and could lead to suspension of operations, large damage claims that could substantially exceed the amount we charge for the associated services, government enforcement actions or regulatory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serious accidents or fatalities occur, or if our safety records were to deteriorate, we may be restricted from bidding on certain work or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or an increase the costs of our projects, or could harm our ability to perform under our contracts or enter into new customer contracts, all of which could materially and adversely affect our revenue, profitability and liquidity.</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business is seasonal and affected by the spending patterns of our customers, weather conditions, natural catastrophes and timing of governmental permitting, all of which exposes us to variations in quarterly results.</w:t>
      </w:r>
    </w:p>
    <w:p>
      <w:pPr>
        <w:spacing w:after="0" w:line="6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As a result, we generally experience reduced revenue in the first quarter of each calendar year. Natural catastrophes such as hurricanes or other severe weather, wildfires or flooding could affect our ability to perform outdoor services or utilize equipment and crews in affected regions. The effects of climate change, the COVID-19 pandemic and timing of governmental permitting could also result in greater seasonal and cyclical volatility than would otherwise exist under normal conditions. These events, as well as other global and/or economic effects, could create increased volatility in our results and/or adversely affect demand for our services and our results of operations, cash flows and liquidity.</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We maintain a workforce based upon current and anticipated workloads. We could incur significant costs and reduced profitability from underutilization of our workforce if there is a significant reduction in the level of services we provide or if contract awards are delayed or not received.</w:t>
      </w:r>
    </w:p>
    <w:p>
      <w:pPr>
        <w:spacing w:after="0" w:line="6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Our estimates of future performance and results of operations depend, among other factors, on whether and when we receive new contract awards, which affect the extent to which we are able to utilize our workforce. The rate at which we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our workforce size to our project needs. If an expected contract award is delayed or not received, we could incur costs resulting from underutilization of our workforce, redundancy of facilities, or from efforts to right-size our workforce and/or operations, which could reduce our profitability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and the operations of our customers, may be adversely affected by epidemics or pandemics such as the COVID-19 pandemic.</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may face risks related to health epidemics and pandemics or other outbreaks of communicable diseases. The COVID-19 pandemic created significant volatility, uncertainty and economic disruption, including significant volatility in the U.S. economy and financial markets throughout 2020 and 2021, and negatively affected our operations during the same period. While the adverse effects of the COVID-19 pandemic have partially subsided, its effects vary by region, and uncertainties arising from the COVID-19 pandemic could continue to disrupt economic conditions and business activities, particularly as new variants of COVID-19 arise. The extent to which the COVID-19 pandemic, including the recent variants, could affect our future business, operations, financial results and the trading price of our common stock is uncertain as it will depend upon numerous evolving factors that we may not be able to accurately predict, including the duration and scope of the pandemic, the continued emergence of new strains of COVID-19, the acceptance and effectiveness of vaccines and treatments, and the length and extent of any continuing economic and market disruptions.</w:t>
      </w:r>
    </w:p>
    <w:p>
      <w:pPr>
        <w:spacing w:after="0" w:line="7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A public health epidemic or pandemic, such as the COVID-19 pandemic, poses the risk that we or our employees, customers and/or business partners may be prevented from conducting ordinary course business activities for an indefinite period of time, including due to shutdowns or cancellations that may be mandated or requested by governmental authorities or others, or that the pandemic may otherwise interrupt or affect business activities. While our business model has, thus far, proven resilient, the COVID-19 pandemic has had a negative effect on our operations, and we expect that this could continue further into 2022; however, we cannot predict the extent or duration of potential negative effects on our operations. We have adjusted standard operating procedures within our business operations to ensure continued employee and customer safety and are continually monitoring evolving health guidelines as well as market conditions and responding to changes as appropriate. We cannot be certain, however, that these efforts will prevent further disruption due to effects of the pandemic on business and market conditions. Additionally, we could be exposed to increased risks and costs associated with workplace health claims. We continue to incorporate work-at-home programs as appropriate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0" w:name="page21"/>
    <w:bookmarkEnd w:id="20"/>
    <w:p>
      <w:pPr>
        <w:jc w:val="both"/>
        <w:spacing w:after="0" w:line="303" w:lineRule="auto"/>
        <w:rPr>
          <w:sz w:val="20"/>
          <w:szCs w:val="20"/>
          <w:color w:val="auto"/>
        </w:rPr>
      </w:pPr>
      <w:r>
        <w:rPr>
          <w:rFonts w:ascii="Arial" w:cs="Arial" w:eastAsia="Arial" w:hAnsi="Arial"/>
          <w:sz w:val="14"/>
          <w:szCs w:val="14"/>
          <w:color w:val="auto"/>
        </w:rPr>
        <w:t>for our administrative offices and, despite our implementation of information technology security measures, there is no guarantee that the data security and privacy safeguards we have put in place will be completely effective or that we will not encounter some of the common risks associated with employees accessing data and systems remotely.</w:t>
      </w:r>
    </w:p>
    <w:p>
      <w:pPr>
        <w:spacing w:after="0" w:line="43"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4"/>
          <w:szCs w:val="14"/>
          <w:color w:val="auto"/>
        </w:rPr>
        <w:t>Notwithstanding moderation of the COVID-19 pandemic and related governmental and other restrictions, we may continue to experience negative effects on our business and operations from possible longer-term changes in consumer and customer behavior and/or from negative economic conditions, including recent inflationary effects, supply chain disruptions and limited availability of products. Disruptions in global economic activity, unfavorable market conditions and market uncertainty resulting from the COVID-19 pandemic have had, and may continue to have, adverse effects across our end markets, including in the oil and gas markets, and could have a negative effect on demand for our customers’ services and/or the profitability of services.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Delay in the receipt of regulatory approvals due to pandemic-related disruptions could also affect project timing and activity levels. We could also incur incremental operational costs or experience lower levels of overhead absorption from a reduction in revenue, both of which could negatively affect our margins and profitability. Additionally, COVID-19 related economic and market disruptions could lead to greater than normal uncertainty with respect to the realization of estimated amounts, including our estimates for backlog, revenue recognition, recoverability of goodwill, intangible assets and other investments and our provisions for credit losses. Our customers could seek to delay payments to us as a result of the pandemic’s financial effects on them, which could negatively affect our cash flows and liquidity. The COVID-19 pandemic or any other future pandemics could also precipitate or aggravate other risk factors presented in this Annual Report on Form 10-K, which in turn could materially adversely affect our business, financial condition and results of operations.</w:t>
      </w:r>
    </w:p>
    <w:p>
      <w:pPr>
        <w:spacing w:after="0" w:line="7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ultimate extent, duration and impact of the COVID-19 pandemic is uncertain, the effects of which could be significant, and we cannot predict or quantify with any certainty the extent to which it could adversely affect our future financial condition, results of operations, liquidity, cash flows or the market price of our common stock.</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67"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may also be subject to litigation in the normal course of business involving allegations of violations of the Fair Labor Standards Act and state wage and hour laws.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66"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We reassess our potential liability for litigation and contingencies as additional information becomes available and adjust our accruals as necessary. We could experience a reduction in our profitability and liquidity if we do not properly estimate the amount of required accruals for litigation or contingencies, or if our insurance coverage proves to be inadequate or becomes unavailable, or if our self-insurance liabilities are higher than expected. The outcome of litigation is difficult to assess or quantify, as plaintiffs may seek recovery of very large or indeterminate amounts and the magnitude of the potential loss may remain unknown for substantial periods of time. Furthermore, because litigation is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spacing w:after="0" w:line="67"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depend on subcontractors to perform work for some of our projects. There is a risk that we could have disputes with subcontractors arising from, among other things, the quality and timeliness of the work they perform, customer concerns, or our failure to extend existing work orders or issue new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spacing w:after="0" w:line="7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including from supply chain disruptions resulting from the COVID-19 pandemic, could negatively affect our operations. Additionally, in an inflationary environment, it can be difficult for us to find appropriately skilled and qualified subcontractors and suppliers at affordable rates and our costs may increase due to shortages in the supply and increases in subcontractor and supplier costs generally. Our results of operations, cash flows and liquidity could be adversely affected if we were unable to acquire sufficient materials or equipment to conduct our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1" w:name="page22"/>
    <w:bookmarkEnd w:id="21"/>
    <w:p>
      <w:pPr>
        <w:jc w:val="both"/>
        <w:spacing w:after="0" w:line="266" w:lineRule="auto"/>
        <w:rPr>
          <w:sz w:val="20"/>
          <w:szCs w:val="20"/>
          <w:color w:val="auto"/>
        </w:rPr>
      </w:pPr>
      <w:r>
        <w:rPr>
          <w:rFonts w:ascii="Arial" w:cs="Arial" w:eastAsia="Arial" w:hAnsi="Arial"/>
          <w:sz w:val="15"/>
          <w:szCs w:val="15"/>
          <w:b w:val="1"/>
          <w:bCs w:val="1"/>
          <w:i w:val="1"/>
          <w:iCs w:val="1"/>
          <w:color w:val="auto"/>
        </w:rPr>
        <w:t>We rely on information, communications and data systems in our operations. Systems and information technology interruptions and/or data security breaches could adversely affect our ability to operate and our operating results or could result in harm to our reputation.</w:t>
      </w:r>
    </w:p>
    <w:p>
      <w:pPr>
        <w:spacing w:after="0" w:line="67"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We are heavily reliant on information and communications technology, computer and other related systems in order to operate. We also rely, in part, on third-party software and information technology to run certain of our critical accounting, project management and financial information systems.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spacing w:after="0" w:line="8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all of which could have a material adverse effect on our business, results of operations and financial condition and could harm our reputation and/or result in significant costs, fines or litigation. Similar risks could affect our customers, subcontractors or suppliers, indirectly affecting us.</w:t>
      </w:r>
    </w:p>
    <w:p>
      <w:pPr>
        <w:spacing w:after="0" w:line="77"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In the ordinary course of business, we have been targeted by malicious cyber-attacks, although our systems have been sufficiently resilient to prevent disruption of our operations; however, because the techniques used to obtain unauthorized access or sabotage systems change frequently and generally are not identified until they are launched against a target, our current or future defenses may not be adequate to protect against new or revised techniques. As a result, we may be required to expend significant resources to protect against the threat of system disruptions and security breaches or to investigate and mitigate problems caused by these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73"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In addition, the unauthorized disclosure of confidential information and current and future laws and regulations governing data privacy may pose complex compliance challenges and/or result in additional costs. Failure to comply with such laws and regulations could result in penalties, fines and/or legal liabilities and/or harm our reputation. The continuing and evolving threat of cyber-attacks has also resulted in increased regulatory focus on risk management and prevention. New cyber-related regulations or other requirements could require significant additional resources and/or cause us to incur significant costs, which could have an adverse effect on our results of operations and cash flows.</w:t>
      </w:r>
    </w:p>
    <w:p>
      <w:pPr>
        <w:spacing w:after="0" w:line="6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and/or causing delays or difficulties in transitioning to new systems. In addition, our system implementations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incur goodwill and intangible asset impairment charges, which could harm our profitability.</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have a significant amount of goodwill and intangible assets. We periodically review the carrying values of goodwill and intangible assets to determine whether such carrying values exceed their fair market values. Declines in the profitability of individual reporting units due to economic or market conditions or otherwise, including from adverse changes in regulations and/or financial, competitive and other conditions, including declines in the operating performance of our reporting units or other adverse changes in the key valuation assumptions contributing to the estimated fair value of our reporting units, could adversely affect the estimated fair values of the related reporting units, which could result in an impairment of the recorded balances of goodwill or intangible assets. See Note 3 - Acquisitions, Goodwill and Other Intangible Assets in the notes to the audited consolidated financial statements, which is incorporated by reference, for additional details.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of our internal control over financial reporting could materially affect our business.</w:t>
      </w:r>
    </w:p>
    <w:p>
      <w:pPr>
        <w:spacing w:after="0" w:line="102"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We may have additional tax liabilities associated with our domestic and international operations.</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federal government signed various relief measures into law in 2020 in response to the COVID-19 pandemic, including the Coronavirus Aid, Relief and Economic Security Act (the “CARES Act”), which provides various tax relief and incentive measures, including provisions permitting the deferral and/or reduction of certain federal and payroll tax amounts. We have pursued certain of these relief provisions, which require significant judgments and estimates to be made. Our interpretations of these provisions could differ from those of the U.S. Treasury Department or the Internal Revenue Service (the “IRS”). The foregoing items, as well as any other future changes in tax laws, could have a material adverse effect on our business, cash flow, financial condition, or results of operations.</w:t>
      </w:r>
    </w:p>
    <w:p>
      <w:pPr>
        <w:spacing w:after="0" w:line="70"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self-insured against many potential liabilities.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We maintain insurance policies with respect to automobile liability, general liability, employer’s liability, worker’s compensation and other type of coverages. These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which could expose us to significant liabilities and materially and adversely affect our business, financial condition, results of operations and cash flows. In addition, insurance liabilities are difficult to assess and estimate due to many factors, the effects of which are often unknown or difficult to estimate, including the severity of an injury, the determination of our liability in proportion to other parties’ liability, the number of incidents not reported and the effectiveness of our safety programs. If our insurance costs exceed our estimates of insurance liabilities, or if our insurance claims increase, or if our insurance coverage proves to be inadequate or becomes unavailable, we could experience increased exposure to risk and/or a decline in profitability and liquidity.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use of a unionized workforce and any related obligations could subject us to liabilities that could adversely affect our liquidity, cash flows and results of operations.</w:t>
      </w:r>
    </w:p>
    <w:p>
      <w:pPr>
        <w:spacing w:after="0" w:line="11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liquidity, cash flows and results of operations.</w:t>
      </w:r>
    </w:p>
    <w:p>
      <w:pPr>
        <w:spacing w:after="0" w:line="8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In addition, the Pension Protection Act of 2006, as amended, requires underfunded pension plans to improve their funding ratios within prescribed intervals, under which benefit reductions may apply and/or participating employers could be required to make additional contributions. If a multiemployer defined benefit plan fails to satisfy certain minimum funding requirements, the Internal Revenue Service can impose on the contributing employers a non-deductible excise tax of 5% of the amount of the accumulated funding deficiency.</w:t>
      </w:r>
    </w:p>
    <w:p>
      <w:pPr>
        <w:spacing w:after="0" w:line="8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Based upon the information available to us from plan administrators as of December 31, 2021, several of the multiemployer pension plans in which we participate are underfunded and, as a result,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requirements to pay increased contributions and/or excise taxes in the future, any of which could adversely affect our cash flows,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Strategic Transactions and Foreign Operations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Acquisitions and strategic investments involve risks, including from integration of acquired businesses into our operations, which, if unsuccessful, could negatively affect our operating results, cash flows and liquidity and may not enhance shareholder value.</w:t>
      </w:r>
    </w:p>
    <w:p>
      <w:pPr>
        <w:spacing w:after="0" w:line="6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We have made, and may continue to make, strategic acquisitions and investments, including share repurchases. Acquisitions may expose us to operational challenges and risks, including: (i) the ability to profitably manage the acquired business or successfully integrate the operations, internal controls, procedures, financial reporting and accounting systems of the businesses we acquire into our business operations; (ii) the ability to realize the anticipated benefits from successful integration of the acquired businesses; (iii) increased indebtedness and contingent earn-out obligations; (iv) the ability to fund cash flow shortages that may occur if anticipated revenue, profits and/or cash flows are not realized or are delayed, whether by general economic or market conditions, or other unforeseen difficulties; (v) the expense of integrating acquired businesses; (vi) the ability to retain or hire the personnel required for the successful operation of the acquired business and expanded business operations, in general; (vii) the ability to retain the business relationships of the acquired businesses; (viii) diversion of management’s attention; and (ix) the availability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funding sufficient to meet increased capital needs, among others.</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We may learn additional information about the businesses we have acquired that could materially adversely affect us, such as unknown or contingent liabilities, unprofitable projects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70"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We may pay for acquisitions or strategic investments with increased borrowings under our credit facility or the issuance of debt instruments or shares of our common stock, which could dilute the ownership interests of our common shareholders. We may decide to pursue acquisitions with which our investors may not agree. In addition, we may not be able to identify suitable acquisition or strategic investment opportunities or may be unable to obtain the required consent of our lenders and therefore, may not be able to complete such acquisitions or strategic investments. Borrowings or issuances of debt associated with these acquisitions could also result in higher levels of indebtedness, which could negatively affect our ability to service our debt within the scheduled repayment terms. In addition, in connection with most of our acquisitions, we agree to substantial future earn-out arrangements. To the extent we defer payment of an acquisition’s purchase price through a cash earn-out arrangement, it will reduce our cash flows in subsequent periods.</w:t>
      </w:r>
    </w:p>
    <w:p>
      <w:pPr>
        <w:spacing w:after="0" w:line="6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Additionally, we have repurchased shares of our common stock in the past and may continue to do so in the future. We cannot provide assurance that any stock repurchases will enhance shareholder value because the market price of our common stock may decline below the levels at which we repurchased such shares.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participation in strategic arrangements, including joint ventures and equity investments, exposes us to numerous risks.</w:t>
      </w:r>
    </w:p>
    <w:p>
      <w:pPr>
        <w:spacing w:after="0" w:line="102"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4"/>
          <w:szCs w:val="14"/>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our partners do not meet their performance obligations on projects, and we are unable to adequately address such performance issues on the part of our partners,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67" w:lineRule="exact"/>
        <w:rPr>
          <w:sz w:val="20"/>
          <w:szCs w:val="20"/>
          <w:color w:val="auto"/>
        </w:rPr>
      </w:pPr>
    </w:p>
    <w:p>
      <w:pPr>
        <w:jc w:val="both"/>
        <w:ind w:firstLine="599"/>
        <w:spacing w:after="0" w:line="287" w:lineRule="auto"/>
        <w:rPr>
          <w:sz w:val="20"/>
          <w:szCs w:val="20"/>
          <w:color w:val="auto"/>
        </w:rPr>
      </w:pPr>
      <w:r>
        <w:rPr>
          <w:rFonts w:ascii="Arial" w:cs="Arial" w:eastAsia="Arial" w:hAnsi="Arial"/>
          <w:sz w:val="13"/>
          <w:szCs w:val="13"/>
          <w:color w:val="auto"/>
        </w:rPr>
        <w:t>We derive a portion of our revenue from international markets, and we may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and the revenue we derive from, or the number of countries in which we operate, could expand in the future. Economic conditions, including those resulting from health outbreaks, wars, geopolitical shifts, civil unrest, acts of terrorism and other conflicts,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our foreign activities.</w:t>
      </w:r>
    </w:p>
    <w:p>
      <w:pPr>
        <w:spacing w:after="0" w:line="6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In addition, detecting, investigating and resolving actual or alleged FCPA violations is expensive and can consume significant time and attention of our senior management. We could incur severe criminal or civil penalties or other sanctions if we are found to be liable for FCPA violations, either due to our own acts or our inadvertence, or due to the acts or inadvertence of others, which could have a material adverse effect on our reputation, business,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Risks Related to Regulation and Compliance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climate change.</w:t>
      </w:r>
    </w:p>
    <w:p>
      <w:pPr>
        <w:spacing w:after="0" w:line="10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Climate change related events could negatively affect our business, financial condition and results of operations. While the potential effects of climate change are highly uncertain, climate change could result in, among other things, an increase in extreme weather events, such as floods, hurricanes and wildfires, as well as changes in rainfall patterns, storm patterns and intensities and temperature levels, rising sea levels and limitations on water availability and quality. Our operating results are significantly influenced by weather; therefore, major changes in weather patterns could have a significant effect on our future operating results. Extreme weather conditions could limit the availability of resources, cause supply chain disruptions or increase the costs of our projects, reduce productivity, or could cause projects to be delayed or canceled. We could experience project cancellations, reduced demand or reduced productivity if climate change results in a significant increase in adverse weather conditions in a given period, which could negatively affect our revenue and profitability. We could also be exposed to increased risk of liability in locations potentially affected by climate change, for example, in areas where the risk of wildfires is increased. The risks associated with the physical effects of climate change could also increase our insurance premiums or reduce the amount of coverage that insurers are willing to make available under our insurance policies. In addition, limitations on access to clean water in the communities where we conduct our operations could disrupt our or our customers’ operations and result in work stoppages, project delays, reduced productivity and increased costs.</w:t>
      </w:r>
    </w:p>
    <w:p>
      <w:pPr>
        <w:spacing w:after="0" w:line="70"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Climate change could also affect the projects our customers award. Concerns about climate change could result in potential new regulations, regulatory actions or requirements to fund energy efficiency activities, any of which could negatively affect our customers, decrease the number and scope of the projects they award and decrease demand for our services. Demand for power projects, underground pipelines or other projects could be negatively affected by significant changes in weather or by legislation or regulations governing climate change. Legislative and/or regulatory responses related to climate change could also affect the availability of goods, increase our costs or otherwise negatively affect our operations. In addition, demand for our services could be negatively affected by market and consumer response to the effects of climate change, as well from changes in technology. Our ability to compete could be affected by labor shortages resulting from lack of available skilled labor for new or emerging climate-related technologies. Additionally, if our stakeholders do not have a favorable view of our values and practices in the transition to a low-carbon economy, we could suffer reputational risk or an increase in our cost of, or a reduction in the availability of, capital. Increased or new or changing reporting and compliance requirements relating to climate change matters could also increase our costs and expose us to the risk of non-compliance.</w:t>
      </w:r>
    </w:p>
    <w:p>
      <w:pPr>
        <w:spacing w:after="0" w:line="58"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4"/>
          <w:szCs w:val="14"/>
          <w:color w:val="auto"/>
        </w:rPr>
        <w:t>There are significant environmental regulations and policies under consideration or reconsideration to encourage the use of clean energy technologies and regulate emissions of greenhouse gases to address climate change, which can cause uncertainty for our customers and our operations. We cannot predict future changes to environmental regulations and policies, nor can we predict the effects that any such changes would have on our business. The establishment of rules limiting greenhouse gas emissions or mandating lower carbon infrastructure could affect overall customer demand, reduce the need for services of certain of our business segments, as well as our ability to perform construction services or to perform these services at current levels of profitability. For example, if new regulations were adopted regulating greenhouse gas emissions, we could experience a significant increase in environmental compliance costs in light of our large fleet and the amount of construction machinery we own. New regulations may require us to acquire different equipment or change processes, and could result in a write-off or impairment of our current fleet or other equipment assets. The new equipment may not be available, or we may not be able to purchase or rent this equipment in a cost-effective manner. Compliance with any new laws or regulations relating to the reduction of greenhouse gases could result in significant changes to our operations and a significant increase in the cost of conducting our business. In addition, our reputation could suffer and/or we could experience a reduction in the amount of future work we are awarded if our operations are perceived to result in high greenhouse gas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We perform work in underground environments, which could affect the environment. A failure to comply with environmental laws could result in significant liabilities or harm our reputation, and new environmental laws or regulations could adversely affect our business.</w:t>
      </w:r>
    </w:p>
    <w:p>
      <w:pPr>
        <w:spacing w:after="0" w:line="6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significant fines and damages and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81"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6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5" w:name="page26"/>
    <w:bookmarkEnd w:id="25"/>
    <w:p>
      <w:pPr>
        <w:jc w:val="both"/>
        <w:spacing w:after="0" w:line="265" w:lineRule="auto"/>
        <w:rPr>
          <w:sz w:val="20"/>
          <w:szCs w:val="20"/>
          <w:color w:val="auto"/>
        </w:rPr>
      </w:pPr>
      <w:r>
        <w:rPr>
          <w:rFonts w:ascii="Arial" w:cs="Arial" w:eastAsia="Arial" w:hAnsi="Arial"/>
          <w:sz w:val="14"/>
          <w:szCs w:val="14"/>
          <w:color w:val="auto"/>
        </w:rPr>
        <w:t>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comply with the regulations of federal, state and local agencies that oversee transportation and safety compliance could reduce our revenue, profitability and liquidity.</w:t>
      </w:r>
    </w:p>
    <w:p>
      <w:pPr>
        <w:spacing w:after="0" w:line="125"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Our customers could cancel existing contracts and not award future business to us if we were in violation of these regulations. 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Financing Our Business</w:t>
      </w:r>
    </w:p>
    <w:p>
      <w:pPr>
        <w:spacing w:after="0" w:line="10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We have a significant amount of debt, which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4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Our outstanding debt and debt service requirements could have significant consequences on our future operations, including: making it more difficult for us to meet our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subjecting us to the risk of increasing interest expense on variable rate indebtedness;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83"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bank group,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65"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to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70"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In addition, regulatory changes and/or reforms, such as the phase-out of the London Inter-bank Offered Rate (“LIBOR”), which is expected to occur by June 30, 2023, could lead to additional volatility in interest rates for our variable rate debt and other unpredictable effects. While our material financing arrangements indexed to LIBOR have procedures for determining an alternative base rate, such alternative base rate could perform differently than the current LIBOR-indexed rate and could result in an increase in the cost of our variable rate indebtedness, which could negatively affect our results of operations and cash flows.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6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5"/>
          <w:szCs w:val="15"/>
          <w:color w:val="auto"/>
        </w:rPr>
        <w:t>by-project basis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Common Stock</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There may be future sales of our common stock or other dilution of our equity that could adversely affect the market price of our common stock and dilute your share ownership and could lead to volatility in our common stock price.</w:t>
      </w:r>
    </w:p>
    <w:p>
      <w:pPr>
        <w:spacing w:after="0" w:line="67"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color w:val="auto"/>
        </w:rPr>
        <w:t>We are not restricted from issuing additional common stock. Our Amended and Restated Articles of Incorporation provide that we may issue up to a total 145.0 million shares of common stock, of which approximately 76.4 million shares were outstanding as of December 31, 2021. We grow our business organically as well as through acquisition. Occasionally, we may issue shares of stock as consideration in our acquisitions and, typically, we have the option to issue shares of our common stock instead of cash as consideration for future earn-out obligations. The issuance of additional shares of our common stock in connection with future acquisitions, financing transactions, share-based payment awards or other issuances of our common stock will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has been, and may continue to be, highly volatile.</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or the operating results of one of our competitors; market conditions in our customers' industries, including the effects of climate-related matters; capital spending plans of our significant customers; volatility in energy and fuel prices; announcements of new or terminated customers or contracts; announcements of acquisitions by us or our competitors;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w:t>
      </w:r>
    </w:p>
    <w:p>
      <w:pPr>
        <w:spacing w:after="0" w:line="83"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In addition, the stock market continues to experience significant volatility, which can sometimes be unrelated or disproportionate to operating performance. Volatility in the market price of our common stock could cause shareholders to lose some or all of their investment in our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small number of our existing shareholders have the ability to influence major corporate decisions.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Jorge Mas, our Chairman, and José R. Mas, our Chief Executive Officer, beneficially owned approximately 23% of the outstanding shares of our common stock as of December 31, 2021. Accordingly, they are in a position to influence: the vote of most matters submitted to our shareholders, including any merger, consolidation or sale of all or substantially all of our assets; the nomination of individuals to our Board of Directors; and a change in our control.</w:t>
      </w:r>
    </w:p>
    <w:p>
      <w:pPr>
        <w:spacing w:after="0" w:line="74"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These factors may discourage, delay or prevent a takeover attempt that shareholders might consider in their best interests or that might result in shareholders receiving a premium for their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articles of incorporation and certain provisions of Florida law contain anti-takeover provisions that may make it more difficult to effect a change in our control.</w:t>
      </w:r>
    </w:p>
    <w:p>
      <w:pPr>
        <w:spacing w:after="0" w:line="11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may discourage hostile takeover bids. In addition, our articles of incorporation authorize our Board of Directors, without further shareholder approval, to issue preferred stock. The issuance of preferred stock could also dilute the voting power of holders of our common stock, including the granting of voting control to others, which could delay or prevent an acquisition or change in control.</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3.</w:t>
        <w:tab/>
        <w:t>LEGAL PROCEEDINGS</w:t>
      </w:r>
    </w:p>
    <w:p>
      <w:pPr>
        <w:spacing w:after="0" w:line="15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information set forth in Note 14 - Commitments and Contingencies in the notes to the audited consolidated financial statements in Item 8 of this Form 10-K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 w:name="page28"/>
    <w:bookmarkEnd w:id="27"/>
    <w:p>
      <w:pPr>
        <w:spacing w:after="0"/>
        <w:tabs>
          <w:tab w:leader="none" w:pos="6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02" w:lineRule="exact"/>
        <w:rPr>
          <w:sz w:val="20"/>
          <w:szCs w:val="20"/>
          <w:color w:val="auto"/>
        </w:rPr>
      </w:pPr>
    </w:p>
    <w:p>
      <w:pPr>
        <w:ind w:right="160"/>
        <w:spacing w:after="0" w:line="384" w:lineRule="auto"/>
        <w:rPr>
          <w:sz w:val="20"/>
          <w:szCs w:val="20"/>
          <w:color w:val="auto"/>
        </w:rPr>
      </w:pPr>
      <w:r>
        <w:rPr>
          <w:rFonts w:ascii="Arial" w:cs="Arial" w:eastAsia="Arial" w:hAnsi="Arial"/>
          <w:sz w:val="15"/>
          <w:szCs w:val="15"/>
          <w:b w:val="1"/>
          <w:bCs w:val="1"/>
          <w:color w:val="auto"/>
        </w:rPr>
        <w:t>ITEM 5. MARKET FOR THE REGISTRANT’S COMMON EQUITY, RELATED SHAREHOLDER MATTERS AND ISSUER PURCHASES OF EQUITY SECURITIES Market Information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common stock is listed on the New York Stock Exchange (“NYSE”) under the symbol “MTZ.”</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b w:val="1"/>
          <w:bCs w:val="1"/>
          <w:i w:val="1"/>
          <w:iCs w:val="1"/>
          <w:color w:val="auto"/>
        </w:rPr>
        <w:t xml:space="preserve">Holders. </w:t>
      </w:r>
      <w:r>
        <w:rPr>
          <w:rFonts w:ascii="Arial" w:cs="Arial" w:eastAsia="Arial" w:hAnsi="Arial"/>
          <w:sz w:val="15"/>
          <w:szCs w:val="15"/>
          <w:color w:val="auto"/>
        </w:rPr>
        <w:t>As of February 24, 2022, there were 1,742 holders of record of our common stock. In calculating the number of shareholders, we consider clearing agencies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security position listings as one shareholder for each agency or listing.</w:t>
      </w:r>
    </w:p>
    <w:p>
      <w:pPr>
        <w:spacing w:after="0" w:line="67"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We have historically not paid cash dividends and do not currently anticipate paying a cash dividend. We intend to retain future earnings for reinvestment. Our Board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 The indenture governing our senior notes, as well as our credit agreements, contains covenants that may restrict our ability to make certain payments, including the payment of dividends. See Item 7. “Management’s Discussion and Analysis of Financial Condition and Results of Operations - Financial Condition, Liquidity and Capital Resources.”</w:t>
      </w:r>
    </w:p>
    <w:p>
      <w:pPr>
        <w:spacing w:after="0" w:line="65"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b w:val="1"/>
          <w:bCs w:val="1"/>
          <w:i w:val="1"/>
          <w:iCs w:val="1"/>
          <w:color w:val="auto"/>
        </w:rPr>
        <w:t xml:space="preserve">Issuer Purchases of Equity Securities. </w:t>
      </w:r>
      <w:r>
        <w:rPr>
          <w:rFonts w:ascii="Arial" w:cs="Arial" w:eastAsia="Arial" w:hAnsi="Arial"/>
          <w:sz w:val="14"/>
          <w:szCs w:val="14"/>
          <w:color w:val="auto"/>
        </w:rPr>
        <w:t>See Note 11 - Equity in the notes to the audited consolidated financial statements, which is incorporated by reference, for information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pertaining to our share repurchase programs. For the year ended December 31, 2021, there were no shares repurchased under our share repurchase programs.</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provides information about repurchases of our common stock during the three month period ended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Total Number of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ind w:right="29"/>
              <w:spacing w:after="0"/>
              <w:rPr>
                <w:sz w:val="20"/>
                <w:szCs w:val="20"/>
                <w:color w:val="auto"/>
              </w:rPr>
            </w:pPr>
            <w:r>
              <w:rPr>
                <w:rFonts w:ascii="Arial" w:cs="Arial" w:eastAsia="Arial" w:hAnsi="Arial"/>
                <w:sz w:val="15"/>
                <w:szCs w:val="15"/>
                <w:b w:val="1"/>
                <w:bCs w:val="1"/>
                <w:color w:val="auto"/>
                <w:w w:val="92"/>
              </w:rPr>
              <w:t>Approximate Dollar Value of</w:t>
            </w:r>
          </w:p>
        </w:tc>
        <w:tc>
          <w:tcPr>
            <w:tcW w:w="0" w:type="dxa"/>
            <w:vAlign w:val="bottom"/>
          </w:tcPr>
          <w:p>
            <w:pPr>
              <w:spacing w:after="0"/>
              <w:rPr>
                <w:sz w:val="1"/>
                <w:szCs w:val="1"/>
                <w:color w:val="auto"/>
              </w:rPr>
            </w:pPr>
          </w:p>
        </w:tc>
      </w:tr>
      <w:tr>
        <w:trPr>
          <w:trHeight w:val="87"/>
        </w:trPr>
        <w:tc>
          <w:tcPr>
            <w:tcW w:w="34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vMerge w:val="restart"/>
          </w:tcPr>
          <w:p>
            <w:pPr>
              <w:jc w:val="center"/>
              <w:ind w:right="9"/>
              <w:spacing w:after="0" w:line="150" w:lineRule="exact"/>
              <w:rPr>
                <w:sz w:val="20"/>
                <w:szCs w:val="20"/>
                <w:color w:val="auto"/>
              </w:rPr>
            </w:pPr>
            <w:r>
              <w:rPr>
                <w:rFonts w:ascii="Arial" w:cs="Arial" w:eastAsia="Arial" w:hAnsi="Arial"/>
                <w:sz w:val="15"/>
                <w:szCs w:val="15"/>
                <w:b w:val="1"/>
                <w:bCs w:val="1"/>
                <w:color w:val="auto"/>
                <w:w w:val="90"/>
              </w:rPr>
              <w:t>Shares that May Yet be</w:t>
            </w:r>
          </w:p>
        </w:tc>
        <w:tc>
          <w:tcPr>
            <w:tcW w:w="0" w:type="dxa"/>
            <w:vAlign w:val="bottom"/>
          </w:tcPr>
          <w:p>
            <w:pPr>
              <w:spacing w:after="0"/>
              <w:rPr>
                <w:sz w:val="1"/>
                <w:szCs w:val="1"/>
                <w:color w:val="auto"/>
              </w:rPr>
            </w:pPr>
          </w:p>
        </w:tc>
      </w:tr>
      <w:tr>
        <w:trPr>
          <w:trHeight w:val="62"/>
        </w:trPr>
        <w:tc>
          <w:tcPr>
            <w:tcW w:w="3480" w:type="dxa"/>
            <w:vAlign w:val="bottom"/>
          </w:tcPr>
          <w:p>
            <w:pPr>
              <w:spacing w:after="0"/>
              <w:rPr>
                <w:sz w:val="5"/>
                <w:szCs w:val="5"/>
                <w:color w:val="auto"/>
              </w:rPr>
            </w:pPr>
          </w:p>
        </w:tc>
        <w:tc>
          <w:tcPr>
            <w:tcW w:w="168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w w:val="93"/>
              </w:rPr>
              <w:t>Total Number of Shares</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Average Price</w:t>
            </w:r>
          </w:p>
        </w:tc>
        <w:tc>
          <w:tcPr>
            <w:tcW w:w="22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Purchased as Part of Publicly</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jc w:val="center"/>
              <w:ind w:right="9"/>
              <w:spacing w:after="0" w:line="149" w:lineRule="exact"/>
              <w:rPr>
                <w:sz w:val="20"/>
                <w:szCs w:val="20"/>
                <w:color w:val="auto"/>
              </w:rPr>
            </w:pPr>
            <w:r>
              <w:rPr>
                <w:rFonts w:ascii="Arial" w:cs="Arial" w:eastAsia="Arial" w:hAnsi="Arial"/>
                <w:sz w:val="15"/>
                <w:szCs w:val="15"/>
                <w:b w:val="1"/>
                <w:bCs w:val="1"/>
                <w:color w:val="auto"/>
                <w:w w:val="89"/>
              </w:rPr>
              <w:t>Purchased under the Programs</w:t>
            </w:r>
          </w:p>
        </w:tc>
        <w:tc>
          <w:tcPr>
            <w:tcW w:w="0" w:type="dxa"/>
            <w:vAlign w:val="bottom"/>
          </w:tcPr>
          <w:p>
            <w:pPr>
              <w:spacing w:after="0"/>
              <w:rPr>
                <w:sz w:val="1"/>
                <w:szCs w:val="1"/>
                <w:color w:val="auto"/>
              </w:rPr>
            </w:pPr>
          </w:p>
        </w:tc>
      </w:tr>
      <w:tr>
        <w:trPr>
          <w:trHeight w:val="137"/>
        </w:trPr>
        <w:tc>
          <w:tcPr>
            <w:tcW w:w="348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right"/>
              <w:ind w:right="368"/>
              <w:spacing w:after="0" w:line="138"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5"/>
                <w:szCs w:val="15"/>
                <w:b w:val="1"/>
                <w:bCs w:val="1"/>
                <w:color w:val="auto"/>
                <w:vertAlign w:val="superscript"/>
              </w:rPr>
              <w:t>(a)</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5"/>
              <w:spacing w:after="0" w:line="138" w:lineRule="exact"/>
              <w:rPr>
                <w:sz w:val="20"/>
                <w:szCs w:val="20"/>
                <w:color w:val="auto"/>
              </w:rPr>
            </w:pPr>
            <w:r>
              <w:rPr>
                <w:rFonts w:ascii="Arial" w:cs="Arial" w:eastAsia="Arial" w:hAnsi="Arial"/>
                <w:sz w:val="15"/>
                <w:szCs w:val="15"/>
                <w:b w:val="1"/>
                <w:bCs w:val="1"/>
                <w:color w:val="auto"/>
                <w:w w:val="91"/>
              </w:rPr>
              <w:t>Paid per Share</w:t>
            </w:r>
          </w:p>
        </w:tc>
        <w:tc>
          <w:tcPr>
            <w:tcW w:w="160" w:type="dxa"/>
            <w:vAlign w:val="bottom"/>
            <w:tcBorders>
              <w:bottom w:val="single" w:sz="8" w:color="CCEEFF"/>
            </w:tcBorders>
          </w:tcPr>
          <w:p>
            <w:pPr>
              <w:spacing w:after="0"/>
              <w:rPr>
                <w:sz w:val="11"/>
                <w:szCs w:val="11"/>
                <w:color w:val="auto"/>
              </w:rPr>
            </w:pPr>
          </w:p>
        </w:tc>
        <w:tc>
          <w:tcPr>
            <w:tcW w:w="22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w w:val="90"/>
              </w:rPr>
              <w:t>Announced Program</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93"/>
              </w:rPr>
              <w:t>(b)</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 through October 31</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87.04</w:t>
            </w: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ind w:left="20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158,617,588</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Arial" w:cs="Arial" w:eastAsia="Arial" w:hAnsi="Arial"/>
                <w:sz w:val="15"/>
                <w:szCs w:val="15"/>
                <w:color w:val="auto"/>
              </w:rPr>
              <w:t>November 1 through November 30</w:t>
            </w:r>
          </w:p>
        </w:tc>
        <w:tc>
          <w:tcPr>
            <w:tcW w:w="1680" w:type="dxa"/>
            <w:vAlign w:val="bottom"/>
          </w:tcPr>
          <w:p>
            <w:pPr>
              <w:jc w:val="right"/>
              <w:spacing w:after="0"/>
              <w:rPr>
                <w:sz w:val="20"/>
                <w:szCs w:val="20"/>
                <w:color w:val="auto"/>
              </w:rPr>
            </w:pPr>
            <w:r>
              <w:rPr>
                <w:rFonts w:ascii="Arial" w:cs="Arial" w:eastAsia="Arial" w:hAnsi="Arial"/>
                <w:sz w:val="15"/>
                <w:szCs w:val="15"/>
                <w:color w:val="auto"/>
              </w:rPr>
              <w:t>7,509</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92.48</w:t>
            </w:r>
          </w:p>
        </w:tc>
        <w:tc>
          <w:tcPr>
            <w:tcW w:w="160" w:type="dxa"/>
            <w:vAlign w:val="bottom"/>
          </w:tcPr>
          <w:p>
            <w:pPr>
              <w:spacing w:after="0"/>
              <w:rPr>
                <w:sz w:val="17"/>
                <w:szCs w:val="17"/>
                <w:color w:val="auto"/>
              </w:rPr>
            </w:pPr>
          </w:p>
        </w:tc>
        <w:tc>
          <w:tcPr>
            <w:tcW w:w="2240" w:type="dxa"/>
            <w:vAlign w:val="bottom"/>
          </w:tcPr>
          <w:p>
            <w:pPr>
              <w:ind w:left="2020"/>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80" w:type="dxa"/>
            <w:vAlign w:val="bottom"/>
          </w:tcPr>
          <w:p>
            <w:pPr>
              <w:jc w:val="right"/>
              <w:spacing w:after="0"/>
              <w:rPr>
                <w:sz w:val="20"/>
                <w:szCs w:val="20"/>
                <w:color w:val="auto"/>
              </w:rPr>
            </w:pPr>
            <w:r>
              <w:rPr>
                <w:rFonts w:ascii="Arial" w:cs="Arial" w:eastAsia="Arial" w:hAnsi="Arial"/>
                <w:sz w:val="15"/>
                <w:szCs w:val="15"/>
                <w:color w:val="auto"/>
              </w:rPr>
              <w:t>158,617,588</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1 through December 31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90.22</w:t>
            </w:r>
          </w:p>
        </w:tc>
        <w:tc>
          <w:tcPr>
            <w:tcW w:w="160" w:type="dxa"/>
            <w:vAlign w:val="bottom"/>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158,617,588</w:t>
            </w: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5"/>
                <w:szCs w:val="15"/>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tcPr>
          <w:p>
            <w:pPr>
              <w:ind w:left="20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20" w:hanging="220"/>
        <w:spacing w:after="0" w:line="271" w:lineRule="auto"/>
        <w:tabs>
          <w:tab w:leader="none" w:pos="218"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7,312, 7,281, and 11,248 shares reacquired by the Company on the open market pursuant to the Amended ESPPs in October, November and December of 2021, respectively, and 228 shares withheld for income tax purposes in connection with shares issued under compensation and benefit programs in November of 2021.</w:t>
      </w:r>
    </w:p>
    <w:p>
      <w:pPr>
        <w:spacing w:after="0" w:line="11" w:lineRule="exact"/>
        <w:rPr>
          <w:rFonts w:ascii="Arial" w:cs="Arial" w:eastAsia="Arial" w:hAnsi="Arial"/>
          <w:sz w:val="13"/>
          <w:szCs w:val="13"/>
          <w:color w:val="auto"/>
        </w:rPr>
      </w:pPr>
    </w:p>
    <w:p>
      <w:pPr>
        <w:ind w:left="220" w:hanging="220"/>
        <w:spacing w:after="0" w:line="271" w:lineRule="auto"/>
        <w:tabs>
          <w:tab w:leader="none" w:pos="213"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December 31, 2021, the remaining amount available for share repurchases includes $8.6 million under our December 2018 $100 million share repurchase program, which was publicly announced on December 21, 2018, and the full amount under our March 2020 $150 million share repurchase program, which was publicly announced on March 19, 2020.</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Performance Graph</w:t>
      </w:r>
    </w:p>
    <w:p>
      <w:pPr>
        <w:spacing w:after="0" w:line="10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performance graph below compares the cumulative five year total return for our common stock with the cumulative total return (including reinvestment of dividends) of the Standard and Poor’s 500 Composite Stock Index (“S&amp;P 500”), and with that of the following members of a peer group consisting of Quanta Services, Inc., MYR Group, Inc., Dycom Industries, Inc., Jacobs Engineering Group Inc. and Primoris Services Corporation. The graph assumes that the value of the investment in our common stock, as well as that of the S&amp;P 500 and our peer group, was $100 on December 31, 2016 and tracks it through December 31, 2021. The comparisons in the graph are based upon historical data and are not intended to forecast or be indicative of possible future performance of our common stock.</w:t>
      </w:r>
    </w:p>
    <w:p>
      <w:pPr>
        <w:spacing w:after="0" w:line="7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62230</wp:posOffset>
            </wp:positionV>
            <wp:extent cx="3694430" cy="2639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4430" cy="263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 invested on 12/31/16 in stock or index, including reinvestment of dividends.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Fiscal year ending December 31.</w:t>
      </w:r>
    </w:p>
    <w:p>
      <w:pPr>
        <w:jc w:val="center"/>
        <w:spacing w:after="0"/>
        <w:rPr>
          <w:sz w:val="20"/>
          <w:szCs w:val="20"/>
          <w:color w:val="auto"/>
        </w:rPr>
      </w:pPr>
      <w:r>
        <w:rPr>
          <w:rFonts w:ascii="Arial" w:cs="Arial" w:eastAsia="Arial" w:hAnsi="Arial"/>
          <w:sz w:val="13"/>
          <w:szCs w:val="13"/>
          <w:color w:val="auto"/>
        </w:rPr>
        <w:t>Copyright© 2022 Standard &amp; Poor’s, a division of S&amp;P Global. All rights reserved.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gridSpan w:val="3"/>
          </w:tcPr>
          <w:p>
            <w:pPr>
              <w:ind w:left="20"/>
              <w:spacing w:after="0"/>
              <w:rPr>
                <w:sz w:val="20"/>
                <w:szCs w:val="20"/>
                <w:color w:val="auto"/>
              </w:rPr>
            </w:pPr>
            <w:r>
              <w:rPr>
                <w:rFonts w:ascii="Arial" w:cs="Arial" w:eastAsia="Arial" w:hAnsi="Arial"/>
                <w:sz w:val="15"/>
                <w:szCs w:val="15"/>
                <w:b w:val="1"/>
                <w:bCs w:val="1"/>
                <w:color w:val="auto"/>
              </w:rPr>
              <w:t>As of December 31,</w:t>
            </w:r>
          </w:p>
        </w:tc>
        <w:tc>
          <w:tcPr>
            <w:tcW w:w="24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Arial" w:cs="Arial" w:eastAsia="Arial" w:hAnsi="Arial"/>
                <w:sz w:val="15"/>
                <w:szCs w:val="15"/>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MasTec, Inc.</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167.74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241.25</w:t>
            </w:r>
          </w:p>
        </w:tc>
      </w:tr>
      <w:tr>
        <w:trPr>
          <w:trHeight w:val="197"/>
        </w:trPr>
        <w:tc>
          <w:tcPr>
            <w:tcW w:w="4460" w:type="dxa"/>
            <w:vAlign w:val="bottom"/>
            <w:gridSpan w:val="3"/>
          </w:tcPr>
          <w:p>
            <w:pPr>
              <w:ind w:left="20"/>
              <w:spacing w:after="0"/>
              <w:rPr>
                <w:sz w:val="20"/>
                <w:szCs w:val="20"/>
                <w:color w:val="auto"/>
              </w:rPr>
            </w:pPr>
            <w:r>
              <w:rPr>
                <w:rFonts w:ascii="Arial" w:cs="Arial" w:eastAsia="Arial" w:hAnsi="Arial"/>
                <w:sz w:val="15"/>
                <w:szCs w:val="15"/>
                <w:color w:val="auto"/>
              </w:rPr>
              <w:t>S&amp;P 500</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121.83</w:t>
            </w:r>
          </w:p>
        </w:tc>
        <w:tc>
          <w:tcPr>
            <w:tcW w:w="1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116.49</w:t>
            </w:r>
          </w:p>
        </w:tc>
        <w:tc>
          <w:tcPr>
            <w:tcW w:w="100" w:type="dxa"/>
            <w:vAlign w:val="bottom"/>
          </w:tcPr>
          <w:p>
            <w:pPr>
              <w:spacing w:after="0"/>
              <w:rPr>
                <w:sz w:val="17"/>
                <w:szCs w:val="17"/>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153.17</w:t>
            </w:r>
          </w:p>
        </w:tc>
        <w:tc>
          <w:tcPr>
            <w:tcW w:w="1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181.35</w:t>
            </w:r>
          </w:p>
        </w:tc>
        <w:tc>
          <w:tcPr>
            <w:tcW w:w="100" w:type="dxa"/>
            <w:vAlign w:val="bottom"/>
          </w:tcPr>
          <w:p>
            <w:pPr>
              <w:spacing w:after="0"/>
              <w:rPr>
                <w:sz w:val="17"/>
                <w:szCs w:val="17"/>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233.41</w:t>
            </w:r>
          </w:p>
        </w:tc>
      </w:tr>
      <w:tr>
        <w:trPr>
          <w:trHeight w:val="20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Peer Group</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251.82</w:t>
            </w:r>
          </w:p>
        </w:tc>
      </w:tr>
    </w:tbl>
    <w:p>
      <w:pPr>
        <w:spacing w:after="0" w:line="312"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6"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the COVID-19 Pandemic and General Economic Conditions</w:t>
      </w:r>
    </w:p>
    <w:p>
      <w:pPr>
        <w:spacing w:after="0" w:line="106"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COVID-19 pandemic has disrupted business activities and global economic conditions throughout 2020 and 2021 and has negatively affected our operations during the same period, including from reduced crew productivity due to mitigation measures, the health and availability of work crews or other key personnel and subcontractors; supply chain disruptions; delayed project start dates; and lost productivity from governmental permitting approval delays, project shutdowns and/or cancellations, among other factors. Additionally, disruptions in economic activity as a result of the COVID-19 pandemic have had, and may continue to have, adverse effects across our end markets. While the adverse effects of the COVID-19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96" w:lineRule="auto"/>
        <w:rPr>
          <w:sz w:val="20"/>
          <w:szCs w:val="20"/>
          <w:color w:val="auto"/>
        </w:rPr>
      </w:pPr>
      <w:r>
        <w:rPr>
          <w:rFonts w:ascii="Arial" w:cs="Arial" w:eastAsia="Arial" w:hAnsi="Arial"/>
          <w:sz w:val="13"/>
          <w:szCs w:val="13"/>
          <w:color w:val="auto"/>
        </w:rPr>
        <w:t>pandemic have partially subsided, its effects vary by region, and uncertainties arising from the COVID-19 pandemic could continue to disrupt economic conditions and business activities, particularly as new variants of COVID-19 arise. The extent to which the COVID-19 pandemic, including the recent and emerging variants, could affect our business, operations and financial results is uncertain as it will depend upon numerous evolving factors that management may not be able to accurately predict, including the duration and scope of the pandemic and the continued emergence of new strains of COVID-19. The acceptance and effectiveness of vaccines and treatments, along with the length and extent of any continuing economic and market disruptions are unknown, and therefore, any future impacts on our business, financial condition and/or results of operations cannot be quantified or predicted with specificity.</w:t>
      </w:r>
    </w:p>
    <w:p>
      <w:pPr>
        <w:spacing w:after="0" w:line="5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We believe that we have taken appropriate steps to mitigate the effects of the COVID-19 pandemic on our business, and our business model has, thus far, proven resilient. We continue to actively monitor the effects of the COVID-19 pandemic on our operations, and to the extent that future business activities are adversely affected by the pandemic, we intend to take appropriate actions designed to mitigate these impacts. We continue to adapt to the changing operational and economic environment that has resulted from the COVID-19 pandemic. Our top priority has been to take appropriate actions to protect the health and safety of our employees, customers and business partners, and we continue to monitor evolving health guidelines and respond to changes as appropriate. Notwithstanding moderation of the COVID-19 pandemic and related governmental and other restrictions, we may continue to experience negative effects on our business and operations from possible longer-term changes in consumer and customer behavior and/or from negative economic conditions, including recent inflationary effects, supply chain disruptions, including limited availability of products, and rising interest rates.</w:t>
      </w:r>
    </w:p>
    <w:p>
      <w:pPr>
        <w:spacing w:after="0" w:line="70"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As of December 31, 2021, we maintained a strong balance sheet, have strong relationships with our banking partners and had ample liquidity totaling approximately $1.1 billion, comprising $0.7 billion of availability under our Credit Facility and $361 million of cash.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mergers and acquisitions, share repurchases and capital expenditures. We are carefully managing liquidity and are monitoring any potential effects from the pandemic on our financial results, cash flows and/or working capital and intend to take appropriate actions in efforts to mitigate any impacts.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Item 1. “Business” for discussion pertaining to our business and reportable segments.</w:t>
      </w:r>
    </w:p>
    <w:p>
      <w:pPr>
        <w:spacing w:after="0" w:line="102"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4"/>
          <w:szCs w:val="14"/>
          <w:b w:val="1"/>
          <w:bCs w:val="1"/>
          <w:i w:val="1"/>
          <w:iCs w:val="1"/>
          <w:color w:val="auto"/>
        </w:rPr>
        <w:t>Recent acquisitions</w:t>
      </w:r>
      <w:r>
        <w:rPr>
          <w:rFonts w:ascii="Arial" w:cs="Arial" w:eastAsia="Arial" w:hAnsi="Arial"/>
          <w:sz w:val="14"/>
          <w:szCs w:val="14"/>
          <w:color w:val="auto"/>
        </w:rPr>
        <w:t>. During 2021, we completed fourteen acquisitions including: (i) within our Power Delivery segment: Henkels &amp; McCoy Holdings, Inc., formerly known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Henkels &amp; McCoy Group, Inc. (“HMG”), an industry-leading utility services firm providing critical infrastructure design, construction and maintenance services to the power and renewables, telecommunications, gas distribution and pipeline services end-markets; an electric utility distribution contractor; a company specializing in vegetation management services for the electric and telecommunications industries; and a premier specialty utility contractor primarily providing electrical distribution network services under various multi-year master service agreements to some of the nation’s largest utilities, municipalities and cooperatives; (ii) within our Clean Energy and Infrastructure segment: a heavy civil infrastructure construction company focusing on transportation projects; and a heavy industrial general contractor with concrete, piping and electrical capabilities; (iii) within our Communications segment: a telecommunications company specializing in cabling, plant and other network services; a telecommunications and utility technical services company focusing on outside plant telecommunications engineering; a telecommunications and cable services provider; a utilities infrastructure company, providing power line construction and repair services; and business operations specializing in install-to-the-home services; and (iv) within our Oil and Gas segment: an infrastructure construction company focusing on water, sewer and utility projects, along with expertise in site work; a company specializing in environmental services for energy infrastructure and heavy civil projects; and a pipeline contractor focusing on integrity and maintenance work related to gas distribution infrastructure. In the first quarter of 2022, we determined that we expect to integrate certain of HMG’s operations into our Communications and Oil and Gas segments. We are in the process of evaluating HMG’s organizational structure and systems, and anticipate that we will present HMG’s operations within our Power Delivery, Communications and Oil and Gas segments, as applicable, and that we will present HMG’s corporate functions within our corporate results, beginning in the first quarter of 2022.</w:t>
      </w:r>
    </w:p>
    <w:p>
      <w:pPr>
        <w:spacing w:after="0" w:line="77"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During 2020, we completed five acquisitions. These acquisitions included the equity interests of two entities, one that specializes in heavy civil infrastructure that is included within our Clean Energy and Infrastructure segment, and one that specializes in utility service and telecommunications construction that is included within our Communications segment. We also acquired the assets of three entities, one that specializes in wireless telecommunications and one that specializes in install-to-the-home services, both of which are included within our Communications segment and one that specializes in electrical transmission services that is included within our Power Delivery segment. During 2019, we completed six acquisitions, one of which specializes in water infrastructure for pipeline companies and is included within our Oil and Gas segment, four of which are included within our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our Clean Energy and Infrastructure segment.</w:t>
      </w:r>
    </w:p>
    <w:p>
      <w:pPr>
        <w:spacing w:after="0" w:line="7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For additional information, see Note 3 - Acquisitions, Goodwill and Other Intangible Assets in the notes to the audited consolidated financial statements, which is incorporated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Economic, Industry and Market Factors</w:t>
      </w:r>
    </w:p>
    <w:p>
      <w:pPr>
        <w:spacing w:after="0" w:line="10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We closely monitor the effects of changes in economic and market conditions on our customers, including the potential effects of climate-related matters and the COVID-19 pandemic. Changes in general economic and market conditions can either negatively or positively affect demand for our customers’ products and services, which can affect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public health issues, supply chain or inflationary issues, or from rising interest rates; (ii) new or changing regulatory requirements, governmental policy changes, and customer or industry initiatives, including with respect to climate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0" w:name="page31"/>
    <w:bookmarkEnd w:id="30"/>
    <w:p>
      <w:pPr>
        <w:jc w:val="both"/>
        <w:spacing w:after="0" w:line="289" w:lineRule="auto"/>
        <w:rPr>
          <w:sz w:val="20"/>
          <w:szCs w:val="20"/>
          <w:color w:val="auto"/>
        </w:rPr>
      </w:pPr>
      <w:r>
        <w:rPr>
          <w:rFonts w:ascii="Arial" w:cs="Arial" w:eastAsia="Arial" w:hAnsi="Arial"/>
          <w:sz w:val="13"/>
          <w:szCs w:val="13"/>
          <w:color w:val="auto"/>
        </w:rPr>
        <w:t>change, sustainability and related environmental concerns, and/or from changes in governmental permitting; (iii) economic, political or other market developments or uncertainty, including access to capital for customers in the industries we serve; (iv) changes in technology, tax and other incentives; and (v) mergers, acquisitions or other business transactions among the customers we serve. Changes in demand for, and/or fluctuations in market prices for oil, gas and other fuel sources, including from renewable energy sources, and availability of transportation and transmission capacity can also affect demand for our services, in particular, on energy generation, electric grid and pipeline construction projects, including from carbon capture and other initiatives. These fluctuations, as well as the highly competitive nature of our industry, can result in changes in the levels of activity, the project mix, and/or the profitability of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Seasonality and Cyclical Nature of Business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regulatory matters and/or timing, in particular, for large non-recurring projects, and the effects of public health matters, such as the COVID-19 pandemic. 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wildfires, hurricanes or other severe weather, making it difficult to predict quarterly revenue and margin variations.</w:t>
      </w:r>
    </w:p>
    <w:p>
      <w:pPr>
        <w:spacing w:after="0" w:line="71"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Understanding Our Results of Operations</w:t>
      </w:r>
    </w:p>
    <w:p>
      <w:pPr>
        <w:spacing w:after="0" w:line="106"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We provide engineering, building, installation, maintenance and upgrade services to our customers. We derive revenue from projects performed under master and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41"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consists principally of salaries, employee incentives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benefits, subcontracted services, equipment and facility rentals, repairs, fuel and other equipment expenses, materials costs, parts, supplies and insurance expenses. Project profit is calculated by subtracting a project’s costs of revenue, including project-related depreciation, from project revenue. Project profitability and corresponding project margins will generally be reduced if actual costs to complete a project exceed our project cost estimates. Estimated losses on contracts, or the excess of estimated costs to complete a contract over the contract’s remaining revenue, are recognized in the period in which such losses are determined. Factors impacting our costs of revenue, excluding depreciation and amortization, and project profit, include:</w:t>
      </w:r>
    </w:p>
    <w:p>
      <w:pPr>
        <w:spacing w:after="0" w:line="83"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i w:val="1"/>
          <w:iCs w:val="1"/>
          <w:color w:val="auto"/>
        </w:rPr>
        <w:t xml:space="preserve">Project Mix. </w:t>
      </w:r>
      <w:r>
        <w:rPr>
          <w:rFonts w:ascii="Arial" w:cs="Arial" w:eastAsia="Arial" w:hAnsi="Arial"/>
          <w:sz w:val="15"/>
          <w:szCs w:val="15"/>
          <w:color w:val="auto"/>
        </w:rPr>
        <w:t>The mix of revenue derived from the projects we perform impacts overall project margins, as margin opportunities can vary by project. For example, installation</w:t>
      </w:r>
      <w:r>
        <w:rPr>
          <w:rFonts w:ascii="Arial" w:cs="Arial" w:eastAsia="Arial" w:hAnsi="Arial"/>
          <w:sz w:val="15"/>
          <w:szCs w:val="15"/>
          <w:i w:val="1"/>
          <w:iCs w:val="1"/>
          <w:color w:val="auto"/>
        </w:rPr>
        <w:t xml:space="preserve"> </w:t>
      </w:r>
      <w:r>
        <w:rPr>
          <w:rFonts w:ascii="Arial" w:cs="Arial" w:eastAsia="Arial" w:hAnsi="Arial"/>
          <w:sz w:val="15"/>
          <w:szCs w:val="15"/>
          <w:color w:val="auto"/>
        </w:rPr>
        <w:t>work, which is often performed on a fixed price basis, has a higher level of margin risk than maintenance or upgrade work, which is often performed under pre-established or time and materials pricing arrangements. As a result, changes in project mix between installation work and maintenance or upgrade services can affect our project margins in a given period. Our project mix by industry can also affect our overall margins, as project margins can vary by industry and over time.</w:t>
      </w:r>
    </w:p>
    <w:p>
      <w:pPr>
        <w:spacing w:after="0" w:line="7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i w:val="1"/>
          <w:iCs w:val="1"/>
          <w:color w:val="auto"/>
        </w:rPr>
        <w:t xml:space="preserve">Seasonality, Weather and Geographic Mix. </w:t>
      </w:r>
      <w:r>
        <w:rPr>
          <w:rFonts w:ascii="Arial" w:cs="Arial" w:eastAsia="Arial" w:hAnsi="Arial"/>
          <w:sz w:val="15"/>
          <w:szCs w:val="15"/>
          <w:color w:val="auto"/>
        </w:rPr>
        <w:t>Seasonal patterns, which can be affected by weather conditions, can have a significant effect on project margins. Adverse or favorable</w:t>
      </w:r>
      <w:r>
        <w:rPr>
          <w:rFonts w:ascii="Arial" w:cs="Arial" w:eastAsia="Arial" w:hAnsi="Arial"/>
          <w:sz w:val="15"/>
          <w:szCs w:val="15"/>
          <w:i w:val="1"/>
          <w:iCs w:val="1"/>
          <w:color w:val="auto"/>
        </w:rPr>
        <w:t xml:space="preserve"> </w:t>
      </w:r>
      <w:r>
        <w:rPr>
          <w:rFonts w:ascii="Arial" w:cs="Arial" w:eastAsia="Arial" w:hAnsi="Arial"/>
          <w:sz w:val="15"/>
          <w:szCs w:val="15"/>
          <w:color w:val="auto"/>
        </w:rPr>
        <w:t>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83"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i w:val="1"/>
          <w:iCs w:val="1"/>
          <w:color w:val="auto"/>
        </w:rPr>
        <w:t>Price and Performance Risk</w:t>
      </w:r>
      <w:r>
        <w:rPr>
          <w:rFonts w:ascii="Arial" w:cs="Arial" w:eastAsia="Arial" w:hAnsi="Arial"/>
          <w:sz w:val="15"/>
          <w:szCs w:val="15"/>
          <w:color w:val="auto"/>
        </w:rPr>
        <w:t>. Overall project margins may fluctuate due to project pricing and job conditions, changes in the cost of labor and materials, crew availability, job</w:t>
      </w:r>
      <w:r>
        <w:rPr>
          <w:rFonts w:ascii="Arial" w:cs="Arial" w:eastAsia="Arial" w:hAnsi="Arial"/>
          <w:sz w:val="15"/>
          <w:szCs w:val="15"/>
          <w:i w:val="1"/>
          <w:iCs w:val="1"/>
          <w:color w:val="auto"/>
        </w:rPr>
        <w:t xml:space="preserve"> </w:t>
      </w:r>
      <w:r>
        <w:rPr>
          <w:rFonts w:ascii="Arial" w:cs="Arial" w:eastAsia="Arial" w:hAnsi="Arial"/>
          <w:sz w:val="15"/>
          <w:szCs w:val="15"/>
          <w:color w:val="auto"/>
        </w:rPr>
        <w:t>productivity and work volume. Job productivity can be affected by quality of the work crew and equipment, the quality of engineering specifications and designs, availability of skilled labor, environmental or regulatory factors, customer decisions or delays and crew productivity. Crew productivity can be influenced by weather conditions and job terrain, such as whether project work is in a right of way that is open or one that has physical obstructions or legal encumbrances.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1" w:name="page32"/>
    <w:bookmarkEnd w:id="31"/>
    <w:p>
      <w:pPr>
        <w:jc w:val="both"/>
        <w:ind w:firstLine="599"/>
        <w:spacing w:after="0" w:line="255" w:lineRule="auto"/>
        <w:rPr>
          <w:sz w:val="20"/>
          <w:szCs w:val="20"/>
          <w:color w:val="auto"/>
        </w:rPr>
      </w:pPr>
      <w:r>
        <w:rPr>
          <w:rFonts w:ascii="Arial" w:cs="Arial" w:eastAsia="Arial" w:hAnsi="Arial"/>
          <w:sz w:val="15"/>
          <w:szCs w:val="15"/>
          <w:i w:val="1"/>
          <w:iCs w:val="1"/>
          <w:color w:val="auto"/>
        </w:rPr>
        <w:t>Subcontracted Resources</w:t>
      </w:r>
      <w:r>
        <w:rPr>
          <w:rFonts w:ascii="Arial" w:cs="Arial" w:eastAsia="Arial" w:hAnsi="Arial"/>
          <w:sz w:val="15"/>
          <w:szCs w:val="15"/>
          <w:color w:val="auto"/>
        </w:rPr>
        <w:t>. Our use of subcontracted resources in a given period is dependent upon activity levels and the amount and location of existing in-house resources and</w:t>
      </w:r>
      <w:r>
        <w:rPr>
          <w:rFonts w:ascii="Arial" w:cs="Arial" w:eastAsia="Arial" w:hAnsi="Arial"/>
          <w:sz w:val="15"/>
          <w:szCs w:val="15"/>
          <w:i w:val="1"/>
          <w:iCs w:val="1"/>
          <w:color w:val="auto"/>
        </w:rPr>
        <w:t xml:space="preserve"> </w:t>
      </w:r>
      <w:r>
        <w:rPr>
          <w:rFonts w:ascii="Arial" w:cs="Arial" w:eastAsia="Arial" w:hAnsi="Arial"/>
          <w:sz w:val="15"/>
          <w:szCs w:val="15"/>
          <w:color w:val="auto"/>
        </w:rPr>
        <w:t>capacity. Project margins on subcontracted work can vary from those on self-perform work. As a result, changes in the availability and mix of subcontracted resources versus self-perform work can affect our overall project margins.</w:t>
      </w:r>
    </w:p>
    <w:p>
      <w:pPr>
        <w:spacing w:after="0" w:line="74"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i w:val="1"/>
          <w:iCs w:val="1"/>
          <w:color w:val="auto"/>
        </w:rPr>
        <w:t xml:space="preserve">Material versus Labor Costs. </w:t>
      </w:r>
      <w:r>
        <w:rPr>
          <w:rFonts w:ascii="Arial" w:cs="Arial" w:eastAsia="Arial" w:hAnsi="Arial"/>
          <w:sz w:val="13"/>
          <w:szCs w:val="13"/>
          <w:color w:val="auto"/>
        </w:rPr>
        <w:t>In many cases, our customers are responsible for supplying their own materials on projects; however, under certain contracts, we may agree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all or part of the required materials. Project margins are typically lower on projects where we furnish a significant amount of materials due to the fact that margins on materials are generally lower than margins on labor costs. Therefore, increases in the percentage of work with significant materials requirements could decrease our overall project margins.</w:t>
      </w:r>
    </w:p>
    <w:p>
      <w:pPr>
        <w:spacing w:after="0" w:line="41"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b w:val="1"/>
          <w:bCs w:val="1"/>
          <w:i w:val="1"/>
          <w:iCs w:val="1"/>
          <w:color w:val="auto"/>
        </w:rPr>
        <w:t xml:space="preserve">General and Administrative Expense. </w:t>
      </w:r>
      <w:r>
        <w:rPr>
          <w:rFonts w:ascii="Arial" w:cs="Arial" w:eastAsia="Arial" w:hAnsi="Arial"/>
          <w:sz w:val="13"/>
          <w:szCs w:val="13"/>
          <w:color w:val="auto"/>
        </w:rPr>
        <w:t>General and administrative expenses consist principally of compensation and benefit expenses, travel expenses and related costs for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finance, benefits, insurance and risk management, legal, facilities, information technology services and executive functions. General and administrative expenses also include non-cash stock-based compensation expense, outside professional and accounting fees, expenses associated with information technology used in administration of the business, gains or losses from the disposal of property and equipment, acquisition costs, including certain costs related to acquisition integration, and, from time to time, certain restructuring charges.</w:t>
      </w:r>
    </w:p>
    <w:p>
      <w:pPr>
        <w:spacing w:after="0" w:line="4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consists of contractual interest expense on outstanding debt obligations, amortization of deferred financing costs and other interest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 including interest expense related to financing arrangements and mandatorily redeemable non-controlling interests. Interest expense is offset, in part, by interest earned on cash and other investments.</w:t>
      </w:r>
    </w:p>
    <w:p>
      <w:pPr>
        <w:spacing w:after="0" w:line="74"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b w:val="1"/>
          <w:bCs w:val="1"/>
          <w:i w:val="1"/>
          <w:iCs w:val="1"/>
          <w:color w:val="auto"/>
        </w:rPr>
        <w:t xml:space="preserve">Other Income or Expense. </w:t>
      </w:r>
      <w:r>
        <w:rPr>
          <w:rFonts w:ascii="Arial" w:cs="Arial" w:eastAsia="Arial" w:hAnsi="Arial"/>
          <w:sz w:val="15"/>
          <w:szCs w:val="15"/>
          <w:color w:val="auto"/>
        </w:rPr>
        <w:t>Other income or expense consists primarily of gains or losses from changes to estimated Earn-out accruals, certain legal/other settlements,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 accounting adjustments, and gains or losses, or changes in estimated recoveries, from certain assets and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Performance Metrics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senior management team regularly reviews certain key financial performance metrics within our business, including:</w:t>
      </w:r>
    </w:p>
    <w:p>
      <w:pPr>
        <w:spacing w:after="0" w:line="102" w:lineRule="exact"/>
        <w:rPr>
          <w:sz w:val="20"/>
          <w:szCs w:val="20"/>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revenue and profitability on an overall basis, by reportable segment and for selected projects;</w:t>
      </w:r>
    </w:p>
    <w:p>
      <w:pPr>
        <w:spacing w:after="0" w:line="102" w:lineRule="exact"/>
        <w:rPr>
          <w:rFonts w:ascii="Arial" w:cs="Arial" w:eastAsia="Arial" w:hAnsi="Arial"/>
          <w:sz w:val="15"/>
          <w:szCs w:val="15"/>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revenue by customer and by contract type;</w:t>
      </w:r>
    </w:p>
    <w:p>
      <w:pPr>
        <w:spacing w:after="0" w:line="102" w:lineRule="exact"/>
        <w:rPr>
          <w:rFonts w:ascii="Arial" w:cs="Arial" w:eastAsia="Arial" w:hAnsi="Arial"/>
          <w:sz w:val="15"/>
          <w:szCs w:val="15"/>
          <w:color w:val="auto"/>
        </w:rPr>
      </w:pPr>
    </w:p>
    <w:p>
      <w:pPr>
        <w:ind w:left="740" w:hanging="141"/>
        <w:spacing w:after="0" w:line="266" w:lineRule="auto"/>
        <w:tabs>
          <w:tab w:leader="none" w:pos="73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costs of revenue, excluding depreciation and amortization; general and administrative expenses; depreciation and amortization; interest expense, net; other income or expense; and provision for income taxes;</w:t>
      </w:r>
    </w:p>
    <w:p>
      <w:pPr>
        <w:spacing w:after="0" w:line="67" w:lineRule="exact"/>
        <w:rPr>
          <w:rFonts w:ascii="Arial" w:cs="Arial" w:eastAsia="Arial" w:hAnsi="Arial"/>
          <w:sz w:val="15"/>
          <w:szCs w:val="15"/>
          <w:color w:val="auto"/>
        </w:rPr>
      </w:pPr>
    </w:p>
    <w:p>
      <w:pPr>
        <w:ind w:left="740" w:hanging="141"/>
        <w:spacing w:after="0" w:line="266" w:lineRule="auto"/>
        <w:tabs>
          <w:tab w:leader="none" w:pos="730" w:val="left"/>
        </w:tabs>
        <w:numPr>
          <w:ilvl w:val="0"/>
          <w:numId w:val="8"/>
        </w:numPr>
        <w:rPr>
          <w:rFonts w:ascii="Arial" w:cs="Arial" w:eastAsia="Arial" w:hAnsi="Arial"/>
          <w:sz w:val="15"/>
          <w:szCs w:val="15"/>
          <w:color w:val="auto"/>
        </w:rPr>
      </w:pPr>
      <w:r>
        <w:rPr>
          <w:rFonts w:ascii="Arial" w:cs="Arial" w:eastAsia="Arial" w:hAnsi="Arial"/>
          <w:sz w:val="15"/>
          <w:szCs w:val="15"/>
          <w:color w:val="auto"/>
        </w:rPr>
        <w:t>earnings before interest, taxes, depreciation and amortization (“EBITDA”) and adjusted EBITDA, as defined in our non-U.S. GAAP financial measures discussion following the “Comparison of Fiscal Year Results” section below;</w:t>
      </w:r>
    </w:p>
    <w:p>
      <w:pPr>
        <w:spacing w:after="0" w:line="67" w:lineRule="exact"/>
        <w:rPr>
          <w:rFonts w:ascii="Arial" w:cs="Arial" w:eastAsia="Arial" w:hAnsi="Arial"/>
          <w:sz w:val="15"/>
          <w:szCs w:val="15"/>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earnings per share and adjusted earnings per share, as defined in our non-U.S. GAAP financial measures discussion;</w:t>
      </w:r>
    </w:p>
    <w:p>
      <w:pPr>
        <w:spacing w:after="0" w:line="102" w:lineRule="exact"/>
        <w:rPr>
          <w:rFonts w:ascii="Arial" w:cs="Arial" w:eastAsia="Arial" w:hAnsi="Arial"/>
          <w:sz w:val="15"/>
          <w:szCs w:val="15"/>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days sales outstanding, net of contract liabilities and days payable outstanding;</w:t>
      </w:r>
    </w:p>
    <w:p>
      <w:pPr>
        <w:spacing w:after="0" w:line="102" w:lineRule="exact"/>
        <w:rPr>
          <w:rFonts w:ascii="Arial" w:cs="Arial" w:eastAsia="Arial" w:hAnsi="Arial"/>
          <w:sz w:val="15"/>
          <w:szCs w:val="15"/>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interest and debt service coverage ratios; and</w:t>
      </w:r>
    </w:p>
    <w:p>
      <w:pPr>
        <w:spacing w:after="0" w:line="102" w:lineRule="exact"/>
        <w:rPr>
          <w:rFonts w:ascii="Arial" w:cs="Arial" w:eastAsia="Arial" w:hAnsi="Arial"/>
          <w:sz w:val="15"/>
          <w:szCs w:val="15"/>
          <w:color w:val="auto"/>
        </w:rPr>
      </w:pPr>
    </w:p>
    <w:p>
      <w:pPr>
        <w:ind w:left="740" w:hanging="141"/>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liquidity and cash flows.</w:t>
      </w:r>
    </w:p>
    <w:p>
      <w:pPr>
        <w:spacing w:after="0" w:line="102"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Management’s analysis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106"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future effects of public health matters, such as the COVID-19 pandemic, climate change, and other global and/or macroeconomic trends and events.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4"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audited consolidated financial statements, which is incorporated by reference, for discussion of our significant accounting policies.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2" w:name="page33"/>
    <w:bookmarkEnd w:id="32"/>
    <w:p>
      <w:pPr>
        <w:ind w:left="3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recognize revenue from contracts with customers when, or as, control of promised services and goods is transferred to customers. The amount of revenue recognized reflects the consideration to which we expect to be entitled in exchange for the services and goods transferred. We primarily recognize revenue over time utilizing the cost-to-cost measure of progress.</w:t>
      </w:r>
    </w:p>
    <w:p>
      <w:pPr>
        <w:spacing w:after="0" w:line="7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We derive revenue primarily from construction projects performed under: (i) master and other service agreements, which generally provide a menu of available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w:t>
      </w:r>
    </w:p>
    <w:p>
      <w:pPr>
        <w:spacing w:after="0" w:line="7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The total contract transaction price and cost estimation processes used for recognizing revenue over time under the cost-to-cost method is based on the professional knowledge and experience of our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our profit recognition. Changes in these factors could result in revisions to revenue in the period in which the revisions are determined, which could materially affect our consolidated results of operations for that period. Provisions for losses on uncompleted contracts are recorded in the period in which such losses are determined. For the year ended December 31, 2021, project profit was affected by less than 5% as a result of changes in contract estimates included in projects that were in process as of December 31, 2020. Revenue recognized for the year ended December 31, 2021 as a result of changes in total contract transaction price estimates, including from variable consideration, from performance obligations satisfied or partially satisfied in prior periods, totaled approximately $41.1 million.</w:t>
      </w:r>
    </w:p>
    <w:p>
      <w:pPr>
        <w:spacing w:after="0" w:line="71"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i w:val="1"/>
          <w:iCs w:val="1"/>
          <w:color w:val="auto"/>
        </w:rPr>
        <w:t xml:space="preserve">Performance Obligations. </w:t>
      </w:r>
      <w:r>
        <w:rPr>
          <w:rFonts w:ascii="Arial" w:cs="Arial" w:eastAsia="Arial" w:hAnsi="Arial"/>
          <w:sz w:val="15"/>
          <w:szCs w:val="15"/>
          <w:color w:val="auto"/>
        </w:rPr>
        <w:t>A performance obligation is a contractual promise to transfer a distinct good or service to a customer. The transaction price of a contract is allocated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our performance obligations are completed within one year.</w:t>
      </w:r>
    </w:p>
    <w:p>
      <w:pPr>
        <w:spacing w:after="0" w:line="7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4"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3"/>
          <w:szCs w:val="13"/>
          <w:b w:val="1"/>
          <w:bCs w:val="1"/>
          <w:i w:val="1"/>
          <w:iCs w:val="1"/>
          <w:color w:val="auto"/>
        </w:rPr>
        <w:t xml:space="preserve">Variable Consideration. </w:t>
      </w:r>
      <w:r>
        <w:rPr>
          <w:rFonts w:ascii="Arial" w:cs="Arial" w:eastAsia="Arial" w:hAnsi="Arial"/>
          <w:sz w:val="13"/>
          <w:szCs w:val="13"/>
          <w:color w:val="auto"/>
        </w:rPr>
        <w:t>Transaction prices for our contracts may include variable consideration, which comprises items such as change orders, claims and incentives.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58"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As of December 31, 2021, we included approximately $104 million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2021, these change orders and/or claims primarily related to certain projects in our Clean Energy and Infrastructure and Power Delivery segments. We actively engage with our customers to complete the final approval process, and generally expect these processes to be completed within one year. Amounts ultimately realized upon final agreement by customers could be higher or lower than such estimated amounts.</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 determination of the fair value of net assets acquired in a business combination and estimates of acquisition-related contingent consideration, which, for our acquisitions are primarily “earn-out” liabilities, requires estimates and judgments of future cash flow expectations for the acquired business and the related identifiable tangible and intangible assets. Fair values of net assets acquired are calculated using expected cash flows and industry-standard valuation techniques. Fair values of earn-out liabilities are estimated using income approaches such as discounted cash flows or option pricing models.</w:t>
      </w:r>
    </w:p>
    <w:p>
      <w:pPr>
        <w:spacing w:after="0" w:line="77"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revisions to fair value estimates for acquisitions are reflected as income or expense, as appropriate. See Note 3 - Acquisitions, Goodwill and Other Intangible Assets in the notes to the audited consolidated financial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t>statements, which is incorporated by reference, for information pertaining to acquisition-related fair value adjustments.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Significant changes in the assumptions or estimates used in the underlying valuations, including the expected profitability or cash flows of an acquired business, could materially affect our operating results in the period such changes are recognized.</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have goodwill and intangible assets that have been recorded in connection with our acquisitions of businesses. Goodwill and indefinite-lived intangible assets are not amortized, but instead are tested for impairment at least annually. Finite-lived intangible assets are amortized over their useful lives, which are generally based on contractual or legal rights, in a manner consistent with the pattern in which the related benefits are expected to be consumed.</w:t>
      </w:r>
    </w:p>
    <w:p>
      <w:pPr>
        <w:spacing w:after="0" w:line="7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 We combine three of the components of our Power Delivery operating segment into one reporting unit. All of our other components each comprise one reporting unit.</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Following is a summary of goodwill and intangible assets by segment as of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Clean Energy and</w:t>
            </w:r>
          </w:p>
        </w:tc>
        <w:tc>
          <w:tcPr>
            <w:tcW w:w="22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Oil and Gas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Power Delivery</w:t>
            </w:r>
          </w:p>
        </w:tc>
        <w:tc>
          <w:tcPr>
            <w:tcW w:w="320" w:type="dxa"/>
            <w:vAlign w:val="bottom"/>
          </w:tcPr>
          <w:p>
            <w:pPr>
              <w:spacing w:after="0"/>
              <w:rPr>
                <w:sz w:val="14"/>
                <w:szCs w:val="14"/>
                <w:color w:val="auto"/>
              </w:rPr>
            </w:pPr>
          </w:p>
        </w:tc>
        <w:tc>
          <w:tcPr>
            <w:tcW w:w="1140" w:type="dxa"/>
            <w:vAlign w:val="bottom"/>
            <w:vMerge w:val="restart"/>
          </w:tcPr>
          <w:p>
            <w:pPr>
              <w:jc w:val="right"/>
              <w:ind w:right="48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Infrastructure</w:t>
            </w: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(in millions)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601.5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166.1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426.2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326.8</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1,520.6</w:t>
            </w:r>
          </w:p>
        </w:tc>
        <w:tc>
          <w:tcPr>
            <w:tcW w:w="0" w:type="dxa"/>
            <w:vAlign w:val="bottom"/>
          </w:tcPr>
          <w:p>
            <w:pPr>
              <w:spacing w:after="0"/>
              <w:rPr>
                <w:sz w:val="1"/>
                <w:szCs w:val="1"/>
                <w:color w:val="auto"/>
              </w:rPr>
            </w:pPr>
          </w:p>
        </w:tc>
      </w:tr>
      <w:tr>
        <w:trPr>
          <w:trHeight w:val="197"/>
        </w:trPr>
        <w:tc>
          <w:tcPr>
            <w:tcW w:w="3340" w:type="dxa"/>
            <w:vAlign w:val="bottom"/>
          </w:tcPr>
          <w:p>
            <w:pPr>
              <w:ind w:left="100"/>
              <w:spacing w:after="0"/>
              <w:rPr>
                <w:sz w:val="20"/>
                <w:szCs w:val="20"/>
                <w:color w:val="auto"/>
              </w:rPr>
            </w:pPr>
            <w:r>
              <w:rPr>
                <w:rFonts w:ascii="Arial" w:cs="Arial" w:eastAsia="Arial" w:hAnsi="Arial"/>
                <w:sz w:val="15"/>
                <w:szCs w:val="15"/>
                <w:color w:val="auto"/>
              </w:rPr>
              <w:t>Percentage of total</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 (in millions)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77.4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426.3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670.3</w:t>
            </w:r>
          </w:p>
        </w:tc>
        <w:tc>
          <w:tcPr>
            <w:tcW w:w="0" w:type="dxa"/>
            <w:vAlign w:val="bottom"/>
          </w:tcPr>
          <w:p>
            <w:pPr>
              <w:spacing w:after="0"/>
              <w:rPr>
                <w:sz w:val="1"/>
                <w:szCs w:val="1"/>
                <w:color w:val="auto"/>
              </w:rPr>
            </w:pPr>
          </w:p>
        </w:tc>
      </w:tr>
      <w:tr>
        <w:trPr>
          <w:trHeight w:val="194"/>
        </w:trPr>
        <w:tc>
          <w:tcPr>
            <w:tcW w:w="3340" w:type="dxa"/>
            <w:vAlign w:val="bottom"/>
          </w:tcPr>
          <w:p>
            <w:pPr>
              <w:ind w:left="100"/>
              <w:spacing w:after="0"/>
              <w:rPr>
                <w:sz w:val="20"/>
                <w:szCs w:val="20"/>
                <w:color w:val="auto"/>
              </w:rPr>
            </w:pPr>
            <w:r>
              <w:rPr>
                <w:rFonts w:ascii="Arial" w:cs="Arial" w:eastAsia="Arial" w:hAnsi="Arial"/>
                <w:sz w:val="15"/>
                <w:szCs w:val="15"/>
                <w:color w:val="auto"/>
              </w:rPr>
              <w:t>Percentage of total</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For the year ended December 31, 2021, we performed a qualitative assessment for our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74"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Based on the results of the qualitative assessments for the year ended December 31, 2021, we performed quantitative testing for (i) four reporting units within our Oil and Gas operating segment; (ii) three reporting units in our Communications operating segment; and (iii) one reporting unit within our Clean Energy and Infrastructure 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64"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For the reporting units for which quantitative testing was performed, we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We believe the assumptions used in our quantitative goodwill impairment tests are reflective of the risks inherent in the business models of our reporting units and within our industry.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terminal growth rates of 2.5% to 3.0%, five to nine years of discounted cash flows prior to the terminal value, and discount rates ranging from 10.5% to 15.0%.</w:t>
      </w:r>
    </w:p>
    <w:p>
      <w:pPr>
        <w:spacing w:after="0" w:line="71"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Based on the results of the quantitative assessment, the estimated fair values of all of the reporting units were determined to substantially exceed their carrying values. A 100 basis point increase in the discount rate would not have resulted in any of the reporting units’ carrying values exceeding their fair values.</w:t>
      </w:r>
    </w:p>
    <w:p>
      <w:pPr>
        <w:spacing w:after="0" w:line="6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of December 31, 2021, we believe that the recorded balances of goodwill and intangible assets are recoverable; however, significant changes in the assumptions or estimates used in our analyses, such as market conditions or a reduction in profitability and/or cash flows, and/or for intangible assets, changes in contractual rights or other asset characteristics, could result in non-cash goodwill and/or intangible asset impairment charges in future periods.</w:t>
      </w:r>
    </w:p>
    <w:p>
      <w:pPr>
        <w:spacing w:after="0" w:line="74"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5"/>
          <w:szCs w:val="15"/>
          <w:color w:val="auto"/>
        </w:rPr>
        <w:t>See Note 1 - Business, Basis of Presentation and Significant Accounting Policies and Note 3 - Acquisitions, Goodwill and Other Intangible Assets in the notes to the audited consolidated financial statements, which are incorporated by reference, for additional discussion.</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102"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Our investment and strategic arrangements include equity interests in various business entities and participation in contractual joint ventures. 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This impairment evaluation considers a variety of factors, including the earnings performance of the related investments, as well as the economic environment and market conditions in which the investees operate. Significant changes in any of these factors could result in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4" w:name="page35"/>
    <w:bookmarkEnd w:id="34"/>
    <w:p>
      <w:pPr>
        <w:ind w:left="300"/>
        <w:spacing w:after="0"/>
        <w:rPr>
          <w:sz w:val="20"/>
          <w:szCs w:val="20"/>
          <w:color w:val="auto"/>
        </w:rPr>
      </w:pPr>
      <w:r>
        <w:rPr>
          <w:rFonts w:ascii="Arial" w:cs="Arial" w:eastAsia="Arial" w:hAnsi="Arial"/>
          <w:sz w:val="15"/>
          <w:szCs w:val="15"/>
          <w:b w:val="1"/>
          <w:bCs w:val="1"/>
          <w:i w:val="1"/>
          <w:iCs w:val="1"/>
          <w:color w:val="auto"/>
        </w:rPr>
        <w:t>Income Taxes</w:t>
      </w:r>
    </w:p>
    <w:p>
      <w:pPr>
        <w:spacing w:after="0" w:line="102"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our assessment of certain tax matters, the location and amount of taxable earnings,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 See Note 12 - Income Taxes in the notes to the audited consolidated financial statements, which is incorporated by reference, for additional discussion.</w:t>
      </w:r>
    </w:p>
    <w:p>
      <w:pPr>
        <w:spacing w:after="0" w:line="65"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79"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We file income tax returns in numerous tax jurisdictions, including U.S. federal, most U.S. states and certain foreign jurisdictions. 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 material effect on our results of operations, cash flows and liquidity.</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Self-Insurance</w:t>
      </w:r>
    </w:p>
    <w:p>
      <w:pPr>
        <w:spacing w:after="0" w:line="102"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5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Litigation and Contingencies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2022 Outlook</w:t>
      </w:r>
    </w:p>
    <w:p>
      <w:pPr>
        <w:spacing w:after="0" w:line="106"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We believe that we are well-positioned to benefit from significant opportunities in each of our business segments. Please see Item 1 “Business - Industry Trends” for additional information on the outlook for the industries we serve and a detailed discussion of our market opportunities. Our future results could be adversely affected by the matters discussed in the “Cautionary Statement Regarding Forward-Looking Statements,” Item 1A. “Risk Factors” and Item 3. “Legal Proceedings” of this Form 10-K.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Comparison of Fiscal Year Results</w:t>
      </w:r>
    </w:p>
    <w:p>
      <w:pPr>
        <w:spacing w:after="0" w:line="106"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10"/>
          </w:tcPr>
          <w:p>
            <w:pPr>
              <w:jc w:val="right"/>
              <w:ind w:right="109"/>
              <w:spacing w:after="0"/>
              <w:rPr>
                <w:sz w:val="20"/>
                <w:szCs w:val="20"/>
                <w:color w:val="auto"/>
              </w:rPr>
            </w:pPr>
            <w:r>
              <w:rPr>
                <w:rFonts w:ascii="Arial" w:cs="Arial" w:eastAsia="Arial" w:hAnsi="Arial"/>
                <w:sz w:val="15"/>
                <w:szCs w:val="15"/>
                <w:b w:val="1"/>
                <w:bCs w:val="1"/>
                <w:color w:val="auto"/>
              </w:rPr>
              <w:t>For the Years Ended December 31,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2"/>
        </w:trPr>
        <w:tc>
          <w:tcPr>
            <w:tcW w:w="5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5"/>
                <w:szCs w:val="15"/>
                <w:b w:val="1"/>
                <w:bCs w:val="1"/>
                <w:color w:val="auto"/>
                <w:w w:val="83"/>
              </w:rPr>
              <w:t>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2019</w:t>
            </w:r>
          </w:p>
        </w:tc>
        <w:tc>
          <w:tcPr>
            <w:tcW w:w="640" w:type="dxa"/>
            <w:vAlign w:val="bottom"/>
            <w:tcBorders>
              <w:bottom w:val="single" w:sz="8" w:color="auto"/>
            </w:tcBorders>
          </w:tcPr>
          <w:p>
            <w:pPr>
              <w:spacing w:after="0"/>
              <w:rPr>
                <w:sz w:val="16"/>
                <w:szCs w:val="16"/>
                <w:color w:val="auto"/>
              </w:rPr>
            </w:pPr>
          </w:p>
        </w:tc>
      </w:tr>
      <w:tr>
        <w:trPr>
          <w:trHeight w:val="183"/>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6,321.0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Costs of revenue, excluding depreciation and amortization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6,805.7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5,270.9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83.4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6,070.2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84.5 %</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and intangible asset impairment</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303.0</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Equity in earnings of unconsolidated affiliates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(29.7)</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extinguishment of debt</w:t>
            </w:r>
          </w:p>
        </w:tc>
        <w:tc>
          <w:tcPr>
            <w:tcW w:w="2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83"/>
        </w:trPr>
        <w:tc>
          <w:tcPr>
            <w:tcW w:w="5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before income taxes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(102.5)</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5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Net income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97"/>
        </w:trPr>
        <w:tc>
          <w:tcPr>
            <w:tcW w:w="5340" w:type="dxa"/>
            <w:vAlign w:val="bottom"/>
          </w:tcPr>
          <w:p>
            <w:pPr>
              <w:ind w:left="20"/>
              <w:spacing w:after="0"/>
              <w:rPr>
                <w:sz w:val="20"/>
                <w:szCs w:val="20"/>
                <w:color w:val="auto"/>
              </w:rPr>
            </w:pPr>
            <w:r>
              <w:rPr>
                <w:rFonts w:ascii="Arial" w:cs="Arial" w:eastAsia="Arial" w:hAnsi="Arial"/>
                <w:sz w:val="15"/>
                <w:szCs w:val="15"/>
                <w:color w:val="auto"/>
              </w:rPr>
              <w:t>Net income (loss) attributable to non-controlling interests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180"/>
        </w:trPr>
        <w:tc>
          <w:tcPr>
            <w:tcW w:w="5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Net income attributable to MasTec, Inc.</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r>
    </w:tbl>
    <w:p>
      <w:pPr>
        <w:spacing w:after="0" w:line="179"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We review our operating results by reportable segment. See Note 13 - Segments and Related Information in the notes to the audited consolidated financial statements, which is incorporated by reference. Our reportable segments are: (1) Communications; (2) Clean Energy and Infrastructure; (3) Oil and Gas; (4) Power Delivery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9"/>
          </w:tcPr>
          <w:p>
            <w:pPr>
              <w:ind w:left="60"/>
              <w:spacing w:after="0"/>
              <w:rPr>
                <w:sz w:val="20"/>
                <w:szCs w:val="20"/>
                <w:color w:val="auto"/>
              </w:rPr>
            </w:pPr>
            <w:r>
              <w:rPr>
                <w:rFonts w:ascii="Arial" w:cs="Arial" w:eastAsia="Arial" w:hAnsi="Arial"/>
                <w:sz w:val="15"/>
                <w:szCs w:val="15"/>
                <w:b w:val="1"/>
                <w:bCs w:val="1"/>
                <w:color w:val="auto"/>
              </w:rPr>
              <w:t>For the Years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9"/>
        </w:trPr>
        <w:tc>
          <w:tcPr>
            <w:tcW w:w="3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Revenue</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center"/>
              <w:ind w:left="289"/>
              <w:spacing w:after="0"/>
              <w:rPr>
                <w:sz w:val="20"/>
                <w:szCs w:val="20"/>
                <w:color w:val="auto"/>
              </w:rPr>
            </w:pPr>
            <w:r>
              <w:rPr>
                <w:rFonts w:ascii="Arial" w:cs="Arial" w:eastAsia="Arial" w:hAnsi="Arial"/>
                <w:sz w:val="15"/>
                <w:szCs w:val="15"/>
                <w:b w:val="1"/>
                <w:bCs w:val="1"/>
                <w:color w:val="auto"/>
                <w:w w:val="99"/>
              </w:rPr>
              <w:t>EBITDA and EBITDA Margin</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95"/>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Reportable Segment: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2019</w:t>
            </w:r>
          </w:p>
        </w:tc>
        <w:tc>
          <w:tcPr>
            <w:tcW w:w="540" w:type="dxa"/>
            <w:vAlign w:val="bottom"/>
            <w:tcBorders>
              <w:bottom w:val="single" w:sz="8" w:color="auto"/>
            </w:tcBorders>
          </w:tcPr>
          <w:p>
            <w:pPr>
              <w:spacing w:after="0"/>
              <w:rPr>
                <w:sz w:val="16"/>
                <w:szCs w:val="16"/>
                <w:color w:val="auto"/>
              </w:rPr>
            </w:pPr>
          </w:p>
        </w:tc>
      </w:tr>
      <w:tr>
        <w:trPr>
          <w:trHeight w:val="183"/>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Communications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7"/>
        </w:trPr>
        <w:tc>
          <w:tcPr>
            <w:tcW w:w="3400" w:type="dxa"/>
            <w:vAlign w:val="bottom"/>
          </w:tcPr>
          <w:p>
            <w:pPr>
              <w:ind w:left="20"/>
              <w:spacing w:after="0"/>
              <w:rPr>
                <w:sz w:val="20"/>
                <w:szCs w:val="20"/>
                <w:color w:val="auto"/>
              </w:rPr>
            </w:pPr>
            <w:r>
              <w:rPr>
                <w:rFonts w:ascii="Arial" w:cs="Arial" w:eastAsia="Arial" w:hAnsi="Arial"/>
                <w:sz w:val="15"/>
                <w:szCs w:val="15"/>
                <w:color w:val="auto"/>
              </w:rPr>
              <w:t>Clean Energy and Infrastructure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Oil and Gas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20.3 %</w:t>
            </w:r>
          </w:p>
        </w:tc>
      </w:tr>
      <w:tr>
        <w:trPr>
          <w:trHeight w:val="197"/>
        </w:trPr>
        <w:tc>
          <w:tcPr>
            <w:tcW w:w="3400" w:type="dxa"/>
            <w:vAlign w:val="bottom"/>
          </w:tcPr>
          <w:p>
            <w:pPr>
              <w:ind w:left="20"/>
              <w:spacing w:after="0"/>
              <w:rPr>
                <w:sz w:val="20"/>
                <w:szCs w:val="20"/>
                <w:color w:val="auto"/>
              </w:rPr>
            </w:pPr>
            <w:r>
              <w:rPr>
                <w:rFonts w:ascii="Arial" w:cs="Arial" w:eastAsia="Arial" w:hAnsi="Arial"/>
                <w:sz w:val="15"/>
                <w:szCs w:val="15"/>
                <w:color w:val="auto"/>
              </w:rPr>
              <w:t>Power Delivery</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7.1 %</w:t>
            </w: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97"/>
        </w:trPr>
        <w:tc>
          <w:tcPr>
            <w:tcW w:w="3400" w:type="dxa"/>
            <w:vAlign w:val="bottom"/>
          </w:tcPr>
          <w:p>
            <w:pPr>
              <w:ind w:left="20"/>
              <w:spacing w:after="0"/>
              <w:rPr>
                <w:sz w:val="20"/>
                <w:szCs w:val="20"/>
                <w:color w:val="auto"/>
              </w:rPr>
            </w:pPr>
            <w:r>
              <w:rPr>
                <w:rFonts w:ascii="Arial" w:cs="Arial" w:eastAsia="Arial" w:hAnsi="Arial"/>
                <w:sz w:val="15"/>
                <w:szCs w:val="15"/>
                <w:color w:val="auto"/>
              </w:rPr>
              <w:t>Eliminations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r>
      <w:tr>
        <w:trPr>
          <w:trHeight w:val="177"/>
        </w:trPr>
        <w:tc>
          <w:tcPr>
            <w:tcW w:w="3400" w:type="dxa"/>
            <w:vAlign w:val="bottom"/>
          </w:tcPr>
          <w:p>
            <w:pPr>
              <w:ind w:left="120"/>
              <w:spacing w:after="0"/>
              <w:rPr>
                <w:sz w:val="20"/>
                <w:szCs w:val="20"/>
                <w:color w:val="auto"/>
              </w:rPr>
            </w:pPr>
            <w:r>
              <w:rPr>
                <w:rFonts w:ascii="Arial" w:cs="Arial" w:eastAsia="Arial" w:hAnsi="Arial"/>
                <w:sz w:val="15"/>
                <w:szCs w:val="15"/>
                <w:color w:val="auto"/>
              </w:rPr>
              <w:t>Consolidated Results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7,951.8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6,321.0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7,183.2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823.4</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11.5 %</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NM - Percentage is not meaningful</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Years Ended December 31, 2021 and 2020</w:t>
      </w:r>
    </w:p>
    <w:p>
      <w:pPr>
        <w:spacing w:after="0" w:line="102" w:lineRule="exact"/>
        <w:rPr>
          <w:sz w:val="20"/>
          <w:szCs w:val="20"/>
          <w:color w:val="auto"/>
        </w:rPr>
      </w:pPr>
    </w:p>
    <w:p>
      <w:pPr>
        <w:jc w:val="both"/>
        <w:ind w:firstLine="300"/>
        <w:spacing w:after="0" w:line="252" w:lineRule="auto"/>
        <w:rPr>
          <w:sz w:val="20"/>
          <w:szCs w:val="20"/>
          <w:color w:val="auto"/>
        </w:rPr>
      </w:pPr>
      <w:r>
        <w:rPr>
          <w:rFonts w:ascii="Arial" w:cs="Arial" w:eastAsia="Arial" w:hAnsi="Arial"/>
          <w:sz w:val="15"/>
          <w:szCs w:val="15"/>
          <w:b w:val="1"/>
          <w:bCs w:val="1"/>
          <w:i w:val="1"/>
          <w:iCs w:val="1"/>
          <w:color w:val="auto"/>
        </w:rPr>
        <w:t>Revenue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2021, consolidated revenue totaled $7,952 million as compared with $6,321 million in 2020, an increase of $1,631 million, or 26%.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increased in our Oil and Gas segment by $751 million, or 42%, our Power Delivery segment by $510 million, or 101%, our Clean Energy and Infrastructure segment by $338 million, or 22%, and in our Communications segment by $39 million, or 2%. Acquisitions contributed $1,022 million in increased revenue for the year ended December 31, 2021 and organic revenue increased by approximately $609 million, or 9.6%, as compared with 2020.</w:t>
      </w:r>
    </w:p>
    <w:p>
      <w:pPr>
        <w:spacing w:after="0" w:line="7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$2,551 million in 2021, as compared with $2,512 million in 2020, an increase of $39 million, or 2%.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contributed $162 million of increased revenue for the year ended December 31, 2021 and organic revenue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5"/>
          <w:szCs w:val="15"/>
          <w:color w:val="auto"/>
        </w:rPr>
        <w:t>decreased by approximately $123 million, or 5%, as compared with 2020. The decrease in organic revenue was primarily due to lower levels of wireless and wireline services, primarily from the effects of project timing delays related to C-band spectrum auctions and the COVID-19 pandemic.</w:t>
      </w:r>
    </w:p>
    <w:p>
      <w:pPr>
        <w:spacing w:after="0" w:line="63" w:lineRule="exact"/>
        <w:rPr>
          <w:sz w:val="20"/>
          <w:szCs w:val="20"/>
          <w:color w:val="auto"/>
        </w:rPr>
      </w:pPr>
    </w:p>
    <w:p>
      <w:pPr>
        <w:jc w:val="both"/>
        <w:ind w:firstLine="599"/>
        <w:spacing w:after="0" w:line="351" w:lineRule="auto"/>
        <w:rPr>
          <w:sz w:val="20"/>
          <w:szCs w:val="20"/>
          <w:color w:val="auto"/>
        </w:rPr>
      </w:pPr>
      <w:r>
        <w:rPr>
          <w:rFonts w:ascii="Arial" w:cs="Arial" w:eastAsia="Arial" w:hAnsi="Arial"/>
          <w:sz w:val="13"/>
          <w:szCs w:val="13"/>
          <w:b w:val="1"/>
          <w:bCs w:val="1"/>
          <w:i w:val="1"/>
          <w:iCs w:val="1"/>
          <w:color w:val="auto"/>
        </w:rPr>
        <w:t>Clean Energy and Infrastructure Segment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Clean Energy and Infrastructure revenue was $1,865 million in 2021, as compared with $1,527 million in 2020, an increase of $338</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or 22%. For the year ended December 31, 2021, acquisitions contributed $339 million of increased revenue, and organic revenue was generally flat as compared with 2020.</w:t>
      </w:r>
    </w:p>
    <w:p>
      <w:pPr>
        <w:spacing w:after="0" w:line="12"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4"/>
          <w:szCs w:val="14"/>
          <w:b w:val="1"/>
          <w:bCs w:val="1"/>
          <w:i w:val="1"/>
          <w:iCs w:val="1"/>
          <w:color w:val="auto"/>
        </w:rPr>
        <w:t>Oil and Gas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Oil and Gas revenue was $2,541 million in 2021, as compared with $1,790 million in 2020, an increase of approximately $751 million, or 42%. Organic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increased by approximately $666 million, or 37%, as compared with 2020, and acquisitions contributed $85 million of increased revenue for the year ended December 31, 2021. The increase in organic revenue was primarily due to higher levels of large diameter project activity, offset, in part, by lower levels of activity for other projects.</w:t>
      </w:r>
    </w:p>
    <w:p>
      <w:pPr>
        <w:spacing w:after="0" w:line="53" w:lineRule="exact"/>
        <w:rPr>
          <w:sz w:val="20"/>
          <w:szCs w:val="20"/>
          <w:color w:val="auto"/>
        </w:rPr>
      </w:pPr>
    </w:p>
    <w:p>
      <w:pPr>
        <w:jc w:val="both"/>
        <w:ind w:firstLine="599"/>
        <w:spacing w:after="0" w:line="257" w:lineRule="auto"/>
        <w:rPr>
          <w:sz w:val="20"/>
          <w:szCs w:val="20"/>
          <w:color w:val="auto"/>
        </w:rPr>
      </w:pPr>
      <w:r>
        <w:rPr>
          <w:rFonts w:ascii="Arial" w:cs="Arial" w:eastAsia="Arial" w:hAnsi="Arial"/>
          <w:sz w:val="15"/>
          <w:szCs w:val="15"/>
          <w:b w:val="1"/>
          <w:bCs w:val="1"/>
          <w:i w:val="1"/>
          <w:iCs w:val="1"/>
          <w:color w:val="auto"/>
        </w:rPr>
        <w:t>Power Delivery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Delivery revenue was $1,017 million in 2021, as compared with $507 million in 2020, an increase of $510 million, or 101%.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contributed $436 million of increased revenue for the year ended December 31, 2021, and organic revenue increased by approximately $74 million, or 15%, as compared with 2020, due primarily to timing and mix of project activity.</w:t>
      </w:r>
    </w:p>
    <w:p>
      <w:pPr>
        <w:spacing w:after="0" w:line="74" w:lineRule="exact"/>
        <w:rPr>
          <w:sz w:val="20"/>
          <w:szCs w:val="20"/>
          <w:color w:val="auto"/>
        </w:rPr>
      </w:pPr>
    </w:p>
    <w:p>
      <w:pPr>
        <w:jc w:val="both"/>
        <w:ind w:firstLine="300"/>
        <w:spacing w:after="0" w:line="269" w:lineRule="auto"/>
        <w:rPr>
          <w:sz w:val="20"/>
          <w:szCs w:val="20"/>
          <w:color w:val="auto"/>
        </w:rPr>
      </w:pPr>
      <w:r>
        <w:rPr>
          <w:rFonts w:ascii="Arial" w:cs="Arial" w:eastAsia="Arial" w:hAnsi="Arial"/>
          <w:sz w:val="14"/>
          <w:szCs w:val="14"/>
          <w:b w:val="1"/>
          <w:bCs w:val="1"/>
          <w:i w:val="1"/>
          <w:iCs w:val="1"/>
          <w:color w:val="auto"/>
        </w:rPr>
        <w:t xml:space="preserve">Costs of revenue, excluding depreciation and amortization. </w:t>
      </w:r>
      <w:r>
        <w:rPr>
          <w:rFonts w:ascii="Arial" w:cs="Arial" w:eastAsia="Arial" w:hAnsi="Arial"/>
          <w:sz w:val="14"/>
          <w:szCs w:val="14"/>
          <w:color w:val="auto"/>
        </w:rPr>
        <w:t>Costs of revenue, excluding depreciation and amortization, increased by $1,535 million, or 29%, to $6,806 million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2021 from $5,271 million in 2020. Higher levels of revenue contributed an increase in costs of revenue, excluding depreciation and amortization, of $1,360 million, and reduced productivity contributed an increase of approximately $175 million. Costs of revenue, excluding depreciation and amortization, as a percentage of revenue increased by approximately 220 basis points, from 83.4% of revenue in 2020 to approximately 85.6% of revenue in 2021. The basis point increase was due to reduced project efficiencies, close-outs and mix, primarily in our Oil and Gas segment, and, across all our segments, the effects of project start-up delays and execution inefficiencies, including COVID-19 pandemic supply chain, crew and other effects. The basis point increase described above was offset, in part, by improved project mix and efficiencies in our Power Delivery segment.</w:t>
      </w:r>
    </w:p>
    <w:p>
      <w:pPr>
        <w:spacing w:after="0" w:line="66" w:lineRule="exact"/>
        <w:rPr>
          <w:sz w:val="20"/>
          <w:szCs w:val="20"/>
          <w:color w:val="auto"/>
        </w:rPr>
      </w:pPr>
    </w:p>
    <w:p>
      <w:pPr>
        <w:jc w:val="both"/>
        <w:ind w:firstLine="300"/>
        <w:spacing w:after="0" w:line="281" w:lineRule="auto"/>
        <w:rPr>
          <w:sz w:val="20"/>
          <w:szCs w:val="20"/>
          <w:color w:val="auto"/>
        </w:rPr>
      </w:pPr>
      <w:r>
        <w:rPr>
          <w:rFonts w:ascii="Arial" w:cs="Arial" w:eastAsia="Arial" w:hAnsi="Arial"/>
          <w:sz w:val="14"/>
          <w:szCs w:val="14"/>
          <w:b w:val="1"/>
          <w:bCs w:val="1"/>
          <w:i w:val="1"/>
          <w:iCs w:val="1"/>
          <w:color w:val="auto"/>
        </w:rPr>
        <w:t xml:space="preserve">Depreciation. </w:t>
      </w:r>
      <w:r>
        <w:rPr>
          <w:rFonts w:ascii="Arial" w:cs="Arial" w:eastAsia="Arial" w:hAnsi="Arial"/>
          <w:sz w:val="14"/>
          <w:szCs w:val="14"/>
          <w:color w:val="auto"/>
        </w:rPr>
        <w:t>Depreciation was $346 million, or 4.3% of revenue, in 2021, as compared with $259 million, or 4.1% of revenue in 2020, an increase of $87 million, or 34%.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Acquisitions contributed $33 million of depreciation for the year ended December 31, 2021 and organic depreciation increased by $54 million, or 21% due primarily to the impact of capital investments to support increased levels of large diameter pipeline project activity. As a percentage of revenue, depreciation increased by approximately 30 basis points.</w:t>
      </w:r>
    </w:p>
    <w:p>
      <w:pPr>
        <w:spacing w:after="0" w:line="59" w:lineRule="exact"/>
        <w:rPr>
          <w:sz w:val="20"/>
          <w:szCs w:val="20"/>
          <w:color w:val="auto"/>
        </w:rPr>
      </w:pPr>
    </w:p>
    <w:p>
      <w:pPr>
        <w:jc w:val="both"/>
        <w:ind w:firstLine="300"/>
        <w:spacing w:after="0" w:line="251"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$77 million, or 1.0% of revenue in 2021, as compared with $39 million, or 0.6% of revenue,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2020, an increase of $38 million, or 98%. Acquisitions contributed $47 million of intangible asset amortization for the year ended December 31, 2021 and organic amortization decreased by approximately $8 million, or 22%, due to the effects of timing of amortization for certain intangible assets. As a percentage of revenue, amortization of intangible assets increased by approximately 40 basis points.</w:t>
      </w:r>
    </w:p>
    <w:p>
      <w:pPr>
        <w:spacing w:after="0" w:line="77" w:lineRule="exact"/>
        <w:rPr>
          <w:sz w:val="20"/>
          <w:szCs w:val="20"/>
          <w:color w:val="auto"/>
        </w:rPr>
      </w:pPr>
    </w:p>
    <w:p>
      <w:pPr>
        <w:jc w:val="both"/>
        <w:ind w:firstLine="300"/>
        <w:spacing w:after="0" w:line="293" w:lineRule="auto"/>
        <w:rPr>
          <w:sz w:val="20"/>
          <w:szCs w:val="20"/>
          <w:color w:val="auto"/>
        </w:rPr>
      </w:pPr>
      <w:r>
        <w:rPr>
          <w:rFonts w:ascii="Arial" w:cs="Arial" w:eastAsia="Arial" w:hAnsi="Arial"/>
          <w:sz w:val="13"/>
          <w:szCs w:val="13"/>
          <w:b w:val="1"/>
          <w:bCs w:val="1"/>
          <w:i w:val="1"/>
          <w:iCs w:val="1"/>
          <w:color w:val="auto"/>
        </w:rPr>
        <w:t>General and administrative expenses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 and administrative expenses were $307 million, or 3.9%, of revenue in 2021, as compared with $ 303 million, or 4.8% of revenue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an increase of $4 million, or 1%. Acquisitions contributed approximately $36 million of general and administrative expenses for the year ended December 31, 2021. Excluding the effects of acquisitions, general and administrative expenses decreased by approximately $32 million, or 11%, as compared with 2020, primarily due to recovery of provisions for credit losses resulting from successful collection efforts for previously reserved amounts and gains from the sale of property and equipment, as well as the effects of legal and settlement matter timing. The favorable effect of these items was offset, in part, by increases in compensation, professional fees, information technology and other administrative expenses. General and administrative expenses as a percentage of revenue decreased by approximately 90 basis points as compared with 2020 due primarily to higher levels of revenue.</w:t>
      </w:r>
    </w:p>
    <w:p>
      <w:pPr>
        <w:spacing w:after="0" w:line="54" w:lineRule="exact"/>
        <w:rPr>
          <w:sz w:val="20"/>
          <w:szCs w:val="20"/>
          <w:color w:val="auto"/>
        </w:rPr>
      </w:pPr>
    </w:p>
    <w:p>
      <w:pPr>
        <w:jc w:val="both"/>
        <w:ind w:firstLine="300"/>
        <w:spacing w:after="0" w:line="267"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of interest income, was $53 million, or 0.7% of revenue in 2021, as compared with $60 million, or 0.9% of revenue in 2020, for a decrease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approximately $6 million, or 10%. The decrease in interest expense, net, related primarily to a reduction in interest expense from credit facility and leasing activity, together with a decrease in discount charges on financing arrangements for trade receivables. Interest expense from credit facility activity decreased by approximately $5 million as compared with the same period in the prior year due to a combination of lower interest rates and lower average balances. In addition, interest expense was favorably affected by approximately $1 million of income from mandatorily redeemable non-controlling interests in 2021, as compared with $1 million of expense in 2020. The above decreases were offset, in part, by an increase in interest expense on senior notes. Interest expense on senior notes increased in 2021 due to the third quarter 2020 issuance of $600 million aggregate principal amount of 4.50% Senior Notes, offset by the redemption of $400 million aggregate principal amount of 4.875% Senior Notes.</w:t>
      </w:r>
    </w:p>
    <w:p>
      <w:pPr>
        <w:spacing w:after="0" w:line="70" w:lineRule="exact"/>
        <w:rPr>
          <w:sz w:val="20"/>
          <w:szCs w:val="20"/>
          <w:color w:val="auto"/>
        </w:rPr>
      </w:pPr>
    </w:p>
    <w:p>
      <w:pPr>
        <w:jc w:val="both"/>
        <w:ind w:firstLine="300"/>
        <w:spacing w:after="0" w:line="255"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w:t>
      </w:r>
      <w:r>
        <w:rPr>
          <w:rFonts w:ascii="Arial" w:cs="Arial" w:eastAsia="Arial" w:hAnsi="Arial"/>
          <w:sz w:val="15"/>
          <w:szCs w:val="15"/>
          <w:color w:val="auto"/>
        </w:rPr>
        <w:t>Equity in earnings or losses of unconsolidated affiliates includes our share of income or losses from equity investees. For the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2021, equity in earnings from unconsolidated affiliates totaled $34 million, net, as compared with $30 million, net, in 2020, and related primarily to our investments in the Waha JVs, offset slightly by equity in losses from investments in certain telecommunications and other entities.</w:t>
      </w:r>
    </w:p>
    <w:p>
      <w:pPr>
        <w:spacing w:after="0" w:line="74" w:lineRule="exact"/>
        <w:rPr>
          <w:sz w:val="20"/>
          <w:szCs w:val="20"/>
          <w:color w:val="auto"/>
        </w:rPr>
      </w:pPr>
    </w:p>
    <w:p>
      <w:pPr>
        <w:jc w:val="both"/>
        <w:ind w:firstLine="300"/>
        <w:spacing w:after="0" w:line="344" w:lineRule="auto"/>
        <w:rPr>
          <w:sz w:val="20"/>
          <w:szCs w:val="20"/>
          <w:color w:val="auto"/>
        </w:rPr>
      </w:pPr>
      <w:r>
        <w:rPr>
          <w:rFonts w:ascii="Arial" w:cs="Arial" w:eastAsia="Arial" w:hAnsi="Arial"/>
          <w:sz w:val="13"/>
          <w:szCs w:val="13"/>
          <w:b w:val="1"/>
          <w:bCs w:val="1"/>
          <w:i w:val="1"/>
          <w:iCs w:val="1"/>
          <w:color w:val="auto"/>
        </w:rPr>
        <w:t>Loss on extinguishment of debt</w:t>
      </w:r>
      <w:r>
        <w:rPr>
          <w:rFonts w:ascii="Arial" w:cs="Arial" w:eastAsia="Arial" w:hAnsi="Arial"/>
          <w:sz w:val="13"/>
          <w:szCs w:val="13"/>
          <w:color w:val="auto"/>
        </w:rPr>
        <w:t>. We incurred a loss on debt extinguishment of approximately $6 million for the year ended December 31, 2020 in connection with the repurchase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redemption of our 4.875% Senior Notes, composed of approximately $3 million of early repayment premiums and $2 million from the write-off of unamortized deferred financing costs.</w:t>
      </w:r>
    </w:p>
    <w:p>
      <w:pPr>
        <w:spacing w:after="0" w:line="21" w:lineRule="exact"/>
        <w:rPr>
          <w:sz w:val="20"/>
          <w:szCs w:val="20"/>
          <w:color w:val="auto"/>
        </w:rPr>
      </w:pPr>
    </w:p>
    <w:p>
      <w:pPr>
        <w:jc w:val="both"/>
        <w:ind w:firstLine="300"/>
        <w:spacing w:after="0" w:line="271" w:lineRule="auto"/>
        <w:rPr>
          <w:sz w:val="20"/>
          <w:szCs w:val="20"/>
          <w:color w:val="auto"/>
        </w:rPr>
      </w:pPr>
      <w:r>
        <w:rPr>
          <w:rFonts w:ascii="Arial" w:cs="Arial" w:eastAsia="Arial" w:hAnsi="Arial"/>
          <w:sz w:val="14"/>
          <w:szCs w:val="14"/>
          <w:b w:val="1"/>
          <w:bCs w:val="1"/>
          <w:i w:val="1"/>
          <w:iCs w:val="1"/>
          <w:color w:val="auto"/>
        </w:rPr>
        <w:t xml:space="preserve">Other income, net. </w:t>
      </w:r>
      <w:r>
        <w:rPr>
          <w:rFonts w:ascii="Arial" w:cs="Arial" w:eastAsia="Arial" w:hAnsi="Arial"/>
          <w:sz w:val="14"/>
          <w:szCs w:val="14"/>
          <w:color w:val="auto"/>
        </w:rPr>
        <w:t>Other income, net, consists primarily of gains or losses from changes to estimated Earn-out accruals, certain legal/other settlements, and gains or losses,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changes in estimated recoveries, from certain assets and investments. Other income, net, was $33 million in 2021, as compared with other income, net, of $11 million in 2020. For the year ended December 31, 2021, other income, net, included approximately $28 million of income, net, from changes to estimated Earn-out accruals, approximately $3 million of bargain purchase gain from a 2021 acquisition and approximately $7 million of income from legal settlements, offset, in part, by $7 million of expense, net, from changes in the fair value of certain assets and investments and income from strategic arrangements. For the year ended December 31, 2020, other income, net, included approximately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7" w:name="page38"/>
    <w:bookmarkEnd w:id="37"/>
    <w:p>
      <w:pPr>
        <w:jc w:val="both"/>
        <w:spacing w:after="0" w:line="266" w:lineRule="auto"/>
        <w:rPr>
          <w:sz w:val="20"/>
          <w:szCs w:val="20"/>
          <w:color w:val="auto"/>
        </w:rPr>
      </w:pPr>
      <w:r>
        <w:rPr>
          <w:rFonts w:ascii="Arial" w:cs="Arial" w:eastAsia="Arial" w:hAnsi="Arial"/>
          <w:sz w:val="15"/>
          <w:szCs w:val="15"/>
          <w:color w:val="auto"/>
        </w:rPr>
        <w:t>$11 million of income from changes in the fair value of certain assets and investments and income from strategic arrangements, partially offset by $2 million of expense, net, from changes to estimated Earn-out accruals.</w:t>
      </w:r>
    </w:p>
    <w:p>
      <w:pPr>
        <w:spacing w:after="0" w:line="67" w:lineRule="exact"/>
        <w:rPr>
          <w:sz w:val="20"/>
          <w:szCs w:val="20"/>
          <w:color w:val="auto"/>
        </w:rPr>
      </w:pPr>
    </w:p>
    <w:p>
      <w:pPr>
        <w:jc w:val="both"/>
        <w:ind w:firstLine="300"/>
        <w:spacing w:after="0" w:line="247"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Income tax expense was $99 million in 2021, as compared with $102 million in 2020. Pre-tax income increased to $430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2021 from $425 million in 2020. For the year ended December 31, 2021, our effective tax rate decreased to 23.1% from 24.1% in 2020. Our effective tax rate for the year ended December 31, 2021 included a benefit of $3.8 million from share-based compensation, as well as benefits from adjustments related to the finalization of our 2020 tax returns and from the settlement of our 2016 and 2017 IRS examinations. For the year ended December 31, 2020, our effective income tax rate included a benefit of approximately $10 million related to the release of certain valuation allowances on Canadian deferred tax assets that were no longer necessary, as well as the benefit of adjustments from the finalization of our 2019 tax returns.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Analysis of EBITDA by Segment</w:t>
      </w:r>
    </w:p>
    <w:p>
      <w:pPr>
        <w:spacing w:after="0" w:line="1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$270 million, or 10.6% of revenue, in 2021, as compared with $270 million, or 10.7% of revenue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Higher levels of revenue contributed an increase in EBITDA of approximately $4 million. As a percentage of revenue, EBITDA decreased by approximately 20 basis points, or $5 million, due primarily to project inefficiencies, including from COVID-19 pandemic supply chain, crew and other effects, and mix, as well as the effects of project timing delays related to C-band spectrum auctions.</w:t>
      </w:r>
    </w:p>
    <w:p>
      <w:pPr>
        <w:spacing w:after="0" w:line="7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Clean Energy and Infrastructure Segment. </w:t>
      </w:r>
      <w:r>
        <w:rPr>
          <w:rFonts w:ascii="Arial" w:cs="Arial" w:eastAsia="Arial" w:hAnsi="Arial"/>
          <w:sz w:val="15"/>
          <w:szCs w:val="15"/>
          <w:color w:val="auto"/>
        </w:rPr>
        <w:t>EBITDA for our Clean Energy and Infrastructure segment was $75 million, or 4.0% of revenue, in 2021, as compared with $80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5.3% of revenue in 2020, for a decrease in EBITDA of approximately $5 million, or 7%. Higher levels of revenue contributed an increase in EBITDA of approximately $18 million. As a percentage of revenue, EBITDA decreased by approximately 120 basis points, or $23 million, due to project mix as well as project inefficiencies, including from COVID-19 pandemic supply chain, crew and other effects, as well as project start-up and execution delays.</w:t>
      </w:r>
    </w:p>
    <w:p>
      <w:pPr>
        <w:spacing w:after="0" w:line="7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Oil and Gas Segment. </w:t>
      </w:r>
      <w:r>
        <w:rPr>
          <w:rFonts w:ascii="Arial" w:cs="Arial" w:eastAsia="Arial" w:hAnsi="Arial"/>
          <w:sz w:val="15"/>
          <w:szCs w:val="15"/>
          <w:color w:val="auto"/>
        </w:rPr>
        <w:t>EBITDA for our Oil and Gas segment was $558 million, or 21.9% of revenue in 2021, as compared with $511 million, or 28.5% of revenue in 2020,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of approximately $47 million, or 9%. Higher levels of revenue contributed an increase in EBITDA of $214 million, whereas reduced productivity contributed a decrease in EBITDA of approximately $168 million. EBITDA margins decreased by approximately 660 basis points, due primarily to reduced project efficiencies, including from COVID-19 pandemic supply chain, crew and other effects, close-outs and mix.</w:t>
      </w:r>
    </w:p>
    <w:p>
      <w:pPr>
        <w:spacing w:after="0" w:line="7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Power Delivery Segment. </w:t>
      </w:r>
      <w:r>
        <w:rPr>
          <w:rFonts w:ascii="Arial" w:cs="Arial" w:eastAsia="Arial" w:hAnsi="Arial"/>
          <w:sz w:val="15"/>
          <w:szCs w:val="15"/>
          <w:color w:val="auto"/>
        </w:rPr>
        <w:t>EBITDA for our Power Delivery segment was $68 million, or 6.7% of revenue in 2021, as compared with $15 million, or 2.9% of revenue in 2020,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in EBITDA of approximately $53 million, or 355%. Higher levels of revenue contributed an increase in EBITDA of approximately $15 million. As a percentage of revenue, EBITDA increased by approximately 370 basis points, or $38 million, due primarily to project mix, as well as improved project efficiencies, offset, in part, by inefficiencies from COVID-19 pandemic supply chain, crew and other effects.</w:t>
      </w:r>
    </w:p>
    <w:p>
      <w:pPr>
        <w:spacing w:after="0" w:line="7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totaled $34 million and $31 million for the years ended December 31, 2021 and 2020, respectively, an increase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$3 million, or 10%. Other segment EBITDA relates primarily to equity in earnings from our investments in the Waha JVs, partially offset by equity in losses from other investments.</w:t>
      </w:r>
    </w:p>
    <w:p>
      <w:pPr>
        <w:spacing w:after="0" w:line="74"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b w:val="1"/>
          <w:bCs w:val="1"/>
          <w:i w:val="1"/>
          <w:iCs w:val="1"/>
          <w:color w:val="auto"/>
        </w:rPr>
        <w:t xml:space="preserve">Corporate. </w:t>
      </w:r>
      <w:r>
        <w:rPr>
          <w:rFonts w:ascii="Arial" w:cs="Arial" w:eastAsia="Arial" w:hAnsi="Arial"/>
          <w:sz w:val="14"/>
          <w:szCs w:val="14"/>
          <w:color w:val="auto"/>
        </w:rPr>
        <w:t>Corporate EBITDA was negative $98 million in 2021 as compared with EBITDA of negative $125 million in 2020, for an increase in EBITDA of approximately $27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Corporate EBITDA in 2021 included approximately $28 million of income, net, from changes to estimated Earn-out accruals and approximately $3 million of bargain purchase gain from a 2021 acquisition, offset, in part, by approximately $7 million of expense, net, from changes in the fair value of certain investments and income from strategic arrangements and approximately $4 million of acquisition and integration costs. Corporate EBITDA in 2020 included approximately $6 million of debt extinguishment losses and $2 million of expense, net, from changes to estimated Earn-out accruals, partially offset by approximately $11 million of income from changes in the fair value of certain investments and income from strategic arrangements. Excluding the effects of these items, other corporate expenses decreased by approximately $10 million as compared with 2020, due primarily to the effect of timing of legal and settlement matters, offset, in part, by increases in compensation expense, information technology costs and other administrative expenses.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Years Ended December 31, 2020 and 2019</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Refer to Item 7, “Management’s Discussion and Analysis of Financial Condition and Results of Operations - Comparison of Years Ended December 31, 2020 and 2019” of the Company’s 2020 Annual Report on Form 10-K (“the 2020 Form 10-K”) for a comparison of results for the years ended December 31, 2020 and 2019, which discussion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Operations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Our foreign operations are primarily in Canada and, to a far lesser extent, in Mexico, the Caribbean and India. See Note 13 - Segments and Related Information in the notes to the audited consolidated financial statements, which is incorporated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Non-U.S. GAAP Financial Measures</w:t>
      </w:r>
    </w:p>
    <w:p>
      <w:pPr>
        <w:spacing w:after="0" w:line="106"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the bargain purchase gain from a 2021 acquisition; acquisition and integration costs related to our 2021 acquisitions; the loss on debt extinguishment from the redemption of our 4.875% Senior Notes; goodwill and intangible asset impairment; and, for Adjusted Net Income and Adjusted Diluted Earnings Per Share, amortization of intangible assets and the tax effects of the adjusted items, including the effects of changes in statutory tax rates. These definitions of EBITDA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5"/>
          <w:szCs w:val="15"/>
          <w:color w:val="auto"/>
        </w:rPr>
        <w:t>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67"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exclude intangible asset amortization and selected purchase accounting adjustments, including the bargain purchase gain from a 2021 acquisition, from our adjusted measures due to their non-operational nature and inherent volatility, as acquisition activity varies from period to period. In addition, beginning in 2021, due to the integration efforts that have been, and will continue to be, required in connection with our fourth quarter 2021 acquisitions, we are excluding acquisition and integration costs for these acquisitions, with the expectation that additional acquisition and integration costs will be excluded in 2022. We also believe that this presentation is common practice in our industry and improves comparability of our results with those of our peers, although each company’s definitions of these adjusted measures may vary as they are not standardized and should be used in light of the provided reconciliations.</w:t>
      </w:r>
    </w:p>
    <w:p>
      <w:pPr>
        <w:spacing w:after="0" w:line="70"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54"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9"/>
          </w:tcPr>
          <w:p>
            <w:pPr>
              <w:jc w:val="right"/>
              <w:ind w:right="65"/>
              <w:spacing w:after="0"/>
              <w:rPr>
                <w:sz w:val="20"/>
                <w:szCs w:val="20"/>
                <w:color w:val="auto"/>
              </w:rPr>
            </w:pPr>
            <w:r>
              <w:rPr>
                <w:rFonts w:ascii="Arial" w:cs="Arial" w:eastAsia="Arial" w:hAnsi="Arial"/>
                <w:sz w:val="15"/>
                <w:szCs w:val="15"/>
                <w:b w:val="1"/>
                <w:bCs w:val="1"/>
                <w:color w:val="auto"/>
                <w:w w:val="91"/>
              </w:rPr>
              <w:t>For the Years Ended December 31,</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EBITDA Reconciliation:</w:t>
            </w:r>
          </w:p>
        </w:tc>
        <w:tc>
          <w:tcPr>
            <w:tcW w:w="1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5"/>
                <w:szCs w:val="15"/>
                <w:b w:val="1"/>
                <w:bCs w:val="1"/>
                <w:color w:val="auto"/>
                <w:w w:val="83"/>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5"/>
                <w:szCs w:val="15"/>
                <w:b w:val="1"/>
                <w:bCs w:val="1"/>
                <w:color w:val="auto"/>
                <w:w w:val="89"/>
              </w:rPr>
              <w:t>2019</w:t>
            </w:r>
          </w:p>
        </w:tc>
      </w:tr>
      <w:tr>
        <w:trPr>
          <w:trHeight w:val="195"/>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620" w:type="dxa"/>
            <w:vAlign w:val="bottom"/>
            <w:gridSpan w:val="2"/>
            <w:shd w:val="clear" w:color="auto" w:fill="CCEEFF"/>
          </w:tcPr>
          <w:p>
            <w:pPr>
              <w:jc w:val="center"/>
              <w:ind w:left="114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197"/>
        </w:trPr>
        <w:tc>
          <w:tcPr>
            <w:tcW w:w="4200" w:type="dxa"/>
            <w:vAlign w:val="bottom"/>
          </w:tcPr>
          <w:p>
            <w:pPr>
              <w:ind w:left="120"/>
              <w:spacing w:after="0"/>
              <w:rPr>
                <w:sz w:val="20"/>
                <w:szCs w:val="20"/>
                <w:color w:val="auto"/>
              </w:rPr>
            </w:pPr>
            <w:r>
              <w:rPr>
                <w:rFonts w:ascii="Arial" w:cs="Arial" w:eastAsia="Arial" w:hAnsi="Arial"/>
                <w:sz w:val="15"/>
                <w:szCs w:val="15"/>
                <w:color w:val="auto"/>
              </w:rPr>
              <w:t>Interest expense, net</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59.6</w:t>
            </w:r>
          </w:p>
        </w:tc>
        <w:tc>
          <w:tcPr>
            <w:tcW w:w="1040" w:type="dxa"/>
            <w:vAlign w:val="bottom"/>
            <w:gridSpan w:val="3"/>
          </w:tcPr>
          <w:p>
            <w:pPr>
              <w:jc w:val="right"/>
              <w:spacing w:after="0"/>
              <w:rPr>
                <w:sz w:val="20"/>
                <w:szCs w:val="20"/>
                <w:color w:val="auto"/>
              </w:rPr>
            </w:pPr>
            <w:r>
              <w:rPr>
                <w:rFonts w:ascii="Arial" w:cs="Arial" w:eastAsia="Arial" w:hAnsi="Arial"/>
                <w:sz w:val="15"/>
                <w:szCs w:val="15"/>
                <w:color w:val="auto"/>
              </w:rPr>
              <w:t>0.9 %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77.0</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1.1 %</w:t>
            </w:r>
          </w:p>
        </w:tc>
      </w:tr>
      <w:tr>
        <w:trPr>
          <w:trHeight w:val="203"/>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Provision for income taxes</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197"/>
        </w:trPr>
        <w:tc>
          <w:tcPr>
            <w:tcW w:w="420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258.8</w:t>
            </w:r>
          </w:p>
        </w:tc>
        <w:tc>
          <w:tcPr>
            <w:tcW w:w="1040" w:type="dxa"/>
            <w:vAlign w:val="bottom"/>
            <w:gridSpan w:val="3"/>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212.5</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3.0 %</w:t>
            </w:r>
          </w:p>
        </w:tc>
      </w:tr>
      <w:tr>
        <w:trPr>
          <w:trHeight w:val="203"/>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intangible assets</w:t>
            </w:r>
          </w:p>
        </w:tc>
        <w:tc>
          <w:tcPr>
            <w:tcW w:w="13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18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EBITDA</w:t>
            </w:r>
          </w:p>
        </w:tc>
        <w:tc>
          <w:tcPr>
            <w:tcW w:w="1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906.3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11.5 %</w:t>
            </w:r>
          </w:p>
        </w:tc>
      </w:tr>
      <w:tr>
        <w:trPr>
          <w:trHeight w:val="195"/>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Non-cash stock-based compensation expense</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0.2 %</w:t>
            </w:r>
          </w:p>
        </w:tc>
      </w:tr>
      <w:tr>
        <w:trPr>
          <w:trHeight w:val="197"/>
        </w:trPr>
        <w:tc>
          <w:tcPr>
            <w:tcW w:w="4200" w:type="dxa"/>
            <w:vAlign w:val="bottom"/>
          </w:tcPr>
          <w:p>
            <w:pPr>
              <w:ind w:left="120"/>
              <w:spacing w:after="0"/>
              <w:rPr>
                <w:sz w:val="20"/>
                <w:szCs w:val="20"/>
                <w:color w:val="auto"/>
              </w:rPr>
            </w:pPr>
            <w:r>
              <w:rPr>
                <w:rFonts w:ascii="Arial" w:cs="Arial" w:eastAsia="Arial" w:hAnsi="Arial"/>
                <w:sz w:val="15"/>
                <w:szCs w:val="15"/>
                <w:color w:val="auto"/>
              </w:rPr>
              <w:t>Loss on extinguishment of debt</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5.6</w:t>
            </w:r>
          </w:p>
        </w:tc>
        <w:tc>
          <w:tcPr>
            <w:tcW w:w="1040" w:type="dxa"/>
            <w:vAlign w:val="bottom"/>
            <w:gridSpan w:val="3"/>
          </w:tcPr>
          <w:p>
            <w:pPr>
              <w:jc w:val="right"/>
              <w:spacing w:after="0"/>
              <w:rPr>
                <w:sz w:val="20"/>
                <w:szCs w:val="20"/>
                <w:color w:val="auto"/>
              </w:rPr>
            </w:pPr>
            <w:r>
              <w:rPr>
                <w:rFonts w:ascii="Arial" w:cs="Arial" w:eastAsia="Arial" w:hAnsi="Arial"/>
                <w:sz w:val="15"/>
                <w:szCs w:val="15"/>
                <w:color w:val="auto"/>
              </w:rPr>
              <w:t>0.1 %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Goodwill and intangible asset impairment</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0.0 %</w:t>
            </w:r>
          </w:p>
        </w:tc>
      </w:tr>
      <w:tr>
        <w:trPr>
          <w:trHeight w:val="197"/>
        </w:trPr>
        <w:tc>
          <w:tcPr>
            <w:tcW w:w="4200" w:type="dxa"/>
            <w:vAlign w:val="bottom"/>
          </w:tcPr>
          <w:p>
            <w:pPr>
              <w:ind w:left="120"/>
              <w:spacing w:after="0"/>
              <w:rPr>
                <w:sz w:val="20"/>
                <w:szCs w:val="20"/>
                <w:color w:val="auto"/>
              </w:rPr>
            </w:pPr>
            <w:r>
              <w:rPr>
                <w:rFonts w:ascii="Arial" w:cs="Arial" w:eastAsia="Arial" w:hAnsi="Arial"/>
                <w:sz w:val="15"/>
                <w:szCs w:val="15"/>
                <w:color w:val="auto"/>
              </w:rPr>
              <w:t>Acquisition and integration costs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Bargain purchase gain</w:t>
            </w:r>
          </w:p>
        </w:tc>
        <w:tc>
          <w:tcPr>
            <w:tcW w:w="13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420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360" w:type="dxa"/>
            <w:vAlign w:val="bottom"/>
          </w:tcPr>
          <w:p>
            <w:pPr>
              <w:spacing w:after="0"/>
              <w:rPr>
                <w:sz w:val="16"/>
                <w:szCs w:val="16"/>
                <w:color w:val="auto"/>
              </w:rPr>
            </w:pPr>
          </w:p>
        </w:tc>
        <w:tc>
          <w:tcPr>
            <w:tcW w:w="26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12.8 %</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11.7 %</w:t>
            </w:r>
          </w:p>
        </w:tc>
      </w:tr>
      <w:tr>
        <w:trPr>
          <w:trHeight w:val="801"/>
        </w:trPr>
        <w:tc>
          <w:tcPr>
            <w:tcW w:w="4200" w:type="dxa"/>
            <w:vAlign w:val="bottom"/>
          </w:tcPr>
          <w:p>
            <w:pPr>
              <w:spacing w:after="0"/>
              <w:rPr>
                <w:sz w:val="24"/>
                <w:szCs w:val="24"/>
                <w:color w:val="auto"/>
              </w:rPr>
            </w:pPr>
          </w:p>
        </w:tc>
        <w:tc>
          <w:tcPr>
            <w:tcW w:w="1620" w:type="dxa"/>
            <w:vAlign w:val="bottom"/>
            <w:gridSpan w:val="2"/>
          </w:tcPr>
          <w:p>
            <w:pPr>
              <w:jc w:val="center"/>
              <w:ind w:left="1145"/>
              <w:spacing w:after="0"/>
              <w:rPr>
                <w:sz w:val="20"/>
                <w:szCs w:val="20"/>
                <w:color w:val="auto"/>
              </w:rPr>
            </w:pPr>
            <w:r>
              <w:rPr>
                <w:rFonts w:ascii="Arial" w:cs="Arial" w:eastAsia="Arial" w:hAnsi="Arial"/>
                <w:sz w:val="15"/>
                <w:szCs w:val="15"/>
                <w:color w:val="auto"/>
                <w:w w:val="95"/>
              </w:rPr>
              <w:t>39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8"/>
        </w:trPr>
        <w:tc>
          <w:tcPr>
            <w:tcW w:w="42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9" w:name="page40"/>
    <w:bookmarkEnd w:id="39"/>
    <w:p>
      <w:pPr>
        <w:ind w:left="600"/>
        <w:spacing w:after="0"/>
        <w:rPr>
          <w:sz w:val="20"/>
          <w:szCs w:val="20"/>
          <w:color w:val="auto"/>
        </w:rPr>
      </w:pPr>
      <w:r>
        <w:rPr>
          <w:rFonts w:ascii="Arial" w:cs="Arial" w:eastAsia="Arial" w:hAnsi="Arial"/>
          <w:sz w:val="15"/>
          <w:szCs w:val="15"/>
          <w:color w:val="auto"/>
        </w:rPr>
        <w:t>A reconciliation of EBITDA to Adjusted EBITDA and Adjusted EBITDA margin by reportable segment for the periods indicated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jc w:val="right"/>
              <w:ind w:right="65"/>
              <w:spacing w:after="0"/>
              <w:rPr>
                <w:sz w:val="20"/>
                <w:szCs w:val="20"/>
                <w:color w:val="auto"/>
              </w:rPr>
            </w:pPr>
            <w:r>
              <w:rPr>
                <w:rFonts w:ascii="Arial" w:cs="Arial" w:eastAsia="Arial" w:hAnsi="Arial"/>
                <w:sz w:val="15"/>
                <w:szCs w:val="15"/>
                <w:b w:val="1"/>
                <w:bCs w:val="1"/>
                <w:color w:val="auto"/>
                <w:w w:val="91"/>
              </w:rPr>
              <w:t>For the Years Ended December 31,</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5"/>
                <w:szCs w:val="15"/>
                <w:b w:val="1"/>
                <w:bCs w:val="1"/>
                <w:color w:val="auto"/>
                <w:w w:val="83"/>
              </w:rPr>
              <w:t>2019</w:t>
            </w:r>
          </w:p>
        </w:tc>
      </w:tr>
      <w:tr>
        <w:trPr>
          <w:trHeight w:val="195"/>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EBITDA</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11.5 %</w:t>
            </w: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Non-cash stock-based compensation expense</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16.4</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0.2 %</w:t>
            </w:r>
          </w:p>
        </w:tc>
      </w:tr>
      <w:tr>
        <w:trPr>
          <w:trHeight w:val="203"/>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Goodwill and intangible asset impairment</w:t>
            </w:r>
          </w:p>
        </w:tc>
        <w:tc>
          <w:tcPr>
            <w:tcW w:w="240" w:type="dxa"/>
            <w:vAlign w:val="bottom"/>
          </w:tcPr>
          <w:p>
            <w:pPr>
              <w:spacing w:after="0"/>
              <w:rPr>
                <w:sz w:val="17"/>
                <w:szCs w:val="17"/>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0.0 %</w:t>
            </w:r>
          </w:p>
        </w:tc>
      </w:tr>
      <w:tr>
        <w:trPr>
          <w:trHeight w:val="203"/>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Acquisition and integration costs</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7"/>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Bargain purchase gain</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(0.0 )%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843.2</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11.7 %</w:t>
            </w:r>
          </w:p>
        </w:tc>
      </w:tr>
      <w:tr>
        <w:trPr>
          <w:trHeight w:val="177"/>
        </w:trPr>
        <w:tc>
          <w:tcPr>
            <w:tcW w:w="5560" w:type="dxa"/>
            <w:vAlign w:val="bottom"/>
          </w:tcPr>
          <w:p>
            <w:pPr>
              <w:ind w:left="20"/>
              <w:spacing w:after="0"/>
              <w:rPr>
                <w:sz w:val="20"/>
                <w:szCs w:val="20"/>
                <w:color w:val="auto"/>
              </w:rPr>
            </w:pPr>
            <w:r>
              <w:rPr>
                <w:rFonts w:ascii="Arial" w:cs="Arial" w:eastAsia="Arial" w:hAnsi="Arial"/>
                <w:sz w:val="15"/>
                <w:szCs w:val="15"/>
                <w:color w:val="auto"/>
              </w:rPr>
              <w:t>Reportable Segment:</w:t>
            </w: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03"/>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Communications</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8.0 %</w:t>
            </w: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Clean Energy and Infrastructure</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40.1</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3.9 %</w:t>
            </w:r>
          </w:p>
        </w:tc>
      </w:tr>
      <w:tr>
        <w:trPr>
          <w:trHeight w:val="203"/>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Oil and Gas</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634.2</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20.3 %</w:t>
            </w: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Power Delivery</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29.5</w:t>
            </w: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7.1 %</w:t>
            </w:r>
          </w:p>
        </w:tc>
      </w:tr>
      <w:tr>
        <w:trPr>
          <w:trHeight w:val="203"/>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NM</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NM</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7"/>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843.2</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11.7 %</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NM - Percentage is not meaningful</w:t>
      </w:r>
    </w:p>
    <w:p>
      <w:pPr>
        <w:spacing w:after="0" w:line="158"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5"/>
                <w:szCs w:val="15"/>
                <w:b w:val="1"/>
                <w:bCs w:val="1"/>
                <w:color w:val="auto"/>
                <w:w w:val="95"/>
              </w:rPr>
              <w:t>For the Years Ended December 31,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2"/>
              </w:rPr>
              <w:t>Net Income (in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0"/>
              </w:rPr>
              <w:t>Diluted</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2"/>
              </w:rPr>
              <w:t>Net Income (in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w w:val="94"/>
              </w:rPr>
              <w:t>Diluted</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0"/>
              </w:rPr>
              <w:t>Net Income (in</w:t>
            </w:r>
          </w:p>
        </w:tc>
        <w:tc>
          <w:tcPr>
            <w:tcW w:w="120" w:type="dxa"/>
            <w:vAlign w:val="bottom"/>
          </w:tcPr>
          <w:p>
            <w:pPr>
              <w:spacing w:after="0"/>
              <w:rPr>
                <w:sz w:val="12"/>
                <w:szCs w:val="12"/>
                <w:color w:val="auto"/>
              </w:rPr>
            </w:pPr>
          </w:p>
        </w:tc>
        <w:tc>
          <w:tcPr>
            <w:tcW w:w="980" w:type="dxa"/>
            <w:vAlign w:val="bottom"/>
          </w:tcPr>
          <w:p>
            <w:pPr>
              <w:jc w:val="center"/>
              <w:ind w:right="45"/>
              <w:spacing w:after="0" w:line="146" w:lineRule="exact"/>
              <w:rPr>
                <w:sz w:val="20"/>
                <w:szCs w:val="20"/>
                <w:color w:val="auto"/>
              </w:rPr>
            </w:pPr>
            <w:r>
              <w:rPr>
                <w:rFonts w:ascii="Arial" w:cs="Arial" w:eastAsia="Arial" w:hAnsi="Arial"/>
                <w:sz w:val="15"/>
                <w:szCs w:val="15"/>
                <w:b w:val="1"/>
                <w:bCs w:val="1"/>
                <w:color w:val="auto"/>
                <w:w w:val="90"/>
              </w:rPr>
              <w:t>Diluted</w:t>
            </w: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2"/>
              </w:rPr>
              <w:t>Earnings Per</w:t>
            </w:r>
          </w:p>
        </w:tc>
        <w:tc>
          <w:tcPr>
            <w:tcW w:w="12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0"/>
              </w:rPr>
              <w:t>Earnings Per</w:t>
            </w:r>
          </w:p>
        </w:tc>
        <w:tc>
          <w:tcPr>
            <w:tcW w:w="12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25"/>
              <w:spacing w:after="0" w:line="150" w:lineRule="exact"/>
              <w:rPr>
                <w:sz w:val="20"/>
                <w:szCs w:val="20"/>
                <w:color w:val="auto"/>
              </w:rPr>
            </w:pPr>
            <w:r>
              <w:rPr>
                <w:rFonts w:ascii="Arial" w:cs="Arial" w:eastAsia="Arial" w:hAnsi="Arial"/>
                <w:sz w:val="15"/>
                <w:szCs w:val="15"/>
                <w:b w:val="1"/>
                <w:bCs w:val="1"/>
                <w:color w:val="auto"/>
                <w:w w:val="90"/>
              </w:rPr>
              <w:t>Earnings Per</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millions)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Share</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millions)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Share</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millions)</w:t>
            </w:r>
          </w:p>
        </w:tc>
        <w:tc>
          <w:tcPr>
            <w:tcW w:w="120" w:type="dxa"/>
            <w:vAlign w:val="bottom"/>
          </w:tcPr>
          <w:p>
            <w:pPr>
              <w:spacing w:after="0"/>
              <w:rPr>
                <w:sz w:val="17"/>
                <w:szCs w:val="17"/>
                <w:color w:val="auto"/>
              </w:rPr>
            </w:pPr>
          </w:p>
        </w:tc>
        <w:tc>
          <w:tcPr>
            <w:tcW w:w="980" w:type="dxa"/>
            <w:vAlign w:val="bottom"/>
          </w:tcPr>
          <w:p>
            <w:pPr>
              <w:jc w:val="center"/>
              <w:ind w:right="45"/>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2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Reported U.S. GAAP measure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Non-cash stock-based compensation expense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0.22</w:t>
            </w:r>
          </w:p>
        </w:tc>
        <w:tc>
          <w:tcPr>
            <w:tcW w:w="0" w:type="dxa"/>
            <w:vAlign w:val="bottom"/>
          </w:tcPr>
          <w:p>
            <w:pPr>
              <w:spacing w:after="0"/>
              <w:rPr>
                <w:sz w:val="1"/>
                <w:szCs w:val="1"/>
                <w:color w:val="auto"/>
              </w:rPr>
            </w:pPr>
          </w:p>
        </w:tc>
      </w:tr>
      <w:tr>
        <w:trPr>
          <w:trHeight w:val="234"/>
        </w:trPr>
        <w:tc>
          <w:tcPr>
            <w:tcW w:w="4060" w:type="dxa"/>
            <w:vAlign w:val="bottom"/>
          </w:tcPr>
          <w:p>
            <w:pPr>
              <w:ind w:left="200"/>
              <w:spacing w:after="0"/>
              <w:rPr>
                <w:sz w:val="20"/>
                <w:szCs w:val="20"/>
                <w:color w:val="auto"/>
              </w:rPr>
            </w:pPr>
            <w:r>
              <w:rPr>
                <w:rFonts w:ascii="Arial" w:cs="Arial" w:eastAsia="Arial" w:hAnsi="Arial"/>
                <w:sz w:val="15"/>
                <w:szCs w:val="15"/>
                <w:color w:val="auto"/>
              </w:rPr>
              <w:t>Amortization of intangible assets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Loss on extinguishment of debt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060" w:type="dxa"/>
            <w:vAlign w:val="bottom"/>
          </w:tcPr>
          <w:p>
            <w:pPr>
              <w:ind w:left="200"/>
              <w:spacing w:after="0"/>
              <w:rPr>
                <w:sz w:val="20"/>
                <w:szCs w:val="20"/>
                <w:color w:val="auto"/>
              </w:rPr>
            </w:pPr>
            <w:r>
              <w:rPr>
                <w:rFonts w:ascii="Arial" w:cs="Arial" w:eastAsia="Arial" w:hAnsi="Arial"/>
                <w:sz w:val="15"/>
                <w:szCs w:val="15"/>
                <w:color w:val="auto"/>
              </w:rPr>
              <w:t>Goodwill and intangible asset impairment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Acquisition and integration costs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060" w:type="dxa"/>
            <w:vAlign w:val="bottom"/>
          </w:tcPr>
          <w:p>
            <w:pPr>
              <w:ind w:left="200"/>
              <w:spacing w:after="0"/>
              <w:rPr>
                <w:sz w:val="20"/>
                <w:szCs w:val="20"/>
                <w:color w:val="auto"/>
              </w:rPr>
            </w:pPr>
            <w:r>
              <w:rPr>
                <w:rFonts w:ascii="Arial" w:cs="Arial" w:eastAsia="Arial" w:hAnsi="Arial"/>
                <w:sz w:val="15"/>
                <w:szCs w:val="15"/>
                <w:color w:val="auto"/>
              </w:rPr>
              <w:t>Bargain purchase gain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adjustments, pre-tax</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5"/>
                <w:szCs w:val="15"/>
                <w:color w:val="auto"/>
              </w:rPr>
              <w:t xml:space="preserve">Income tax effect of adjustments </w:t>
            </w:r>
            <w:r>
              <w:rPr>
                <w:rFonts w:ascii="Arial" w:cs="Arial" w:eastAsia="Arial" w:hAnsi="Arial"/>
                <w:sz w:val="19"/>
                <w:szCs w:val="19"/>
                <w:color w:val="auto"/>
                <w:vertAlign w:val="superscript"/>
              </w:rPr>
              <w:t>(a)</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 xml:space="preserve">Statutory tax rate effects </w:t>
            </w:r>
            <w:r>
              <w:rPr>
                <w:rFonts w:ascii="Arial" w:cs="Arial" w:eastAsia="Arial" w:hAnsi="Arial"/>
                <w:sz w:val="19"/>
                <w:szCs w:val="19"/>
                <w:color w:val="auto"/>
                <w:vertAlign w:val="superscript"/>
              </w:rPr>
              <w:t>(b)</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214"/>
        </w:trPr>
        <w:tc>
          <w:tcPr>
            <w:tcW w:w="4060" w:type="dxa"/>
            <w:vAlign w:val="bottom"/>
          </w:tcPr>
          <w:p>
            <w:pPr>
              <w:ind w:left="20"/>
              <w:spacing w:after="0"/>
              <w:rPr>
                <w:sz w:val="20"/>
                <w:szCs w:val="20"/>
                <w:color w:val="auto"/>
              </w:rPr>
            </w:pPr>
            <w:r>
              <w:rPr>
                <w:rFonts w:ascii="Arial" w:cs="Arial" w:eastAsia="Arial" w:hAnsi="Arial"/>
                <w:sz w:val="15"/>
                <w:szCs w:val="15"/>
                <w:color w:val="auto"/>
              </w:rPr>
              <w:t>Adjusted non-U.S. GAAP measure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80"/>
        <w:spacing w:after="0" w:line="248" w:lineRule="auto"/>
        <w:tabs>
          <w:tab w:leader="none" w:pos="291"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years ended December 31, 2021, 2020 and 2019, included net tax benefits of $3.8 million, $0.5 million and $3.9 million, respectively, from the vesting of share-based payment awards. Tax effects are determined based on the tax treatment of the related item, the incremental statutory tax rate of the jurisdictions pertaining to the adjustment, and their effect on pre-tax income. For the years ended December 31, 2021, 2020 and 2019, our consolidated effective tax rates, as reported, were 23.1%, 24.1% and 22.9%, respectively, and as adjusted, including the effects of intangible asset amortization, as discussed above, were 22.2%, 23.4%, and 24.9%, respectively.</w:t>
      </w:r>
    </w:p>
    <w:p>
      <w:pPr>
        <w:spacing w:after="0" w:line="1" w:lineRule="exact"/>
        <w:rPr>
          <w:rFonts w:ascii="Arial" w:cs="Arial" w:eastAsia="Arial" w:hAnsi="Arial"/>
          <w:sz w:val="13"/>
          <w:szCs w:val="13"/>
          <w:color w:val="auto"/>
        </w:rPr>
      </w:pPr>
    </w:p>
    <w:p>
      <w:pPr>
        <w:ind w:left="380" w:hanging="380"/>
        <w:spacing w:after="0" w:line="271" w:lineRule="auto"/>
        <w:tabs>
          <w:tab w:leader="none" w:pos="296"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the years ended December 31, 2021 and 2020, includes the effect of changes in state tax rates and for the year ended December 31, 2019, includes the effects of changes in Canadian provincial statutory tax rates, as well as changes in state tax rates.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Condition, Liquidity and Capital Resources</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5"/>
          <w:szCs w:val="15"/>
          <w:color w:val="auto"/>
        </w:rPr>
        <w:t>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 See Note 7 - Debt in the notes to the audited consolidated financial statements in this Form 10-K, which is incorporated by reference, for details of the fourth quarter 2021 replacement of our senior secured credit facility with a senior unsecured credit facility.</w:t>
      </w:r>
    </w:p>
    <w:p>
      <w:pPr>
        <w:spacing w:after="0" w:line="77"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2021, we spent approximately $170 million on capital expenditures, or $105 million, net of asset disposals, and incurred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$160 million of equipment purchases under finance leases. We estimate that we will spend approximately $200 million on capital expenditures, or approximately $100 million, net of asset disposals, in 2022, and expect to incur approximately $200 million to $220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spacing w:after="0" w:line="75"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4"/>
          <w:szCs w:val="14"/>
          <w:b w:val="1"/>
          <w:bCs w:val="1"/>
          <w:i w:val="1"/>
          <w:iCs w:val="1"/>
          <w:color w:val="auto"/>
        </w:rPr>
        <w:t>Acquisitions and Earn-Out Liabilities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typically utilize cash for business acquisitions and other strategic arrangements, and for the year ended December 31, 2021, we used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$1,245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Earn-outs as of December 31, 2021 was approximately $160 million. Of this amount, $38 million represents the liability for earned amounts. The remainder is management’s estimate of Earn-outs that are contingent upon future performance. For the years ended December 31, 2021, 2020 and 2019, we made Earn-out payments of $47 million, $50 million and $35 million, respectively.</w:t>
      </w:r>
    </w:p>
    <w:p>
      <w:pPr>
        <w:spacing w:after="0" w:line="66"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Tax payments, net of tax refunds totaled $69 million and $65 million for the years ended December 31, 2021 and 2020. In 2019, tax payments, net of tax refunds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were approximately $106 million. The year-to-year changes in tax payments largely correspond to the changes in taxable net income for the respective years.</w:t>
      </w:r>
    </w:p>
    <w:p>
      <w:pPr>
        <w:spacing w:after="0" w:line="43"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 construction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5"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December 31, 2021,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$2.2 billion as of December 31, 2021 from $1.8 billion as of December 31, 2020, due primarily to 2021 acquisition activity and higher levels of revenue, offset, in part, by the effects of strong collection activities. See below for discussion of our days sales outstanding, net of contract liabilities, which we refer to as days sales outstanding, or “DSO.”</w:t>
      </w:r>
    </w:p>
    <w:p>
      <w:pPr>
        <w:spacing w:after="0" w:line="66" w:lineRule="exact"/>
        <w:rPr>
          <w:sz w:val="20"/>
          <w:szCs w:val="20"/>
          <w:color w:val="auto"/>
        </w:rPr>
      </w:pPr>
    </w:p>
    <w:p>
      <w:pPr>
        <w:jc w:val="both"/>
        <w:ind w:firstLine="501"/>
        <w:spacing w:after="0" w:line="296" w:lineRule="auto"/>
        <w:rPr>
          <w:sz w:val="20"/>
          <w:szCs w:val="20"/>
          <w:color w:val="auto"/>
        </w:rPr>
      </w:pPr>
      <w:r>
        <w:rPr>
          <w:rFonts w:ascii="Arial" w:cs="Arial" w:eastAsia="Arial" w:hAnsi="Arial"/>
          <w:sz w:val="13"/>
          <w:szCs w:val="13"/>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Financial Condition, Liquidity and Capital Resources</w:t>
      </w:r>
    </w:p>
    <w:p>
      <w:pPr>
        <w:spacing w:after="0" w:line="106"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color w:val="auto"/>
        </w:rPr>
        <w:t>Including our current assessment of general economic conditions and the potential effects of the COVID-19 pandemic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Sources and Uses of Cash</w:t>
      </w:r>
    </w:p>
    <w:p>
      <w:pPr>
        <w:spacing w:after="0" w:line="10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of December 31, 2021, we had approximately $1,089 million in working capital, defined as current assets less current liabilities, as compared with $944 million as of December 31, 2020, an increase of approximately $146 million. Cash and cash equivalents totaled $361 million as of December 31, 2021 and $423 million as of December 31, 2020, for a decrease of $62 million, due, in part, to our 2021 acquisition activity.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9"/>
        </w:trPr>
        <w:tc>
          <w:tcPr>
            <w:tcW w:w="6860" w:type="dxa"/>
            <w:vAlign w:val="bottom"/>
          </w:tcPr>
          <w:p>
            <w:pPr>
              <w:ind w:left="600"/>
              <w:spacing w:after="0"/>
              <w:rPr>
                <w:sz w:val="20"/>
                <w:szCs w:val="20"/>
                <w:color w:val="auto"/>
              </w:rPr>
            </w:pPr>
            <w:r>
              <w:rPr>
                <w:rFonts w:ascii="Arial" w:cs="Arial" w:eastAsia="Arial" w:hAnsi="Arial"/>
                <w:sz w:val="15"/>
                <w:szCs w:val="15"/>
                <w:color w:val="auto"/>
              </w:rPr>
              <w:t>Sources and uses of cash are summarized below (in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5"/>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565"/>
              <w:spacing w:after="0"/>
              <w:rPr>
                <w:sz w:val="20"/>
                <w:szCs w:val="20"/>
                <w:color w:val="auto"/>
              </w:rPr>
            </w:pPr>
            <w:r>
              <w:rPr>
                <w:rFonts w:ascii="Arial" w:cs="Arial" w:eastAsia="Arial" w:hAnsi="Arial"/>
                <w:sz w:val="15"/>
                <w:szCs w:val="15"/>
                <w:b w:val="1"/>
                <w:bCs w:val="1"/>
                <w:color w:val="auto"/>
                <w:w w:val="89"/>
              </w:rPr>
              <w:t>For the Years Ended December 31,</w:t>
            </w:r>
          </w:p>
        </w:tc>
        <w:tc>
          <w:tcPr>
            <w:tcW w:w="960" w:type="dxa"/>
            <w:vAlign w:val="bottom"/>
            <w:tcBorders>
              <w:bottom w:val="single" w:sz="8" w:color="auto"/>
            </w:tcBorders>
          </w:tcPr>
          <w:p>
            <w:pPr>
              <w:spacing w:after="0"/>
              <w:rPr>
                <w:sz w:val="24"/>
                <w:szCs w:val="24"/>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793.1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85"/>
              </w:rPr>
              <w:t>937.3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center"/>
              <w:ind w:left="425"/>
              <w:spacing w:after="0"/>
              <w:rPr>
                <w:sz w:val="20"/>
                <w:szCs w:val="20"/>
                <w:color w:val="auto"/>
              </w:rPr>
            </w:pPr>
            <w:r>
              <w:rPr>
                <w:rFonts w:ascii="Arial" w:cs="Arial" w:eastAsia="Arial" w:hAnsi="Arial"/>
                <w:sz w:val="15"/>
                <w:szCs w:val="15"/>
                <w:color w:val="auto"/>
                <w:w w:val="90"/>
              </w:rPr>
              <w:t>550.3</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(1,357.2)</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center"/>
              <w:ind w:left="485"/>
              <w:spacing w:after="0"/>
              <w:rPr>
                <w:sz w:val="20"/>
                <w:szCs w:val="20"/>
                <w:color w:val="auto"/>
              </w:rPr>
            </w:pPr>
            <w:r>
              <w:rPr>
                <w:rFonts w:ascii="Arial" w:cs="Arial" w:eastAsia="Arial" w:hAnsi="Arial"/>
                <w:sz w:val="15"/>
                <w:szCs w:val="15"/>
                <w:color w:val="auto"/>
                <w:w w:val="92"/>
              </w:rPr>
              <w:t>(216.6)</w:t>
            </w:r>
          </w:p>
        </w:tc>
        <w:tc>
          <w:tcPr>
            <w:tcW w:w="8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405"/>
              <w:spacing w:after="0"/>
              <w:rPr>
                <w:sz w:val="20"/>
                <w:szCs w:val="20"/>
                <w:color w:val="auto"/>
              </w:rPr>
            </w:pPr>
            <w:r>
              <w:rPr>
                <w:rFonts w:ascii="Arial" w:cs="Arial" w:eastAsia="Arial" w:hAnsi="Arial"/>
                <w:sz w:val="15"/>
                <w:szCs w:val="15"/>
                <w:color w:val="auto"/>
                <w:w w:val="92"/>
              </w:rPr>
              <w:t>(261.8)</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center"/>
              <w:ind w:left="485"/>
              <w:spacing w:after="0"/>
              <w:rPr>
                <w:sz w:val="20"/>
                <w:szCs w:val="20"/>
                <w:color w:val="auto"/>
              </w:rPr>
            </w:pPr>
            <w:r>
              <w:rPr>
                <w:rFonts w:ascii="Arial" w:cs="Arial" w:eastAsia="Arial" w:hAnsi="Arial"/>
                <w:sz w:val="15"/>
                <w:szCs w:val="15"/>
                <w:color w:val="auto"/>
                <w:w w:val="92"/>
              </w:rPr>
              <w:t>(369.9)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center"/>
              <w:ind w:left="405"/>
              <w:spacing w:after="0"/>
              <w:rPr>
                <w:sz w:val="20"/>
                <w:szCs w:val="20"/>
                <w:color w:val="auto"/>
              </w:rPr>
            </w:pPr>
            <w:r>
              <w:rPr>
                <w:rFonts w:ascii="Arial" w:cs="Arial" w:eastAsia="Arial" w:hAnsi="Arial"/>
                <w:sz w:val="15"/>
                <w:szCs w:val="15"/>
                <w:color w:val="auto"/>
                <w:w w:val="92"/>
              </w:rPr>
              <w:t>(244.6)</w:t>
            </w:r>
          </w:p>
        </w:tc>
      </w:tr>
    </w:tbl>
    <w:p>
      <w:pPr>
        <w:spacing w:after="0" w:line="17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b w:val="1"/>
          <w:bCs w:val="1"/>
          <w:i w:val="1"/>
          <w:iCs w:val="1"/>
          <w:color w:val="auto"/>
        </w:rPr>
        <w:t xml:space="preserve">Operating Activities. </w:t>
      </w:r>
      <w:r>
        <w:rPr>
          <w:rFonts w:ascii="Arial" w:cs="Arial" w:eastAsia="Arial" w:hAnsi="Arial"/>
          <w:sz w:val="14"/>
          <w:szCs w:val="14"/>
          <w:color w:val="auto"/>
        </w:rPr>
        <w:t>Cash flow from operations is primarily influenced by changes in the timing of demand for our services and operating margins, but can also be affected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working capital needs associated with the various types of services we 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2021 was $793 million, as compared with $937 million in 2020, for a decrease in cash provided by operating activities of approximately $144 million. The decrease was primarily due to the effect of revenue growth and timing-related working capital changes in assets and liabilities, net, (primarily accounts receivable, contract assets, accounts payable and contract liabilities) partially offset by increases in certain expenses that reconcile net income to operating cash flows, including depreciation expense and amortization of intangible assets.</w:t>
      </w:r>
    </w:p>
    <w:p>
      <w:pPr>
        <w:spacing w:after="0" w:line="71"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Our days sales outstanding, net of contract liabilities (“DSO”) was 98, and as adjusted for December 2021 acquisitions, was 77 as of December 31, 2021. As of December 31, 2020, DSO was 86. DSO is calculated as total accounts receivable, net of allowance, less contract liabilities, divided by average daily revenue for the most recently completed quarter as of the balance sheet date. To provide a representative comparison for prior period DSO, we calculated DSO, as adjusted for our December 2021 acquisitions. This calculation excludes revenue and accounts receivable, net of allowance, less contract liabilities for our December 2021 acquisitions, given that our consolidated results do not reflect the full quarter’s revenue for these acquisitions, but our consolidated balance sheet as of December 31, 2021 includes the full amount of related accounts receivable, net of allowance, less contract liabilities. Our DSOs can fluctuate from period to period due to timing of billings, billing terms, collections and settlements, timing of project close-outs and retainage collections, changes in project and customer mix and the effect of working capital initiatives. The decrease in DSO for the year ended December 31, 2021, as adjusted for our December 2021 acquisitions, as compared with the prior year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70"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b w:val="1"/>
          <w:bCs w:val="1"/>
          <w:i w:val="1"/>
          <w:iCs w:val="1"/>
          <w:color w:val="auto"/>
        </w:rPr>
        <w:t xml:space="preserve">Investing Activities. </w:t>
      </w:r>
      <w:r>
        <w:rPr>
          <w:rFonts w:ascii="Arial" w:cs="Arial" w:eastAsia="Arial" w:hAnsi="Arial"/>
          <w:sz w:val="14"/>
          <w:szCs w:val="14"/>
          <w:color w:val="auto"/>
        </w:rPr>
        <w:t>Net cash used in investing activities increased by approximately $1,141 million to $1,357 million for the year ended December 31, 2021 from $217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2020. We completed fourteen acquisitions during the year ended December 31, 2021, for which we paid $1,245 million in cash, net of cash acquired, an increase of approximately $1,220 million as compared with 2020. These acquisitions were funded with cash on hand and borrowings under our senior credit facility. Capital expenditures totaled $170 million, or $105 million, net of asset disposals, in 2021, as compared with $214 million, or $177 million, net of asset disposals, in 2020, for a decrease in cash used in investing activities of approximately $72 million. Payments for other investments, which relate primarily to investments in certain equity investees as well as payments for life insurance agreements, decreased from $17 million in 2020 to $10 million in 2021, for a reduction of approximately $7 million in cash used in investing activities.</w:t>
      </w:r>
    </w:p>
    <w:p>
      <w:pPr>
        <w:spacing w:after="0" w:line="66"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b w:val="1"/>
          <w:bCs w:val="1"/>
          <w:i w:val="1"/>
          <w:iCs w:val="1"/>
          <w:color w:val="auto"/>
        </w:rPr>
        <w:t xml:space="preserve">Financing Activities. </w:t>
      </w:r>
      <w:r>
        <w:rPr>
          <w:rFonts w:ascii="Arial" w:cs="Arial" w:eastAsia="Arial" w:hAnsi="Arial"/>
          <w:sz w:val="14"/>
          <w:szCs w:val="14"/>
          <w:color w:val="auto"/>
        </w:rPr>
        <w:t>Net cash provided by financing activities for the year ended December 31, 2021 was $502 million, as compared with net cash used in financing activities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$370 million in 2020, for an increase in cash provided by financing activities of approximately $872 million. The increase in cash provided by financing activities was driven primarily by credit facility-related activity and share repurchases, offset, in part, by proceeds from the issuance of $600 million aggregate principal amount of our 4.50% Senior Notes in the third quarter of 2020, net of the redemption of $400 million aggregate principal amount of our 4.875% Senior Notes. Credit facility activity, net, totaled $691 million of borrowings, net of repayments in 2021, primarily related to our 2021 acquisitions, as compared with $306 million of repayments, net, in 2020. There were no share repurchases in 2021, whereas in 2020, share repurchases totaled $120 million, for a reduction in cash used in financing activities.</w:t>
      </w:r>
    </w:p>
    <w:p>
      <w:pPr>
        <w:spacing w:after="0" w:line="6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Offsetting the above-mentioned increases in cash provided by financing activities, payments to holders of our non-controlling interests increased by $8 million in 2021 as compared with 2020, primarily due to $7 million of consideration to acquire 15% of the remaining interests of one of these entities in 2021. Additionally, payments of finance lease obligations increased by approximately $32 million in 2021 as compared with the same period in 2020. Payments of acquisition-related contingent consideration included within financing activities totaled $22 million in 2021 as compared with $10 million in 2020, for an increase in cash used in financing activities of $12 million. Total payments of acquisition-related contingent consideration, including payments in excess of acquisition-date liabilities, which are classified within operating activities, totaled $47 million in 2021 as compared with $50 million in 2020. Proceeds from other financing activities, net, totaled $6 million in 2021 and included other borrowing activity, net of payments for financing costs on the replacement of our senior credit facility, whereas payments for other financing activities, net, in 2020 totaled $12 million and included early repayment premiums on the redemption of our 4.875% Senior Notes and payments of financing costs on our new 4.50% Senior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2" w:name="page43"/>
    <w:bookmarkEnd w:id="42"/>
    <w:p>
      <w:pPr>
        <w:ind w:left="300"/>
        <w:spacing w:after="0"/>
        <w:rPr>
          <w:sz w:val="20"/>
          <w:szCs w:val="20"/>
          <w:color w:val="auto"/>
        </w:rPr>
      </w:pPr>
      <w:r>
        <w:rPr>
          <w:rFonts w:ascii="Arial" w:cs="Arial" w:eastAsia="Arial" w:hAnsi="Arial"/>
          <w:sz w:val="15"/>
          <w:szCs w:val="15"/>
          <w:b w:val="1"/>
          <w:bCs w:val="1"/>
          <w:i w:val="1"/>
          <w:iCs w:val="1"/>
          <w:color w:val="auto"/>
        </w:rPr>
        <w:t>Senior Unsecured Credit Facility</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On November 1, 2021, we refunded and replaced our senior secured credit facility with a senior unsecured replacement credit facility (the “replacement Credit Facility”), which matures on November 1, 2026, and has total commitments of $2.0 billion, composed of $1.65 billion of revolving commitments and a term loan with an original principal amount of $350 million (the “Term Loan”) of which $350.0 million was outstanding as of December 31, 2021. Borrowings under the Credit Facility are used for working capital requirements, capital expenditures and other corporate purposes, including potential acquisitions, equity investments or other strategic arrangements, the repurchase or prepayment of indebtedness, including repayment of term loans and potential share repurchases.</w:t>
      </w:r>
    </w:p>
    <w:p>
      <w:pPr>
        <w:spacing w:after="0" w:line="79"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color w:val="auto"/>
        </w:rPr>
        <w:t>We are dependent upon borrowings and letters of credit under the replacement Credit Facility to fund our operations. Should we be unable to comply with the terms and conditions of our replacement Credit Facility, we would be required to obtain modifications to the replacement Credit Facility or obtain an alternative source of financing to continue to operate, neither of which may be available to us on commercially reasonable terms, or at all. The replacement Credit Facility is subject to certain provisions and covenants. For additional information regarding the terms of our replacement Credit Facility, see Note 7 - Debt in the notes to the audited consolidated financial statements, which is incorporated by reference.</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4.50% Senior Notes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We have $600 million of 4.50% Senior Notes due August 15, 2028 (the “4.50% Senior Notes”). The 4.50% Senior Notes are fully and unconditionally guaranteed on a senior unsecured, joint and several basis by our wholly-owned domestic restricted subsidiaries, subject to certain exceptions. See Note 7 - Debt in the notes to the audited consolidated financial statements, which is incorporated by reference.</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Debt Covenants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were in compliance with the provisions and covenants contained in our outstanding debt instruments as of December 31, 2021.</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Additional Information</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For detailed discussion and additional information pertaining to our debt instruments, see Note 7 - Debt in the notes to the audited consolidated financial statements, which is 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Payment Obligations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sets forth our contractual payment obligations as of December 31, 2021 during the periods indicated below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Less than</w:t>
            </w:r>
          </w:p>
        </w:tc>
        <w:tc>
          <w:tcPr>
            <w:tcW w:w="240" w:type="dxa"/>
            <w:vAlign w:val="bottom"/>
          </w:tcPr>
          <w:p>
            <w:pPr>
              <w:spacing w:after="0"/>
              <w:rPr>
                <w:sz w:val="14"/>
                <w:szCs w:val="14"/>
                <w:color w:val="auto"/>
              </w:rPr>
            </w:pPr>
          </w:p>
        </w:tc>
        <w:tc>
          <w:tcPr>
            <w:tcW w:w="900" w:type="dxa"/>
            <w:vAlign w:val="bottom"/>
            <w:vMerge w:val="restart"/>
          </w:tcPr>
          <w:p>
            <w:pPr>
              <w:jc w:val="right"/>
              <w:ind w:right="385"/>
              <w:spacing w:after="0"/>
              <w:rPr>
                <w:sz w:val="20"/>
                <w:szCs w:val="20"/>
                <w:color w:val="auto"/>
              </w:rPr>
            </w:pPr>
            <w:r>
              <w:rPr>
                <w:rFonts w:ascii="Arial" w:cs="Arial" w:eastAsia="Arial" w:hAnsi="Arial"/>
                <w:sz w:val="15"/>
                <w:szCs w:val="15"/>
                <w:b w:val="1"/>
                <w:bCs w:val="1"/>
                <w:color w:val="auto"/>
              </w:rPr>
              <w:t>1 - 3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45"/>
              <w:spacing w:after="0"/>
              <w:rPr>
                <w:sz w:val="20"/>
                <w:szCs w:val="20"/>
                <w:color w:val="auto"/>
              </w:rPr>
            </w:pPr>
            <w:r>
              <w:rPr>
                <w:rFonts w:ascii="Arial" w:cs="Arial" w:eastAsia="Arial" w:hAnsi="Arial"/>
                <w:sz w:val="15"/>
                <w:szCs w:val="15"/>
                <w:b w:val="1"/>
                <w:bCs w:val="1"/>
                <w:color w:val="auto"/>
              </w:rPr>
              <w:t>3 - 5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65"/>
              <w:spacing w:after="0"/>
              <w:rPr>
                <w:sz w:val="20"/>
                <w:szCs w:val="20"/>
                <w:color w:val="auto"/>
              </w:rPr>
            </w:pPr>
            <w:r>
              <w:rPr>
                <w:rFonts w:ascii="Arial" w:cs="Arial" w:eastAsia="Arial" w:hAnsi="Arial"/>
                <w:sz w:val="15"/>
                <w:szCs w:val="15"/>
                <w:b w:val="1"/>
                <w:bCs w:val="1"/>
                <w:color w:val="auto"/>
                <w:w w:val="92"/>
              </w:rPr>
              <w:t>More than</w:t>
            </w:r>
          </w:p>
        </w:tc>
        <w:tc>
          <w:tcPr>
            <w:tcW w:w="0" w:type="dxa"/>
            <w:vAlign w:val="bottom"/>
          </w:tcPr>
          <w:p>
            <w:pPr>
              <w:spacing w:after="0"/>
              <w:rPr>
                <w:sz w:val="1"/>
                <w:szCs w:val="1"/>
                <w:color w:val="auto"/>
              </w:rPr>
            </w:pPr>
          </w:p>
        </w:tc>
      </w:tr>
      <w:tr>
        <w:trPr>
          <w:trHeight w:val="150"/>
        </w:trPr>
        <w:tc>
          <w:tcPr>
            <w:tcW w:w="50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Contractual Obligations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25"/>
              <w:spacing w:after="0"/>
              <w:rPr>
                <w:sz w:val="20"/>
                <w:szCs w:val="20"/>
                <w:color w:val="auto"/>
              </w:rPr>
            </w:pPr>
            <w:r>
              <w:rPr>
                <w:rFonts w:ascii="Arial" w:cs="Arial" w:eastAsia="Arial" w:hAnsi="Arial"/>
                <w:sz w:val="15"/>
                <w:szCs w:val="15"/>
                <w:b w:val="1"/>
                <w:bCs w:val="1"/>
                <w:color w:val="auto"/>
              </w:rPr>
              <w:t>Total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87"/>
              </w:rPr>
              <w:t>5 Years and</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1 Year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95"/>
              </w:rPr>
              <w:t>Thereafter</w:t>
            </w:r>
          </w:p>
        </w:tc>
        <w:tc>
          <w:tcPr>
            <w:tcW w:w="0" w:type="dxa"/>
            <w:vAlign w:val="bottom"/>
          </w:tcPr>
          <w:p>
            <w:pPr>
              <w:spacing w:after="0"/>
              <w:rPr>
                <w:sz w:val="1"/>
                <w:szCs w:val="1"/>
                <w:color w:val="auto"/>
              </w:rPr>
            </w:pPr>
          </w:p>
        </w:tc>
      </w:tr>
      <w:tr>
        <w:trPr>
          <w:trHeight w:val="19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unsecured credit facility</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7"/>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4.50% Senior Notes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600.0</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and other obligations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Earn-out obligations </w:t>
            </w:r>
            <w:r>
              <w:rPr>
                <w:rFonts w:ascii="Arial" w:cs="Arial" w:eastAsia="Arial" w:hAnsi="Arial"/>
                <w:sz w:val="19"/>
                <w:szCs w:val="19"/>
                <w:color w:val="auto"/>
                <w:vertAlign w:val="superscript"/>
              </w:rPr>
              <w:t>(a)</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00" w:type="dxa"/>
            <w:vAlign w:val="bottom"/>
            <w:tcBorders>
              <w:bottom w:val="single" w:sz="8" w:color="CCEEFF"/>
            </w:tcBorders>
            <w:gridSpan w:val="2"/>
          </w:tcPr>
          <w:p>
            <w:pPr>
              <w:ind w:left="20"/>
              <w:spacing w:after="0" w:line="200" w:lineRule="exact"/>
              <w:rPr>
                <w:sz w:val="20"/>
                <w:szCs w:val="20"/>
                <w:color w:val="auto"/>
              </w:rPr>
            </w:pPr>
            <w:r>
              <w:rPr>
                <w:rFonts w:ascii="Arial" w:cs="Arial" w:eastAsia="Arial" w:hAnsi="Arial"/>
                <w:sz w:val="15"/>
                <w:szCs w:val="15"/>
                <w:color w:val="auto"/>
              </w:rPr>
              <w:t xml:space="preserve">Interest </w:t>
            </w:r>
            <w:r>
              <w:rPr>
                <w:rFonts w:ascii="Arial" w:cs="Arial" w:eastAsia="Arial" w:hAnsi="Arial"/>
                <w:sz w:val="19"/>
                <w:szCs w:val="19"/>
                <w:color w:val="auto"/>
                <w:vertAlign w:val="superscript"/>
              </w:rPr>
              <w:t>(b)</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189"/>
        </w:trPr>
        <w:tc>
          <w:tcPr>
            <w:tcW w:w="51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80" w:hanging="380"/>
        <w:spacing w:after="0" w:line="245" w:lineRule="auto"/>
        <w:tabs>
          <w:tab w:leader="none" w:pos="299" w:val="left"/>
        </w:tabs>
        <w:numPr>
          <w:ilvl w:val="0"/>
          <w:numId w:val="10"/>
        </w:numPr>
        <w:rPr>
          <w:rFonts w:ascii="Arial" w:cs="Arial" w:eastAsia="Arial" w:hAnsi="Arial"/>
          <w:sz w:val="13"/>
          <w:szCs w:val="13"/>
          <w:color w:val="auto"/>
        </w:rPr>
      </w:pPr>
      <w:r>
        <w:rPr>
          <w:rFonts w:ascii="Arial" w:cs="Arial" w:eastAsia="Arial" w:hAnsi="Arial"/>
          <w:sz w:val="13"/>
          <w:szCs w:val="13"/>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2021.</w:t>
      </w:r>
    </w:p>
    <w:p>
      <w:pPr>
        <w:spacing w:after="0" w:line="1" w:lineRule="exact"/>
        <w:rPr>
          <w:rFonts w:ascii="Arial" w:cs="Arial" w:eastAsia="Arial" w:hAnsi="Arial"/>
          <w:sz w:val="13"/>
          <w:szCs w:val="13"/>
          <w:color w:val="auto"/>
        </w:rPr>
      </w:pPr>
    </w:p>
    <w:p>
      <w:pPr>
        <w:ind w:left="380" w:hanging="380"/>
        <w:spacing w:after="0" w:line="255" w:lineRule="auto"/>
        <w:tabs>
          <w:tab w:leader="none" w:pos="309"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expected future interest payments on debt and finance lease obligations outstanding as of December 31, 2021, and does not include potential letter of credit or commitment fees associated with our senior unsecured credit facility. With the exception of our credit facilities, including our term loan, all of our debt instruments are fixed rate interest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0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potential funding obligations, indemnification and/or guarantee arrangements relating to our equity and other investment arrangements, including our variable interest entities. However, the off-balance sheet arrangements have not and are not reasonably likely to have a material impact on our financial condition, revenues or expenses, results of operations, liquidity, cash requirements or capital resources. Refer to Note 14 - Commitments and Contingencies, Note 4 - Fair Value of Financial Instruments and Note 15 - Related Party Transactions in the notes to the audited consolidated financial statements, which are incorporated by reference.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Inflation</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primary inflationary factors directly affecting our operations are labor, fuel and material costs. In times of low unemployment, our labor costs may increase due to shortages in the supply of skilled labor and increases in compensation rates generally. Although most project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15"/>
          <w:szCs w:val="15"/>
          <w:color w:val="auto"/>
        </w:rPr>
        <w:t>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geopolitical events, climate-related effects and fluctuations in global supply and demand, which events have recently caused market volatility, particularly, in the oil and gas markets, among others. Such market volatility can affect our customers’ investment decisions and subject us to project cancellations, deferrals or unexpected changes in the timing of project work. Market prices for goods can also be affected by supply chain disruptions, such as those arising from the effects of the COVID-19 pandemic. We closely monitor inflationary factors, including the current rise in the rate of inflation, and any potential effects on our business operations, operating results and/or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See Note 1 - Business, Basis of Presentation and Significant Accounting Policies in the notes to the audited consolidated financial statements, which is incorporated by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36" w:lineRule="exact"/>
        <w:rPr>
          <w:sz w:val="20"/>
          <w:szCs w:val="20"/>
          <w:color w:val="auto"/>
        </w:rPr>
      </w:pPr>
    </w:p>
    <w:p>
      <w:pPr>
        <w:ind w:right="5060"/>
        <w:spacing w:after="0" w:line="384" w:lineRule="auto"/>
        <w:rPr>
          <w:sz w:val="20"/>
          <w:szCs w:val="20"/>
          <w:color w:val="auto"/>
        </w:rPr>
      </w:pPr>
      <w:r>
        <w:rPr>
          <w:rFonts w:ascii="Arial" w:cs="Arial" w:eastAsia="Arial" w:hAnsi="Arial"/>
          <w:sz w:val="15"/>
          <w:szCs w:val="15"/>
          <w:b w:val="1"/>
          <w:bCs w:val="1"/>
          <w:color w:val="auto"/>
        </w:rPr>
        <w:t>ITEM 7A. QUANTITATIVE AND QUALITATIVE DISCLOSURES ABOUT MARKET RISK Interest Rate Risk</w:t>
      </w:r>
    </w:p>
    <w:p>
      <w:pPr>
        <w:spacing w:after="0" w:line="1"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color w:val="auto"/>
        </w:rPr>
        <w:t>As of December 31, 2021, our variable interest rate debt was primarily related to our replacement Credit Facility. Interest on outstanding revolving loans and our term loan under our replacement Credit Facility accrues at variable rates based, at our option, on a Eurocurrency rate, as defined in the replacement Credit Facility, plus a margin, or a base rate, as defined in the replacement Credit Facility, plus a margin. As of December 31, 2021, we had $772 million aggregate principal amount of outstanding revolving loans under our replacement Credit Facility with a weighted average interest rate of 2.32% and a term loan with a balance of $350 million with an interest rate of 1.35%. A 100 basis point increase in the applicable interest rates under our credit facilities would have increased our interest expense by approximately $6 million for the year ended December 31, 2021. While our material financing arrangements indexed to LIBOR have procedures for determining an alternative base rate, the upcoming expected phase-out of LIBOR could lead to volatility in interest rates for our variable rate debt, as the alternative base rate could perform differently than the current LIBOR-indexed rate, which could result in an increase in the cost of our variable rate indebtedness.</w:t>
      </w:r>
    </w:p>
    <w:p>
      <w:pPr>
        <w:spacing w:after="0" w:line="54"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of December 31, 2021, our fixed interest rate debt primarily included $600 million aggregate principal amount of 4.50% Senior Notes and $293 million of finance lease obligations, which accrued interest at a weighted average interest rate of approximately 3.2%. None of this debt subjects us to interest rate risk, but we may be subject to changes in interest rates if and when we refinance this debt at maturity or otherwise.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Risk</w:t>
      </w:r>
    </w:p>
    <w:p>
      <w:pPr>
        <w:spacing w:after="0" w:line="10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Certain of our consolidated revenue and operating expenses are in foreign currencies. Our foreign operations are primarily in Canada. Revenue generated from foreign operations represented 2% of our total revenue for the year ended December 31, 2021.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in 2021. Translation gains or losses, which are recorded in other comprehensive income or loss, result from translation of the assets and liabilities of our foreign subsidiaries into U.S. dollars. For the year ended December 31, 2021, foreign currency translation gains, net, totaled approximately $0.3 million and related to our operations in Canada and Mexico.</w:t>
      </w:r>
    </w:p>
    <w:p>
      <w:pPr>
        <w:spacing w:after="0" w:line="81"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2021. We may enter into foreign currency derivative contracts in the future to manage such exposure.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Market Risk</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3"/>
        </w:trPr>
        <w:tc>
          <w:tcPr>
            <w:tcW w:w="10520" w:type="dxa"/>
            <w:vAlign w:val="bottom"/>
            <w:gridSpan w:val="9"/>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99"/>
        </w:trPr>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60" w:type="dxa"/>
            <w:vAlign w:val="bottom"/>
          </w:tcPr>
          <w:p>
            <w:pPr>
              <w:jc w:val="center"/>
              <w:ind w:right="2765"/>
              <w:spacing w:after="0"/>
              <w:rPr>
                <w:sz w:val="20"/>
                <w:szCs w:val="20"/>
                <w:color w:val="auto"/>
              </w:rPr>
            </w:pPr>
            <w:r>
              <w:rPr>
                <w:rFonts w:ascii="Arial" w:cs="Arial" w:eastAsia="Arial" w:hAnsi="Arial"/>
                <w:sz w:val="15"/>
                <w:szCs w:val="15"/>
                <w:b w:val="1"/>
                <w:bCs w:val="1"/>
                <w:color w:val="auto"/>
                <w:w w:val="90"/>
              </w:rPr>
              <w:t>Index to Consolidated 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2"/>
        </w:trPr>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79"/>
              </w:rPr>
              <w:t>Page</w:t>
            </w:r>
          </w:p>
        </w:tc>
      </w:tr>
      <w:tr>
        <w:trPr>
          <w:trHeight w:val="153"/>
        </w:trPr>
        <w:tc>
          <w:tcPr>
            <w:tcW w:w="60" w:type="dxa"/>
            <w:vAlign w:val="bottom"/>
          </w:tcPr>
          <w:p>
            <w:pPr>
              <w:spacing w:after="0"/>
              <w:rPr>
                <w:sz w:val="13"/>
                <w:szCs w:val="13"/>
                <w:color w:val="auto"/>
              </w:rPr>
            </w:pPr>
          </w:p>
        </w:tc>
        <w:tc>
          <w:tcPr>
            <w:tcW w:w="10460" w:type="dxa"/>
            <w:vAlign w:val="bottom"/>
            <w:tcBorders>
              <w:bottom w:val="single" w:sz="8" w:color="0000FF"/>
            </w:tcBorders>
            <w:gridSpan w:val="8"/>
          </w:tcPr>
          <w:p>
            <w:pPr>
              <w:spacing w:after="0" w:line="129" w:lineRule="exact"/>
              <w:rPr>
                <w:rFonts w:ascii="Arial" w:cs="Arial" w:eastAsia="Arial" w:hAnsi="Arial"/>
                <w:sz w:val="14"/>
                <w:szCs w:val="14"/>
                <w:color w:val="0000FF"/>
              </w:rPr>
            </w:pPr>
            <w:hyperlink w:anchor="page45">
              <w:r>
                <w:rPr>
                  <w:rFonts w:ascii="Arial" w:cs="Arial" w:eastAsia="Arial" w:hAnsi="Arial"/>
                  <w:sz w:val="14"/>
                  <w:szCs w:val="14"/>
                  <w:color w:val="0000FF"/>
                </w:rPr>
                <w:t xml:space="preserve">Report of Independent Registered Public Accounting Firm </w:t>
              </w:r>
            </w:hyperlink>
            <w:r>
              <w:rPr>
                <w:rFonts w:ascii="Arial" w:cs="Arial" w:eastAsia="Arial" w:hAnsi="Arial"/>
                <w:sz w:val="14"/>
                <w:szCs w:val="14"/>
                <w:color w:val="000000"/>
              </w:rPr>
              <w:t>(BDO</w:t>
            </w:r>
            <w:r>
              <w:rPr>
                <w:rFonts w:ascii="Arial" w:cs="Arial" w:eastAsia="Arial" w:hAnsi="Arial"/>
                <w:sz w:val="14"/>
                <w:szCs w:val="14"/>
                <w:color w:val="0000FF"/>
              </w:rPr>
              <w:t xml:space="preserve"> </w:t>
            </w:r>
            <w:r>
              <w:rPr>
                <w:rFonts w:ascii="Arial" w:cs="Arial" w:eastAsia="Arial" w:hAnsi="Arial"/>
                <w:sz w:val="14"/>
                <w:szCs w:val="14"/>
                <w:color w:val="000000"/>
              </w:rPr>
              <w:t>USA, LLP; Miami, Florida; PCAOB ID#243)</w:t>
            </w:r>
          </w:p>
        </w:tc>
        <w:tc>
          <w:tcPr>
            <w:tcW w:w="280" w:type="dxa"/>
            <w:vAlign w:val="bottom"/>
          </w:tcPr>
          <w:p>
            <w:pPr>
              <w:spacing w:after="0"/>
              <w:rPr>
                <w:sz w:val="13"/>
                <w:szCs w:val="13"/>
                <w:color w:val="auto"/>
              </w:rPr>
            </w:pPr>
          </w:p>
        </w:tc>
        <w:tc>
          <w:tcPr>
            <w:tcW w:w="160" w:type="dxa"/>
            <w:vAlign w:val="bottom"/>
            <w:tcBorders>
              <w:bottom w:val="single" w:sz="8" w:color="0000FF"/>
            </w:tcBorders>
          </w:tcPr>
          <w:p>
            <w:pPr>
              <w:jc w:val="center"/>
              <w:spacing w:after="0" w:line="130" w:lineRule="exact"/>
              <w:rPr>
                <w:rFonts w:ascii="Arial" w:cs="Arial" w:eastAsia="Arial" w:hAnsi="Arial"/>
                <w:sz w:val="15"/>
                <w:szCs w:val="15"/>
                <w:color w:val="0000FF"/>
                <w:w w:val="95"/>
              </w:rPr>
            </w:pPr>
            <w:hyperlink w:anchor="page45">
              <w:r>
                <w:rPr>
                  <w:rFonts w:ascii="Arial" w:cs="Arial" w:eastAsia="Arial" w:hAnsi="Arial"/>
                  <w:sz w:val="15"/>
                  <w:szCs w:val="15"/>
                  <w:color w:val="0000FF"/>
                  <w:w w:val="95"/>
                </w:rPr>
                <w:t>46</w:t>
              </w:r>
            </w:hyperlink>
          </w:p>
        </w:tc>
        <w:tc>
          <w:tcPr>
            <w:tcW w:w="280" w:type="dxa"/>
            <w:vAlign w:val="bottom"/>
          </w:tcPr>
          <w:p>
            <w:pPr>
              <w:spacing w:after="0"/>
              <w:rPr>
                <w:sz w:val="13"/>
                <w:szCs w:val="13"/>
                <w:color w:val="auto"/>
              </w:rPr>
            </w:pPr>
          </w:p>
        </w:tc>
      </w:tr>
      <w:tr>
        <w:trPr>
          <w:trHeight w:val="237"/>
        </w:trPr>
        <w:tc>
          <w:tcPr>
            <w:tcW w:w="60" w:type="dxa"/>
            <w:vAlign w:val="bottom"/>
          </w:tcPr>
          <w:p>
            <w:pPr>
              <w:spacing w:after="0"/>
              <w:rPr>
                <w:sz w:val="20"/>
                <w:szCs w:val="20"/>
                <w:color w:val="auto"/>
              </w:rPr>
            </w:pPr>
          </w:p>
        </w:tc>
        <w:tc>
          <w:tcPr>
            <w:tcW w:w="2340" w:type="dxa"/>
            <w:vAlign w:val="bottom"/>
            <w:tcBorders>
              <w:bottom w:val="single" w:sz="8" w:color="0000FF"/>
            </w:tcBorders>
            <w:gridSpan w:val="3"/>
          </w:tcPr>
          <w:p>
            <w:pPr>
              <w:spacing w:after="0"/>
              <w:rPr>
                <w:rFonts w:ascii="Arial" w:cs="Arial" w:eastAsia="Arial" w:hAnsi="Arial"/>
                <w:sz w:val="15"/>
                <w:szCs w:val="15"/>
                <w:color w:val="0000FF"/>
                <w:w w:val="88"/>
              </w:rPr>
            </w:pPr>
            <w:hyperlink w:anchor="page48">
              <w:r>
                <w:rPr>
                  <w:rFonts w:ascii="Arial" w:cs="Arial" w:eastAsia="Arial" w:hAnsi="Arial"/>
                  <w:sz w:val="15"/>
                  <w:szCs w:val="15"/>
                  <w:color w:val="0000FF"/>
                  <w:w w:val="88"/>
                </w:rPr>
                <w:t>Consolidated Statements of Operations</w:t>
              </w:r>
            </w:hyperlink>
          </w:p>
        </w:tc>
        <w:tc>
          <w:tcPr>
            <w:tcW w:w="8120" w:type="dxa"/>
            <w:vAlign w:val="bottom"/>
            <w:gridSpan w:val="5"/>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0000FF"/>
            </w:tcBorders>
          </w:tcPr>
          <w:p>
            <w:pPr>
              <w:jc w:val="center"/>
              <w:spacing w:after="0"/>
              <w:rPr>
                <w:rFonts w:ascii="Arial" w:cs="Arial" w:eastAsia="Arial" w:hAnsi="Arial"/>
                <w:sz w:val="15"/>
                <w:szCs w:val="15"/>
                <w:color w:val="0000FF"/>
                <w:w w:val="95"/>
              </w:rPr>
            </w:pPr>
            <w:hyperlink w:anchor="page48">
              <w:r>
                <w:rPr>
                  <w:rFonts w:ascii="Arial" w:cs="Arial" w:eastAsia="Arial" w:hAnsi="Arial"/>
                  <w:sz w:val="15"/>
                  <w:szCs w:val="15"/>
                  <w:color w:val="0000FF"/>
                  <w:w w:val="95"/>
                </w:rPr>
                <w:t>49</w:t>
              </w:r>
            </w:hyperlink>
          </w:p>
        </w:tc>
        <w:tc>
          <w:tcPr>
            <w:tcW w:w="28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10460" w:type="dxa"/>
            <w:vAlign w:val="bottom"/>
            <w:gridSpan w:val="8"/>
          </w:tcPr>
          <w:p>
            <w:pPr>
              <w:spacing w:after="0"/>
              <w:rPr>
                <w:rFonts w:ascii="Arial" w:cs="Arial" w:eastAsia="Arial" w:hAnsi="Arial"/>
                <w:sz w:val="15"/>
                <w:szCs w:val="15"/>
                <w:color w:val="0000FF"/>
              </w:rPr>
            </w:pPr>
            <w:hyperlink w:anchor="page49">
              <w:r>
                <w:rPr>
                  <w:rFonts w:ascii="Arial" w:cs="Arial" w:eastAsia="Arial" w:hAnsi="Arial"/>
                  <w:sz w:val="15"/>
                  <w:szCs w:val="15"/>
                  <w:color w:val="0000FF"/>
                </w:rPr>
                <w:t>Consolidated Statements of Comprehensive Income</w:t>
              </w:r>
            </w:hyperlink>
          </w:p>
        </w:tc>
        <w:tc>
          <w:tcPr>
            <w:tcW w:w="720" w:type="dxa"/>
            <w:vAlign w:val="bottom"/>
            <w:gridSpan w:val="3"/>
          </w:tcPr>
          <w:p>
            <w:pPr>
              <w:jc w:val="center"/>
              <w:spacing w:after="0"/>
              <w:rPr>
                <w:rFonts w:ascii="Arial" w:cs="Arial" w:eastAsia="Arial" w:hAnsi="Arial"/>
                <w:sz w:val="15"/>
                <w:szCs w:val="15"/>
                <w:color w:val="0000FF"/>
                <w:w w:val="95"/>
              </w:rPr>
            </w:pPr>
            <w:hyperlink w:anchor="page49">
              <w:r>
                <w:rPr>
                  <w:rFonts w:ascii="Arial" w:cs="Arial" w:eastAsia="Arial" w:hAnsi="Arial"/>
                  <w:sz w:val="15"/>
                  <w:szCs w:val="15"/>
                  <w:color w:val="0000FF"/>
                  <w:w w:val="95"/>
                </w:rPr>
                <w:t>50</w:t>
              </w:r>
            </w:hyperlink>
          </w:p>
        </w:tc>
      </w:tr>
      <w:tr>
        <w:trPr>
          <w:trHeight w:val="230"/>
        </w:trPr>
        <w:tc>
          <w:tcPr>
            <w:tcW w:w="60" w:type="dxa"/>
            <w:vAlign w:val="bottom"/>
          </w:tcPr>
          <w:p>
            <w:pPr>
              <w:spacing w:after="0"/>
              <w:rPr>
                <w:sz w:val="19"/>
                <w:szCs w:val="19"/>
                <w:color w:val="auto"/>
              </w:rPr>
            </w:pPr>
          </w:p>
        </w:tc>
        <w:tc>
          <w:tcPr>
            <w:tcW w:w="1740" w:type="dxa"/>
            <w:vAlign w:val="bottom"/>
            <w:tcBorders>
              <w:top w:val="single" w:sz="8" w:color="0000FF"/>
              <w:bottom w:val="single" w:sz="8" w:color="0000FF"/>
            </w:tcBorders>
          </w:tcPr>
          <w:p>
            <w:pPr>
              <w:spacing w:after="0"/>
              <w:rPr>
                <w:rFonts w:ascii="Arial" w:cs="Arial" w:eastAsia="Arial" w:hAnsi="Arial"/>
                <w:sz w:val="15"/>
                <w:szCs w:val="15"/>
                <w:color w:val="0000FF"/>
                <w:w w:val="87"/>
              </w:rPr>
            </w:pPr>
            <w:hyperlink w:anchor="page50">
              <w:r>
                <w:rPr>
                  <w:rFonts w:ascii="Arial" w:cs="Arial" w:eastAsia="Arial" w:hAnsi="Arial"/>
                  <w:sz w:val="15"/>
                  <w:szCs w:val="15"/>
                  <w:color w:val="0000FF"/>
                  <w:w w:val="87"/>
                </w:rPr>
                <w:t>Consolidated Balance Sheets</w:t>
              </w:r>
            </w:hyperlink>
          </w:p>
        </w:tc>
        <w:tc>
          <w:tcPr>
            <w:tcW w:w="1360" w:type="dxa"/>
            <w:vAlign w:val="bottom"/>
            <w:tcBorders>
              <w:top w:val="single" w:sz="8" w:color="0000FF"/>
            </w:tcBorders>
            <w:gridSpan w:val="5"/>
          </w:tcPr>
          <w:p>
            <w:pPr>
              <w:spacing w:after="0"/>
              <w:rPr>
                <w:sz w:val="19"/>
                <w:szCs w:val="19"/>
                <w:color w:val="auto"/>
              </w:rPr>
            </w:pPr>
          </w:p>
        </w:tc>
        <w:tc>
          <w:tcPr>
            <w:tcW w:w="73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0000FF"/>
              <w:bottom w:val="single" w:sz="8" w:color="0000FF"/>
            </w:tcBorders>
          </w:tcPr>
          <w:p>
            <w:pPr>
              <w:jc w:val="center"/>
              <w:spacing w:after="0"/>
              <w:rPr>
                <w:rFonts w:ascii="Arial" w:cs="Arial" w:eastAsia="Arial" w:hAnsi="Arial"/>
                <w:sz w:val="15"/>
                <w:szCs w:val="15"/>
                <w:color w:val="0000FF"/>
                <w:w w:val="95"/>
              </w:rPr>
            </w:pPr>
            <w:hyperlink w:anchor="page50">
              <w:r>
                <w:rPr>
                  <w:rFonts w:ascii="Arial" w:cs="Arial" w:eastAsia="Arial" w:hAnsi="Arial"/>
                  <w:sz w:val="15"/>
                  <w:szCs w:val="15"/>
                  <w:color w:val="0000FF"/>
                  <w:w w:val="95"/>
                </w:rPr>
                <w:t>51</w:t>
              </w:r>
            </w:hyperlink>
          </w:p>
        </w:tc>
        <w:tc>
          <w:tcPr>
            <w:tcW w:w="2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080" w:type="dxa"/>
            <w:vAlign w:val="bottom"/>
            <w:tcBorders>
              <w:bottom w:val="single" w:sz="8" w:color="0000FF"/>
            </w:tcBorders>
            <w:gridSpan w:val="2"/>
          </w:tcPr>
          <w:p>
            <w:pPr>
              <w:spacing w:after="0"/>
              <w:rPr>
                <w:rFonts w:ascii="Arial" w:cs="Arial" w:eastAsia="Arial" w:hAnsi="Arial"/>
                <w:sz w:val="15"/>
                <w:szCs w:val="15"/>
                <w:color w:val="0000FF"/>
                <w:w w:val="89"/>
              </w:rPr>
            </w:pPr>
            <w:hyperlink w:anchor="page51">
              <w:r>
                <w:rPr>
                  <w:rFonts w:ascii="Arial" w:cs="Arial" w:eastAsia="Arial" w:hAnsi="Arial"/>
                  <w:sz w:val="15"/>
                  <w:szCs w:val="15"/>
                  <w:color w:val="0000FF"/>
                  <w:w w:val="89"/>
                </w:rPr>
                <w:t>Consolidated Statements of Equity</w:t>
              </w:r>
            </w:hyperlink>
          </w:p>
        </w:tc>
        <w:tc>
          <w:tcPr>
            <w:tcW w:w="8380" w:type="dxa"/>
            <w:vAlign w:val="bottom"/>
            <w:gridSpan w:val="6"/>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rFonts w:ascii="Arial" w:cs="Arial" w:eastAsia="Arial" w:hAnsi="Arial"/>
                <w:sz w:val="15"/>
                <w:szCs w:val="15"/>
                <w:color w:val="0000FF"/>
                <w:w w:val="95"/>
              </w:rPr>
            </w:pPr>
            <w:hyperlink w:anchor="page51">
              <w:r>
                <w:rPr>
                  <w:rFonts w:ascii="Arial" w:cs="Arial" w:eastAsia="Arial" w:hAnsi="Arial"/>
                  <w:sz w:val="15"/>
                  <w:szCs w:val="15"/>
                  <w:color w:val="0000FF"/>
                  <w:w w:val="95"/>
                </w:rPr>
                <w:t>52</w:t>
              </w:r>
            </w:hyperlink>
          </w:p>
        </w:tc>
        <w:tc>
          <w:tcPr>
            <w:tcW w:w="28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10460" w:type="dxa"/>
            <w:vAlign w:val="bottom"/>
            <w:gridSpan w:val="8"/>
          </w:tcPr>
          <w:p>
            <w:pPr>
              <w:spacing w:after="0"/>
              <w:rPr>
                <w:rFonts w:ascii="Arial" w:cs="Arial" w:eastAsia="Arial" w:hAnsi="Arial"/>
                <w:sz w:val="15"/>
                <w:szCs w:val="15"/>
                <w:color w:val="0000FF"/>
              </w:rPr>
            </w:pPr>
            <w:hyperlink w:anchor="page52">
              <w:r>
                <w:rPr>
                  <w:rFonts w:ascii="Arial" w:cs="Arial" w:eastAsia="Arial" w:hAnsi="Arial"/>
                  <w:sz w:val="15"/>
                  <w:szCs w:val="15"/>
                  <w:color w:val="0000FF"/>
                </w:rPr>
                <w:t>Consolidated Statements of Cash Flows</w:t>
              </w:r>
            </w:hyperlink>
          </w:p>
        </w:tc>
        <w:tc>
          <w:tcPr>
            <w:tcW w:w="720" w:type="dxa"/>
            <w:vAlign w:val="bottom"/>
            <w:gridSpan w:val="3"/>
          </w:tcPr>
          <w:p>
            <w:pPr>
              <w:jc w:val="center"/>
              <w:spacing w:after="0"/>
              <w:rPr>
                <w:rFonts w:ascii="Arial" w:cs="Arial" w:eastAsia="Arial" w:hAnsi="Arial"/>
                <w:sz w:val="15"/>
                <w:szCs w:val="15"/>
                <w:color w:val="0000FF"/>
                <w:w w:val="95"/>
              </w:rPr>
            </w:pPr>
            <w:hyperlink w:anchor="page52">
              <w:r>
                <w:rPr>
                  <w:rFonts w:ascii="Arial" w:cs="Arial" w:eastAsia="Arial" w:hAnsi="Arial"/>
                  <w:sz w:val="15"/>
                  <w:szCs w:val="15"/>
                  <w:color w:val="0000FF"/>
                  <w:w w:val="95"/>
                </w:rPr>
                <w:t>53</w:t>
              </w:r>
            </w:hyperlink>
          </w:p>
        </w:tc>
      </w:tr>
      <w:tr>
        <w:trPr>
          <w:trHeight w:val="20"/>
        </w:trPr>
        <w:tc>
          <w:tcPr>
            <w:tcW w:w="6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2620" w:type="dxa"/>
            <w:vAlign w:val="bottom"/>
            <w:tcBorders>
              <w:bottom w:val="single" w:sz="8" w:color="0000FF"/>
            </w:tcBorders>
            <w:gridSpan w:val="5"/>
          </w:tcPr>
          <w:p>
            <w:pPr>
              <w:spacing w:after="0"/>
              <w:rPr>
                <w:rFonts w:ascii="Arial" w:cs="Arial" w:eastAsia="Arial" w:hAnsi="Arial"/>
                <w:sz w:val="15"/>
                <w:szCs w:val="15"/>
                <w:color w:val="0000FF"/>
                <w:w w:val="89"/>
              </w:rPr>
            </w:pPr>
            <w:hyperlink w:anchor="page53">
              <w:r>
                <w:rPr>
                  <w:rFonts w:ascii="Arial" w:cs="Arial" w:eastAsia="Arial" w:hAnsi="Arial"/>
                  <w:sz w:val="15"/>
                  <w:szCs w:val="15"/>
                  <w:color w:val="0000FF"/>
                  <w:w w:val="89"/>
                </w:rPr>
                <w:t>Notes to Consolidated Financial Statements</w:t>
              </w:r>
            </w:hyperlink>
          </w:p>
        </w:tc>
        <w:tc>
          <w:tcPr>
            <w:tcW w:w="784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rFonts w:ascii="Arial" w:cs="Arial" w:eastAsia="Arial" w:hAnsi="Arial"/>
                <w:sz w:val="15"/>
                <w:szCs w:val="15"/>
                <w:color w:val="0000FF"/>
                <w:w w:val="95"/>
              </w:rPr>
            </w:pPr>
            <w:hyperlink w:anchor="page53">
              <w:r>
                <w:rPr>
                  <w:rFonts w:ascii="Arial" w:cs="Arial" w:eastAsia="Arial" w:hAnsi="Arial"/>
                  <w:sz w:val="15"/>
                  <w:szCs w:val="15"/>
                  <w:color w:val="0000FF"/>
                  <w:w w:val="95"/>
                </w:rPr>
                <w:t>54</w:t>
              </w:r>
            </w:hyperlink>
          </w:p>
        </w:tc>
        <w:tc>
          <w:tcPr>
            <w:tcW w:w="280" w:type="dxa"/>
            <w:vAlign w:val="bottom"/>
          </w:tcPr>
          <w:p>
            <w:pPr>
              <w:spacing w:after="0"/>
              <w:rPr>
                <w:sz w:val="19"/>
                <w:szCs w:val="19"/>
                <w:color w:val="auto"/>
              </w:rPr>
            </w:pPr>
          </w:p>
        </w:tc>
      </w:tr>
      <w:tr>
        <w:trPr>
          <w:trHeight w:val="823"/>
        </w:trPr>
        <w:tc>
          <w:tcPr>
            <w:tcW w:w="10520" w:type="dxa"/>
            <w:vAlign w:val="bottom"/>
            <w:gridSpan w:val="9"/>
          </w:tcPr>
          <w:p>
            <w:pPr>
              <w:jc w:val="right"/>
              <w:ind w:right="4745"/>
              <w:spacing w:after="0"/>
              <w:rPr>
                <w:sz w:val="20"/>
                <w:szCs w:val="20"/>
                <w:color w:val="auto"/>
              </w:rPr>
            </w:pPr>
            <w:r>
              <w:rPr>
                <w:rFonts w:ascii="Arial" w:cs="Arial" w:eastAsia="Arial" w:hAnsi="Arial"/>
                <w:sz w:val="15"/>
                <w:szCs w:val="15"/>
                <w:color w:val="auto"/>
              </w:rPr>
              <w:t>45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5" w:name="page46"/>
    <w:bookmarkEnd w:id="45"/>
    <w:p>
      <w:pPr>
        <w:ind w:left="32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MasTec, Inc.</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Coral Gables, Florida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audited the accompanying consolidated balance sheets of MasTec, Inc. (the “Company”) as of December 31, 2021 and 2020, the related consolidated statements of operations, comprehensive income, equity, and cash flows for each of the three years in the period ended December 31, 2021, and the related notes and financial schedule listed in the accompanying index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March 1, 2022 expressed an unqualified opinion thereon.</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combinations - Fair value measurement of certain acquired amortizable intangible assets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described in Notes 1 and 3 to the consolidated financial statements, during 2021 the Company completed the acquisition of fourteen entities for total consideration of $1.6 billion. The Company accounted for the transactions under the acquisition method of accounting for business combinations. Accordingly, the purchase price was allocated on a preliminary basis to the assets acquired and liabilities assumed based on their respective fair values on the acquisition date including customer relationships and backlog of $465 million. The Company estimated the fair value of these amortizable intangible assets using expected cash flows and industry-standard valuation techniques, which required the Company to make significant estimates and assumptions related to future cash flows, including those related to revenue growth, customer attrition rates, and discount rates.</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identified the determination of the fair values of certain customer relationships as a critical audit matter because of the significant estimates and assumptions the Company makes to calculate their fair value for purposes of recording the acquisition. This required a high degree of auditor judgment and an increased extent of effort when performing audit procedures to evaluate the reasonableness of the Company’s forecasts of future cash flows as well as the selection of the customer attrition rates, long-term growth rates and discount rates, including the need to involve our internal fair value specialists.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primary procedures we performed to address this critical audit matter included:</w:t>
      </w:r>
    </w:p>
    <w:p>
      <w:pPr>
        <w:spacing w:after="0" w:line="102" w:lineRule="exact"/>
        <w:rPr>
          <w:sz w:val="20"/>
          <w:szCs w:val="20"/>
          <w:color w:val="auto"/>
        </w:rPr>
      </w:pPr>
    </w:p>
    <w:p>
      <w:pPr>
        <w:jc w:val="both"/>
        <w:ind w:left="600" w:hanging="301"/>
        <w:spacing w:after="0" w:line="255" w:lineRule="auto"/>
        <w:tabs>
          <w:tab w:leader="none" w:pos="5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Testing the operating effectiveness of controls over the Company’s process for determining and reviewing the key inputs and assumptions used in estimating the preliminary fair value of acquired amortizable intangible assets, including controls over the Company’s review of the assumptions underlying the preliminary fair value analysis, the cash flow projections, and the accuracy of the underlying data used.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6" w:name="page47"/>
    <w:bookmarkEnd w:id="46"/>
    <w:p>
      <w:pPr>
        <w:ind w:left="580" w:hanging="281"/>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Testing the completeness and accuracy of the underlying data supporting the determination of the various inputs and testing its clerical accuracy.</w:t>
      </w:r>
    </w:p>
    <w:p>
      <w:pPr>
        <w:spacing w:after="0" w:line="102" w:lineRule="exact"/>
        <w:rPr>
          <w:rFonts w:ascii="Arial" w:cs="Arial" w:eastAsia="Arial" w:hAnsi="Arial"/>
          <w:sz w:val="15"/>
          <w:szCs w:val="15"/>
          <w:color w:val="auto"/>
        </w:rPr>
      </w:pPr>
    </w:p>
    <w:p>
      <w:pPr>
        <w:ind w:left="600" w:hanging="301"/>
        <w:spacing w:after="0" w:line="266" w:lineRule="auto"/>
        <w:tabs>
          <w:tab w:leader="none" w:pos="59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Evaluating the reasonableness of the Company’s valuation methods and projections of future cash flows, including the selection of customer attrition rates by comparing to external market sources, historical data of the Company’s similar transactions, and results from other areas of the audit.</w:t>
      </w:r>
    </w:p>
    <w:p>
      <w:pPr>
        <w:spacing w:after="0" w:line="67" w:lineRule="exact"/>
        <w:rPr>
          <w:rFonts w:ascii="Arial" w:cs="Arial" w:eastAsia="Arial" w:hAnsi="Arial"/>
          <w:sz w:val="15"/>
          <w:szCs w:val="15"/>
          <w:color w:val="auto"/>
        </w:rPr>
      </w:pPr>
    </w:p>
    <w:p>
      <w:pPr>
        <w:ind w:left="580" w:hanging="281"/>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Utilizing our valuation specialists, to evaluate the reasonableness of the valuation methodology, and discount rates by:</w:t>
      </w:r>
    </w:p>
    <w:p>
      <w:pPr>
        <w:spacing w:after="0" w:line="102" w:lineRule="exact"/>
        <w:rPr>
          <w:rFonts w:ascii="Arial" w:cs="Arial" w:eastAsia="Arial" w:hAnsi="Arial"/>
          <w:sz w:val="15"/>
          <w:szCs w:val="15"/>
          <w:color w:val="auto"/>
        </w:rPr>
      </w:pPr>
    </w:p>
    <w:p>
      <w:pPr>
        <w:ind w:left="1180" w:hanging="281"/>
        <w:spacing w:after="0"/>
        <w:tabs>
          <w:tab w:leader="none" w:pos="11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Testing the source information underlying the determination of the long-term growth rates and discount rates and testing the mathematical accuracy of the calculations.</w:t>
      </w:r>
    </w:p>
    <w:p>
      <w:pPr>
        <w:spacing w:after="0" w:line="125" w:lineRule="exact"/>
        <w:rPr>
          <w:rFonts w:ascii="Arial" w:cs="Arial" w:eastAsia="Arial" w:hAnsi="Arial"/>
          <w:sz w:val="13"/>
          <w:szCs w:val="13"/>
          <w:color w:val="auto"/>
        </w:rPr>
      </w:pPr>
    </w:p>
    <w:p>
      <w:pPr>
        <w:ind w:left="1180" w:hanging="281"/>
        <w:spacing w:after="0"/>
        <w:tabs>
          <w:tab w:leader="none" w:pos="11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Developing a range of independent estimates for the discount rate and comparing those to the discount rate selected by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Impairment Assessment</w:t>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As described in Notes 1 and 3 to the consolidated financial statements, the Company’s consolidated goodwill balance was $1.52 billion at December 31, 2021. The Company performs annual impairment tests of goodwill, and on a quarterly basis, monitors goodwill for potential indicators of impairment. During 2021, the Company concluded that triggering events occurred for certain reporting units. No impairment charges were recorded as a result of the Company’s interim and annual impairment tests. Management estimates the fair values of its reporting units using a combination of the market and the income approaches.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identified the determination of the fair value of certain reporting units as a critical audit matter. Under the market approach, the reporting units’ fair values were estimated using market multiple assumptions for comparable companies. Under the income approach, a discounted cash flow methodology was used that included: (i) management’s estimates and assumptions, such as discount rates, terminal growth rates, and projections of revenue, operating costs and cash flows, (ii) assumptions related to general economic and market conditions and (iii) considerations of planned business and operational strategies. These estimates and assumptions require significant management judgment due to their highly subjective nature. Changes in these assumptions could have a significant impact on the fair value of the reporting units and the amount of goodwill impairment (if any). These estimates and assumptions were especially challenging to test and required significant auditor judgment because they were affected by expected future market conditions. In addition, the audit effort involved the use of professionals with specialized skill and knowledge.</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The primary procedures we performed to address this critical audit matter included:</w:t>
      </w:r>
    </w:p>
    <w:p>
      <w:pPr>
        <w:spacing w:after="0" w:line="102" w:lineRule="exact"/>
        <w:rPr>
          <w:sz w:val="20"/>
          <w:szCs w:val="20"/>
          <w:color w:val="auto"/>
        </w:rPr>
      </w:pPr>
    </w:p>
    <w:p>
      <w:pPr>
        <w:ind w:left="600" w:hanging="301"/>
        <w:spacing w:after="0" w:line="266" w:lineRule="auto"/>
        <w:tabs>
          <w:tab w:leader="none" w:pos="5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Testing the design and operating effectiveness of controls related to management’s goodwill impairment assessment, including controls over management’s review of (i) the budgeting and forecasting, and (ii) the data and significant estimates and assumptions used to determine the fair value of the reporting units.</w:t>
      </w:r>
    </w:p>
    <w:p>
      <w:pPr>
        <w:spacing w:after="0" w:line="67" w:lineRule="exact"/>
        <w:rPr>
          <w:rFonts w:ascii="Arial" w:cs="Arial" w:eastAsia="Arial" w:hAnsi="Arial"/>
          <w:sz w:val="15"/>
          <w:szCs w:val="15"/>
          <w:color w:val="auto"/>
        </w:rPr>
      </w:pPr>
    </w:p>
    <w:p>
      <w:pPr>
        <w:ind w:left="600" w:hanging="301"/>
        <w:spacing w:after="0" w:line="266" w:lineRule="auto"/>
        <w:tabs>
          <w:tab w:leader="none" w:pos="5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Evaluating the appropriateness of the methodologies and the reasonableness of the assumptions used by management in determining the fair value of the reporting units, including:</w:t>
      </w:r>
    </w:p>
    <w:p>
      <w:pPr>
        <w:spacing w:after="0" w:line="79" w:lineRule="exact"/>
        <w:rPr>
          <w:rFonts w:ascii="Arial" w:cs="Arial" w:eastAsia="Arial" w:hAnsi="Arial"/>
          <w:sz w:val="15"/>
          <w:szCs w:val="15"/>
          <w:color w:val="auto"/>
        </w:rPr>
      </w:pPr>
    </w:p>
    <w:p>
      <w:pPr>
        <w:ind w:left="1200" w:hanging="301"/>
        <w:spacing w:after="0" w:line="252" w:lineRule="auto"/>
        <w:tabs>
          <w:tab w:leader="none" w:pos="1196" w:val="left"/>
        </w:tabs>
        <w:numPr>
          <w:ilvl w:val="1"/>
          <w:numId w:val="13"/>
        </w:numPr>
        <w:rPr>
          <w:rFonts w:ascii="Arial" w:cs="Arial" w:eastAsia="Arial" w:hAnsi="Arial"/>
          <w:sz w:val="17"/>
          <w:szCs w:val="17"/>
          <w:color w:val="auto"/>
        </w:rPr>
      </w:pPr>
      <w:r>
        <w:rPr>
          <w:rFonts w:ascii="Arial" w:cs="Arial" w:eastAsia="Arial" w:hAnsi="Arial"/>
          <w:sz w:val="15"/>
          <w:szCs w:val="15"/>
          <w:color w:val="auto"/>
        </w:rPr>
        <w:t>With respect to the market approach, assessing the appropriateness of the approach and evaluating the reasonableness of the comparable companies and market multiples selected for the reporting units.</w:t>
      </w:r>
    </w:p>
    <w:p>
      <w:pPr>
        <w:spacing w:after="0" w:line="75" w:lineRule="exact"/>
        <w:rPr>
          <w:rFonts w:ascii="Arial" w:cs="Arial" w:eastAsia="Arial" w:hAnsi="Arial"/>
          <w:sz w:val="17"/>
          <w:szCs w:val="17"/>
          <w:color w:val="auto"/>
        </w:rPr>
      </w:pPr>
    </w:p>
    <w:p>
      <w:pPr>
        <w:jc w:val="both"/>
        <w:ind w:left="1200" w:hanging="301"/>
        <w:spacing w:after="0" w:line="296" w:lineRule="auto"/>
        <w:tabs>
          <w:tab w:leader="none" w:pos="1190" w:val="left"/>
        </w:tabs>
        <w:numPr>
          <w:ilvl w:val="1"/>
          <w:numId w:val="13"/>
        </w:numPr>
        <w:rPr>
          <w:rFonts w:ascii="Arial" w:cs="Arial" w:eastAsia="Arial" w:hAnsi="Arial"/>
          <w:sz w:val="13"/>
          <w:szCs w:val="13"/>
          <w:color w:val="auto"/>
        </w:rPr>
      </w:pPr>
      <w:r>
        <w:rPr>
          <w:rFonts w:ascii="Arial" w:cs="Arial" w:eastAsia="Arial" w:hAnsi="Arial"/>
          <w:sz w:val="13"/>
          <w:szCs w:val="13"/>
          <w:color w:val="auto"/>
        </w:rPr>
        <w:t>With respect to the income approach, assessing the appropriateness of the discounted cash flow methodology and evaluating the reasonableness of assumptions used by: (i) evaluating the reasonableness of projected revenues and operating costs against recent performance and revenue backlogs, (ii) assessing the reasonableness of management’s expected success rates for winning new project awards against recent reporting units’ performance, (iii) evaluating the general economic and market conditions, including management’s assumptions such as the market prices for oil, gas and other fuel sources, (iv) testing the completeness, accuracy, and relevance of underlying data used in the models, and (v) performing sensitivity analyses of individual reporting units’ cash flow projections.</w:t>
      </w:r>
    </w:p>
    <w:p>
      <w:pPr>
        <w:spacing w:after="0" w:line="51" w:lineRule="exact"/>
        <w:rPr>
          <w:rFonts w:ascii="Arial" w:cs="Arial" w:eastAsia="Arial" w:hAnsi="Arial"/>
          <w:sz w:val="13"/>
          <w:szCs w:val="13"/>
          <w:color w:val="auto"/>
        </w:rPr>
      </w:pPr>
    </w:p>
    <w:p>
      <w:pPr>
        <w:ind w:left="580" w:hanging="281"/>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Testing management’s reconciliation of the estimated fair value of the Company’s reporting units to the indicated market capitalization of the Company as a whole.</w:t>
      </w:r>
    </w:p>
    <w:p>
      <w:pPr>
        <w:spacing w:after="0" w:line="113" w:lineRule="exact"/>
        <w:rPr>
          <w:rFonts w:ascii="Arial" w:cs="Arial" w:eastAsia="Arial" w:hAnsi="Arial"/>
          <w:sz w:val="14"/>
          <w:szCs w:val="14"/>
          <w:color w:val="auto"/>
        </w:rPr>
      </w:pPr>
    </w:p>
    <w:p>
      <w:pPr>
        <w:ind w:left="600" w:hanging="301"/>
        <w:spacing w:after="0" w:line="266" w:lineRule="auto"/>
        <w:tabs>
          <w:tab w:leader="none" w:pos="59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Utilizing internal valuation specialists to assist in: (i) assessing the appropriateness and relative weighting of the income and market approaches, and (ii) evaluating the reasonableness of the discount rate and terminal growth rates used in the income approach.</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 - Estimated Costs to Complete</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 described in Note 1 to the consolidated financial statements, the Company recognizes a significant portion of its revenue over time using the cost-to-cost measure of progress, which measures a contract’s progress toward completion based on the ratio of actual contract costs incurred to date to the Company’s estimated costs at completion.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identified estimated costs to complete revenue contracts as a critical audit matter. The determination of the total estimated cost and progress toward completion requires management to make significant estimates and assumptions. Total estimated costs to complete projects include various costs such as direct labor, material and subcontract costs. Changes in these estimates can have a significant impact on the revenue recognized each period. Auditing these estimates involved especially challenging auditor judgment in evaluating the reasonableness of management’s assumptions and estimates over the duration of these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The primary procedures we performed to address this critical audit matter included:</w:t>
      </w:r>
    </w:p>
    <w:p>
      <w:pPr>
        <w:spacing w:after="0" w:line="115" w:lineRule="exact"/>
        <w:rPr>
          <w:sz w:val="20"/>
          <w:szCs w:val="20"/>
          <w:color w:val="auto"/>
        </w:rPr>
      </w:pPr>
    </w:p>
    <w:p>
      <w:pPr>
        <w:jc w:val="both"/>
        <w:ind w:left="600" w:hanging="301"/>
        <w:spacing w:after="0" w:line="247"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5"/>
          <w:szCs w:val="15"/>
          <w:color w:val="auto"/>
        </w:rPr>
        <w:t>Testing the design and operating effectiveness of certain controls related to estimated costs to complete, including controls over management’s review of: (i) the development of project budgets and the key cost inputs, (ii) the ongoing assessment and revisions to project budgets, and (iii) the ongoing review of project status, including the nature of activities to complete open projects.</w:t>
      </w:r>
    </w:p>
    <w:p>
      <w:pPr>
        <w:spacing w:after="0" w:line="80" w:lineRule="exact"/>
        <w:rPr>
          <w:rFonts w:ascii="Arial" w:cs="Arial" w:eastAsia="Arial" w:hAnsi="Arial"/>
          <w:sz w:val="17"/>
          <w:szCs w:val="17"/>
          <w:color w:val="auto"/>
        </w:rPr>
      </w:pPr>
    </w:p>
    <w:p>
      <w:pPr>
        <w:ind w:left="600" w:hanging="301"/>
        <w:spacing w:after="0" w:line="266"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Evaluating the reasonableness of management’s budgeting process by selecting a sample of project budgets for projects that were completed during the period and performing a retrospective review of budget to actual variances.</w:t>
      </w:r>
    </w:p>
    <w:p>
      <w:pPr>
        <w:spacing w:after="0" w:line="67" w:lineRule="exact"/>
        <w:rPr>
          <w:rFonts w:ascii="Arial" w:cs="Arial" w:eastAsia="Arial" w:hAnsi="Arial"/>
          <w:sz w:val="15"/>
          <w:szCs w:val="15"/>
          <w:color w:val="auto"/>
        </w:rPr>
      </w:pPr>
    </w:p>
    <w:p>
      <w:pPr>
        <w:jc w:val="both"/>
        <w:ind w:left="600" w:hanging="301"/>
        <w:spacing w:after="0" w:line="251"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Assessing the reasonableness of the estimated costs to complete by selecting a sample of open projects and: (i) evaluating the reasonableness of project budgets and the nature of costs required to complete the project, (ii) assessing the status of completion by testing of a sample of project costs incurred to date, (iii) evaluating the reasonableness of project status by observing project review meetings and performing inquiries of project managers to assess the nature of activities required to complete the project, and (iv) performing a retrospective review of the project and investigating budget to actual variances (if any).</w:t>
      </w:r>
    </w:p>
    <w:p>
      <w:pPr>
        <w:spacing w:after="0" w:line="77" w:lineRule="exact"/>
        <w:rPr>
          <w:rFonts w:ascii="Arial" w:cs="Arial" w:eastAsia="Arial" w:hAnsi="Arial"/>
          <w:sz w:val="15"/>
          <w:szCs w:val="15"/>
          <w:color w:val="auto"/>
        </w:rPr>
      </w:pPr>
    </w:p>
    <w:p>
      <w:pPr>
        <w:ind w:left="600" w:hanging="301"/>
        <w:spacing w:after="0" w:line="266" w:lineRule="auto"/>
        <w:tabs>
          <w:tab w:leader="none" w:pos="5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Assessing the reasonableness of changes in estimated costs to complete by comparing project profitability estimates in the current period to historical estimates and actual performance and investigating reasons for changes in expected costs and project margins.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/s/ BDO USA, LLP</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have served as the Company’s auditor since 2004.</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Miami, Florida</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5"/>
                <w:szCs w:val="15"/>
                <w:b w:val="1"/>
                <w:bCs w:val="1"/>
                <w:color w:val="auto"/>
              </w:rPr>
              <w:t>For the Years Ended December 31,</w:t>
            </w:r>
          </w:p>
        </w:tc>
        <w:tc>
          <w:tcPr>
            <w:tcW w:w="920" w:type="dxa"/>
            <w:vAlign w:val="bottom"/>
            <w:tcBorders>
              <w:bottom w:val="single" w:sz="8" w:color="auto"/>
            </w:tcBorders>
          </w:tcPr>
          <w:p>
            <w:pPr>
              <w:spacing w:after="0"/>
              <w:rPr>
                <w:sz w:val="17"/>
                <w:szCs w:val="17"/>
                <w:color w:val="auto"/>
              </w:rPr>
            </w:pPr>
          </w:p>
        </w:tc>
      </w:tr>
      <w:tr>
        <w:trPr>
          <w:trHeight w:val="192"/>
        </w:trPr>
        <w:tc>
          <w:tcPr>
            <w:tcW w:w="6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2019</w:t>
            </w:r>
          </w:p>
        </w:tc>
      </w:tr>
      <w:tr>
        <w:trPr>
          <w:trHeight w:val="195"/>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7,951,781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6,320,975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7,183,188</w:t>
            </w:r>
          </w:p>
        </w:tc>
      </w:tr>
      <w:tr>
        <w:trPr>
          <w:trHeight w:val="197"/>
        </w:trPr>
        <w:tc>
          <w:tcPr>
            <w:tcW w:w="6960" w:type="dxa"/>
            <w:vAlign w:val="bottom"/>
          </w:tcPr>
          <w:p>
            <w:pPr>
              <w:ind w:left="20"/>
              <w:spacing w:after="0"/>
              <w:rPr>
                <w:sz w:val="20"/>
                <w:szCs w:val="20"/>
                <w:color w:val="auto"/>
              </w:rPr>
            </w:pPr>
            <w:r>
              <w:rPr>
                <w:rFonts w:ascii="Arial" w:cs="Arial" w:eastAsia="Arial" w:hAnsi="Arial"/>
                <w:sz w:val="15"/>
                <w:szCs w:val="15"/>
                <w:color w:val="auto"/>
              </w:rPr>
              <w:t>Costs of revenue, excluding 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6,805,735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5,270,879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6,070,244</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345,612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258,841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212,485</w:t>
            </w:r>
          </w:p>
        </w:tc>
      </w:tr>
      <w:tr>
        <w:trPr>
          <w:trHeight w:val="197"/>
        </w:trPr>
        <w:tc>
          <w:tcPr>
            <w:tcW w:w="696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77,214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38,910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22,997</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and intangible asset impairment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3,319</w:t>
            </w:r>
          </w:p>
        </w:tc>
      </w:tr>
      <w:tr>
        <w:trPr>
          <w:trHeight w:val="197"/>
        </w:trPr>
        <w:tc>
          <w:tcPr>
            <w:tcW w:w="696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306,970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302,981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286,361</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77,026</w:t>
            </w:r>
          </w:p>
        </w:tc>
      </w:tr>
      <w:tr>
        <w:trPr>
          <w:trHeight w:val="197"/>
        </w:trPr>
        <w:tc>
          <w:tcPr>
            <w:tcW w:w="6960" w:type="dxa"/>
            <w:vAlign w:val="bottom"/>
          </w:tcPr>
          <w:p>
            <w:pPr>
              <w:ind w:left="20"/>
              <w:spacing w:after="0"/>
              <w:rPr>
                <w:sz w:val="20"/>
                <w:szCs w:val="20"/>
                <w:color w:val="auto"/>
              </w:rPr>
            </w:pPr>
            <w:r>
              <w:rPr>
                <w:rFonts w:ascii="Arial" w:cs="Arial" w:eastAsia="Arial" w:hAnsi="Arial"/>
                <w:sz w:val="15"/>
                <w:szCs w:val="15"/>
                <w:color w:val="auto"/>
              </w:rPr>
              <w:t>Equity in earnings of unconsolidated affiliates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(29,738)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(27,367)</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extinguishment of debt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27,184</w:t>
            </w:r>
          </w:p>
        </w:tc>
      </w:tr>
      <w:tr>
        <w:trPr>
          <w:trHeight w:val="195"/>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before income taxes</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425,164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510,939</w:t>
            </w:r>
          </w:p>
        </w:tc>
      </w:tr>
      <w:tr>
        <w:trPr>
          <w:trHeight w:val="19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(116,843)</w:t>
            </w:r>
          </w:p>
        </w:tc>
      </w:tr>
      <w:tr>
        <w:trPr>
          <w:trHeight w:val="195"/>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income</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330,729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322,699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394,096</w:t>
            </w:r>
          </w:p>
        </w:tc>
      </w:tr>
      <w:tr>
        <w:trPr>
          <w:trHeight w:val="18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attributable to 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1,762</w:t>
            </w:r>
          </w:p>
        </w:tc>
      </w:tr>
      <w:tr>
        <w:trPr>
          <w:trHeight w:val="192"/>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income attributable to MasTec, Inc.</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328,831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322,848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392,334</w:t>
            </w:r>
          </w:p>
        </w:tc>
      </w:tr>
      <w:tr>
        <w:trPr>
          <w:trHeight w:val="220"/>
        </w:trPr>
        <w:tc>
          <w:tcPr>
            <w:tcW w:w="6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per share (Note 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Basic earnings per share</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w:t>
            </w:r>
          </w:p>
        </w:tc>
      </w:tr>
      <w:tr>
        <w:trPr>
          <w:trHeight w:val="192"/>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Basic weighted average common shares outstanding</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72,499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72,799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75,185</w:t>
            </w:r>
          </w:p>
        </w:tc>
      </w:tr>
      <w:tr>
        <w:trPr>
          <w:trHeight w:val="220"/>
        </w:trPr>
        <w:tc>
          <w:tcPr>
            <w:tcW w:w="6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69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Diluted earnings per share</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w:t>
            </w:r>
          </w:p>
        </w:tc>
      </w:tr>
      <w:tr>
        <w:trPr>
          <w:trHeight w:val="189"/>
        </w:trPr>
        <w:tc>
          <w:tcPr>
            <w:tcW w:w="6960" w:type="dxa"/>
            <w:vAlign w:val="bottom"/>
          </w:tcPr>
          <w:p>
            <w:pPr>
              <w:ind w:left="200"/>
              <w:spacing w:after="0"/>
              <w:rPr>
                <w:sz w:val="20"/>
                <w:szCs w:val="20"/>
                <w:color w:val="auto"/>
              </w:rPr>
            </w:pPr>
            <w:r>
              <w:rPr>
                <w:rFonts w:ascii="Arial" w:cs="Arial" w:eastAsia="Arial" w:hAnsi="Arial"/>
                <w:sz w:val="15"/>
                <w:szCs w:val="15"/>
                <w:color w:val="auto"/>
              </w:rPr>
              <w:t>Diluted weighted average common shares outstanding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73,941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73,715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75,846</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5"/>
                <w:szCs w:val="15"/>
                <w:b w:val="1"/>
                <w:bCs w:val="1"/>
                <w:color w:val="auto"/>
              </w:rPr>
              <w:t>For the Years Ended December 31,</w:t>
            </w:r>
          </w:p>
        </w:tc>
        <w:tc>
          <w:tcPr>
            <w:tcW w:w="920" w:type="dxa"/>
            <w:vAlign w:val="bottom"/>
            <w:tcBorders>
              <w:bottom w:val="single" w:sz="8" w:color="auto"/>
            </w:tcBorders>
          </w:tcPr>
          <w:p>
            <w:pPr>
              <w:spacing w:after="0"/>
              <w:rPr>
                <w:sz w:val="17"/>
                <w:szCs w:val="17"/>
                <w:color w:val="auto"/>
              </w:rPr>
            </w:pPr>
          </w:p>
        </w:tc>
      </w:tr>
      <w:tr>
        <w:trPr>
          <w:trHeight w:val="192"/>
        </w:trPr>
        <w:tc>
          <w:tcPr>
            <w:tcW w:w="6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2019</w:t>
            </w:r>
          </w:p>
        </w:tc>
      </w:tr>
      <w:tr>
        <w:trPr>
          <w:trHeight w:val="195"/>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330,729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322,699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394,096</w:t>
            </w:r>
          </w:p>
        </w:tc>
      </w:tr>
      <w:tr>
        <w:trPr>
          <w:trHeight w:val="197"/>
        </w:trPr>
        <w:tc>
          <w:tcPr>
            <w:tcW w:w="69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translation gains (losses), net of tax</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97"/>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Unrealized gains (losses) on investment activity, net of tax</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(17,151)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(15,023)</w:t>
            </w:r>
          </w:p>
        </w:tc>
      </w:tr>
      <w:tr>
        <w:trPr>
          <w:trHeight w:val="195"/>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343,397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306,961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378,884</w:t>
            </w:r>
          </w:p>
        </w:tc>
      </w:tr>
      <w:tr>
        <w:trPr>
          <w:trHeight w:val="189"/>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Comprehensive income (loss) attributable to 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1,762</w:t>
            </w:r>
          </w:p>
        </w:tc>
      </w:tr>
      <w:tr>
        <w:trPr>
          <w:trHeight w:val="192"/>
        </w:trPr>
        <w:tc>
          <w:tcPr>
            <w:tcW w:w="69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Comprehensive income attributable to MasTec, Inc.</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341,499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307,110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377,122</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20" w:type="dxa"/>
            <w:vAlign w:val="bottom"/>
          </w:tcPr>
          <w:p>
            <w:pPr>
              <w:ind w:left="4360"/>
              <w:spacing w:after="0"/>
              <w:rPr>
                <w:sz w:val="20"/>
                <w:szCs w:val="20"/>
                <w:color w:val="auto"/>
              </w:rPr>
            </w:pPr>
            <w:r>
              <w:rPr>
                <w:rFonts w:ascii="Arial" w:cs="Arial" w:eastAsia="Arial" w:hAnsi="Arial"/>
                <w:sz w:val="15"/>
                <w:szCs w:val="15"/>
                <w:b w:val="1"/>
                <w:bCs w:val="1"/>
                <w:color w:val="auto"/>
              </w:rPr>
              <w:t>(in thousands, except share information)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360,736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423,118</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Accounts receivable, net of allowance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1,019,324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784,488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Contract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1,227,927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969,743</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Inventories,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92,595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89,645</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Prepaid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60,631</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current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31,390</w:t>
            </w:r>
          </w:p>
        </w:tc>
        <w:tc>
          <w:tcPr>
            <w:tcW w:w="0" w:type="dxa"/>
            <w:vAlign w:val="bottom"/>
          </w:tcPr>
          <w:p>
            <w:pPr>
              <w:spacing w:after="0"/>
              <w:rPr>
                <w:sz w:val="1"/>
                <w:szCs w:val="1"/>
                <w:color w:val="auto"/>
              </w:rPr>
            </w:pPr>
          </w:p>
        </w:tc>
      </w:tr>
      <w:tr>
        <w:trPr>
          <w:trHeight w:val="195"/>
        </w:trPr>
        <w:tc>
          <w:tcPr>
            <w:tcW w:w="8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2,873,954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2,359,015</w:t>
            </w:r>
          </w:p>
        </w:tc>
        <w:tc>
          <w:tcPr>
            <w:tcW w:w="0" w:type="dxa"/>
            <w:vAlign w:val="bottom"/>
          </w:tcPr>
          <w:p>
            <w:pPr>
              <w:spacing w:after="0"/>
              <w:rPr>
                <w:sz w:val="1"/>
                <w:szCs w:val="1"/>
                <w:color w:val="auto"/>
              </w:rPr>
            </w:pPr>
          </w:p>
        </w:tc>
      </w:tr>
      <w:tr>
        <w:trPr>
          <w:trHeight w:val="189"/>
        </w:trPr>
        <w:tc>
          <w:tcPr>
            <w:tcW w:w="8420" w:type="dxa"/>
            <w:vAlign w:val="bottom"/>
          </w:tcPr>
          <w:p>
            <w:pPr>
              <w:ind w:left="120"/>
              <w:spacing w:after="0"/>
              <w:rPr>
                <w:sz w:val="20"/>
                <w:szCs w:val="20"/>
                <w:color w:val="auto"/>
              </w:rPr>
            </w:pPr>
            <w:r>
              <w:rPr>
                <w:rFonts w:ascii="Arial" w:cs="Arial" w:eastAsia="Arial" w:hAnsi="Arial"/>
                <w:sz w:val="15"/>
                <w:szCs w:val="15"/>
                <w:color w:val="auto"/>
              </w:rPr>
              <w:t>Property and equipment,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1,436,087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982,328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260,410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176,573</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Goodwill,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1,520,575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1,243,034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intangible assets,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670,280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184,043</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long-term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360,087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282,856</w:t>
            </w:r>
          </w:p>
        </w:tc>
        <w:tc>
          <w:tcPr>
            <w:tcW w:w="0" w:type="dxa"/>
            <w:vAlign w:val="bottom"/>
          </w:tcPr>
          <w:p>
            <w:pPr>
              <w:spacing w:after="0"/>
              <w:rPr>
                <w:sz w:val="1"/>
                <w:szCs w:val="1"/>
                <w:color w:val="auto"/>
              </w:rPr>
            </w:pPr>
          </w:p>
        </w:tc>
      </w:tr>
      <w:tr>
        <w:trPr>
          <w:trHeight w:val="195"/>
        </w:trPr>
        <w:tc>
          <w:tcPr>
            <w:tcW w:w="8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7,121,393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5,227,849</w:t>
            </w:r>
          </w:p>
        </w:tc>
        <w:tc>
          <w:tcPr>
            <w:tcW w:w="0" w:type="dxa"/>
            <w:vAlign w:val="bottom"/>
          </w:tcPr>
          <w:p>
            <w:pPr>
              <w:spacing w:after="0"/>
              <w:rPr>
                <w:sz w:val="1"/>
                <w:szCs w:val="1"/>
                <w:color w:val="auto"/>
              </w:rPr>
            </w:pPr>
          </w:p>
        </w:tc>
      </w:tr>
      <w:tr>
        <w:trPr>
          <w:trHeight w:val="177"/>
        </w:trPr>
        <w:tc>
          <w:tcPr>
            <w:tcW w:w="8420" w:type="dxa"/>
            <w:vAlign w:val="bottom"/>
          </w:tcPr>
          <w:p>
            <w:pPr>
              <w:ind w:left="20"/>
              <w:spacing w:after="0"/>
              <w:rPr>
                <w:sz w:val="20"/>
                <w:szCs w:val="20"/>
                <w:color w:val="auto"/>
              </w:rPr>
            </w:pPr>
            <w:r>
              <w:rPr>
                <w:rFonts w:ascii="Arial" w:cs="Arial" w:eastAsia="Arial" w:hAnsi="Arial"/>
                <w:sz w:val="15"/>
                <w:szCs w:val="15"/>
                <w:color w:val="auto"/>
              </w:rPr>
              <w:t>Liabilities and equity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Current portion of long-term debt, including finance leases</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137,912</w:t>
            </w:r>
          </w:p>
        </w:tc>
        <w:tc>
          <w:tcPr>
            <w:tcW w:w="10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145,110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portion of operating 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72,481</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Accounts payable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663,063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571,269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Accrued salaries and wages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203,141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135,316</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Other accrued expenses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229,936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187,647</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Contract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228,388</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141,155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74,988</w:t>
            </w:r>
          </w:p>
        </w:tc>
        <w:tc>
          <w:tcPr>
            <w:tcW w:w="0" w:type="dxa"/>
            <w:vAlign w:val="bottom"/>
          </w:tcPr>
          <w:p>
            <w:pPr>
              <w:spacing w:after="0"/>
              <w:rPr>
                <w:sz w:val="1"/>
                <w:szCs w:val="1"/>
                <w:color w:val="auto"/>
              </w:rPr>
            </w:pPr>
          </w:p>
        </w:tc>
      </w:tr>
      <w:tr>
        <w:trPr>
          <w:trHeight w:val="195"/>
        </w:trPr>
        <w:tc>
          <w:tcPr>
            <w:tcW w:w="8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1,784,598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1,415,199</w:t>
            </w:r>
          </w:p>
        </w:tc>
        <w:tc>
          <w:tcPr>
            <w:tcW w:w="0" w:type="dxa"/>
            <w:vAlign w:val="bottom"/>
          </w:tcPr>
          <w:p>
            <w:pPr>
              <w:spacing w:after="0"/>
              <w:rPr>
                <w:sz w:val="1"/>
                <w:szCs w:val="1"/>
                <w:color w:val="auto"/>
              </w:rPr>
            </w:pPr>
          </w:p>
        </w:tc>
      </w:tr>
      <w:tr>
        <w:trPr>
          <w:trHeight w:val="189"/>
        </w:trPr>
        <w:tc>
          <w:tcPr>
            <w:tcW w:w="8420" w:type="dxa"/>
            <w:vAlign w:val="bottom"/>
          </w:tcPr>
          <w:p>
            <w:pPr>
              <w:ind w:left="120"/>
              <w:spacing w:after="0"/>
              <w:rPr>
                <w:sz w:val="20"/>
                <w:szCs w:val="20"/>
                <w:color w:val="auto"/>
              </w:rPr>
            </w:pPr>
            <w:r>
              <w:rPr>
                <w:rFonts w:ascii="Arial" w:cs="Arial" w:eastAsia="Arial" w:hAnsi="Arial"/>
                <w:sz w:val="15"/>
                <w:szCs w:val="15"/>
                <w:color w:val="auto"/>
              </w:rPr>
              <w:t>Long-term debt, including finance leases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1,876,233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1,157,632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Long-term operating 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176,378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116,506</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Deferred income taxes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450,361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302,938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289,962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230,049</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4,577,532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3,222,324</w:t>
            </w: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Commitments and contingencies </w:t>
            </w:r>
            <w:r>
              <w:rPr>
                <w:rFonts w:ascii="Arial" w:cs="Arial" w:eastAsia="Arial" w:hAnsi="Arial"/>
                <w:sz w:val="13"/>
                <w:szCs w:val="13"/>
                <w:color w:val="auto"/>
              </w:rPr>
              <w:t>(Note 14)</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5"/>
                <w:szCs w:val="15"/>
                <w:color w:val="auto"/>
              </w:rPr>
              <w:t>Equity</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$1.00 par value: authorized shares - 5,000,000; issued and outstanding shares – none</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420" w:type="dxa"/>
            <w:vAlign w:val="bottom"/>
          </w:tcPr>
          <w:p>
            <w:pPr>
              <w:ind w:left="120"/>
              <w:spacing w:after="0" w:line="154" w:lineRule="exact"/>
              <w:rPr>
                <w:sz w:val="20"/>
                <w:szCs w:val="20"/>
                <w:color w:val="auto"/>
              </w:rPr>
            </w:pPr>
            <w:r>
              <w:rPr>
                <w:rFonts w:ascii="Arial" w:cs="Arial" w:eastAsia="Arial" w:hAnsi="Arial"/>
                <w:sz w:val="15"/>
                <w:szCs w:val="15"/>
                <w:color w:val="auto"/>
                <w:w w:val="91"/>
              </w:rPr>
              <w:t>Common stock, $0.10 par value: authorized shares - 145,000,000; issued shares - 95,371,211 and 93,107,440 (including 1,747,385 and</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9,537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9,311</w:t>
            </w:r>
          </w:p>
        </w:tc>
        <w:tc>
          <w:tcPr>
            <w:tcW w:w="0" w:type="dxa"/>
            <w:vAlign w:val="bottom"/>
          </w:tcPr>
          <w:p>
            <w:pPr>
              <w:spacing w:after="0"/>
              <w:rPr>
                <w:sz w:val="1"/>
                <w:szCs w:val="1"/>
                <w:color w:val="auto"/>
              </w:rPr>
            </w:pPr>
          </w:p>
        </w:tc>
      </w:tr>
      <w:tr>
        <w:trPr>
          <w:trHeight w:val="192"/>
        </w:trPr>
        <w:tc>
          <w:tcPr>
            <w:tcW w:w="8420" w:type="dxa"/>
            <w:vAlign w:val="bottom"/>
          </w:tcPr>
          <w:p>
            <w:pPr>
              <w:ind w:left="120"/>
              <w:spacing w:after="0"/>
              <w:rPr>
                <w:sz w:val="20"/>
                <w:szCs w:val="20"/>
                <w:color w:val="auto"/>
              </w:rPr>
            </w:pPr>
            <w:r>
              <w:rPr>
                <w:rFonts w:ascii="Arial" w:cs="Arial" w:eastAsia="Arial" w:hAnsi="Arial"/>
                <w:sz w:val="15"/>
                <w:szCs w:val="15"/>
                <w:color w:val="auto"/>
              </w:rPr>
              <w:t>1,843,041 of unvested stock awards) as of December 31, 2021 and 2020, respectively</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Capital surplus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1,033,615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837,453</w:t>
            </w:r>
          </w:p>
        </w:tc>
        <w:tc>
          <w:tcPr>
            <w:tcW w:w="0" w:type="dxa"/>
            <w:vAlign w:val="bottom"/>
          </w:tcPr>
          <w:p>
            <w:pPr>
              <w:spacing w:after="0"/>
              <w:rPr>
                <w:sz w:val="1"/>
                <w:szCs w:val="1"/>
                <w:color w:val="auto"/>
              </w:rPr>
            </w:pPr>
          </w:p>
        </w:tc>
      </w:tr>
      <w:tr>
        <w:trPr>
          <w:trHeight w:val="197"/>
        </w:trPr>
        <w:tc>
          <w:tcPr>
            <w:tcW w:w="8420" w:type="dxa"/>
            <w:vAlign w:val="bottom"/>
          </w:tcPr>
          <w:p>
            <w:pPr>
              <w:ind w:left="120"/>
              <w:spacing w:after="0"/>
              <w:rPr>
                <w:sz w:val="20"/>
                <w:szCs w:val="20"/>
                <w:color w:val="auto"/>
              </w:rPr>
            </w:pPr>
            <w:r>
              <w:rPr>
                <w:rFonts w:ascii="Arial" w:cs="Arial" w:eastAsia="Arial" w:hAnsi="Arial"/>
                <w:sz w:val="15"/>
                <w:szCs w:val="15"/>
                <w:color w:val="auto"/>
              </w:rPr>
              <w:t>Retained earnings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2,162,388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1,833,557</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(91,444)</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Treasury stock, at cost: 18,941,926 shares as of both December 31, 2021 and 2020, respectively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(586,955)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(586,955)</w:t>
            </w:r>
          </w:p>
        </w:tc>
        <w:tc>
          <w:tcPr>
            <w:tcW w:w="0" w:type="dxa"/>
            <w:vAlign w:val="bottom"/>
          </w:tcPr>
          <w:p>
            <w:pPr>
              <w:spacing w:after="0"/>
              <w:rPr>
                <w:sz w:val="1"/>
                <w:szCs w:val="1"/>
                <w:color w:val="auto"/>
              </w:rPr>
            </w:pPr>
          </w:p>
        </w:tc>
      </w:tr>
      <w:tr>
        <w:trPr>
          <w:trHeight w:val="195"/>
        </w:trPr>
        <w:tc>
          <w:tcPr>
            <w:tcW w:w="8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MasTec, Inc. shareholders’ equity</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2,539,809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2,001,922</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3,603</w:t>
            </w:r>
          </w:p>
        </w:tc>
        <w:tc>
          <w:tcPr>
            <w:tcW w:w="0" w:type="dxa"/>
            <w:vAlign w:val="bottom"/>
          </w:tcPr>
          <w:p>
            <w:pPr>
              <w:spacing w:after="0"/>
              <w:rPr>
                <w:sz w:val="1"/>
                <w:szCs w:val="1"/>
                <w:color w:val="auto"/>
              </w:rPr>
            </w:pPr>
          </w:p>
        </w:tc>
      </w:tr>
      <w:tr>
        <w:trPr>
          <w:trHeight w:val="195"/>
        </w:trPr>
        <w:tc>
          <w:tcPr>
            <w:tcW w:w="8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equity</w:t>
            </w: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2,543,861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2,005,525</w:t>
            </w:r>
          </w:p>
        </w:tc>
        <w:tc>
          <w:tcPr>
            <w:tcW w:w="0" w:type="dxa"/>
            <w:vAlign w:val="bottom"/>
          </w:tcPr>
          <w:p>
            <w:pPr>
              <w:spacing w:after="0"/>
              <w:rPr>
                <w:sz w:val="1"/>
                <w:szCs w:val="1"/>
                <w:color w:val="auto"/>
              </w:rPr>
            </w:pPr>
          </w:p>
        </w:tc>
      </w:tr>
      <w:tr>
        <w:trPr>
          <w:trHeight w:val="189"/>
        </w:trPr>
        <w:tc>
          <w:tcPr>
            <w:tcW w:w="8420" w:type="dxa"/>
            <w:vAlign w:val="bottom"/>
          </w:tcPr>
          <w:p>
            <w:pPr>
              <w:ind w:left="320"/>
              <w:spacing w:after="0"/>
              <w:rPr>
                <w:sz w:val="20"/>
                <w:szCs w:val="20"/>
                <w:color w:val="auto"/>
              </w:rPr>
            </w:pPr>
            <w:r>
              <w:rPr>
                <w:rFonts w:ascii="Arial" w:cs="Arial" w:eastAsia="Arial" w:hAnsi="Arial"/>
                <w:sz w:val="15"/>
                <w:szCs w:val="15"/>
                <w:color w:val="auto"/>
              </w:rPr>
              <w:t>Total liabilities and equity</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7,121,393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5,227,849</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46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156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Accumulated</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MasTec,</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0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900" w:type="dxa"/>
            <w:vAlign w:val="bottom"/>
            <w:gridSpan w:val="2"/>
          </w:tcPr>
          <w:p>
            <w:pPr>
              <w:jc w:val="center"/>
              <w:ind w:right="160"/>
              <w:spacing w:after="0" w:line="68" w:lineRule="exact"/>
              <w:rPr>
                <w:sz w:val="20"/>
                <w:szCs w:val="20"/>
                <w:color w:val="auto"/>
              </w:rPr>
            </w:pPr>
            <w:r>
              <w:rPr>
                <w:rFonts w:ascii="Arial" w:cs="Arial" w:eastAsia="Arial" w:hAnsi="Arial"/>
                <w:sz w:val="7"/>
                <w:szCs w:val="7"/>
                <w:b w:val="1"/>
                <w:bCs w:val="1"/>
                <w:color w:val="auto"/>
              </w:rPr>
              <w:t>Other</w:t>
            </w:r>
          </w:p>
        </w:tc>
        <w:tc>
          <w:tcPr>
            <w:tcW w:w="160" w:type="dxa"/>
            <w:vAlign w:val="bottom"/>
          </w:tcPr>
          <w:p>
            <w:pPr>
              <w:spacing w:after="0"/>
              <w:rPr>
                <w:sz w:val="5"/>
                <w:szCs w:val="5"/>
                <w:color w:val="auto"/>
              </w:rPr>
            </w:pPr>
          </w:p>
        </w:tc>
        <w:tc>
          <w:tcPr>
            <w:tcW w:w="7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Inc.</w:t>
            </w:r>
          </w:p>
        </w:tc>
        <w:tc>
          <w:tcPr>
            <w:tcW w:w="100" w:type="dxa"/>
            <w:vAlign w:val="bottom"/>
          </w:tcPr>
          <w:p>
            <w:pPr>
              <w:spacing w:after="0"/>
              <w:rPr>
                <w:sz w:val="5"/>
                <w:szCs w:val="5"/>
                <w:color w:val="auto"/>
              </w:rPr>
            </w:pPr>
          </w:p>
        </w:tc>
        <w:tc>
          <w:tcPr>
            <w:tcW w:w="720" w:type="dxa"/>
            <w:vAlign w:val="bottom"/>
            <w:gridSpan w:val="2"/>
          </w:tcPr>
          <w:p>
            <w:pPr>
              <w:jc w:val="center"/>
              <w:ind w:right="160"/>
              <w:spacing w:after="0" w:line="68" w:lineRule="exact"/>
              <w:rPr>
                <w:sz w:val="20"/>
                <w:szCs w:val="20"/>
                <w:color w:val="auto"/>
              </w:rPr>
            </w:pPr>
            <w:r>
              <w:rPr>
                <w:rFonts w:ascii="Arial" w:cs="Arial" w:eastAsia="Arial" w:hAnsi="Arial"/>
                <w:sz w:val="7"/>
                <w:szCs w:val="7"/>
                <w:b w:val="1"/>
                <w:bCs w:val="1"/>
                <w:color w:val="auto"/>
              </w:rPr>
              <w:t>Non-</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0" w:type="dxa"/>
            <w:vAlign w:val="bottom"/>
            <w:gridSpan w:val="3"/>
          </w:tcPr>
          <w:p>
            <w:pPr>
              <w:ind w:left="20"/>
              <w:spacing w:after="0" w:line="125" w:lineRule="exact"/>
              <w:rPr>
                <w:sz w:val="20"/>
                <w:szCs w:val="20"/>
                <w:color w:val="auto"/>
              </w:rPr>
            </w:pPr>
            <w:r>
              <w:rPr>
                <w:rFonts w:ascii="Arial" w:cs="Arial" w:eastAsia="Arial" w:hAnsi="Arial"/>
                <w:sz w:val="13"/>
                <w:szCs w:val="13"/>
                <w:b w:val="1"/>
                <w:bCs w:val="1"/>
                <w:color w:val="auto"/>
                <w:w w:val="98"/>
              </w:rPr>
              <w:t>Comprehensive</w:t>
            </w:r>
          </w:p>
        </w:tc>
        <w:tc>
          <w:tcPr>
            <w:tcW w:w="920" w:type="dxa"/>
            <w:vAlign w:val="bottom"/>
            <w:gridSpan w:val="3"/>
          </w:tcPr>
          <w:p>
            <w:pPr>
              <w:ind w:left="20"/>
              <w:spacing w:after="0" w:line="125" w:lineRule="exact"/>
              <w:rPr>
                <w:sz w:val="20"/>
                <w:szCs w:val="20"/>
                <w:color w:val="auto"/>
              </w:rPr>
            </w:pPr>
            <w:r>
              <w:rPr>
                <w:rFonts w:ascii="Arial" w:cs="Arial" w:eastAsia="Arial" w:hAnsi="Arial"/>
                <w:sz w:val="13"/>
                <w:szCs w:val="13"/>
                <w:b w:val="1"/>
                <w:bCs w:val="1"/>
                <w:color w:val="auto"/>
              </w:rPr>
              <w:t>Shareholders’</w:t>
            </w:r>
          </w:p>
        </w:tc>
        <w:tc>
          <w:tcPr>
            <w:tcW w:w="820" w:type="dxa"/>
            <w:vAlign w:val="bottom"/>
            <w:gridSpan w:val="3"/>
          </w:tcPr>
          <w:p>
            <w:pPr>
              <w:jc w:val="center"/>
              <w:ind w:right="80"/>
              <w:spacing w:after="0" w:line="125" w:lineRule="exact"/>
              <w:rPr>
                <w:sz w:val="20"/>
                <w:szCs w:val="20"/>
                <w:color w:val="auto"/>
              </w:rPr>
            </w:pPr>
            <w:r>
              <w:rPr>
                <w:rFonts w:ascii="Arial" w:cs="Arial" w:eastAsia="Arial" w:hAnsi="Arial"/>
                <w:sz w:val="13"/>
                <w:szCs w:val="13"/>
                <w:b w:val="1"/>
                <w:bCs w:val="1"/>
                <w:color w:val="auto"/>
                <w:w w:val="95"/>
              </w:rPr>
              <w:t>Controlling</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Surplus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Loss</w:t>
            </w:r>
          </w:p>
        </w:tc>
        <w:tc>
          <w:tcPr>
            <w:tcW w:w="16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Interests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91,327,009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9,133</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(15,329,817)</w:t>
            </w: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(466,125)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789,009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1,118,375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center"/>
              <w:ind w:left="257"/>
              <w:spacing w:after="0"/>
              <w:rPr>
                <w:sz w:val="20"/>
                <w:szCs w:val="20"/>
                <w:color w:val="auto"/>
              </w:rPr>
            </w:pPr>
            <w:r>
              <w:rPr>
                <w:rFonts w:ascii="Arial" w:cs="Arial" w:eastAsia="Arial" w:hAnsi="Arial"/>
                <w:sz w:val="13"/>
                <w:szCs w:val="13"/>
                <w:color w:val="auto"/>
                <w:w w:val="90"/>
              </w:rPr>
              <w:t>(60,494)</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1,389,898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1,392,024</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392,334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392,334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394,096</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0"/>
              </w:rPr>
              <w:t>(15,212)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(15,212)</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Non-cash stock-based compensation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16,447</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shares, net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464,970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w w:val="93"/>
              </w:rPr>
              <w:t>Other stock issuances, net of shares withheld for taxes</w:t>
            </w:r>
          </w:p>
        </w:tc>
        <w:tc>
          <w:tcPr>
            <w:tcW w:w="660" w:type="dxa"/>
            <w:vAlign w:val="bottom"/>
          </w:tcPr>
          <w:p>
            <w:pPr>
              <w:jc w:val="right"/>
              <w:spacing w:after="0"/>
              <w:rPr>
                <w:sz w:val="20"/>
                <w:szCs w:val="20"/>
                <w:color w:val="auto"/>
              </w:rPr>
            </w:pPr>
            <w:r>
              <w:rPr>
                <w:rFonts w:ascii="Arial" w:cs="Arial" w:eastAsia="Arial" w:hAnsi="Arial"/>
                <w:sz w:val="13"/>
                <w:szCs w:val="13"/>
                <w:color w:val="auto"/>
              </w:rPr>
              <w:t>117,451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4,355</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 of treasury stock, at cost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(15,100)</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Contributions from non-controlling interests</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91,909,430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9,191</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(15,344,917)</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(466,727)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809,753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1,510,709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13"/>
                <w:szCs w:val="13"/>
                <w:color w:val="auto"/>
                <w:w w:val="90"/>
              </w:rPr>
              <w:t>(75,706)</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1,787,220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1,791,691</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322,848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322,848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322,699</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0"/>
              </w:rPr>
              <w:t>(15,738)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(15,738)</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Non-cash stock-based compensation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21,875</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shares, net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993,893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w w:val="93"/>
              </w:rPr>
              <w:t>Other stock issuances, net of shares withheld for taxes</w:t>
            </w:r>
          </w:p>
        </w:tc>
        <w:tc>
          <w:tcPr>
            <w:tcW w:w="660" w:type="dxa"/>
            <w:vAlign w:val="bottom"/>
          </w:tcPr>
          <w:p>
            <w:pPr>
              <w:jc w:val="right"/>
              <w:spacing w:after="0"/>
              <w:rPr>
                <w:sz w:val="20"/>
                <w:szCs w:val="20"/>
                <w:color w:val="auto"/>
              </w:rPr>
            </w:pPr>
            <w:r>
              <w:rPr>
                <w:rFonts w:ascii="Arial" w:cs="Arial" w:eastAsia="Arial" w:hAnsi="Arial"/>
                <w:sz w:val="13"/>
                <w:szCs w:val="13"/>
                <w:color w:val="auto"/>
              </w:rPr>
              <w:t>204,117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5,945</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 of treasury stock, at cost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(3,597,009)</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(120,228)</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Distributions to non-controlling interests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7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93,107,440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9,311</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(18,941,926)</w:t>
            </w: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(586,955)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837,453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1,833,557</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center"/>
              <w:ind w:left="257"/>
              <w:spacing w:after="0"/>
              <w:rPr>
                <w:sz w:val="20"/>
                <w:szCs w:val="20"/>
                <w:color w:val="auto"/>
              </w:rPr>
            </w:pPr>
            <w:r>
              <w:rPr>
                <w:rFonts w:ascii="Arial" w:cs="Arial" w:eastAsia="Arial" w:hAnsi="Arial"/>
                <w:sz w:val="13"/>
                <w:szCs w:val="13"/>
                <w:color w:val="auto"/>
                <w:w w:val="90"/>
              </w:rPr>
              <w:t>(91,444)</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2,001,922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2,005,525</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328,831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328,831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330,729</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w w:val="95"/>
              </w:rPr>
              <w:t>12,668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12,668</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Non-cash stock-based compensation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24,805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24,805</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shares for acquisition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1,975,232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181,682</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Issuance of restricted shares, net</w:t>
            </w:r>
          </w:p>
        </w:tc>
        <w:tc>
          <w:tcPr>
            <w:tcW w:w="660" w:type="dxa"/>
            <w:vAlign w:val="bottom"/>
          </w:tcPr>
          <w:p>
            <w:pPr>
              <w:jc w:val="right"/>
              <w:spacing w:after="0"/>
              <w:rPr>
                <w:sz w:val="20"/>
                <w:szCs w:val="20"/>
                <w:color w:val="auto"/>
              </w:rPr>
            </w:pPr>
            <w:r>
              <w:rPr>
                <w:rFonts w:ascii="Arial" w:cs="Arial" w:eastAsia="Arial" w:hAnsi="Arial"/>
                <w:sz w:val="13"/>
                <w:szCs w:val="13"/>
                <w:color w:val="auto"/>
              </w:rPr>
              <w:t>305,882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3"/>
              </w:rPr>
              <w:t>Shares withheld for taxes, net of other stock issuances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w:t>
            </w:r>
          </w:p>
        </w:tc>
        <w:tc>
          <w:tcPr>
            <w:tcW w:w="0" w:type="dxa"/>
            <w:vAlign w:val="bottom"/>
          </w:tcPr>
          <w:p>
            <w:pPr>
              <w:spacing w:after="0"/>
              <w:rPr>
                <w:sz w:val="1"/>
                <w:szCs w:val="1"/>
                <w:color w:val="auto"/>
              </w:rPr>
            </w:pPr>
          </w:p>
        </w:tc>
      </w:tr>
      <w:tr>
        <w:trPr>
          <w:trHeight w:val="195"/>
        </w:trPr>
        <w:tc>
          <w:tcPr>
            <w:tcW w:w="3080" w:type="dxa"/>
            <w:vAlign w:val="bottom"/>
          </w:tcPr>
          <w:p>
            <w:pPr>
              <w:ind w:left="120"/>
              <w:spacing w:after="0"/>
              <w:rPr>
                <w:sz w:val="20"/>
                <w:szCs w:val="20"/>
                <w:color w:val="auto"/>
              </w:rPr>
            </w:pPr>
            <w:r>
              <w:rPr>
                <w:rFonts w:ascii="Arial" w:cs="Arial" w:eastAsia="Arial" w:hAnsi="Arial"/>
                <w:sz w:val="13"/>
                <w:szCs w:val="13"/>
                <w:color w:val="auto"/>
              </w:rPr>
              <w:t>Distributions to non-controlling interests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non-controlling interests</w:t>
            </w: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(6,802)</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Arial" w:cs="Arial" w:eastAsia="Arial" w:hAnsi="Arial"/>
                <w:sz w:val="13"/>
                <w:szCs w:val="13"/>
                <w:color w:val="auto"/>
              </w:rPr>
              <w:t>Balance as of December 31, 2021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95,371,211</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9,537</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(18,941,926)</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 (586,955)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1,033,615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2,162,388</w:t>
            </w:r>
          </w:p>
        </w:tc>
        <w:tc>
          <w:tcPr>
            <w:tcW w:w="6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0"/>
              </w:rPr>
              <w:t>(78,776)</w:t>
            </w:r>
          </w:p>
        </w:tc>
        <w:tc>
          <w:tcPr>
            <w:tcW w:w="6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2,539,809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2,543,861</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3"/>
          <w:szCs w:val="13"/>
          <w:b w:val="1"/>
          <w:bCs w:val="1"/>
          <w:color w:val="auto"/>
        </w:rPr>
        <w:t>MASTEC,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right"/>
              <w:ind w:right="73"/>
              <w:spacing w:after="0"/>
              <w:rPr>
                <w:sz w:val="20"/>
                <w:szCs w:val="20"/>
                <w:color w:val="auto"/>
              </w:rPr>
            </w:pPr>
            <w:r>
              <w:rPr>
                <w:rFonts w:ascii="Arial" w:cs="Arial" w:eastAsia="Arial" w:hAnsi="Arial"/>
                <w:sz w:val="13"/>
                <w:szCs w:val="13"/>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r>
      <w:tr>
        <w:trPr>
          <w:trHeight w:val="171"/>
        </w:trPr>
        <w:tc>
          <w:tcPr>
            <w:tcW w:w="7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2019</w:t>
            </w:r>
          </w:p>
        </w:tc>
      </w:tr>
      <w:tr>
        <w:trPr>
          <w:trHeight w:val="156"/>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2"/>
        </w:trPr>
        <w:tc>
          <w:tcPr>
            <w:tcW w:w="7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330,729</w:t>
            </w:r>
          </w:p>
        </w:tc>
        <w:tc>
          <w:tcPr>
            <w:tcW w:w="100" w:type="dxa"/>
            <w:vAlign w:val="bottom"/>
          </w:tcPr>
          <w:p>
            <w:pPr>
              <w:spacing w:after="0"/>
              <w:rPr>
                <w:sz w:val="14"/>
                <w:szCs w:val="1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322,699</w:t>
            </w:r>
          </w:p>
        </w:tc>
        <w:tc>
          <w:tcPr>
            <w:tcW w:w="100" w:type="dxa"/>
            <w:vAlign w:val="bottom"/>
          </w:tcPr>
          <w:p>
            <w:pPr>
              <w:spacing w:after="0"/>
              <w:rPr>
                <w:sz w:val="14"/>
                <w:szCs w:val="14"/>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394,096</w:t>
            </w:r>
          </w:p>
        </w:tc>
      </w:tr>
      <w:tr>
        <w:trPr>
          <w:trHeight w:val="178"/>
        </w:trPr>
        <w:tc>
          <w:tcPr>
            <w:tcW w:w="7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Depreciation</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345,612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258,841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212,485</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22,997</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Non-cash stock-based compensation expense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16,447</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deferred income taxes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22,160</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Equity in earnings of unconsolidated affiliates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(33,830)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(27,367)</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Gains on sales of assets, net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(13,908)</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Non-cash interest expense,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3,219</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and intangible asset impairment</w:t>
            </w: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Other non-cash items,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21,775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(2,768)</w:t>
            </w:r>
          </w:p>
        </w:tc>
      </w:tr>
      <w:tr>
        <w:trPr>
          <w:trHeight w:val="178"/>
        </w:trPr>
        <w:tc>
          <w:tcPr>
            <w:tcW w:w="7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assets and liabilities, net of acquisitions: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87,372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(124,739)</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Contract assets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237,800</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Inventories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17,904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24,051</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 current and long-term portion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10,180</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Accounts payable and accrued expenses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(104,481)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94,069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(228,142)</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Contract liabilities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(52,215)</w:t>
            </w:r>
          </w:p>
        </w:tc>
      </w:tr>
      <w:tr>
        <w:trPr>
          <w:trHeight w:val="172"/>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liabilities, current and long-term portion</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(37,479)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52,663</w:t>
            </w:r>
          </w:p>
        </w:tc>
      </w:tr>
      <w:tr>
        <w:trPr>
          <w:trHeight w:val="170"/>
        </w:trPr>
        <w:tc>
          <w:tcPr>
            <w:tcW w:w="7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793,074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937,254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550,278</w:t>
            </w:r>
          </w:p>
        </w:tc>
      </w:tr>
      <w:tr>
        <w:trPr>
          <w:trHeight w:val="152"/>
        </w:trPr>
        <w:tc>
          <w:tcPr>
            <w:tcW w:w="706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8"/>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paid for acquisitions, net of cash acquired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(1,244,603)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(179,481)</w:t>
            </w:r>
          </w:p>
        </w:tc>
      </w:tr>
      <w:tr>
        <w:trPr>
          <w:trHeight w:val="172"/>
        </w:trPr>
        <w:tc>
          <w:tcPr>
            <w:tcW w:w="706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(170,066)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(213,746)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(126,473)</w:t>
            </w:r>
          </w:p>
        </w:tc>
      </w:tr>
      <w:tr>
        <w:trPr>
          <w:trHeight w:val="178"/>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 of property and equipment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35,015</w:t>
            </w:r>
          </w:p>
        </w:tc>
      </w:tr>
      <w:tr>
        <w:trPr>
          <w:trHeight w:val="172"/>
        </w:trPr>
        <w:tc>
          <w:tcPr>
            <w:tcW w:w="7060" w:type="dxa"/>
            <w:vAlign w:val="bottom"/>
          </w:tcPr>
          <w:p>
            <w:pPr>
              <w:ind w:left="220"/>
              <w:spacing w:after="0"/>
              <w:rPr>
                <w:sz w:val="20"/>
                <w:szCs w:val="20"/>
                <w:color w:val="auto"/>
              </w:rPr>
            </w:pPr>
            <w:r>
              <w:rPr>
                <w:rFonts w:ascii="Arial" w:cs="Arial" w:eastAsia="Arial" w:hAnsi="Arial"/>
                <w:sz w:val="13"/>
                <w:szCs w:val="13"/>
                <w:color w:val="auto"/>
              </w:rPr>
              <w:t>Payments for other investments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(17,456)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(5,589)</w:t>
            </w:r>
          </w:p>
        </w:tc>
      </w:tr>
      <w:tr>
        <w:trPr>
          <w:trHeight w:val="178"/>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other investments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14,705</w:t>
            </w:r>
          </w:p>
        </w:tc>
      </w:tr>
      <w:tr>
        <w:trPr>
          <w:trHeight w:val="172"/>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investing activities, net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(1,357,171)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(216,605)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(261,823)</w:t>
            </w:r>
          </w:p>
        </w:tc>
      </w:tr>
      <w:tr>
        <w:trPr>
          <w:trHeight w:val="152"/>
        </w:trPr>
        <w:tc>
          <w:tcPr>
            <w:tcW w:w="706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credit facilities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1,503,372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1,434,610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3,025,927</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Repayments of credit facilities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(812,103)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(1,741,067)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(3,126,595)</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issuance of 4.50% senior notes</w:t>
            </w: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Repayments of 4.875% senior notes</w:t>
            </w:r>
          </w:p>
        </w:tc>
        <w:tc>
          <w:tcPr>
            <w:tcW w:w="3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Payments of finance lease obligations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(88,341)</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Payments of acquisition-related contingent consideration</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(21,675)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(34,267)</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(Payments to) proceeds from non-controlling interests, including acquisition of interests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Proceeds from stock-based awards</w:t>
            </w:r>
          </w:p>
        </w:tc>
        <w:tc>
          <w:tcPr>
            <w:tcW w:w="3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4,655</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Payments for stock-based awards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7060" w:type="dxa"/>
            <w:vAlign w:val="bottom"/>
          </w:tcPr>
          <w:p>
            <w:pPr>
              <w:ind w:left="240"/>
              <w:spacing w:after="0"/>
              <w:rPr>
                <w:sz w:val="20"/>
                <w:szCs w:val="20"/>
                <w:color w:val="auto"/>
              </w:rPr>
            </w:pPr>
            <w:r>
              <w:rPr>
                <w:rFonts w:ascii="Arial" w:cs="Arial" w:eastAsia="Arial" w:hAnsi="Arial"/>
                <w:sz w:val="13"/>
                <w:szCs w:val="13"/>
                <w:color w:val="auto"/>
              </w:rPr>
              <w:t>Repurchases of common stock</w:t>
            </w:r>
          </w:p>
        </w:tc>
        <w:tc>
          <w:tcPr>
            <w:tcW w:w="3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(120,228)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(5,652)</w:t>
            </w:r>
          </w:p>
        </w:tc>
      </w:tr>
      <w:tr>
        <w:trPr>
          <w:trHeight w:val="178"/>
        </w:trPr>
        <w:tc>
          <w:tcPr>
            <w:tcW w:w="7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financing activities, net</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(20,896)</w:t>
            </w:r>
          </w:p>
        </w:tc>
      </w:tr>
      <w:tr>
        <w:trPr>
          <w:trHeight w:val="164"/>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501,942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(369,887)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(244,631)</w:t>
            </w:r>
          </w:p>
        </w:tc>
      </w:tr>
      <w:tr>
        <w:trPr>
          <w:trHeight w:val="170"/>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currency translation on cash</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7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(62,382)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351,691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44,005</w:t>
            </w:r>
          </w:p>
        </w:tc>
      </w:tr>
      <w:tr>
        <w:trPr>
          <w:trHeight w:val="170"/>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 beginning of period</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423,118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71,427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27,422</w:t>
            </w:r>
          </w:p>
        </w:tc>
      </w:tr>
      <w:tr>
        <w:trPr>
          <w:trHeight w:val="164"/>
        </w:trPr>
        <w:tc>
          <w:tcPr>
            <w:tcW w:w="7060" w:type="dxa"/>
            <w:vAlign w:val="bottom"/>
          </w:tcPr>
          <w:p>
            <w:pPr>
              <w:ind w:left="20"/>
              <w:spacing w:after="0"/>
              <w:rPr>
                <w:sz w:val="20"/>
                <w:szCs w:val="20"/>
                <w:color w:val="auto"/>
              </w:rPr>
            </w:pPr>
            <w:r>
              <w:rPr>
                <w:rFonts w:ascii="Arial" w:cs="Arial" w:eastAsia="Arial" w:hAnsi="Arial"/>
                <w:sz w:val="13"/>
                <w:szCs w:val="13"/>
                <w:color w:val="auto"/>
              </w:rPr>
              <w:t>Cash and cash equivalents - end of period</w:t>
            </w: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360,736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423,118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71,427</w:t>
            </w:r>
          </w:p>
        </w:tc>
      </w:tr>
      <w:tr>
        <w:trPr>
          <w:trHeight w:val="108"/>
        </w:trPr>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cash flow information:</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72"/>
        </w:trPr>
        <w:tc>
          <w:tcPr>
            <w:tcW w:w="7060" w:type="dxa"/>
            <w:vAlign w:val="bottom"/>
          </w:tcPr>
          <w:p>
            <w:pPr>
              <w:ind w:left="220"/>
              <w:spacing w:after="0"/>
              <w:rPr>
                <w:sz w:val="20"/>
                <w:szCs w:val="20"/>
                <w:color w:val="auto"/>
              </w:rPr>
            </w:pPr>
            <w:r>
              <w:rPr>
                <w:rFonts w:ascii="Arial" w:cs="Arial" w:eastAsia="Arial" w:hAnsi="Arial"/>
                <w:sz w:val="13"/>
                <w:szCs w:val="13"/>
                <w:color w:val="auto"/>
              </w:rPr>
              <w:t>Interest paid</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61,815</w:t>
            </w:r>
          </w:p>
        </w:tc>
        <w:tc>
          <w:tcPr>
            <w:tcW w:w="100" w:type="dxa"/>
            <w:vAlign w:val="bottom"/>
          </w:tcPr>
          <w:p>
            <w:pPr>
              <w:spacing w:after="0"/>
              <w:rPr>
                <w:sz w:val="14"/>
                <w:szCs w:val="1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65,016</w:t>
            </w:r>
          </w:p>
        </w:tc>
        <w:tc>
          <w:tcPr>
            <w:tcW w:w="100" w:type="dxa"/>
            <w:vAlign w:val="bottom"/>
          </w:tcPr>
          <w:p>
            <w:pPr>
              <w:spacing w:after="0"/>
              <w:rPr>
                <w:sz w:val="14"/>
                <w:szCs w:val="14"/>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84,971</w:t>
            </w:r>
          </w:p>
        </w:tc>
      </w:tr>
      <w:tr>
        <w:trPr>
          <w:trHeight w:val="178"/>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paid, net of refunds</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106,248</w:t>
            </w:r>
          </w:p>
        </w:tc>
      </w:tr>
      <w:tr>
        <w:trPr>
          <w:trHeight w:val="182"/>
        </w:trPr>
        <w:tc>
          <w:tcPr>
            <w:tcW w:w="7060" w:type="dxa"/>
            <w:vAlign w:val="bottom"/>
          </w:tcPr>
          <w:p>
            <w:pPr>
              <w:ind w:left="20"/>
              <w:spacing w:after="0"/>
              <w:rPr>
                <w:sz w:val="20"/>
                <w:szCs w:val="20"/>
                <w:color w:val="auto"/>
              </w:rPr>
            </w:pPr>
            <w:r>
              <w:rPr>
                <w:rFonts w:ascii="Arial" w:cs="Arial" w:eastAsia="Arial" w:hAnsi="Arial"/>
                <w:sz w:val="13"/>
                <w:szCs w:val="13"/>
                <w:color w:val="auto"/>
              </w:rPr>
              <w:t>Supplemental disclosure of non-cash information:</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Additions to property and equipment from finance leases</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206,156</w:t>
            </w: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831"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Business, Basis of Presentation and Significant Accounting Policies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Nature of the Business</w:t>
      </w:r>
    </w:p>
    <w:p>
      <w:pPr>
        <w:spacing w:after="0" w:line="102"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3"/>
          <w:szCs w:val="13"/>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MasTec’s customers are primarily in these industries. MasTec reports its results under five reportable segments: (1) Communications; (2) Clean Energy and Infrastructure; (3) Oil and Gas; (4) Power Delivery; and</w:t>
      </w:r>
    </w:p>
    <w:p>
      <w:pPr>
        <w:spacing w:after="0" w:line="1" w:lineRule="exact"/>
        <w:rPr>
          <w:sz w:val="20"/>
          <w:szCs w:val="20"/>
          <w:color w:val="auto"/>
        </w:rPr>
      </w:pPr>
    </w:p>
    <w:p>
      <w:pPr>
        <w:jc w:val="both"/>
        <w:spacing w:after="0" w:line="246" w:lineRule="auto"/>
        <w:tabs>
          <w:tab w:leader="none" w:pos="225"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During the fourth quarter of 2021, the Company renamed its Electrical Transmission segment as the Power Delivery segment to better represent the nature of the segment’s operations, end markets and customer characteristics, including from the effects of the Company’s recent acquisitions. There was no change to the composition of the segment or its historical results.</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02"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For equity investees in which the Company has an undivided interest in the assets, liabilities and profits or losses of an unincorporated entity, but does not exercise control over the entity, the Company consolidates its proportional interest in the accounts of the entity. When necessary, certain prior year amounts have been reclassified to conform with the current period presentation.</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Translation of Foreign Currencies</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these consolidated financial statements, “$” means U.S. dollars unless otherwise noted.</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Management Estimates</w:t>
      </w:r>
    </w:p>
    <w:p>
      <w:pPr>
        <w:spacing w:after="0" w:line="102"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public health matters, such as the COVID-19 pandemic, climate change, and other global and/or macroeconomic trends and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6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and other assets, acquisition-related contingent consideration and other liabilities, equity investments and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COVID-19 Pandemic and General Economic Conditions</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The COVID-19 pandemic has disrupted business activities and global economic conditions throughout 2020 and 2021, and has negatively affected the Company’s operations during the same period, including from reduced crew productivity due to mitigation measures, the health and availability of work crews or other key personnel and subcontractors; supply chain disruptions; delayed project start dates; and lost productivity from governmental permitting approval delays, project shutdowns and/or cancellations, among other factors. While the adverse effects of the COVID-19 pandemic have partially subsided, its effects vary by region, and uncertainties arising from the COVID-19 pandemic could continue to disrupt economic conditions and business activities, particularly as new variants of COVID-19 arise. The extent to which the COVID-19 pandemic, including the recent and emerging variants, could affect the Company’s business, operations and financial results is uncertain as it will depend upon numerous evolving factors that management may not be able to accurately predict. The acceptance and effectiveness of vaccines and treatments,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4" w:name="page55"/>
    <w:bookmarkEnd w:id="54"/>
    <w:p>
      <w:pPr>
        <w:jc w:val="both"/>
        <w:spacing w:after="0" w:line="266" w:lineRule="auto"/>
        <w:rPr>
          <w:sz w:val="20"/>
          <w:szCs w:val="20"/>
          <w:color w:val="auto"/>
        </w:rPr>
      </w:pPr>
      <w:r>
        <w:rPr>
          <w:rFonts w:ascii="Arial" w:cs="Arial" w:eastAsia="Arial" w:hAnsi="Arial"/>
          <w:sz w:val="15"/>
          <w:szCs w:val="15"/>
          <w:color w:val="auto"/>
        </w:rPr>
        <w:t>along with the length and extent of any continuing economic and market disruptions are unknown, and therefore, any future impacts on the Company’s business, financial condition and/or results of operations cannot be quantified or predicted with specificity.</w:t>
      </w:r>
    </w:p>
    <w:p>
      <w:pPr>
        <w:spacing w:after="0" w:line="67"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Company believes that it has taken appropriate steps to mitigate the effects of the COVID-19 pandemic on its business, and the Company’s business model has, thus far, proven resilient. Management continues to adapt to the changing operational and economic environment that has resulted from the COVID-19 pandemic. The Company’s top priority has been to take appropriate actions to protect the health and safety of its employees, customers and business partners, and it continues to monitor evolving health guidelines and respond to changes as appropriate. Notwithstanding moderation of the COVID-19 pandemic and related governmental and other restrictions, the Company may continue to experience negative effects on its business and operations from possible longer-term changes in consumer and customer behavior and/or from negative economic conditions, including recent inflationary effects, supply chain disruptions, including limited availability of products, and rising interest rates.</w:t>
      </w:r>
    </w:p>
    <w:p>
      <w:pPr>
        <w:spacing w:after="0" w:line="66" w:lineRule="exact"/>
        <w:rPr>
          <w:sz w:val="20"/>
          <w:szCs w:val="20"/>
          <w:color w:val="auto"/>
        </w:rPr>
      </w:pPr>
    </w:p>
    <w:p>
      <w:pPr>
        <w:jc w:val="both"/>
        <w:ind w:firstLine="599"/>
        <w:spacing w:after="0" w:line="274" w:lineRule="auto"/>
        <w:rPr>
          <w:sz w:val="20"/>
          <w:szCs w:val="20"/>
          <w:color w:val="auto"/>
        </w:rPr>
      </w:pPr>
      <w:r>
        <w:rPr>
          <w:rFonts w:ascii="Arial" w:cs="Arial" w:eastAsia="Arial" w:hAnsi="Arial"/>
          <w:sz w:val="14"/>
          <w:szCs w:val="14"/>
          <w:color w:val="auto"/>
        </w:rPr>
        <w:t>Several relief measures have been enacted in response to the effects of the COVID-19 pandemic, including the Coronavirus Aid, Relief and Economic Security Act (the “CARES Act”) and the Coronavirus Response and Relief Supplemental Appropriations Act (the “Coronavirus Relief Act”). The CARES Act permitted deferral and/or reduction of certain federal and payroll tax amounts, certain of which the Company pursued, including the deferral of approximately $59 million of payroll taxes. As of December 31, 2021, CARES Act deferrals, the amount of which is due by December 31, 2022, totaled approximately $42 million, of which approximately $13 million was acquisition-related.</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Significant Accounting Policies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is a summary of significant accounting policies followed in the preparation of the accompanying consolidated financial statements.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w:t>
      </w:r>
    </w:p>
    <w:p>
      <w:pPr>
        <w:spacing w:after="0" w:line="74"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The Company derives revenue primarily from construction projects performed under: (i) master and other service agreements, which generally provide a menu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38% of consolidated revenue for the year ended December 31, 2021, and totaled 36% for each of the years ended December 31, 2020 and 2019.</w:t>
      </w:r>
    </w:p>
    <w:p>
      <w:pPr>
        <w:spacing w:after="0" w:line="65"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Revenue from contracts for specific projects, as well as for certain projects pursuant to master and other service agreements, is typically recognized over time using the cost-to-cost measure of progress, which is an input method. For these contracts, the cost-to-cost measure of progress best depicts the continuous transfer of control of goods or services to the customer and correspondingly, when performance obligations are satisfied for the related contracts. Such contracts provide that the customer accept completion of progress to date and compensate the Company for services rendered.</w:t>
      </w:r>
    </w:p>
    <w:p>
      <w:pPr>
        <w:spacing w:after="0" w:line="77"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For certain master service and other service agreements, revenue is recognized at a point in time, primarily for install-to-the-home and other wireless services in the Company’s Communications segment. This is generally when the work order has been fulfilled, which is typically the same day the work is initiated. Point in time revenue accounted for approximately 4% of consolidated revenue for the year ended December 31, 2021, and accounted for approximately 5% of consolidated revenue for each of the years ended December 31, 2020 and 2019. Substantially all of the Company’s other revenue is recognized over time.</w:t>
      </w:r>
    </w:p>
    <w:p>
      <w:pPr>
        <w:spacing w:after="0" w:line="77"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Contract costs include all direct materials, labor and subcontracted costs, as well as indirect costs related to contract performance, such as indirect labor, supplies, tools, repairs and the operational costs of capital equipment. 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each of the years ended December 31, 2021, 2020 and 2019, project profit was affected by less than 5% as a result of changes in contract estimates included in projects that were in process as of December 31, 2020, 2019 and 2018. Revenue recognized for the years ended December 31, 2021, 2020 and 2019 as a result of changes in total contract transaction price estimates, including from variable consideration, from performance obligations satisfied or partially satisfied in prior periods, totaled approximately $41.1 million, $13.5 million and $58.3 million, respectively.</w:t>
      </w:r>
    </w:p>
    <w:p>
      <w:pPr>
        <w:spacing w:after="0" w:line="7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Company may incur certain costs that can be capitalized, such as initial set-up or mobilization costs. Such capitalized costs, which are amortized over the life of the respective projects, totaled $1.4 million and $5.5 million as of December 31, 2021 and 2020, respectively.</w:t>
      </w:r>
    </w:p>
    <w:p>
      <w:pPr>
        <w:spacing w:after="0" w:line="67"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timing of customer billings is generally dependent upon advance billing terms, milestone billings based on completion of certain phases of work, or when services are provided. Under the typical payment terms of master and other service agreements and contracts for specific projects, the customer makes progress payments based on quantifiable measures of performance by the Company as defined by each specific agreement. Progress payments, generally net of amounts retained, are paid by the customer over the duration of the contract. For install-to-the-home and certain other contracts and services, work orders are billed and paid as completed. Amounts billed and due from customers, as well as the value of contract assets, are generally classified within current assets in the consolidated balance sheets. See Note 5 - Accounts Receivable, Net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color w:val="auto"/>
        </w:rPr>
        <w:t>Allowance, and Contract Assets and Liabilities for related discussion. Amounts expected to be collected beyond one year are classified as other long-term assets.</w:t>
      </w:r>
    </w:p>
    <w:p>
      <w:pPr>
        <w:spacing w:after="0" w:line="102"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b w:val="1"/>
          <w:bCs w:val="1"/>
          <w:i w:val="1"/>
          <w:iCs w:val="1"/>
          <w:color w:val="auto"/>
        </w:rPr>
        <w:t xml:space="preserve">Performance Obligations. </w:t>
      </w:r>
      <w:r>
        <w:rPr>
          <w:rFonts w:ascii="Arial" w:cs="Arial" w:eastAsia="Arial" w:hAnsi="Arial"/>
          <w:sz w:val="14"/>
          <w:szCs w:val="14"/>
          <w:color w:val="auto"/>
        </w:rPr>
        <w:t>A performance obligation is a contractual promise to transfer a distinct good or service to a customer. The transaction price of a contract is allocated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vast majority of the Company’s performance obligations are completed within one year.</w:t>
      </w:r>
    </w:p>
    <w:p>
      <w:pPr>
        <w:spacing w:after="0" w:line="65"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2021, the amount of the Company’s remaining performance obligations was $4.9 billion. Based on current expectations, the Company anticipates it will recognize approximately $3.9 billion of its remaining performance obligations as revenue during 2022, with the remainder to be recognized primarily in 2023.</w:t>
      </w:r>
    </w:p>
    <w:p>
      <w:pPr>
        <w:spacing w:after="0" w:line="77"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b w:val="1"/>
          <w:bCs w:val="1"/>
          <w:i w:val="1"/>
          <w:iCs w:val="1"/>
          <w:color w:val="auto"/>
        </w:rPr>
        <w:t xml:space="preserve">Variable Consideration. </w:t>
      </w:r>
      <w:r>
        <w:rPr>
          <w:rFonts w:ascii="Arial" w:cs="Arial" w:eastAsia="Arial" w:hAnsi="Arial"/>
          <w:sz w:val="14"/>
          <w:szCs w:val="14"/>
          <w:color w:val="auto"/>
        </w:rPr>
        <w:t>Transaction prices for the Company’s contracts may include variable consideration, which comprises items such as change orders, claims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0"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As of December 31, 2021 and 2020, the Company included approximately $104 million and $51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2021, these change orders and/or claims primarily related to certain projects in the Company’s Clean Energy and Infrastructure and Power Delivery segments, and as of December 31, 2020, change orders primarily related to certain projects in the Company’s Power Delivery and Communications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10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The Company maintains an allowance for credit losses for its financial instruments, which are primarily composed of accounts receivable and contract assets. The measurement and recognition of credit losses involves the use of judgment and represents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existence of payment bonds and other sources of payment.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spacing w:after="0" w:line="73"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Estimates of expected credit losses could be affected by many factors, including, but not limited to: changes in credit loss experience, changes to the risk characteristics of the Company’s financial asset portfolio, developing trends, including changes in credit quality or unanticipated financial difficulties affecting the Company’s customers and changes in management’s expectations of future economic, industry or other conditions. In addition, if anticipated recoveries in existing bankruptcies or other work-out situations fail to materialize, additional allowances may be required. Estimates of collectibility are subject to significant change during times of economic weakness or uncertainty in either the overall economy or within the industries served by MasTec. Management actively monitors these factors and assesses the sufficiency of its allowance for credit losses on an ongoing basis, including any potential effects from the COVID-19 pandemic, end-market volatility and/or other macroeconomic trends on the credit quality of the Company’s customers and/or its financial assets.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Inventories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Inventories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6" w:name="page57"/>
    <w:bookmarkEnd w:id="56"/>
    <w:p>
      <w:pPr>
        <w:jc w:val="both"/>
        <w:spacing w:after="0" w:line="344" w:lineRule="auto"/>
        <w:rPr>
          <w:sz w:val="20"/>
          <w:szCs w:val="20"/>
          <w:color w:val="auto"/>
        </w:rPr>
      </w:pPr>
      <w:r>
        <w:rPr>
          <w:rFonts w:ascii="Arial" w:cs="Arial" w:eastAsia="Arial" w:hAnsi="Arial"/>
          <w:sz w:val="13"/>
          <w:szCs w:val="13"/>
          <w:color w:val="auto"/>
        </w:rPr>
        <w:t>of inventory may also decrease due to obsolescence, physical deterioration, damage, changes in price levels, or other causes. Inventory valuation allowances are determined based upon specific facts and circumstances and market conditions. As of December 31, 2021 and 2020, valuation allowances for inventory totaled $11.1 million and $8.5 million, respectively.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Cash consisting of interest-bearing demand deposits is carried at cost, which approximates fair value. Highly liquid investments with an original maturity of three months or less are carried at fair value. On a daily basis, available funds are swept from the Company’s depository accounts into a concentration account and are used to repay outstanding revolving loans, if any, under the Company’s senior unsecured credit facility.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2021 and 2020 are amounts held by entities that are proportionately consolidated totaling $14.6 million and $8.2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material compensating balance requirements associated with the Company’s depository accounts or other restrictions on the transfer of cash associated with the Company’s depository accounts.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Company’s financial instruments are primarily composed of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mandatorily redeemable non-controlling interests and debt obligations.</w:t>
      </w:r>
    </w:p>
    <w:p>
      <w:pPr>
        <w:spacing w:after="0" w:line="74"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84"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Investment and Strategic Arrangements</w:t>
      </w:r>
    </w:p>
    <w:p>
      <w:pPr>
        <w:spacing w:after="0" w:line="1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w:t>
      </w:r>
    </w:p>
    <w:p>
      <w:pPr>
        <w:spacing w:after="0" w:line="77"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As of December 31, 2021,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58"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its proportionate share of earnings or losses, including consideration of basis differences resulting from the difference between the initial carrying amount of the investment and the underlying equity in net assets. Equity method investments are recorded as other long-term assets.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7" w:name="page58"/>
    <w:bookmarkEnd w:id="57"/>
    <w:p>
      <w:pPr>
        <w:jc w:val="both"/>
        <w:ind w:firstLine="599"/>
        <w:spacing w:after="0" w:line="296" w:lineRule="auto"/>
        <w:rPr>
          <w:sz w:val="20"/>
          <w:szCs w:val="20"/>
          <w:color w:val="auto"/>
        </w:rPr>
      </w:pPr>
      <w:r>
        <w:rPr>
          <w:rFonts w:ascii="Arial" w:cs="Arial" w:eastAsia="Arial" w:hAnsi="Arial"/>
          <w:sz w:val="13"/>
          <w:szCs w:val="13"/>
          <w:color w:val="252525"/>
        </w:rPr>
        <w:t>E</w:t>
      </w:r>
      <w:r>
        <w:rPr>
          <w:rFonts w:ascii="Arial" w:cs="Arial" w:eastAsia="Arial" w:hAnsi="Arial"/>
          <w:sz w:val="13"/>
          <w:szCs w:val="13"/>
          <w:color w:val="000000"/>
        </w:rPr>
        <w:t>quity investments, other than those accounted for as equity method investments or those that are proportionately consolidated, are measured at fair value if their fair values are</w:t>
      </w:r>
      <w:r>
        <w:rPr>
          <w:rFonts w:ascii="Arial" w:cs="Arial" w:eastAsia="Arial" w:hAnsi="Arial"/>
          <w:sz w:val="13"/>
          <w:szCs w:val="13"/>
          <w:color w:val="252525"/>
        </w:rPr>
        <w:t xml:space="preserve"> </w:t>
      </w:r>
      <w:r>
        <w:rPr>
          <w:rFonts w:ascii="Arial" w:cs="Arial" w:eastAsia="Arial" w:hAnsi="Arial"/>
          <w:sz w:val="13"/>
          <w:szCs w:val="13"/>
          <w:color w:val="000000"/>
        </w:rPr>
        <w:t>readily determinable. Equity investments that do not have readily determinable fair values are measured at cost, adjusted for changes from observable market transactions, if any, less impairment (“adjusted cost basis”). The 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as of December 31, 2021 are classified within Level 1 or Level 2 of the fair value hierarchy based on the nature of the fair value inputs, and are recognized in other income or expense.</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5"/>
          <w:szCs w:val="15"/>
          <w:color w:val="252525"/>
        </w:rPr>
        <w:t>For further information pertaining to the Company’s equity investments, see Note 4 - Fair Value of Financial Instruments.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Deferred Financing Costs</w:t>
      </w:r>
    </w:p>
    <w:p>
      <w:pPr>
        <w:spacing w:after="0" w:line="102"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Deferred financing costs relate to the Company’s debt instruments, the short and long-term portions of which are reflected as deductions from the carrying amounts of the related debt instrument, including the Company’s senior credit facility. Deferred financing costs are amortized over the terms of the related debt instruments using the effective interest method. For the years ended December 31, 2021, 2020 and 2019, the Company deferred $6.0 million, $8.9 million and $5.5 million of financing costs in connection with its debt instruments. Amortization expense associated with deferred financing costs, which is included within interest expense, net, totaled $3.2 million, $3.0 million and $2.9 million for each of the years ended December 31, 2021, 2020 and 2019, respectively. Additionally, in 2020, the Company wrote off $2.3 million of deferred financing costs in connection with the redemption of its 4.875% Senior Notes, which amount is included within loss on extinguishment of debt in the consolidated statements of operations. Deferred financing costs, net of accumulated amortization, totaled $18.5 million and $16.0 million as of December 31, 2021 and 2020, respectively. For further information pertaining to the Company’s debt instruments, see Note 7 - Debt.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Other Assets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Other assets consist primarily of investments in unconsolidated entities, equity and debt securities, life insurance assets, deferred compensation plan assets, miscellaneous receivables and prepaid expenses.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02" w:lineRule="exact"/>
        <w:rPr>
          <w:sz w:val="20"/>
          <w:szCs w:val="20"/>
          <w:color w:val="auto"/>
        </w:rPr>
      </w:pPr>
    </w:p>
    <w:p>
      <w:pPr>
        <w:jc w:val="both"/>
        <w:ind w:firstLine="599"/>
        <w:spacing w:after="0" w:line="285" w:lineRule="auto"/>
        <w:rPr>
          <w:sz w:val="20"/>
          <w:szCs w:val="20"/>
          <w:color w:val="auto"/>
        </w:rPr>
      </w:pPr>
      <w:r>
        <w:rPr>
          <w:rFonts w:ascii="Arial" w:cs="Arial" w:eastAsia="Arial" w:hAnsi="Arial"/>
          <w:sz w:val="13"/>
          <w:szCs w:val="13"/>
          <w:color w:val="auto"/>
        </w:rPr>
        <w:t>The Company’s long-lived assets consist primarily of property and equipment, including finance lease assets, and finite-lived intangible assets. Purchased property and equipment are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furniture and equipment.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Gains or losses, net, from the sale of property and equipment are included within general and administrative expenses beginning in 2021, and prior periods have been updated to conform with the current year presentation. Previously, such gains or losses, net, were included within other income or expense. Management believes this presentation is a better representation of such transactions within its consolidated results of operations. Gains on sales of assets, net, for property and equipment included within general and administrative expenses that were previously included within other income totaled approximately $35.6 million, $16.2 million and $13.1 million for the years ended December 31, 2021, 2020 and 2019, respectively. When the Company identifies assets to be sold, those assets are valued based on their estimated fair value less costs to sell and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6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Fair values take into consideration management’s estimates of risk-adjusted discount rates, which are believed to be consistent with assumptions that marketplace participants would use in their estimates of fair value. During the three years in the period ended December 31, 2021, there were no material impairments of long-lived assets.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In 2019, the Company recorded an impairment charge of $3.3 million related to its indefinite-lived pre-qualification intangible assets. See below for details of the Company’s results of impairment testing for the years ended December 31, 2021, 2020 and 2019.</w:t>
      </w:r>
    </w:p>
    <w:p>
      <w:pPr>
        <w:spacing w:after="0" w:line="79"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 If two or more components are deemed economically similar, those components are aggregated into one reporting unit when performing the annual goodwill impairment test. Based on management’s review of its components and their related operations, the Company combines three of the components of its Power Delivery operating segment into one reporting unit and in 2019, combined two of the components within its Clean Energy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and Infrastructure operating segment into one reporting unit. All of the Company’s other components each comprise one reporting unit.</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During each of the three years in the period ended December 31, 2021, management performed a qualitative assessment for its goodwill and indefinite-lived intangible assets by examining relevant events and circumstances that could have an effect on their fair values, such as: macroeconomic conditions, industry and market conditions, entity-specific events, financial performance and other relevant factors or events that could affect earnings and cash flows.</w:t>
      </w:r>
    </w:p>
    <w:p>
      <w:pPr>
        <w:spacing w:after="0" w:line="74"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Quantitative testing was performed for selected reporting units during each of the three years. For the selected reporting units, management estimated their fair values using a combination of market and income approaches.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Management believes the assumptions used in its quantitative goodwill impairment tests are reflective of the risks inherent in the business models of the Company’s reporting units and within the Company’s industry. Estimated discount rates were determined using the weighted average cost of capital for each reporting unit at the time of the analysis, taking into consideration the risks inherent within each reporting unit individually.</w:t>
      </w:r>
    </w:p>
    <w:p>
      <w:pPr>
        <w:spacing w:after="0" w:line="70"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b w:val="1"/>
          <w:bCs w:val="1"/>
          <w:i w:val="1"/>
          <w:iCs w:val="1"/>
          <w:color w:val="auto"/>
        </w:rPr>
        <w:t xml:space="preserve">2021 Assessment. </w:t>
      </w:r>
      <w:r>
        <w:rPr>
          <w:rFonts w:ascii="Arial" w:cs="Arial" w:eastAsia="Arial" w:hAnsi="Arial"/>
          <w:sz w:val="15"/>
          <w:szCs w:val="15"/>
          <w:color w:val="auto"/>
        </w:rPr>
        <w:t>Quantitative testing was performed for (i) four reporting units within the Oil and Gas operating segment; (ii) three reporting units in its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segment; and (iii) one reporting unit within its Clean Energy and Infrastructure 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7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In 2021, significant assumptions used in testing the reporting units included terminal values based on terminal growth rates of 2.5% to 3.0%, five to nine years of discounted cash flows prior to the terminal value, and discount rates ranging from 10.5% to 15.0%.</w:t>
      </w:r>
    </w:p>
    <w:p>
      <w:pPr>
        <w:spacing w:after="0" w:line="6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Based on the results of the quantitative assessment, the estimated fair values of all of the reporting units were determined to substantially exceed their carrying values. A 100 basis point increase in the discount rate would not have resulted in any of the reporting units’ carrying values exceeding their fair values.</w:t>
      </w:r>
    </w:p>
    <w:p>
      <w:pPr>
        <w:spacing w:after="0" w:line="67"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b w:val="1"/>
          <w:bCs w:val="1"/>
          <w:i w:val="1"/>
          <w:iCs w:val="1"/>
          <w:color w:val="auto"/>
        </w:rPr>
        <w:t xml:space="preserve">2020 Assessment. </w:t>
      </w:r>
      <w:r>
        <w:rPr>
          <w:rFonts w:ascii="Arial" w:cs="Arial" w:eastAsia="Arial" w:hAnsi="Arial"/>
          <w:sz w:val="13"/>
          <w:szCs w:val="13"/>
          <w:color w:val="auto"/>
        </w:rPr>
        <w:t>Quantitative testing was performed for (i) three reporting units within the Oil and Gas operating segment and (ii) one reporting unit in the Communications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41"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In 2020, significant assumptions used in testing the reporting units included terminal values based on terminal growth rates of 2.5%, five to nine years of discounted cash flows prior to the terminal value, and discount rates ranging from 13.0% to 15.0%.</w:t>
      </w:r>
    </w:p>
    <w:p>
      <w:pPr>
        <w:spacing w:after="0" w:line="67"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Based on the results of the quantitative assessment, the estimated fair values of the reporting unit in the Communications operating segment and the three reporting units in the Oil and Gas operating segment were determined to substantially exceed their carrying values. A 100 basis point increase in the discount rate would not have resulted in any of the reporting units’ carrying values exceeding their fair values.</w:t>
      </w:r>
    </w:p>
    <w:p>
      <w:pPr>
        <w:spacing w:after="0" w:line="74"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b w:val="1"/>
          <w:bCs w:val="1"/>
          <w:i w:val="1"/>
          <w:iCs w:val="1"/>
          <w:color w:val="auto"/>
        </w:rPr>
        <w:t xml:space="preserve">2019 Assessment. </w:t>
      </w:r>
      <w:r>
        <w:rPr>
          <w:rFonts w:ascii="Arial" w:cs="Arial" w:eastAsia="Arial" w:hAnsi="Arial"/>
          <w:sz w:val="13"/>
          <w:szCs w:val="13"/>
          <w:color w:val="auto"/>
        </w:rPr>
        <w:t>Quantitative testing was performed for (i) three reporting units within the Oil and Gas operating segment and (ii) one reporting unit in the Communications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segment. Based on the results of the quantitative assessment, the estimated fair values of the reporting unit in the Communications operating segment and one of the reporting units in the Oil and Gas operating segment were determined to substantially exceed their carrying values. The remaining two reporting units in the Oil and Gas operating segment, each of which had approximately $15.0 million of goodwill, had estimated fair values that exceeded their respective carrying values by approximately 15%. Management also performed quantitative testing during 2019 for an indefinite-lived pre-qualification intangible asset in the Oil and Gas operating segment. Based on the results of the quantitative assessment, the estimated fair value of this intangible asset was determined to be less than its carrying value and a pre-tax, non-cash impairment charge of $3.3 million was recorded for the difference.</w:t>
      </w:r>
    </w:p>
    <w:p>
      <w:pPr>
        <w:spacing w:after="0" w:line="54"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of December 31, 2021 and 2020, management believes that the recorded balances of goodwill and indefinite-lived intangible assets are recoverable; however, significant changes in the assumptions or estimates used in the Company’s analyses, such as market conditions or a reduction in profitability and/or cash flows, could result in non-cash goodwill and intangible asset impairment charges in future periods.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2"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For current assets and current liabilities, book value is generally assumed to equal fair value. Goodwill is the amount by which consideration paid exceeds the fair value of acquired net assets. A bargain purchase gain results when the fair value of an acquired business’ net assets exceeds its purchase price. Acquisition costs are expensed as incurred and are included within general and administrative expenses in the consolidated statements of operations. For the years ended December 31, 2021, 2020 and 2019, the Company incurred approximately $7 million, $2 million and $1 million, respectively, of acquisition costs associated with its completed acquisitions.</w:t>
      </w:r>
    </w:p>
    <w:p>
      <w:pPr>
        <w:spacing w:after="0" w:line="66"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adjustments. Measurement period adjustments are recorded to goodwill. Other revisions to fair value estimates for acquisitions are reflected as income or expense, as appropriate.</w:t>
      </w:r>
    </w:p>
    <w:p>
      <w:pPr>
        <w:spacing w:after="0" w:line="114" w:lineRule="exact"/>
        <w:rPr>
          <w:sz w:val="20"/>
          <w:szCs w:val="20"/>
          <w:color w:val="auto"/>
        </w:rPr>
      </w:pPr>
    </w:p>
    <w:p>
      <w:pPr>
        <w:jc w:val="both"/>
        <w:ind w:firstLine="599"/>
        <w:spacing w:after="0" w:line="285" w:lineRule="auto"/>
        <w:rPr>
          <w:sz w:val="20"/>
          <w:szCs w:val="20"/>
          <w:color w:val="auto"/>
        </w:rPr>
      </w:pPr>
      <w:r>
        <w:rPr>
          <w:rFonts w:ascii="Arial" w:cs="Arial" w:eastAsia="Arial" w:hAnsi="Arial"/>
          <w:sz w:val="13"/>
          <w:szCs w:val="13"/>
          <w:color w:val="auto"/>
        </w:rPr>
        <w:t>Consideration paid generally consists of cash and, from time to time, shares, and potential future payments that are contingent upon the acquired business achieving certain levels of earnings in the future, also referred to as “acquisition-related contingent consideration” or “earn-outs.” In one of the Company’s 2021 acquisitions, the acquisition consideration included shares of the Company’s common stock, as determined based upon the terms of the purchase agreement. These shares were valued for financial reporting purposes based on the market share price of MasTec’s common stock on the date of closing. Additionally, in a prior year acquisition, the acquisition consideration included a mandatorily redeemable non-controlling interest, subject to a repurchase formula that is calculated in a manner consistent with the Company’s traditional earn-out arrangements. The Company refers to its traditional earn-out arrangements and the mandatorily redeemable non-controlling interest collectively as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and for mandatorily redeemable non-controlling interests, are generally recorded within interest expense. Fair values are estimated using income approaches such as discounted cash flows or option pricing models.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statements of cash flows. Earn-out payments in excess of acquisition date liabilities are classified within operating activities.</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Leases</w:t>
      </w:r>
    </w:p>
    <w:p>
      <w:pPr>
        <w:spacing w:after="0" w:line="102"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In the ordinary course of business, the Company enters into agreements that provide financing for machinery and equipment and for other of its facility, vehicle and equipment needs, including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54"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arrangements, which are not considered material to the consolidated financial statements.</w:t>
      </w:r>
    </w:p>
    <w:p>
      <w:pPr>
        <w:spacing w:after="0" w:line="65"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As of December 31, 2021, the Company’s leases have remaining lease terms of up to ten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spacing w:after="0" w:line="65"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Lease term, discount rate, variable lease costs and future minimum lease payment determinations require the use of judgment, and are based on the facts and circumstances of each lease. Economic incentives, intent, past history and business need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Finance Leases</w:t>
      </w:r>
    </w:p>
    <w:p>
      <w:pPr>
        <w:spacing w:after="0" w:line="1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purchase options, which the Company frequently exercises, given that the purchase option prices are typically below the estimated fair market values of the related assets.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costs of revenue, excluding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0" w:name="page61"/>
    <w:bookmarkEnd w:id="60"/>
    <w:p>
      <w:pPr>
        <w:ind w:left="300"/>
        <w:spacing w:after="0"/>
        <w:rPr>
          <w:sz w:val="20"/>
          <w:szCs w:val="20"/>
          <w:color w:val="auto"/>
        </w:rPr>
      </w:pPr>
      <w:r>
        <w:rPr>
          <w:rFonts w:ascii="Arial" w:cs="Arial" w:eastAsia="Arial" w:hAnsi="Arial"/>
          <w:sz w:val="15"/>
          <w:szCs w:val="15"/>
          <w:b w:val="1"/>
          <w:bCs w:val="1"/>
          <w:i w:val="1"/>
          <w:iCs w:val="1"/>
          <w:color w:val="auto"/>
        </w:rPr>
        <w:t>Self-Insurance</w:t>
      </w:r>
    </w:p>
    <w:p>
      <w:pPr>
        <w:spacing w:after="0" w:line="102"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The Company is self-insured up to the amount of its deductible for its insurance policies. MasTec maintains insurance policies subject to per claim deductibles of $2.0 million for its workers’ compensation policy, $5.0 million for its general liability policy and up to $10.0 million for its automobile liability policy. In addition, the Company has excess umbrella coverage. Estimated liabilities under these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7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the Company’s liability in proportion to other parties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Income Taxes</w:t>
      </w:r>
    </w:p>
    <w:p>
      <w:pPr>
        <w:spacing w:after="0" w:line="102"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58"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spacing w:after="0" w:line="5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Significant factors that can affect the annual effective tax rate include management’s assessment of certain tax matters, the location and amount of taxable earnings, changes in certain non-deductible expenses and expected credits.</w:t>
      </w:r>
    </w:p>
    <w:p>
      <w:pPr>
        <w:spacing w:after="0" w:line="6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83"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 and its subsidiaries file income tax returns in numerous tax jurisdictions, including U.S. federal, most U.S. states and certain foreign jurisdictions. Although management believes its calculations for its tax returns are correct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83"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However, some participants may choose the net share settlement method to cover withholding tax requirements, in which case shares are not issued, but are treated as common stock repurchases in the consolidated financial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4"/>
          <w:szCs w:val="14"/>
          <w:color w:val="auto"/>
        </w:rPr>
        <w:t>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For the years ended December 31, 2021 and 2020, shares withheld in connection with stock-based compensation arrangements totaled 63,054 and 11,667, respectively, and related payments to taxing authorities totaled $6.0 million and $0.6 million, respectively. For the year ended December 31, 2019, shares withheld in connection with stock-based compensation arrangements were de minimis.</w:t>
      </w:r>
    </w:p>
    <w:p>
      <w:pPr>
        <w:spacing w:after="0" w:line="65"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color w:val="auto"/>
        </w:rPr>
        <w:t>The Company has certain employee stock purchase plans (collectively, “ESPPs”) under which shares of the Company’s common stock are available for purchase by eligible participants. Effective January 1, 2021, the Company’s ESPPs were amended (the “Amended ESPPs”), revising the pricing mechanics by eliminating the look-back option and changing the offering period from three months to two weeks. Under the Amended ESPPs, eligible participants are permitted to purchase MasTec, Inc. common stock at 85% of the fair market value of the shares on the date of purchase, which occurs on the last trading day of each two week offering period. Previously, these plans allowed participants to purchase MasTec, Inc. common stock at 85% of the fair market value of the shares at the lower of (i) the date of commencement of the offering period and (ii) the last day of the offering period, as defined in the plan documents. Prior to January 1, 2021, the fair value of purchases under the ESPPs was estimated using the Black-Scholes option-pricing valuation model. At the Company’s discretion, share purchases may be satisfied by delivering newly issued common shares or common shares reacquired on the open market or in privately negotiated transactions.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Collective Bargaining Agreements and Multiemployer Plans</w:t>
      </w:r>
    </w:p>
    <w:p>
      <w:pPr>
        <w:spacing w:after="0" w:line="102" w:lineRule="exact"/>
        <w:rPr>
          <w:sz w:val="20"/>
          <w:szCs w:val="20"/>
          <w:color w:val="auto"/>
        </w:rPr>
      </w:pPr>
    </w:p>
    <w:p>
      <w:pPr>
        <w:jc w:val="both"/>
        <w:ind w:firstLine="599"/>
        <w:spacing w:after="0" w:line="287" w:lineRule="auto"/>
        <w:rPr>
          <w:sz w:val="20"/>
          <w:szCs w:val="20"/>
          <w:color w:val="auto"/>
        </w:rPr>
      </w:pPr>
      <w:r>
        <w:rPr>
          <w:rFonts w:ascii="Arial" w:cs="Arial" w:eastAsia="Arial" w:hAnsi="Arial"/>
          <w:sz w:val="13"/>
          <w:szCs w:val="13"/>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may impose on the employers contributing to such plans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56"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Business Streamlining and Restructuring Activities</w:t>
      </w:r>
    </w:p>
    <w:p>
      <w:pPr>
        <w:spacing w:after="0" w:line="102"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integration activities for acquired businesses, reducing or eliminating services or operations that do not produce adequate revenue or margins, or reducing costs of business units that need margin improvements. The costs associated with these efforts, which the Company refers to as business streamlining costs, acquisition integration costs, or restructuring charges, can include such items as employee separation costs, lease termination expenses and losses on disposal of excess fixed assets. When these efforts are related to circumstances that are significant, unique in nature and outside of the course of the Company’s normal and periodic business activities, they are referred to as restructuring costs, or, when acquisition-related, as acquisition integration costs. Business streamlining costs, acquisition integration costs, and/or restructuring charges are included within the applicable line items in the consolidated statement of operations based on the nature of the expenses incurred.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2" w:name="page63"/>
    <w:bookmarkEnd w:id="62"/>
    <w:p>
      <w:pPr>
        <w:ind w:left="300"/>
        <w:spacing w:after="0"/>
        <w:rPr>
          <w:sz w:val="20"/>
          <w:szCs w:val="20"/>
          <w:color w:val="auto"/>
        </w:rPr>
      </w:pPr>
      <w:r>
        <w:rPr>
          <w:rFonts w:ascii="Arial" w:cs="Arial" w:eastAsia="Arial" w:hAnsi="Arial"/>
          <w:sz w:val="15"/>
          <w:szCs w:val="15"/>
          <w:b w:val="1"/>
          <w:bCs w:val="1"/>
          <w:i w:val="1"/>
          <w:iCs w:val="1"/>
          <w:color w:val="auto"/>
        </w:rPr>
        <w:t>Litigation and Contingencies</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Comprehensive Income (Loss)</w:t>
      </w:r>
    </w:p>
    <w:p>
      <w:pPr>
        <w:spacing w:after="0" w:line="10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See the recent accounting pronouncements discussion below for information pertaining to the effects of recently adopted and other recent accounting pronouncements.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Accounting Pronouncements Adopted in 2021</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252525"/>
        </w:rPr>
        <w:t xml:space="preserve">In January 2020, the Financial Accounting Standards Board (“FASB”) issued Accounting Standards Update (“ASU”) 2020-01, </w:t>
      </w:r>
      <w:r>
        <w:rPr>
          <w:rFonts w:ascii="Arial" w:cs="Arial" w:eastAsia="Arial" w:hAnsi="Arial"/>
          <w:sz w:val="15"/>
          <w:szCs w:val="15"/>
          <w:i w:val="1"/>
          <w:iCs w:val="1"/>
          <w:color w:val="252525"/>
        </w:rPr>
        <w:t>Investments-Equity Securities (Topic 321),</w:t>
      </w:r>
      <w:r>
        <w:rPr>
          <w:rFonts w:ascii="Arial" w:cs="Arial" w:eastAsia="Arial" w:hAnsi="Arial"/>
          <w:sz w:val="15"/>
          <w:szCs w:val="15"/>
          <w:color w:val="252525"/>
        </w:rPr>
        <w:t xml:space="preserve"> </w:t>
      </w:r>
      <w:r>
        <w:rPr>
          <w:rFonts w:ascii="Arial" w:cs="Arial" w:eastAsia="Arial" w:hAnsi="Arial"/>
          <w:sz w:val="15"/>
          <w:szCs w:val="15"/>
          <w:i w:val="1"/>
          <w:iCs w:val="1"/>
          <w:color w:val="252525"/>
        </w:rPr>
        <w:t xml:space="preserve">Investments-Equity Method and Joint Ventures (Topic 323), and Derivatives and Hedging (Topic 815): Clarifying the Interactions between Topic 321, Topic 323, and Topic 815 </w:t>
      </w:r>
      <w:r>
        <w:rPr>
          <w:rFonts w:ascii="Arial" w:cs="Arial" w:eastAsia="Arial" w:hAnsi="Arial"/>
          <w:sz w:val="15"/>
          <w:szCs w:val="15"/>
          <w:color w:val="252525"/>
        </w:rPr>
        <w:t>(“ASU</w:t>
      </w:r>
      <w:r>
        <w:rPr>
          <w:rFonts w:ascii="Arial" w:cs="Arial" w:eastAsia="Arial" w:hAnsi="Arial"/>
          <w:sz w:val="15"/>
          <w:szCs w:val="15"/>
          <w:i w:val="1"/>
          <w:iCs w:val="1"/>
          <w:color w:val="252525"/>
        </w:rPr>
        <w:t xml:space="preserve"> </w:t>
      </w:r>
      <w:r>
        <w:rPr>
          <w:rFonts w:ascii="Arial" w:cs="Arial" w:eastAsia="Arial" w:hAnsi="Arial"/>
          <w:sz w:val="15"/>
          <w:szCs w:val="15"/>
          <w:color w:val="252525"/>
        </w:rPr>
        <w:t>2020-01”) to clarify the interaction in accounting for equity securities under Topic 321, investments accounted for under the equity method of accounting in Topic 323 and the accounting for certain forward contracts and purchased options accounted for under Topic 815. ASU 2020-01, which the Company adopted during the first quarter of 2021, did not have a material effect on the Company’s consolidated financial statements.</w:t>
      </w:r>
    </w:p>
    <w:p>
      <w:pPr>
        <w:spacing w:after="0" w:line="79"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252525"/>
        </w:rPr>
        <w:t xml:space="preserve">In December 2019, the FASB issued ASU 2019-12, </w:t>
      </w:r>
      <w:r>
        <w:rPr>
          <w:rFonts w:ascii="Arial" w:cs="Arial" w:eastAsia="Arial" w:hAnsi="Arial"/>
          <w:sz w:val="13"/>
          <w:szCs w:val="13"/>
          <w:i w:val="1"/>
          <w:iCs w:val="1"/>
          <w:color w:val="252525"/>
        </w:rPr>
        <w:t>Income Taxes (Topic 740): Simplifying the Accounting for Income Taxes</w:t>
      </w:r>
      <w:r>
        <w:rPr>
          <w:rFonts w:ascii="Arial" w:cs="Arial" w:eastAsia="Arial" w:hAnsi="Arial"/>
          <w:sz w:val="13"/>
          <w:szCs w:val="13"/>
          <w:color w:val="252525"/>
        </w:rPr>
        <w:t xml:space="preserve"> (“ASU 2019-12”), which eliminates certain exceptions to the existing guidance for income taxes related to the approach for intra-period tax allocations, the methodology for calculating income taxes in an interim period and the recognition of deferred tax liabilities for outside basis differences. This ASU also simplifies the accounting for income taxes by clarifying and amending existing guidance related to the effects of enacted changes in tax laws or rates in the effective tax rate computation, the recognition of franchise tax and the evaluation of a step-up in the tax basis of goodwill, among other clarifications. ASU 2019-12, which the Company adopted during the first quarter of 2021, did not have a material effect on the Company’s consolidated financial statements.</w:t>
      </w:r>
    </w:p>
    <w:p>
      <w:pPr>
        <w:spacing w:after="0" w:line="52"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Other Recent Accounting Pronouncements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252525"/>
        </w:rPr>
        <w:t xml:space="preserve">In October 2021, the FASB issued ASU 2021-08, </w:t>
      </w:r>
      <w:r>
        <w:rPr>
          <w:rFonts w:ascii="Arial" w:cs="Arial" w:eastAsia="Arial" w:hAnsi="Arial"/>
          <w:sz w:val="15"/>
          <w:szCs w:val="15"/>
          <w:i w:val="1"/>
          <w:iCs w:val="1"/>
          <w:color w:val="252525"/>
        </w:rPr>
        <w:t>Business Combinations (Topic 805): Accounting for Contract Assets and Contract Liabilities from Contracts with Customers</w:t>
      </w:r>
      <w:r>
        <w:rPr>
          <w:rFonts w:ascii="Arial" w:cs="Arial" w:eastAsia="Arial" w:hAnsi="Arial"/>
          <w:sz w:val="15"/>
          <w:szCs w:val="15"/>
          <w:color w:val="252525"/>
        </w:rPr>
        <w:t xml:space="preserve"> (“ASU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The Company is currently evaluating the effect of this ASU.</w:t>
      </w:r>
    </w:p>
    <w:p>
      <w:pPr>
        <w:spacing w:after="0" w:line="79"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252525"/>
        </w:rPr>
        <w:t xml:space="preserve">In March 2020, the FASB issued ASU 2020-04, </w:t>
      </w:r>
      <w:r>
        <w:rPr>
          <w:rFonts w:ascii="Arial" w:cs="Arial" w:eastAsia="Arial" w:hAnsi="Arial"/>
          <w:sz w:val="13"/>
          <w:szCs w:val="13"/>
          <w:i w:val="1"/>
          <w:iCs w:val="1"/>
          <w:color w:val="252525"/>
        </w:rPr>
        <w:t>Reference Reform Rate (Topic 848): Facilitation of the Effects of Reference Rate Reform on Financial Reporting</w:t>
      </w:r>
      <w:r>
        <w:rPr>
          <w:rFonts w:ascii="Arial" w:cs="Arial" w:eastAsia="Arial" w:hAnsi="Arial"/>
          <w:sz w:val="13"/>
          <w:szCs w:val="13"/>
          <w:color w:val="252525"/>
        </w:rPr>
        <w:t xml:space="preserve"> (“ASU 2020-04”)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(“LIBOR”) or any other reference rate expected to be discontinued. The guidance in ASU 2020-04 may be implemented over time as reference rate reform activities occur. The Company is currently evaluating the potential effects of this ASU, however, does not expect reference rate reform to have a material effect on its consolidated financial statements as the Company’s credit facility agreement provides for the replacement of LIBOR with an alternative benchmark rate should LIBOR become unavailable.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Earnings Per Share</w:t>
      </w:r>
    </w:p>
    <w:p>
      <w:pPr>
        <w:spacing w:after="0" w:line="106" w:lineRule="exact"/>
        <w:rPr>
          <w:sz w:val="20"/>
          <w:szCs w:val="20"/>
          <w:color w:val="auto"/>
        </w:rPr>
      </w:pPr>
    </w:p>
    <w:p>
      <w:pPr>
        <w:jc w:val="both"/>
        <w:ind w:firstLine="599"/>
        <w:spacing w:after="0" w:line="301" w:lineRule="auto"/>
        <w:rPr>
          <w:sz w:val="20"/>
          <w:szCs w:val="20"/>
          <w:color w:val="auto"/>
        </w:rPr>
      </w:pPr>
      <w:r>
        <w:rPr>
          <w:rFonts w:ascii="Arial" w:cs="Arial" w:eastAsia="Arial" w:hAnsi="Arial"/>
          <w:sz w:val="13"/>
          <w:szCs w:val="13"/>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3" w:name="page64"/>
    <w:bookmarkEnd w:id="63"/>
    <w:p>
      <w:pPr>
        <w:ind w:left="600"/>
        <w:spacing w:after="0"/>
        <w:rPr>
          <w:sz w:val="20"/>
          <w:szCs w:val="20"/>
          <w:color w:val="auto"/>
        </w:rPr>
      </w:pPr>
      <w:r>
        <w:rPr>
          <w:rFonts w:ascii="Arial" w:cs="Arial" w:eastAsia="Arial" w:hAnsi="Arial"/>
          <w:sz w:val="15"/>
          <w:szCs w:val="15"/>
          <w:color w:val="auto"/>
        </w:rPr>
        <w:t>The following table provides details underlying the Company’s earnings per share calculations for the periods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5"/>
                <w:szCs w:val="15"/>
                <w:b w:val="1"/>
                <w:bCs w:val="1"/>
                <w:color w:val="auto"/>
                <w:w w:val="98"/>
              </w:rPr>
              <w:t>For the Years Ended December 31,</w:t>
            </w:r>
          </w:p>
        </w:tc>
        <w:tc>
          <w:tcPr>
            <w:tcW w:w="960" w:type="dxa"/>
            <w:vAlign w:val="bottom"/>
            <w:tcBorders>
              <w:bottom w:val="single" w:sz="8" w:color="auto"/>
            </w:tcBorders>
          </w:tcPr>
          <w:p>
            <w:pPr>
              <w:spacing w:after="0"/>
              <w:rPr>
                <w:sz w:val="17"/>
                <w:szCs w:val="17"/>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8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MasTec:</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0"/>
        </w:trPr>
        <w:tc>
          <w:tcPr>
            <w:tcW w:w="6860" w:type="dxa"/>
            <w:vAlign w:val="bottom"/>
          </w:tcPr>
          <w:p>
            <w:pPr>
              <w:ind w:left="120"/>
              <w:spacing w:after="0" w:line="200" w:lineRule="exact"/>
              <w:rPr>
                <w:sz w:val="20"/>
                <w:szCs w:val="20"/>
                <w:color w:val="auto"/>
              </w:rPr>
            </w:pPr>
            <w:r>
              <w:rPr>
                <w:rFonts w:ascii="Arial" w:cs="Arial" w:eastAsia="Arial" w:hAnsi="Arial"/>
                <w:sz w:val="15"/>
                <w:szCs w:val="15"/>
                <w:color w:val="auto"/>
              </w:rPr>
              <w:t xml:space="preserve">Net income - basic and diluted </w:t>
            </w:r>
            <w:r>
              <w:rPr>
                <w:rFonts w:ascii="Arial" w:cs="Arial" w:eastAsia="Arial" w:hAnsi="Arial"/>
                <w:sz w:val="19"/>
                <w:szCs w:val="19"/>
                <w:color w:val="auto"/>
                <w:vertAlign w:val="superscript"/>
              </w:rPr>
              <w:t>(a)</w:t>
            </w:r>
          </w:p>
        </w:tc>
        <w:tc>
          <w:tcPr>
            <w:tcW w:w="840" w:type="dxa"/>
            <w:vAlign w:val="bottom"/>
          </w:tcPr>
          <w:p>
            <w:pPr>
              <w:jc w:val="right"/>
              <w:ind w:right="68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w w:val="84"/>
              </w:rPr>
              <w:t>328,831</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322,848</w:t>
            </w:r>
          </w:p>
        </w:tc>
        <w:tc>
          <w:tcPr>
            <w:tcW w:w="8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392,334</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Weighted average shares outstanding - basic</w:t>
            </w:r>
          </w:p>
        </w:tc>
        <w:tc>
          <w:tcPr>
            <w:tcW w:w="84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72,499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72,799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75,185</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15"/>
                <w:szCs w:val="15"/>
                <w:color w:val="auto"/>
              </w:rPr>
              <w:t xml:space="preserve">Dilutive common stock equivalents </w:t>
            </w:r>
            <w:r>
              <w:rPr>
                <w:rFonts w:ascii="Arial" w:cs="Arial" w:eastAsia="Arial" w:hAnsi="Arial"/>
                <w:sz w:val="19"/>
                <w:szCs w:val="19"/>
                <w:color w:val="auto"/>
                <w:vertAlign w:val="superscript"/>
              </w:rPr>
              <w:t>(b)</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916</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w:t>
            </w:r>
          </w:p>
        </w:tc>
      </w:tr>
      <w:tr>
        <w:trPr>
          <w:trHeight w:val="189"/>
        </w:trPr>
        <w:tc>
          <w:tcPr>
            <w:tcW w:w="6860" w:type="dxa"/>
            <w:vAlign w:val="bottom"/>
          </w:tcPr>
          <w:p>
            <w:pPr>
              <w:ind w:left="160"/>
              <w:spacing w:after="0"/>
              <w:rPr>
                <w:sz w:val="20"/>
                <w:szCs w:val="20"/>
                <w:color w:val="auto"/>
              </w:rPr>
            </w:pPr>
            <w:r>
              <w:rPr>
                <w:rFonts w:ascii="Arial" w:cs="Arial" w:eastAsia="Arial" w:hAnsi="Arial"/>
                <w:sz w:val="15"/>
                <w:szCs w:val="15"/>
                <w:color w:val="auto"/>
              </w:rPr>
              <w:t>Weighted average shares outstanding - diluted</w:t>
            </w: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73,941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73,715</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75,846</w:t>
            </w:r>
          </w:p>
        </w:tc>
      </w:tr>
    </w:tbl>
    <w:p>
      <w:pPr>
        <w:spacing w:after="0" w:line="121" w:lineRule="exact"/>
        <w:rPr>
          <w:sz w:val="20"/>
          <w:szCs w:val="20"/>
          <w:color w:val="auto"/>
        </w:rPr>
      </w:pPr>
    </w:p>
    <w:p>
      <w:pPr>
        <w:ind w:left="280" w:hanging="280"/>
        <w:spacing w:after="0"/>
        <w:tabs>
          <w:tab w:leader="none" w:pos="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Calculated as total net income less amounts attributable to non-controlling interests.</w:t>
      </w:r>
    </w:p>
    <w:p>
      <w:pPr>
        <w:spacing w:after="0" w:line="10" w:lineRule="exact"/>
        <w:rPr>
          <w:rFonts w:ascii="Arial" w:cs="Arial" w:eastAsia="Arial" w:hAnsi="Arial"/>
          <w:sz w:val="13"/>
          <w:szCs w:val="13"/>
          <w:color w:val="auto"/>
        </w:rPr>
      </w:pPr>
    </w:p>
    <w:p>
      <w:pPr>
        <w:ind w:left="300" w:right="280" w:hanging="300"/>
        <w:spacing w:after="0" w:line="255" w:lineRule="auto"/>
        <w:tabs>
          <w:tab w:leader="none" w:pos="289"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years ended December 31, 2021 and 2020, anti-dilutive common stock equivalents totaled 159,431 and 43,989, respectively. For the year ended December 31, 2019, anti-dilutive common stock equivalents were de minimis.</w:t>
      </w:r>
    </w:p>
    <w:p>
      <w:pPr>
        <w:spacing w:after="0" w:line="130" w:lineRule="exact"/>
        <w:rPr>
          <w:sz w:val="20"/>
          <w:szCs w:val="20"/>
          <w:color w:val="auto"/>
        </w:rPr>
      </w:pPr>
    </w:p>
    <w:p>
      <w:pPr>
        <w:jc w:val="both"/>
        <w:ind w:firstLine="599"/>
        <w:spacing w:after="0" w:line="293" w:lineRule="auto"/>
        <w:rPr>
          <w:sz w:val="20"/>
          <w:szCs w:val="20"/>
          <w:color w:val="auto"/>
        </w:rPr>
      </w:pPr>
      <w:r>
        <w:rPr>
          <w:rFonts w:ascii="Arial" w:cs="Arial" w:eastAsia="Arial" w:hAnsi="Arial"/>
          <w:sz w:val="13"/>
          <w:szCs w:val="13"/>
          <w:color w:val="auto"/>
        </w:rPr>
        <w:t>The Company had no repurchases of its common stock under the Company’s share repurchase programs during the year ended December 31, 2021. During the year ended December 31, 2020, the Company repurchased approximately 3.6 million shares of its common stock, the effect of which in 2021 was a reduction of its weighted average shares outstanding as compared with the prior year of approximately 0.7 million shares, and in 2020, a reduction of approximately 2.9 million shares, due to the timing of the repurchases. Additionally, for the year ended December 31, 2021, the Company issued approximately 2.0 million shares of its common stock in conjunction with a December 2021 acquisition, the effect of which was insignificant on the Company’s weighted average shares outstanding for the year ended December 31, 2021 due to the timing of the acquisition. The full effect of this share issuance will be reflected in the Company’s future weighted average shares outstanding. See Note 11 - Equity for details of the Company’s share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Acquisitions, Goodwill and Other Intangible Assets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provides a reconciliation of changes in goodwill by reportable segment for the periods indicated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Communications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Clean Energy and</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Oil and Gas</w:t>
            </w:r>
          </w:p>
        </w:tc>
        <w:tc>
          <w:tcPr>
            <w:tcW w:w="10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Power Delivery</w:t>
            </w:r>
          </w:p>
        </w:tc>
        <w:tc>
          <w:tcPr>
            <w:tcW w:w="100" w:type="dxa"/>
            <w:vAlign w:val="bottom"/>
          </w:tcPr>
          <w:p>
            <w:pPr>
              <w:spacing w:after="0"/>
              <w:rPr>
                <w:sz w:val="14"/>
                <w:szCs w:val="14"/>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1"/>
              </w:rPr>
              <w:t>Total Goodwill</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gross,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1,342.9</w:t>
            </w:r>
          </w:p>
        </w:tc>
        <w:tc>
          <w:tcPr>
            <w:tcW w:w="0" w:type="dxa"/>
            <w:vAlign w:val="bottom"/>
          </w:tcPr>
          <w:p>
            <w:pPr>
              <w:spacing w:after="0"/>
              <w:rPr>
                <w:sz w:val="1"/>
                <w:szCs w:val="1"/>
                <w:color w:val="auto"/>
              </w:rPr>
            </w:pPr>
          </w:p>
        </w:tc>
      </w:tr>
      <w:tr>
        <w:trPr>
          <w:trHeight w:val="200"/>
        </w:trPr>
        <w:tc>
          <w:tcPr>
            <w:tcW w:w="4880" w:type="dxa"/>
            <w:vAlign w:val="bottom"/>
          </w:tcPr>
          <w:p>
            <w:pPr>
              <w:ind w:left="20"/>
              <w:spacing w:after="0" w:line="200" w:lineRule="exact"/>
              <w:rPr>
                <w:sz w:val="20"/>
                <w:szCs w:val="20"/>
                <w:color w:val="auto"/>
              </w:rPr>
            </w:pPr>
            <w:r>
              <w:rPr>
                <w:rFonts w:ascii="Arial" w:cs="Arial" w:eastAsia="Arial" w:hAnsi="Arial"/>
                <w:sz w:val="15"/>
                <w:szCs w:val="15"/>
                <w:color w:val="auto"/>
              </w:rPr>
              <w:t xml:space="preserve">Accumulated impairment loss </w:t>
            </w:r>
            <w:r>
              <w:rPr>
                <w:rFonts w:ascii="Arial" w:cs="Arial" w:eastAsia="Arial" w:hAnsi="Arial"/>
                <w:sz w:val="19"/>
                <w:szCs w:val="19"/>
                <w:color w:val="auto"/>
                <w:vertAlign w:val="superscript"/>
              </w:rPr>
              <w:t>(a)</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(121.5)</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net, as of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1,221.4</w:t>
            </w: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rPr>
                <w:sz w:val="20"/>
                <w:szCs w:val="20"/>
                <w:color w:val="auto"/>
              </w:rPr>
            </w:pPr>
            <w:r>
              <w:rPr>
                <w:rFonts w:ascii="Arial" w:cs="Arial" w:eastAsia="Arial" w:hAnsi="Arial"/>
                <w:sz w:val="15"/>
                <w:szCs w:val="15"/>
                <w:color w:val="auto"/>
              </w:rPr>
              <w:t>Additions from new business combinations</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20"/>
              <w:spacing w:after="0" w:line="203" w:lineRule="exact"/>
              <w:rPr>
                <w:sz w:val="20"/>
                <w:szCs w:val="20"/>
                <w:color w:val="auto"/>
              </w:rPr>
            </w:pPr>
            <w:r>
              <w:rPr>
                <w:rFonts w:ascii="Arial" w:cs="Arial" w:eastAsia="Arial" w:hAnsi="Arial"/>
                <w:sz w:val="15"/>
                <w:szCs w:val="15"/>
                <w:color w:val="auto"/>
              </w:rPr>
              <w:t xml:space="preserve">Measurement period adjustments, net </w:t>
            </w:r>
            <w:r>
              <w:rPr>
                <w:rFonts w:ascii="Arial" w:cs="Arial" w:eastAsia="Arial" w:hAnsi="Arial"/>
                <w:sz w:val="19"/>
                <w:szCs w:val="19"/>
                <w:color w:val="auto"/>
                <w:vertAlign w:val="superscript"/>
              </w:rPr>
              <w:t>(b)</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7"/>
        </w:trPr>
        <w:tc>
          <w:tcPr>
            <w:tcW w:w="4880" w:type="dxa"/>
            <w:vAlign w:val="bottom"/>
          </w:tcPr>
          <w:p>
            <w:pPr>
              <w:ind w:left="120"/>
              <w:spacing w:after="0"/>
              <w:rPr>
                <w:sz w:val="20"/>
                <w:szCs w:val="20"/>
                <w:color w:val="auto"/>
              </w:rPr>
            </w:pPr>
            <w:r>
              <w:rPr>
                <w:rFonts w:ascii="Arial" w:cs="Arial" w:eastAsia="Arial" w:hAnsi="Arial"/>
                <w:sz w:val="15"/>
                <w:szCs w:val="15"/>
                <w:color w:val="auto"/>
              </w:rPr>
              <w:t>Currency translation adjustments</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5"/>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net,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1,243.0</w:t>
            </w: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rPr>
                <w:sz w:val="20"/>
                <w:szCs w:val="20"/>
                <w:color w:val="auto"/>
              </w:rPr>
            </w:pPr>
            <w:r>
              <w:rPr>
                <w:rFonts w:ascii="Arial" w:cs="Arial" w:eastAsia="Arial" w:hAnsi="Arial"/>
                <w:sz w:val="15"/>
                <w:szCs w:val="15"/>
                <w:color w:val="auto"/>
              </w:rPr>
              <w:t>Additions from new business combinations</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277.3</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120"/>
              <w:spacing w:after="0" w:line="203" w:lineRule="exact"/>
              <w:rPr>
                <w:sz w:val="20"/>
                <w:szCs w:val="20"/>
                <w:color w:val="auto"/>
              </w:rPr>
            </w:pPr>
            <w:r>
              <w:rPr>
                <w:rFonts w:ascii="Arial" w:cs="Arial" w:eastAsia="Arial" w:hAnsi="Arial"/>
                <w:sz w:val="15"/>
                <w:szCs w:val="15"/>
                <w:color w:val="auto"/>
              </w:rPr>
              <w:t xml:space="preserve">Measurement period adjustments, net </w:t>
            </w:r>
            <w:r>
              <w:rPr>
                <w:rFonts w:ascii="Arial" w:cs="Arial" w:eastAsia="Arial" w:hAnsi="Arial"/>
                <w:sz w:val="19"/>
                <w:szCs w:val="19"/>
                <w:color w:val="auto"/>
                <w:vertAlign w:val="superscript"/>
              </w:rPr>
              <w:t>(b)</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7"/>
        </w:trPr>
        <w:tc>
          <w:tcPr>
            <w:tcW w:w="4880" w:type="dxa"/>
            <w:vAlign w:val="bottom"/>
          </w:tcPr>
          <w:p>
            <w:pPr>
              <w:ind w:left="120"/>
              <w:spacing w:after="0"/>
              <w:rPr>
                <w:sz w:val="20"/>
                <w:szCs w:val="20"/>
                <w:color w:val="auto"/>
              </w:rPr>
            </w:pPr>
            <w:r>
              <w:rPr>
                <w:rFonts w:ascii="Arial" w:cs="Arial" w:eastAsia="Arial" w:hAnsi="Arial"/>
                <w:sz w:val="15"/>
                <w:szCs w:val="15"/>
                <w:color w:val="auto"/>
              </w:rPr>
              <w:t>Currency translation adjustments</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5"/>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net,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1,520.6</w:t>
            </w:r>
          </w:p>
        </w:tc>
        <w:tc>
          <w:tcPr>
            <w:tcW w:w="0" w:type="dxa"/>
            <w:vAlign w:val="bottom"/>
          </w:tcPr>
          <w:p>
            <w:pPr>
              <w:spacing w:after="0"/>
              <w:rPr>
                <w:sz w:val="1"/>
                <w:szCs w:val="1"/>
                <w:color w:val="auto"/>
              </w:rPr>
            </w:pPr>
          </w:p>
        </w:tc>
      </w:tr>
      <w:tr>
        <w:trPr>
          <w:trHeight w:val="192"/>
        </w:trPr>
        <w:tc>
          <w:tcPr>
            <w:tcW w:w="4880" w:type="dxa"/>
            <w:vAlign w:val="bottom"/>
          </w:tcPr>
          <w:p>
            <w:pPr>
              <w:ind w:left="20"/>
              <w:spacing w:after="0" w:line="193" w:lineRule="exact"/>
              <w:rPr>
                <w:sz w:val="20"/>
                <w:szCs w:val="20"/>
                <w:color w:val="auto"/>
              </w:rPr>
            </w:pPr>
            <w:r>
              <w:rPr>
                <w:rFonts w:ascii="Arial" w:cs="Arial" w:eastAsia="Arial" w:hAnsi="Arial"/>
                <w:sz w:val="15"/>
                <w:szCs w:val="15"/>
                <w:color w:val="auto"/>
              </w:rPr>
              <w:t xml:space="preserve">Accumulated impairment loss </w:t>
            </w:r>
            <w:r>
              <w:rPr>
                <w:rFonts w:ascii="Arial" w:cs="Arial" w:eastAsia="Arial" w:hAnsi="Arial"/>
                <w:sz w:val="19"/>
                <w:szCs w:val="19"/>
                <w:color w:val="auto"/>
                <w:vertAlign w:val="superscript"/>
              </w:rPr>
              <w:t>(a)</w:t>
            </w: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(124.7)</w:t>
            </w:r>
          </w:p>
        </w:tc>
        <w:tc>
          <w:tcPr>
            <w:tcW w:w="0" w:type="dxa"/>
            <w:vAlign w:val="bottom"/>
          </w:tcPr>
          <w:p>
            <w:pPr>
              <w:spacing w:after="0"/>
              <w:rPr>
                <w:sz w:val="1"/>
                <w:szCs w:val="1"/>
                <w:color w:val="auto"/>
              </w:rPr>
            </w:pPr>
          </w:p>
        </w:tc>
      </w:tr>
      <w:tr>
        <w:trPr>
          <w:trHeight w:val="18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gross,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1,645.3</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80" w:hanging="280"/>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Accumulated impairment losses include the effects of currency translation gains and/or losses.</w:t>
      </w:r>
    </w:p>
    <w:p>
      <w:pPr>
        <w:spacing w:after="0" w:line="10" w:lineRule="exact"/>
        <w:rPr>
          <w:rFonts w:ascii="Arial" w:cs="Arial" w:eastAsia="Arial" w:hAnsi="Arial"/>
          <w:sz w:val="13"/>
          <w:szCs w:val="13"/>
          <w:color w:val="auto"/>
        </w:rPr>
      </w:pPr>
    </w:p>
    <w:p>
      <w:pPr>
        <w:ind w:left="280" w:hanging="280"/>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adjustments to preliminary estimates of fair value within the measurement period of up to one year from the date of acquisition.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4" w:name="page65"/>
    <w:bookmarkEnd w:id="64"/>
    <w:p>
      <w:pPr>
        <w:ind w:left="600"/>
        <w:spacing w:after="0"/>
        <w:rPr>
          <w:sz w:val="20"/>
          <w:szCs w:val="20"/>
          <w:color w:val="auto"/>
        </w:rPr>
      </w:pPr>
      <w:r>
        <w:rPr>
          <w:rFonts w:ascii="Arial" w:cs="Arial" w:eastAsia="Arial" w:hAnsi="Arial"/>
          <w:sz w:val="15"/>
          <w:szCs w:val="15"/>
          <w:color w:val="auto"/>
        </w:rPr>
        <w:t>The following table provides a reconciliation of changes in other intangible assets, net, for the periods indicated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Other Intangible Assets</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w w:val="99"/>
              </w:rPr>
              <w:t>Non-Amortizing</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4"/>
              </w:rPr>
              <w:t>Amortizing</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Arial" w:cs="Arial" w:eastAsia="Arial" w:hAnsi="Arial"/>
                <w:sz w:val="15"/>
                <w:szCs w:val="15"/>
                <w:b w:val="1"/>
                <w:bCs w:val="1"/>
                <w:color w:val="auto"/>
                <w:w w:val="88"/>
              </w:rPr>
              <w:t>Customer</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36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89"/>
              </w:rPr>
              <w:t>Trade Names</w:t>
            </w:r>
          </w:p>
        </w:tc>
        <w:tc>
          <w:tcPr>
            <w:tcW w:w="100" w:type="dxa"/>
            <w:vAlign w:val="bottom"/>
            <w:vMerge w:val="restart"/>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1"/>
              </w:rPr>
              <w:t>Pre-Qualifications</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0" w:lineRule="exact"/>
              <w:rPr>
                <w:sz w:val="20"/>
                <w:szCs w:val="20"/>
                <w:color w:val="auto"/>
              </w:rPr>
            </w:pPr>
            <w:r>
              <w:rPr>
                <w:rFonts w:ascii="Arial" w:cs="Arial" w:eastAsia="Arial" w:hAnsi="Arial"/>
                <w:sz w:val="15"/>
                <w:szCs w:val="15"/>
                <w:b w:val="1"/>
                <w:bCs w:val="1"/>
                <w:color w:val="auto"/>
                <w:w w:val="88"/>
              </w:rPr>
              <w:t>Relationships and</w:t>
            </w:r>
          </w:p>
        </w:tc>
        <w:tc>
          <w:tcPr>
            <w:tcW w:w="1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1"/>
              </w:rPr>
              <w:t>Pre-Qualifications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05"/>
              <w:spacing w:after="0"/>
              <w:rPr>
                <w:sz w:val="20"/>
                <w:szCs w:val="20"/>
                <w:color w:val="auto"/>
              </w:rPr>
            </w:pPr>
            <w:r>
              <w:rPr>
                <w:rFonts w:ascii="Arial" w:cs="Arial" w:eastAsia="Arial" w:hAnsi="Arial"/>
                <w:sz w:val="15"/>
                <w:szCs w:val="15"/>
                <w:b w:val="1"/>
                <w:bCs w:val="1"/>
                <w:color w:val="auto"/>
                <w:w w:val="90"/>
              </w:rPr>
              <w:t xml:space="preserve">Other </w:t>
            </w:r>
            <w:r>
              <w:rPr>
                <w:rFonts w:ascii="Arial" w:cs="Arial" w:eastAsia="Arial" w:hAnsi="Arial"/>
                <w:sz w:val="19"/>
                <w:szCs w:val="19"/>
                <w:b w:val="1"/>
                <w:bCs w:val="1"/>
                <w:color w:val="auto"/>
                <w:w w:val="90"/>
                <w:vertAlign w:val="superscript"/>
              </w:rPr>
              <w:t>(a)</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2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5"/>
              <w:spacing w:after="0"/>
              <w:rPr>
                <w:sz w:val="20"/>
                <w:szCs w:val="20"/>
                <w:color w:val="auto"/>
              </w:rPr>
            </w:pPr>
            <w:r>
              <w:rPr>
                <w:rFonts w:ascii="Arial" w:cs="Arial" w:eastAsia="Arial" w:hAnsi="Arial"/>
                <w:sz w:val="15"/>
                <w:szCs w:val="15"/>
                <w:b w:val="1"/>
                <w:bCs w:val="1"/>
                <w:color w:val="auto"/>
                <w:w w:val="85"/>
              </w:rPr>
              <w:t>Backlog</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gross, as of December 31, 2019</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420.2</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Accumulated amortization</w:t>
            </w: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w:t>
            </w:r>
          </w:p>
        </w:tc>
        <w:tc>
          <w:tcPr>
            <w:tcW w:w="0" w:type="dxa"/>
            <w:vAlign w:val="bottom"/>
          </w:tcPr>
          <w:p>
            <w:pPr>
              <w:spacing w:after="0"/>
              <w:rPr>
                <w:sz w:val="1"/>
                <w:szCs w:val="1"/>
                <w:color w:val="auto"/>
              </w:rPr>
            </w:pPr>
          </w:p>
        </w:tc>
      </w:tr>
      <w:tr>
        <w:trPr>
          <w:trHeight w:val="195"/>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 as of December 31, 2019</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Additions from new business combinations</w:t>
            </w:r>
          </w:p>
        </w:tc>
        <w:tc>
          <w:tcPr>
            <w:tcW w:w="3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20"/>
              <w:spacing w:after="0" w:line="203" w:lineRule="exact"/>
              <w:rPr>
                <w:sz w:val="20"/>
                <w:szCs w:val="20"/>
                <w:color w:val="auto"/>
              </w:rPr>
            </w:pPr>
            <w:r>
              <w:rPr>
                <w:rFonts w:ascii="Arial" w:cs="Arial" w:eastAsia="Arial" w:hAnsi="Arial"/>
                <w:sz w:val="15"/>
                <w:szCs w:val="15"/>
                <w:color w:val="auto"/>
              </w:rPr>
              <w:t xml:space="preserve">Classification changes </w:t>
            </w:r>
            <w:r>
              <w:rPr>
                <w:rFonts w:ascii="Arial" w:cs="Arial" w:eastAsia="Arial" w:hAnsi="Arial"/>
                <w:sz w:val="19"/>
                <w:szCs w:val="19"/>
                <w:color w:val="auto"/>
                <w:vertAlign w:val="superscript"/>
              </w:rPr>
              <w:t>(b)</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360" w:type="dxa"/>
            <w:vAlign w:val="bottom"/>
          </w:tcPr>
          <w:p>
            <w:pPr>
              <w:ind w:left="120"/>
              <w:spacing w:after="0" w:line="200" w:lineRule="exact"/>
              <w:rPr>
                <w:sz w:val="20"/>
                <w:szCs w:val="20"/>
                <w:color w:val="auto"/>
              </w:rPr>
            </w:pPr>
            <w:r>
              <w:rPr>
                <w:rFonts w:ascii="Arial" w:cs="Arial" w:eastAsia="Arial" w:hAnsi="Arial"/>
                <w:sz w:val="15"/>
                <w:szCs w:val="15"/>
                <w:color w:val="auto"/>
              </w:rPr>
              <w:t xml:space="preserve">Measurement period adjustments </w:t>
            </w:r>
            <w:r>
              <w:rPr>
                <w:rFonts w:ascii="Arial" w:cs="Arial" w:eastAsia="Arial" w:hAnsi="Arial"/>
                <w:sz w:val="19"/>
                <w:szCs w:val="19"/>
                <w:color w:val="auto"/>
                <w:vertAlign w:val="superscript"/>
              </w:rPr>
              <w:t>(c)</w:t>
            </w:r>
          </w:p>
        </w:tc>
        <w:tc>
          <w:tcPr>
            <w:tcW w:w="3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adjustments</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Amortization expense</w:t>
            </w: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(10.2)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95"/>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 as of December 31, 2020</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184.0</w:t>
            </w:r>
          </w:p>
        </w:tc>
        <w:tc>
          <w:tcPr>
            <w:tcW w:w="0" w:type="dxa"/>
            <w:vAlign w:val="bottom"/>
          </w:tcPr>
          <w:p>
            <w:pPr>
              <w:spacing w:after="0"/>
              <w:rPr>
                <w:sz w:val="1"/>
                <w:szCs w:val="1"/>
                <w:color w:val="auto"/>
              </w:rPr>
            </w:pPr>
          </w:p>
        </w:tc>
      </w:tr>
      <w:tr>
        <w:trPr>
          <w:trHeight w:val="189"/>
        </w:trPr>
        <w:tc>
          <w:tcPr>
            <w:tcW w:w="4360" w:type="dxa"/>
            <w:vAlign w:val="bottom"/>
          </w:tcPr>
          <w:p>
            <w:pPr>
              <w:ind w:left="120"/>
              <w:spacing w:after="0"/>
              <w:rPr>
                <w:sz w:val="20"/>
                <w:szCs w:val="20"/>
                <w:color w:val="auto"/>
              </w:rPr>
            </w:pPr>
            <w:r>
              <w:rPr>
                <w:rFonts w:ascii="Arial" w:cs="Arial" w:eastAsia="Arial" w:hAnsi="Arial"/>
                <w:sz w:val="15"/>
                <w:szCs w:val="15"/>
                <w:color w:val="auto"/>
              </w:rPr>
              <w:t>Additions from new business combinations</w:t>
            </w:r>
          </w:p>
        </w:tc>
        <w:tc>
          <w:tcPr>
            <w:tcW w:w="3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563.1</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adjustments</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Amortization expense</w:t>
            </w: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(11.1)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195"/>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 as of December 31, 2021</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670.3</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5"/>
                <w:szCs w:val="15"/>
                <w:color w:val="auto"/>
              </w:rPr>
              <w:t>Remaining weighted average amortization, in years</w:t>
            </w: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80"/>
        <w:spacing w:after="0"/>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principally of trademarks, trade names and non-compete agreements.</w:t>
      </w:r>
    </w:p>
    <w:p>
      <w:pPr>
        <w:spacing w:after="0" w:line="10" w:lineRule="exact"/>
        <w:rPr>
          <w:rFonts w:ascii="Arial" w:cs="Arial" w:eastAsia="Arial" w:hAnsi="Arial"/>
          <w:sz w:val="13"/>
          <w:szCs w:val="13"/>
          <w:color w:val="auto"/>
        </w:rPr>
      </w:pPr>
    </w:p>
    <w:p>
      <w:pPr>
        <w:ind w:left="300" w:hanging="300"/>
        <w:spacing w:after="0" w:line="260" w:lineRule="auto"/>
        <w:tabs>
          <w:tab w:leader="none" w:pos="31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the first quarter of 2020, based on changes in the assets’ characteristics, the Company changed the classification of its non-amortizing pre-qualification intangible assets from indefinite-lived to finite-lived and began amortizing them on an accelerated basis. At the time of the reclassification, the estimated remaining weighted average useful life of these assets was approximately 12 years.</w:t>
      </w:r>
    </w:p>
    <w:p>
      <w:pPr>
        <w:ind w:left="280" w:hanging="280"/>
        <w:spacing w:after="0"/>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adjustments to preliminary estimates of fair value within the measurement period of up to one year from the date of acquisition.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40" w:type="dxa"/>
            <w:vAlign w:val="bottom"/>
          </w:tcPr>
          <w:p>
            <w:pPr>
              <w:ind w:left="600"/>
              <w:spacing w:after="0"/>
              <w:rPr>
                <w:sz w:val="20"/>
                <w:szCs w:val="20"/>
                <w:color w:val="auto"/>
              </w:rPr>
            </w:pPr>
            <w:r>
              <w:rPr>
                <w:rFonts w:ascii="Arial" w:cs="Arial" w:eastAsia="Arial" w:hAnsi="Arial"/>
                <w:sz w:val="15"/>
                <w:szCs w:val="15"/>
                <w:color w:val="auto"/>
              </w:rPr>
              <w:t>Expected future amortization expense as of December 31, 2021 is summarized in the following table (in millions):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8"/>
        </w:trPr>
        <w:tc>
          <w:tcPr>
            <w:tcW w:w="9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185"/>
              <w:spacing w:after="0"/>
              <w:rPr>
                <w:sz w:val="20"/>
                <w:szCs w:val="20"/>
                <w:color w:val="auto"/>
              </w:rPr>
            </w:pPr>
            <w:r>
              <w:rPr>
                <w:rFonts w:ascii="Arial" w:cs="Arial" w:eastAsia="Arial" w:hAnsi="Arial"/>
                <w:sz w:val="15"/>
                <w:szCs w:val="15"/>
                <w:b w:val="1"/>
                <w:bCs w:val="1"/>
                <w:color w:val="auto"/>
              </w:rPr>
              <w:t>Amortization</w:t>
            </w:r>
          </w:p>
        </w:tc>
      </w:tr>
      <w:tr>
        <w:trPr>
          <w:trHeight w:val="196"/>
        </w:trPr>
        <w:tc>
          <w:tcPr>
            <w:tcW w:w="9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Expense</w:t>
            </w:r>
          </w:p>
        </w:tc>
      </w:tr>
      <w:tr>
        <w:trPr>
          <w:trHeight w:val="195"/>
        </w:trPr>
        <w:tc>
          <w:tcPr>
            <w:tcW w:w="9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2022</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r>
      <w:tr>
        <w:trPr>
          <w:trHeight w:val="197"/>
        </w:trPr>
        <w:tc>
          <w:tcPr>
            <w:tcW w:w="9840" w:type="dxa"/>
            <w:vAlign w:val="bottom"/>
          </w:tcPr>
          <w:p>
            <w:pPr>
              <w:ind w:left="120"/>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84.5</w:t>
            </w:r>
          </w:p>
        </w:tc>
      </w:tr>
      <w:tr>
        <w:trPr>
          <w:trHeight w:val="203"/>
        </w:trPr>
        <w:tc>
          <w:tcPr>
            <w:tcW w:w="9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w:t>
            </w:r>
          </w:p>
        </w:tc>
      </w:tr>
      <w:tr>
        <w:trPr>
          <w:trHeight w:val="197"/>
        </w:trPr>
        <w:tc>
          <w:tcPr>
            <w:tcW w:w="9840" w:type="dxa"/>
            <w:vAlign w:val="bottom"/>
          </w:tcPr>
          <w:p>
            <w:pPr>
              <w:ind w:left="120"/>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64.5</w:t>
            </w:r>
          </w:p>
        </w:tc>
      </w:tr>
      <w:tr>
        <w:trPr>
          <w:trHeight w:val="203"/>
        </w:trPr>
        <w:tc>
          <w:tcPr>
            <w:tcW w:w="9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w:t>
            </w:r>
          </w:p>
        </w:tc>
      </w:tr>
      <w:tr>
        <w:trPr>
          <w:trHeight w:val="197"/>
        </w:trPr>
        <w:tc>
          <w:tcPr>
            <w:tcW w:w="98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261.2</w:t>
            </w:r>
          </w:p>
        </w:tc>
      </w:tr>
      <w:tr>
        <w:trPr>
          <w:trHeight w:val="192"/>
        </w:trPr>
        <w:tc>
          <w:tcPr>
            <w:tcW w:w="98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635.8</w:t>
            </w:r>
          </w:p>
        </w:tc>
      </w:tr>
    </w:tbl>
    <w:p>
      <w:pPr>
        <w:spacing w:after="0" w:line="266"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Recent Acquisitions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2021 Acquisitions. </w:t>
      </w:r>
      <w:r>
        <w:rPr>
          <w:rFonts w:ascii="Arial" w:cs="Arial" w:eastAsia="Arial" w:hAnsi="Arial"/>
          <w:sz w:val="15"/>
          <w:szCs w:val="15"/>
          <w:color w:val="auto"/>
        </w:rPr>
        <w:t>During 2021, MasTec completed fourteen acquisitions, including all of the equity interests of the following:</w:t>
      </w:r>
    </w:p>
    <w:p>
      <w:pPr>
        <w:spacing w:after="0" w:line="106" w:lineRule="exact"/>
        <w:rPr>
          <w:sz w:val="20"/>
          <w:szCs w:val="20"/>
          <w:color w:val="auto"/>
        </w:rPr>
      </w:pPr>
    </w:p>
    <w:p>
      <w:pPr>
        <w:jc w:val="both"/>
        <w:ind w:firstLine="599"/>
        <w:spacing w:after="0" w:line="271" w:lineRule="auto"/>
        <w:tabs>
          <w:tab w:leader="none" w:pos="7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Within the Company’s Power Delivery segment: Henkels &amp; McCoy Holdings, Inc., formerly known as Henkels &amp; McCoy Group, Inc. (“HMG”), an industry-leading utility services firm providing critical infrastructure design, construction and maintenance services to the power and renewables, telecommunications, gas distribution and pipeline services end-markets; an electric utility distribution contractor; and a company specializing in vegetation management services for the electric and telecommunications industries, all of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64" w:lineRule="exact"/>
        <w:rPr>
          <w:rFonts w:ascii="Arial" w:cs="Arial" w:eastAsia="Arial" w:hAnsi="Arial"/>
          <w:sz w:val="14"/>
          <w:szCs w:val="14"/>
          <w:color w:val="auto"/>
        </w:rPr>
      </w:pPr>
    </w:p>
    <w:p>
      <w:pPr>
        <w:ind w:firstLine="599"/>
        <w:spacing w:after="0" w:line="266" w:lineRule="auto"/>
        <w:tabs>
          <w:tab w:leader="none" w:pos="821" w:val="left"/>
        </w:tabs>
        <w:numPr>
          <w:ilvl w:val="0"/>
          <w:numId w:val="19"/>
        </w:numPr>
        <w:rPr>
          <w:rFonts w:ascii="Arial" w:cs="Arial" w:eastAsia="Arial" w:hAnsi="Arial"/>
          <w:sz w:val="15"/>
          <w:szCs w:val="15"/>
          <w:color w:val="auto"/>
        </w:rPr>
      </w:pPr>
      <w:r>
        <w:rPr>
          <w:rFonts w:ascii="Arial" w:cs="Arial" w:eastAsia="Arial" w:hAnsi="Arial"/>
          <w:sz w:val="15"/>
          <w:szCs w:val="15"/>
          <w:color w:val="auto"/>
        </w:rPr>
        <w:t>within the Company’s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67" w:lineRule="exact"/>
        <w:rPr>
          <w:rFonts w:ascii="Arial" w:cs="Arial" w:eastAsia="Arial" w:hAnsi="Arial"/>
          <w:sz w:val="15"/>
          <w:szCs w:val="15"/>
          <w:color w:val="auto"/>
        </w:rPr>
      </w:pPr>
    </w:p>
    <w:p>
      <w:pPr>
        <w:ind w:firstLine="599"/>
        <w:spacing w:after="0" w:line="266" w:lineRule="auto"/>
        <w:tabs>
          <w:tab w:leader="none" w:pos="8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within the Company’s Communications segment: a telecommunications company specializing in cabling, plant and other network services, which acquisition was effective in November; a telecommunications and utility technical services company focusing on outside plant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65" w:name="page66"/>
    <w:bookmarkEnd w:id="65"/>
    <w:p>
      <w:pPr>
        <w:spacing w:after="0" w:line="303" w:lineRule="auto"/>
        <w:rPr>
          <w:sz w:val="20"/>
          <w:szCs w:val="20"/>
          <w:color w:val="auto"/>
        </w:rPr>
      </w:pPr>
      <w:r>
        <w:rPr>
          <w:rFonts w:ascii="Arial" w:cs="Arial" w:eastAsia="Arial" w:hAnsi="Arial"/>
          <w:sz w:val="14"/>
          <w:szCs w:val="14"/>
          <w:color w:val="auto"/>
        </w:rPr>
        <w:t>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and</w:t>
      </w:r>
    </w:p>
    <w:p>
      <w:pPr>
        <w:spacing w:after="0" w:line="43" w:lineRule="exact"/>
        <w:rPr>
          <w:sz w:val="20"/>
          <w:szCs w:val="20"/>
          <w:color w:val="auto"/>
        </w:rPr>
      </w:pPr>
    </w:p>
    <w:p>
      <w:pPr>
        <w:jc w:val="both"/>
        <w:ind w:firstLine="599"/>
        <w:spacing w:after="0" w:line="255" w:lineRule="auto"/>
        <w:tabs>
          <w:tab w:leader="none" w:pos="862"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within the Company’s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74"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These acquisitions were funded with cash on hand, borrowings under the Company’s credit facility and with shares of the Company’s common stock, and are subject to customary purchase price adjustments. The following table summarizes the estimated fair values of consideration paid and net assets acquired for the 2021 acquisitions, as adjusted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Pr>
          <w:p>
            <w:pPr>
              <w:ind w:left="20"/>
              <w:spacing w:after="0"/>
              <w:rPr>
                <w:sz w:val="20"/>
                <w:szCs w:val="20"/>
                <w:color w:val="auto"/>
              </w:rPr>
            </w:pPr>
            <w:r>
              <w:rPr>
                <w:rFonts w:ascii="Arial" w:cs="Arial" w:eastAsia="Arial" w:hAnsi="Arial"/>
                <w:sz w:val="15"/>
                <w:szCs w:val="15"/>
                <w:b w:val="1"/>
                <w:bCs w:val="1"/>
                <w:color w:val="auto"/>
              </w:rPr>
              <w:t>Acquisition consideration</w:t>
            </w:r>
            <w:r>
              <w:rPr>
                <w:rFonts w:ascii="Arial" w:cs="Arial" w:eastAsia="Arial" w:hAnsi="Arial"/>
                <w:sz w:val="19"/>
                <w:szCs w:val="19"/>
                <w:b w:val="1"/>
                <w:bCs w:val="1"/>
                <w:color w:val="auto"/>
                <w:vertAlign w:val="superscript"/>
              </w:rPr>
              <w:t>(a)</w:t>
            </w:r>
            <w:r>
              <w:rPr>
                <w:rFonts w:ascii="Arial" w:cs="Arial" w:eastAsia="Arial" w:hAnsi="Arial"/>
                <w:sz w:val="15"/>
                <w:szCs w:val="15"/>
                <w:b w:val="1"/>
                <w:bCs w:val="1"/>
                <w:color w:val="auto"/>
              </w:rPr>
              <w:t>:</w:t>
            </w:r>
          </w:p>
        </w:tc>
        <w:tc>
          <w:tcPr>
            <w:tcW w:w="1060" w:type="dxa"/>
            <w:vAlign w:val="bottom"/>
          </w:tcPr>
          <w:p>
            <w:pPr>
              <w:jc w:val="right"/>
              <w:ind w:right="5"/>
              <w:spacing w:after="0"/>
              <w:rPr>
                <w:sz w:val="20"/>
                <w:szCs w:val="20"/>
                <w:color w:val="auto"/>
              </w:rPr>
            </w:pPr>
            <w:r>
              <w:rPr>
                <w:rFonts w:ascii="Arial" w:cs="Arial" w:eastAsia="Arial" w:hAnsi="Arial"/>
                <w:sz w:val="15"/>
                <w:szCs w:val="15"/>
                <w:b w:val="1"/>
                <w:bCs w:val="1"/>
                <w:color w:val="auto"/>
              </w:rPr>
              <w:t>HMG</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All other</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5"/>
              <w:spacing w:after="0"/>
              <w:rPr>
                <w:sz w:val="20"/>
                <w:szCs w:val="20"/>
                <w:color w:val="auto"/>
              </w:rPr>
            </w:pPr>
            <w:r>
              <w:rPr>
                <w:rFonts w:ascii="Arial" w:cs="Arial" w:eastAsia="Arial" w:hAnsi="Arial"/>
                <w:sz w:val="15"/>
                <w:szCs w:val="15"/>
                <w:b w:val="1"/>
                <w:bCs w:val="1"/>
                <w:color w:val="auto"/>
              </w:rPr>
              <w:t>Total</w:t>
            </w:r>
          </w:p>
        </w:tc>
      </w:tr>
      <w:tr>
        <w:trPr>
          <w:trHeight w:val="200"/>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net of cash acquired</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416.9</w:t>
            </w: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1,284.0</w:t>
            </w:r>
          </w:p>
        </w:tc>
      </w:tr>
      <w:tr>
        <w:trPr>
          <w:trHeight w:val="197"/>
        </w:trPr>
        <w:tc>
          <w:tcPr>
            <w:tcW w:w="6520" w:type="dxa"/>
            <w:vAlign w:val="bottom"/>
          </w:tcPr>
          <w:p>
            <w:pPr>
              <w:ind w:left="120"/>
              <w:spacing w:after="0"/>
              <w:rPr>
                <w:sz w:val="20"/>
                <w:szCs w:val="20"/>
                <w:color w:val="auto"/>
              </w:rPr>
            </w:pPr>
            <w:r>
              <w:rPr>
                <w:rFonts w:ascii="Arial" w:cs="Arial" w:eastAsia="Arial" w:hAnsi="Arial"/>
                <w:sz w:val="15"/>
                <w:szCs w:val="15"/>
                <w:color w:val="auto"/>
              </w:rPr>
              <w:t>Shares transferred</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181.7</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181.7</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Estimated fair value of contingent consideration</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w:t>
            </w:r>
          </w:p>
        </w:tc>
      </w:tr>
      <w:tr>
        <w:trPr>
          <w:trHeight w:val="189"/>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Total consideration transferred</w:t>
            </w:r>
          </w:p>
        </w:tc>
        <w:tc>
          <w:tcPr>
            <w:tcW w:w="106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598.6</w:t>
            </w:r>
          </w:p>
        </w:tc>
        <w:tc>
          <w:tcPr>
            <w:tcW w:w="110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968.7</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1,567.3</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Identifiable assets acquired and liabilities assumed:</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7"/>
        </w:trPr>
        <w:tc>
          <w:tcPr>
            <w:tcW w:w="6520" w:type="dxa"/>
            <w:vAlign w:val="bottom"/>
          </w:tcPr>
          <w:p>
            <w:pPr>
              <w:ind w:left="120"/>
              <w:spacing w:after="0"/>
              <w:rPr>
                <w:sz w:val="20"/>
                <w:szCs w:val="20"/>
                <w:color w:val="auto"/>
              </w:rPr>
            </w:pPr>
            <w:r>
              <w:rPr>
                <w:rFonts w:ascii="Arial" w:cs="Arial" w:eastAsia="Arial" w:hAnsi="Arial"/>
                <w:sz w:val="15"/>
                <w:szCs w:val="15"/>
                <w:color w:val="auto"/>
              </w:rPr>
              <w:t>Accounts receivable and contract assets</w:t>
            </w:r>
          </w:p>
        </w:tc>
        <w:tc>
          <w:tcPr>
            <w:tcW w:w="1060" w:type="dxa"/>
            <w:vAlign w:val="bottom"/>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414.3</w:t>
            </w:r>
          </w:p>
        </w:tc>
        <w:tc>
          <w:tcPr>
            <w:tcW w:w="1100" w:type="dxa"/>
            <w:vAlign w:val="bottom"/>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269.4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683.7</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assets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w:t>
            </w:r>
          </w:p>
        </w:tc>
      </w:tr>
      <w:tr>
        <w:trPr>
          <w:trHeight w:val="197"/>
        </w:trPr>
        <w:tc>
          <w:tcPr>
            <w:tcW w:w="6520" w:type="dxa"/>
            <w:vAlign w:val="bottom"/>
          </w:tcPr>
          <w:p>
            <w:pPr>
              <w:ind w:left="120"/>
              <w:spacing w:after="0"/>
              <w:rPr>
                <w:sz w:val="20"/>
                <w:szCs w:val="20"/>
                <w:color w:val="auto"/>
              </w:rPr>
            </w:pPr>
            <w:r>
              <w:rPr>
                <w:rFonts w:ascii="Arial" w:cs="Arial" w:eastAsia="Arial" w:hAnsi="Arial"/>
                <w:sz w:val="15"/>
                <w:szCs w:val="15"/>
                <w:color w:val="auto"/>
              </w:rPr>
              <w:t>Property and equipment</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247.0</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251.1</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498.1</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Long-term assets, primarily operating lease right-of-use assets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w:t>
            </w:r>
          </w:p>
        </w:tc>
      </w:tr>
      <w:tr>
        <w:trPr>
          <w:trHeight w:val="197"/>
        </w:trPr>
        <w:tc>
          <w:tcPr>
            <w:tcW w:w="6520" w:type="dxa"/>
            <w:vAlign w:val="bottom"/>
          </w:tcPr>
          <w:p>
            <w:pPr>
              <w:ind w:left="120"/>
              <w:spacing w:after="0"/>
              <w:rPr>
                <w:sz w:val="20"/>
                <w:szCs w:val="20"/>
                <w:color w:val="auto"/>
              </w:rPr>
            </w:pPr>
            <w:r>
              <w:rPr>
                <w:rFonts w:ascii="Arial" w:cs="Arial" w:eastAsia="Arial" w:hAnsi="Arial"/>
                <w:sz w:val="15"/>
                <w:szCs w:val="15"/>
                <w:color w:val="auto"/>
              </w:rPr>
              <w:t>Amortizing intangible assets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112.0</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451.1</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563.1</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payable</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r>
      <w:tr>
        <w:trPr>
          <w:trHeight w:val="197"/>
        </w:trPr>
        <w:tc>
          <w:tcPr>
            <w:tcW w:w="6520" w:type="dxa"/>
            <w:vAlign w:val="bottom"/>
          </w:tcPr>
          <w:p>
            <w:pPr>
              <w:ind w:left="120"/>
              <w:spacing w:after="0"/>
              <w:rPr>
                <w:sz w:val="20"/>
                <w:szCs w:val="20"/>
                <w:color w:val="auto"/>
              </w:rPr>
            </w:pPr>
            <w:r>
              <w:rPr>
                <w:rFonts w:ascii="Arial" w:cs="Arial" w:eastAsia="Arial" w:hAnsi="Arial"/>
                <w:sz w:val="15"/>
                <w:szCs w:val="15"/>
                <w:color w:val="auto"/>
              </w:rPr>
              <w:t>Current liabilities, including current portion of operating lease liabilities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(132.2)</w:t>
            </w: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2"/>
              </w:rPr>
              <w:t>(136.8)</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(269.0)</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Long-term debt, including finance lease obligations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197"/>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Long-term liabilities, primarily operating lease liabilities and deferred income taxes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(137.6)</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(215.7)</w:t>
            </w:r>
          </w:p>
        </w:tc>
      </w:tr>
      <w:tr>
        <w:trPr>
          <w:trHeight w:val="195"/>
        </w:trPr>
        <w:tc>
          <w:tcPr>
            <w:tcW w:w="65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identifiable net assets</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477.8</w:t>
            </w: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1,293.5</w:t>
            </w:r>
          </w:p>
        </w:tc>
      </w:tr>
      <w:tr>
        <w:trPr>
          <w:trHeight w:val="197"/>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Goodwill</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120.8</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277.3</w:t>
            </w:r>
          </w:p>
        </w:tc>
      </w:tr>
      <w:tr>
        <w:trPr>
          <w:trHeight w:val="195"/>
        </w:trPr>
        <w:tc>
          <w:tcPr>
            <w:tcW w:w="65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net assets acquired, including goodwill</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598.6</w:t>
            </w: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1,570.8</w:t>
            </w:r>
          </w:p>
        </w:tc>
      </w:tr>
      <w:tr>
        <w:trPr>
          <w:trHeight w:val="197"/>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Bargain purchase gain</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192"/>
        </w:trPr>
        <w:tc>
          <w:tcPr>
            <w:tcW w:w="65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consideration transferred</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598.6</w:t>
            </w:r>
          </w:p>
        </w:tc>
        <w:tc>
          <w:tcPr>
            <w:tcW w:w="110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968.7</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1,567.3</w:t>
            </w:r>
          </w:p>
        </w:tc>
      </w:tr>
    </w:tbl>
    <w:p>
      <w:pPr>
        <w:spacing w:after="0" w:line="121" w:lineRule="exact"/>
        <w:rPr>
          <w:sz w:val="20"/>
          <w:szCs w:val="20"/>
          <w:color w:val="auto"/>
        </w:rPr>
      </w:pPr>
    </w:p>
    <w:p>
      <w:pPr>
        <w:ind w:left="280" w:hanging="280"/>
        <w:spacing w:after="0"/>
        <w:tabs>
          <w:tab w:leader="none" w:pos="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Acquisition consideration includes $40 million of amounts due to former owners, which amounts are reflected within other current liabilities on the consolidated balance sheet as of December 31, 2021.</w:t>
      </w:r>
    </w:p>
    <w:p>
      <w:pPr>
        <w:spacing w:after="0" w:line="30" w:lineRule="exact"/>
        <w:rPr>
          <w:rFonts w:ascii="Arial" w:cs="Arial" w:eastAsia="Arial" w:hAnsi="Arial"/>
          <w:sz w:val="12"/>
          <w:szCs w:val="12"/>
          <w:color w:val="auto"/>
        </w:rPr>
      </w:pPr>
    </w:p>
    <w:p>
      <w:pPr>
        <w:ind w:left="600"/>
        <w:spacing w:after="0"/>
        <w:rPr>
          <w:rFonts w:ascii="Arial" w:cs="Arial" w:eastAsia="Arial" w:hAnsi="Arial"/>
          <w:sz w:val="12"/>
          <w:szCs w:val="12"/>
          <w:color w:val="auto"/>
        </w:rPr>
      </w:pPr>
      <w:r>
        <w:rPr>
          <w:rFonts w:ascii="Arial" w:cs="Arial" w:eastAsia="Arial" w:hAnsi="Arial"/>
          <w:sz w:val="14"/>
          <w:szCs w:val="14"/>
          <w:color w:val="auto"/>
        </w:rPr>
        <w:t>Amortizing intangible assets related to the HMG acquisition are primarily composed of customer relationships and trade names, which had weighted average lives of</w:t>
      </w:r>
    </w:p>
    <w:p>
      <w:pPr>
        <w:spacing w:after="0" w:line="15"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approximately 13 years and 20 years, respectively, and are based on HMG’s operational history and established relationships with, and the nature of, its customers, which are primarily in the utilities industry. The weighted average life of amortizing intangible assets for the HMG acquisition was 14 years in the aggregate. Amortizing intangible assets related to “All other” acquisitions are primarily composed of customer relationships and trade names, which each had a weighted average life of approximately 17 years. The aggregate weighted average life related to “All other” amortizing intangible assets was 16 years. INTREN’s acquired intangible assets included a customer relationship and a trade name intangible asset representing $281 million in the aggregate, having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5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goodwill balances for each of the respective acquisitions, including approximately $49 million for INTREN, included within “All other” acquisitions,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$125 million of the goodwill balance related to the 2021 acquisitions is expected to be tax deductible as of December 31, 2021. One of the Company’s fourth quarter 2021 acquisitions in its Power Delivery segment resulted in the recognition of a bargain purchase gain of $3.5 million, which amount was included within other (income) expense, net in the Company’s consolidated statements of operations.</w:t>
      </w:r>
    </w:p>
    <w:p>
      <w:pPr>
        <w:spacing w:after="0" w:line="65"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Included within “All other” acquisition consideration is approximately $452 million of consideration, including estimated earn-out liabilities, for INTREN. Total cash paid for acquisitions, net, includes approximately $78 million of cash acquired. The MasTec shares of common stock transferred in connection with the HMG acquisition consisted of approximately 2.0 million shares, as determined based on the terms of the purchase agreement, valued at approximately $182 million, based on the market price of the Company’s common stock on the date of closing. 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15"/>
          <w:szCs w:val="15"/>
          <w:color w:val="auto"/>
        </w:rPr>
        <w:t>arrangements for the 2021 acquisitions generally range from one to five-year terms, as set forth in the respective purchase agreements, and are valued at approximately $102 million in the aggregate. The earn-out arrangement for an acquisition in the Company’s Power Delivery segment included within “All other” acquisitions had a term of less than one year. Earn-outs are generally payable annually and are recorded within other current and other long-term liabilities in the consolidated balance sheets. See Note 4 - Fair Value of Financial Instruments for details pertaining to fair value estimates for the Company’s earn-out arrangements. As of December 31, 2021, the range of remaining potential undiscounted earn-out liabilities for the 2021 acquisitions was estimated to be between $12 million and $164 million; however, there is no maximum payment amount. Determination of the estimated fair values of the net assets acquired and the estimated earn-out liabilities and consideration transferred for these acquisitions was preliminary as of December 31, 2021; as a result, further adjustments to these estimates may occur.</w:t>
      </w:r>
    </w:p>
    <w:p>
      <w:pPr>
        <w:spacing w:after="0" w:line="81"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b w:val="1"/>
          <w:bCs w:val="1"/>
          <w:i w:val="1"/>
          <w:iCs w:val="1"/>
          <w:color w:val="auto"/>
        </w:rPr>
        <w:t xml:space="preserve">2020 Acquisitions. </w:t>
      </w:r>
      <w:r>
        <w:rPr>
          <w:rFonts w:ascii="Arial" w:cs="Arial" w:eastAsia="Arial" w:hAnsi="Arial"/>
          <w:sz w:val="15"/>
          <w:szCs w:val="15"/>
          <w:color w:val="auto"/>
        </w:rPr>
        <w:t>During 2020, MasTec completed five acquisitions. These acquisitions included the equity interests of two entities. Through a consolidated subsidiary,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acquired all of the equity interests in a heavy civil infrastructure construction company that is included within the Company’s Clean Energy and Infrastructure segment. As of the date of acquisition, the Company’s ownership interest in the consolidated subsidiary was 96%, and as of both December 31, 2021 and 2020, was 91%, with the non-controlling interests owned by members of subsidiary management. The Company also acquired all of the equity interests in a utility service and telecommunications construction contractor that is included within the Company’s Communications segment. Additionally, the Company acquired the assets of three entities in 2020, one that specializes in wireless telecommunications and one that specializes in install-to-the-home services, both of which are included within the Company’s Communications segment and one that specializes in electrical transmission services that is included within the Company’s Power Delivery segment.</w:t>
      </w:r>
    </w:p>
    <w:p>
      <w:pPr>
        <w:spacing w:after="0" w:line="81"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The aggregate purchase price for these entities, as adjusted, was composed of approximately $23.6 million in cash, net of cash acquired, with an additional $3.1 million due through 2023, subject to certain indemnification provisions, and a five-year earn-out liability valued at approximately $8.3 million. As of December 31, 2021, the range of remaining potential undiscounted earn-out liabilities for the 2020 acquisitions was estimated to be between $3 million and $20 million; however, there is no maximum payment amount.</w:t>
      </w:r>
    </w:p>
    <w:p>
      <w:pPr>
        <w:spacing w:after="0" w:line="5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b w:val="1"/>
          <w:bCs w:val="1"/>
          <w:i w:val="1"/>
          <w:iCs w:val="1"/>
          <w:color w:val="auto"/>
        </w:rPr>
        <w:t xml:space="preserve">2019 Acquisitions. </w:t>
      </w:r>
      <w:r>
        <w:rPr>
          <w:rFonts w:ascii="Arial" w:cs="Arial" w:eastAsia="Arial" w:hAnsi="Arial"/>
          <w:sz w:val="14"/>
          <w:szCs w:val="14"/>
          <w:color w:val="auto"/>
        </w:rPr>
        <w:t>During 2019, MasTec completed six acquisitions, one of which specializes in water infrastructure for pipeline companies and is included within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Company’s Oil and Gas segment, four of which are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Clean Energy and Infrastructure segment. For all but one of these acquisitions, the Company acquired all of the equity interests in the related entities. For the telecommunications company specializing in wireless telecommunications solutions, the Company acquired 96% of the entity’s equity interests, with the obligation to acquire the balance over time. The aggregate purchase price for these entities, as adjusted, was composed of approximately $176.4 million in cash, net of cash acquired, and estimated earn-out liabilities totaling $40.1 million. As of December 31, 2021, the range of remaining potential undiscounted earn-out liabilities for the 2019 acquisitions was estimated to be between $2 million to $35 million; however, there is no maximum payment amount.</w:t>
      </w:r>
    </w:p>
    <w:p>
      <w:pPr>
        <w:spacing w:after="0" w:line="71"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b w:val="1"/>
          <w:bCs w:val="1"/>
          <w:i w:val="1"/>
          <w:iCs w:val="1"/>
          <w:color w:val="auto"/>
        </w:rPr>
        <w:t xml:space="preserve">Pro Forma Financial Information and Acquisition Results. </w:t>
      </w:r>
      <w:r>
        <w:rPr>
          <w:rFonts w:ascii="Arial" w:cs="Arial" w:eastAsia="Arial" w:hAnsi="Arial"/>
          <w:sz w:val="15"/>
          <w:szCs w:val="15"/>
          <w:color w:val="auto"/>
        </w:rPr>
        <w:t>For the years ended December 31, 2021, 2020 and 2019, unaudited supplemental pro forma revenue totaled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$10.1 billion, $9.4 billion and $7.6 billion, respectively, and unaudited supplemental pro forma net income totaled approximately $350.1 million, $366.8 million and $406.6 million, respectively.</w:t>
      </w:r>
    </w:p>
    <w:p>
      <w:pPr>
        <w:spacing w:after="0" w:line="74"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b w:val="1"/>
          <w:bCs w:val="1"/>
          <w:i w:val="1"/>
          <w:iCs w:val="1"/>
          <w:color w:val="auto"/>
        </w:rPr>
        <w:t>Pro forma results</w:t>
      </w:r>
      <w:r>
        <w:rPr>
          <w:rFonts w:ascii="Arial" w:cs="Arial" w:eastAsia="Arial" w:hAnsi="Arial"/>
          <w:sz w:val="13"/>
          <w:szCs w:val="13"/>
          <w:color w:val="auto"/>
        </w:rPr>
        <w:t>. These unaudited pro forma financial results include the results of operations of acquired companies as if those companies had been consolidated as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54" w:lineRule="exact"/>
        <w:rPr>
          <w:sz w:val="20"/>
          <w:szCs w:val="20"/>
          <w:color w:val="auto"/>
        </w:rPr>
      </w:pPr>
    </w:p>
    <w:p>
      <w:pPr>
        <w:jc w:val="both"/>
        <w:ind w:firstLine="250"/>
        <w:spacing w:after="0" w:line="271" w:lineRule="auto"/>
        <w:rPr>
          <w:sz w:val="20"/>
          <w:szCs w:val="20"/>
          <w:color w:val="auto"/>
        </w:rPr>
      </w:pPr>
      <w:r>
        <w:rPr>
          <w:rFonts w:ascii="Arial" w:cs="Arial" w:eastAsia="Arial" w:hAnsi="Arial"/>
          <w:sz w:val="14"/>
          <w:szCs w:val="14"/>
          <w:b w:val="1"/>
          <w:bCs w:val="1"/>
          <w:i w:val="1"/>
          <w:iCs w:val="1"/>
          <w:color w:val="auto"/>
        </w:rPr>
        <w:t>Acquisition-related results</w:t>
      </w:r>
      <w:r>
        <w:rPr>
          <w:rFonts w:ascii="Arial" w:cs="Arial" w:eastAsia="Arial" w:hAnsi="Arial"/>
          <w:sz w:val="14"/>
          <w:szCs w:val="14"/>
          <w:color w:val="auto"/>
        </w:rPr>
        <w:t>. For the years ended December 31, 2021, 2020 and 2019, the Company’s consolidated results of operations included acquisition-related revenue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approximately $1.0 billion, $229.9 million and $188.3 million, respectively. Acquisition-related revenue for INTREN totaled $436.0 million for the year ended December 31, 2021. Acquisition-related net income for the year ended December 31, 2021 totaled approximately $6.6 million, and acquisition-related net losses totaled $6.7 million and $1.4 million for the years ended December 31, 2020, and 2019, respectively, based on the Company’s consolidated effective tax rates. These acquisition-related results include amortization of acquired intangible assets and exclude the effects of acquisition costs and interest expense associated with consideration paid for the related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 Fair Value of Financial Instruments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Acquisition-Related Contingent Consideration and Other Liabilities</w:t>
      </w:r>
    </w:p>
    <w:p>
      <w:pPr>
        <w:spacing w:after="0" w:line="102"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Acquisition-related contingent consideration and other liabilities is composed of Earn-outs, which represent the estimated fair value of future amounts payable for businesses, including for mandatorily redeemable non-controlling interests, that are contingent upon the acquired business achieving certain levels of earnings in the future. As of December 31, 2021 and 2020, the estimated fair value of the Company’s Earn-out liabilities totaled $160.2 million and $135.2 million, respectively, of which $13.9 million and $18.8 million, respectively, related to mandatorily redeemable non-controlling interests. Earn-out liabilities included within other current liabilities totaled approximately $38.8 million and $48.1 million as of December 31, 2021 and 2020,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December 31, 2021, ranged from 12.0% to 17.9%, with a weighted average rate of 13.2% based on the relative fair value of each instrument, and probability-weighted projections of earnings before interest, taxes, depreciation and amortization (“EBITDA”). Significant changes in any of</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5"/>
          <w:szCs w:val="15"/>
          <w:color w:val="auto"/>
        </w:rPr>
        <w:t>these assumptions could result in significantly higher or lower potential Earn-out liabilities. The ultimate payment amounts for the Company’s Earn-out liabilities will be determined based on the actual results achieved by the acquired businesses. As of December 31, 2021, the range of potential undiscounted Earn-out liabilities was estimated to be between $38 million and $258 million; however, there is no maximum payment amount.</w:t>
      </w:r>
    </w:p>
    <w:p>
      <w:pPr>
        <w:spacing w:after="0" w:line="74"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Earn-out activity consists primarily of additions from new business combinations; changes in the expected fair value of future payment obligations; and payments. For the years ended December 31, 2021, 2020 and 2019, additions to acquisition-related contingent consideration and other liabilities from new business combinations totaled approximately $101.6 million, $7.2 million and $45.2 million, respectively. There were no measurement period adjustments for the year ended December 31, 2021. Measurement period adjustments in 2020 totaled an increase of approximately $2.1 million and related to businesses in the Company’s Communications segment, and in 2019, totaled a decrease of approximately $6.1 million and related to businesses in the Company’s Oil and Gas and Communications segments. For the year ended December 31, 2021, fair value adjustments across multiple segments totaled a net decrease of approximately $29.5 million, including a $2.8 million decrease related to mandatorily redeemable non-controlling interests. For the year ended December 31, 2020, fair value adjustments across multiple segments totaled a net increase of approximately $3.1 million, including a $1.0 million increase related to mandatorily redeemable non-controlling interests, and for the year ended December 31, 2019, fair value adjustments totaled a net increase of approximately $51.0 million, and related primarily to Earn-outs for businesses in the Company’s Oil and Gas and Communications segments. Earn-out payments totaled $47.0 million, $50.4 million and $35.0 million for the years ended December 31, 2021, 2020 and 2019, respectively.</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Company’s equity investments as of December 31, 2021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or “AVCT”; (v) the Company’s interests in certain proportionately consolidated non-controlled contractual joint ventures; and (vi) certain other equity investments.</w:t>
      </w:r>
    </w:p>
    <w:p>
      <w:pPr>
        <w:spacing w:after="0" w:line="79"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color w:val="auto"/>
        </w:rPr>
        <w:t>As of December 31, 2021 and 2020, the aggregate carrying value of the Company’s equity investments, including equity investments measured on an adjusted cost basis, totaled approximately $267 million and $220 million, respectively. As of December 31, 2021 and 2020, equity investments measured on an adjusted cost basis, including the Company’s $15 million investment in CCI, totaled approximately $20 million and $17 million, respectively. There were no impairments of these investments in any of the years then ended.</w:t>
      </w:r>
    </w:p>
    <w:p>
      <w:pPr>
        <w:spacing w:after="0" w:line="41" w:lineRule="exact"/>
        <w:rPr>
          <w:sz w:val="20"/>
          <w:szCs w:val="20"/>
          <w:color w:val="auto"/>
        </w:rPr>
      </w:pPr>
    </w:p>
    <w:p>
      <w:pPr>
        <w:jc w:val="both"/>
        <w:ind w:firstLine="599"/>
        <w:spacing w:after="0" w:line="291" w:lineRule="auto"/>
        <w:rPr>
          <w:sz w:val="20"/>
          <w:szCs w:val="20"/>
          <w:color w:val="auto"/>
        </w:rPr>
      </w:pPr>
      <w:r>
        <w:rPr>
          <w:rFonts w:ascii="Arial" w:cs="Arial" w:eastAsia="Arial" w:hAnsi="Arial"/>
          <w:sz w:val="13"/>
          <w:szCs w:val="13"/>
          <w:i w:val="1"/>
          <w:iCs w:val="1"/>
          <w:color w:val="auto"/>
        </w:rPr>
        <w:t xml:space="preserve">The Waha JVs. </w:t>
      </w:r>
      <w:r>
        <w:rPr>
          <w:rFonts w:ascii="Arial" w:cs="Arial" w:eastAsia="Arial" w:hAnsi="Arial"/>
          <w:sz w:val="13"/>
          <w:szCs w:val="13"/>
          <w:color w:val="auto"/>
        </w:rPr>
        <w:t>The Waha JVs own and operate certain pipeline infrastructure that transports natural gas to the Mexican border for export. The Company’s investments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Waha JVs are accounted for as equity method investments. Equity in earnings related to the Company’s proportionate share of income from the Waha JVs, which is included within the Company’s Other segment, totaled approximately $35.3 million, $31.3 million and $27.3 million for the years ended December 31, 2021, 2020 and 2019, respectively. Distributions of earnings from the Waha JVs, which are included within operating cash flows, totaled $7.7 million, $12.0 million and $9.1 million for the years ended December 31, 2021, 2020 and 2019, respectively. Cumulative undistributed earnings from the Waha JVs, which represents cumulative equity in earnings for the Waha JVs less distributions of earnings, totaled $94.8 million as of December 31, 2021. The Company’s net investment in the Waha JVs, which differs from its proportionate share of the net assets of the Waha JVs due primarily to equity method goodwill associated with capitalized investment costs, totaled approximately $216 million and $175 million as of December 31, 2021 and 2020, respectively.</w:t>
      </w:r>
    </w:p>
    <w:p>
      <w:pPr>
        <w:spacing w:after="0" w:line="5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 ended December 31, 2021, the Company’s proportionate share of unrecognized unrealized activity on the Waha JV swaps totaled gains of approximately $18.2 million, or $13.8 million, net of tax, and for the years ended December 31, 2020 and 2019, totaled losses of approximately $24.4 million and $19.9 million, or $18.5 million or $15.0 million, net of tax, respectively.</w:t>
      </w:r>
    </w:p>
    <w:p>
      <w:pPr>
        <w:spacing w:after="0" w:line="83"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As of December 31, 2021, the Company’s investments in AVCT, which are included within other current assets in the Company’s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include (i) shares of AVCT common stock, which are equity securities and (ii) warrants for the purchase of AVCT common stock, which are derivative financial instruments. Previously, the Company’s investment in AVCT included debentures that were convertible into shares of AVCT common stock, which were available-for-sale securities. In the third quarter of 2021, the Company’s investment in AVCT convertible debentures was automatically converted into shares of AVCT common stock. As of December 31, 2021 and 2020, the Company’s ownership interest in AVCT’s common stock, including from the converted debentures, totaled approximately 3% and 9%, respectively, and its aggregate ownership interest, assuming the exercise and, as of December 31, 2020, the conversion of all legally exercisable warrants and convertible debentures into AVCT common stock, totaled approximately 6% and 21%, respectively. José R. Mas, MasTec’s Chief Executive Officer, was a director of AVCT through the end of March 2020. The issued shares and those underlying the derivative instruments are salable at various times subject to various contractual and securities law restrictions. The Company does not have the ability to exert significant influence over the operating or financial policies of AVCT.</w:t>
      </w:r>
    </w:p>
    <w:p>
      <w:pPr>
        <w:spacing w:after="0" w:line="8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As of December 31, 2021 and 2020, the aggregate fair value of the Company’s investments in AVCT approximated $8 million and $17 million, respectively, with an aggregate cost approximating $6 million and $5 million, respectively. Unrealized fair value measurement activity related to the AVCT securities recorded within other income or expense, net, totaled losses of approximately $8.5 million for the year ended December 31, 2021, and totaled gains of approximately $10.1 million for the year ended December 31, 2020. The fair value of the AVCT shares is determined based on the market price of identical securities, which is a Level 1 input, beginning as of the second quarter of 2021. Previously, the fair value of the shares was adjusted for certain restrictions on sale, a Level 3 input, which restrictions expired in April 2021. In the third quarter of 2021, in conjunction with the automatic conversion of the AVCT convertible debentures into shares of AVCT common stock, the Company reclassified a gain of $0.7 million from other comprehensive income to other income, net. Prior to the conversion of the AVCT convertible debentures in the third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8" w:name="page69"/>
    <w:bookmarkEnd w:id="68"/>
    <w:p>
      <w:pPr>
        <w:jc w:val="both"/>
        <w:spacing w:after="0" w:line="255" w:lineRule="auto"/>
        <w:rPr>
          <w:sz w:val="20"/>
          <w:szCs w:val="20"/>
          <w:color w:val="auto"/>
        </w:rPr>
      </w:pPr>
      <w:r>
        <w:rPr>
          <w:rFonts w:ascii="Arial" w:cs="Arial" w:eastAsia="Arial" w:hAnsi="Arial"/>
          <w:sz w:val="15"/>
          <w:szCs w:val="15"/>
          <w:color w:val="auto"/>
        </w:rPr>
        <w:t>quarter of 2021, unrealized fair value measurement activity related to the AVCT convertible debentures recognized within other comprehensive income totaled losses of approximately $1.1 million, or $0.8 million, net of tax, respectively, for the year ended December 31, 2021, and totaled gains of approximately $1.8 million, or $1.4 million, net of tax, respectively, for the year ended December 31, 2020. The fair value of the AVCT convertible debentures was determined based on Level 3 inputs.</w:t>
      </w:r>
    </w:p>
    <w:p>
      <w:pPr>
        <w:spacing w:after="0" w:line="74"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During the first quarter of 2021, MasTec committed to fund up to $2.5 million for a 75% equity interest in Confluence Networks, LLC (“Confluence”), an undersea fiber-optic communications systems developer and VIE, of which $1.7 million was funded during 2021. Equity in losses related to the Company’s proportionate share of income from this investment totaled $0.7 million for the year ended December 31, 2021. As of December 31, 2021, MasTec had less than a majority of the members on the board and determined that it did not have a controlling financial interest. The Company has the ability to exert significant influence over the VIE, and, as a result, the Company’s investment in Confluence was accounted for as an equity method investment as of December 31, 2021.</w:t>
      </w:r>
    </w:p>
    <w:p>
      <w:pPr>
        <w:spacing w:after="0" w:line="79"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The Company has equity interests in certain telecommunications entities that are accounted for as equity method investments, for which the Company had an aggregate investment of $20 million and $19 million as of December 31, 2021 and 2020, respectively, including $17 million and $16 million, respectively, for FM Tech. The investment in FM Tech provides for additional funding upon the resolution of certain contingencies, of which $2 million was paid in 2021. The fair value of the remaining contingent payments for FM Tech, which are included within other current liabilities, was estimated to be $3 million and $5 million as of December 31, 2021 and 2020, respectively. As of December 31, 2021, the contingent payment could range up to $7 million. For the year ended December 31, 2021, the Company made equity contributions related to its investments in telecommunications entities totaling approximately $2 million, and for the years ended December 31, 2020 and 2019, made no equity contributions. Equity in losses, net, related to the Company’s proportionate share of income from these telecommunications entities totaled approximately $0.7 million and $1.5 million for the years ended December 31, 2021 and 2020, respectively, and for the year ended December 31, 2019, was de minimis.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73"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Certain of these entities provide services to MasTec. Expense recognized in connection with services provided by these entities for the years ended December 31, 2021, 2020 and 2019 totaled $9.9 million, $11.5 million and $7.0 million, respectively. As of December 31, 2021 and 2020, related amounts payable to these entities totaled $0.3 million and $0.2 million, respectively. In addition, the Company has an employee leasing arrangement with one of these entities. Charges to this entity were de minimis for year ended December 31, 2021, and totaled $0.4 million for the year ended December 31, 2020. As of December 31, 2021 and 2020, related amounts receivable totaled $0.7 million and $0.4 million, respectively. Amounts advanced to these entities for the year ended December 31, 2021 totaled $0.2 million, which amount was outstanding as of December 31, 2021.</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Summarized Financial Information of Equity Method Investments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presents summarized information for the entities that comprise the Company’s significant equity method investments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2"/>
        </w:trPr>
        <w:tc>
          <w:tcPr>
            <w:tcW w:w="67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r>
      <w:tr>
        <w:trPr>
          <w:trHeight w:val="195"/>
        </w:trPr>
        <w:tc>
          <w:tcPr>
            <w:tcW w:w="6780" w:type="dxa"/>
            <w:vAlign w:val="bottom"/>
            <w:shd w:val="clear" w:color="auto" w:fill="CCEEFF"/>
          </w:tcPr>
          <w:p>
            <w:pPr>
              <w:ind w:left="60"/>
              <w:spacing w:after="0"/>
              <w:rPr>
                <w:sz w:val="20"/>
                <w:szCs w:val="20"/>
                <w:color w:val="auto"/>
              </w:rPr>
            </w:pPr>
            <w:r>
              <w:rPr>
                <w:rFonts w:ascii="Arial" w:cs="Arial" w:eastAsia="Arial" w:hAnsi="Arial"/>
                <w:sz w:val="15"/>
                <w:szCs w:val="15"/>
                <w:color w:val="auto"/>
              </w:rPr>
              <w:t>Current assets</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w:t>
            </w:r>
          </w:p>
        </w:tc>
      </w:tr>
      <w:tr>
        <w:trPr>
          <w:trHeight w:val="197"/>
        </w:trPr>
        <w:tc>
          <w:tcPr>
            <w:tcW w:w="678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Long-term assets</w:t>
            </w:r>
          </w:p>
        </w:tc>
        <w:tc>
          <w:tcPr>
            <w:tcW w:w="9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1,395.4</w:t>
            </w:r>
          </w:p>
        </w:tc>
      </w:tr>
      <w:tr>
        <w:trPr>
          <w:trHeight w:val="192"/>
        </w:trPr>
        <w:tc>
          <w:tcPr>
            <w:tcW w:w="6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1,555.7</w:t>
            </w:r>
          </w:p>
        </w:tc>
      </w:tr>
      <w:tr>
        <w:trPr>
          <w:trHeight w:val="170"/>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0"/>
        </w:trPr>
        <w:tc>
          <w:tcPr>
            <w:tcW w:w="6780" w:type="dxa"/>
            <w:vAlign w:val="bottom"/>
            <w:shd w:val="clear" w:color="auto" w:fill="CCEEFF"/>
          </w:tcPr>
          <w:p>
            <w:pPr>
              <w:ind w:left="60"/>
              <w:spacing w:after="0"/>
              <w:rPr>
                <w:sz w:val="20"/>
                <w:szCs w:val="20"/>
                <w:color w:val="auto"/>
              </w:rPr>
            </w:pPr>
            <w:r>
              <w:rPr>
                <w:rFonts w:ascii="Arial" w:cs="Arial" w:eastAsia="Arial" w:hAnsi="Arial"/>
                <w:sz w:val="15"/>
                <w:szCs w:val="15"/>
                <w:color w:val="auto"/>
              </w:rPr>
              <w:t>Current liabilities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r>
      <w:tr>
        <w:trPr>
          <w:trHeight w:val="197"/>
        </w:trPr>
        <w:tc>
          <w:tcPr>
            <w:tcW w:w="678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Long-term liabilities</w:t>
            </w:r>
          </w:p>
        </w:tc>
        <w:tc>
          <w:tcPr>
            <w:tcW w:w="9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1,024.5</w:t>
            </w:r>
          </w:p>
        </w:tc>
      </w:tr>
      <w:tr>
        <w:trPr>
          <w:trHeight w:val="192"/>
        </w:trPr>
        <w:tc>
          <w:tcPr>
            <w:tcW w:w="6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liabilities</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1,080.5</w:t>
            </w:r>
          </w:p>
        </w:tc>
      </w:tr>
      <w:tr>
        <w:trPr>
          <w:trHeight w:val="355"/>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5"/>
                <w:szCs w:val="15"/>
                <w:b w:val="1"/>
                <w:bCs w:val="1"/>
                <w:color w:val="auto"/>
                <w:w w:val="96"/>
              </w:rPr>
              <w:t>For the Years Ended December 31,</w:t>
            </w:r>
          </w:p>
        </w:tc>
        <w:tc>
          <w:tcPr>
            <w:tcW w:w="940" w:type="dxa"/>
            <w:vAlign w:val="bottom"/>
            <w:tcBorders>
              <w:bottom w:val="single" w:sz="8" w:color="auto"/>
            </w:tcBorders>
          </w:tcPr>
          <w:p>
            <w:pPr>
              <w:spacing w:after="0"/>
              <w:rPr>
                <w:sz w:val="24"/>
                <w:szCs w:val="24"/>
                <w:color w:val="auto"/>
              </w:rPr>
            </w:pPr>
          </w:p>
        </w:tc>
      </w:tr>
      <w:tr>
        <w:trPr>
          <w:trHeight w:val="192"/>
        </w:trPr>
        <w:tc>
          <w:tcPr>
            <w:tcW w:w="67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2019</w:t>
            </w:r>
          </w:p>
        </w:tc>
      </w:tr>
      <w:tr>
        <w:trPr>
          <w:trHeight w:val="195"/>
        </w:trPr>
        <w:tc>
          <w:tcPr>
            <w:tcW w:w="6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w:t>
            </w:r>
          </w:p>
        </w:tc>
      </w:tr>
      <w:tr>
        <w:trPr>
          <w:trHeight w:val="194"/>
        </w:trPr>
        <w:tc>
          <w:tcPr>
            <w:tcW w:w="67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tcPr>
          <w:p>
            <w:pPr>
              <w:jc w:val="right"/>
              <w:ind w:right="765"/>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107.1</w:t>
            </w:r>
          </w:p>
        </w:tc>
        <w:tc>
          <w:tcPr>
            <w:tcW w:w="100" w:type="dxa"/>
            <w:vAlign w:val="bottom"/>
          </w:tcPr>
          <w:p>
            <w:pPr>
              <w:spacing w:after="0"/>
              <w:rPr>
                <w:sz w:val="16"/>
                <w:szCs w:val="16"/>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94.7</w:t>
            </w:r>
          </w:p>
        </w:tc>
        <w:tc>
          <w:tcPr>
            <w:tcW w:w="100" w:type="dxa"/>
            <w:vAlign w:val="bottom"/>
          </w:tcPr>
          <w:p>
            <w:pPr>
              <w:spacing w:after="0"/>
              <w:rPr>
                <w:sz w:val="16"/>
                <w:szCs w:val="16"/>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82.8</w:t>
            </w:r>
          </w:p>
        </w:tc>
      </w:tr>
    </w:tbl>
    <w:p>
      <w:pPr>
        <w:spacing w:after="0" w:line="27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Senior Notes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As of both December 31, 2021 and 2020, the gross carrying amount of the Company’s 4.50% senior notes due August 15, 2028 (the “4.50% Senior Notes”) totaled $600.0 million, and their estimated fair value, based on an exit price approach using Level 1 inputs, totaled $619.5 million and $625.5 million, respectively. See Note 7 - Debt for information related to the Company’s debt instruments.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Note 5 – Accounts Receivable, Net of Allowance, and Contract Assets and Liabilities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2020</w:t>
            </w:r>
          </w:p>
        </w:tc>
      </w:tr>
      <w:tr>
        <w:trPr>
          <w:trHeight w:val="195"/>
        </w:trPr>
        <w:tc>
          <w:tcPr>
            <w:tcW w:w="83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Contract billings</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1,027.1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805.0</w:t>
            </w:r>
          </w:p>
        </w:tc>
      </w:tr>
      <w:tr>
        <w:trPr>
          <w:trHeight w:val="197"/>
        </w:trPr>
        <w:tc>
          <w:tcPr>
            <w:tcW w:w="830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Less allowance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w w:val="91"/>
              </w:rPr>
              <w:t>(20.5)</w:t>
            </w:r>
          </w:p>
        </w:tc>
      </w:tr>
      <w:tr>
        <w:trPr>
          <w:trHeight w:val="192"/>
        </w:trPr>
        <w:tc>
          <w:tcPr>
            <w:tcW w:w="83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receivable, net of allowance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1,019.3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784.5</w:t>
            </w:r>
          </w:p>
        </w:tc>
      </w:tr>
      <w:tr>
        <w:trPr>
          <w:trHeight w:val="220"/>
        </w:trPr>
        <w:tc>
          <w:tcPr>
            <w:tcW w:w="8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8300" w:type="dxa"/>
            <w:vAlign w:val="bottom"/>
            <w:shd w:val="clear" w:color="auto" w:fill="CCEEFF"/>
          </w:tcPr>
          <w:p>
            <w:pPr>
              <w:ind w:left="60"/>
              <w:spacing w:after="0"/>
              <w:rPr>
                <w:sz w:val="20"/>
                <w:szCs w:val="20"/>
                <w:color w:val="auto"/>
              </w:rPr>
            </w:pPr>
            <w:r>
              <w:rPr>
                <w:rFonts w:ascii="Arial" w:cs="Arial" w:eastAsia="Arial" w:hAnsi="Arial"/>
                <w:sz w:val="15"/>
                <w:szCs w:val="15"/>
                <w:color w:val="auto"/>
              </w:rPr>
              <w:t>Retainage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287.7</w:t>
            </w:r>
          </w:p>
        </w:tc>
      </w:tr>
      <w:tr>
        <w:trPr>
          <w:trHeight w:val="197"/>
        </w:trPr>
        <w:tc>
          <w:tcPr>
            <w:tcW w:w="830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Unbilled receivables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682.0</w:t>
            </w:r>
          </w:p>
        </w:tc>
      </w:tr>
      <w:tr>
        <w:trPr>
          <w:trHeight w:val="192"/>
        </w:trPr>
        <w:tc>
          <w:tcPr>
            <w:tcW w:w="8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Contract assets</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1,227.9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969.7</w:t>
            </w:r>
          </w:p>
        </w:tc>
      </w:tr>
    </w:tbl>
    <w:p>
      <w:pPr>
        <w:spacing w:after="0" w:line="179" w:lineRule="exact"/>
        <w:rPr>
          <w:sz w:val="20"/>
          <w:szCs w:val="20"/>
          <w:color w:val="auto"/>
        </w:rPr>
      </w:pPr>
    </w:p>
    <w:p>
      <w:pPr>
        <w:jc w:val="both"/>
        <w:ind w:firstLine="599"/>
        <w:spacing w:after="0" w:line="287" w:lineRule="auto"/>
        <w:rPr>
          <w:sz w:val="20"/>
          <w:szCs w:val="20"/>
          <w:color w:val="auto"/>
        </w:rPr>
      </w:pPr>
      <w:r>
        <w:rPr>
          <w:rFonts w:ascii="Arial" w:cs="Arial" w:eastAsia="Arial" w:hAnsi="Arial"/>
          <w:sz w:val="13"/>
          <w:szCs w:val="13"/>
          <w:color w:val="auto"/>
        </w:rPr>
        <w:t>Contract billings represent the amount of performance obligations that have been billed but have not yet been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The increase in unbilled receivables as of December 31, 2021 was driven primarily by the Company’s recent acquisitions, including from ordinary course project activity. Retainage is not considered to be a significant financing component because the intent is to protect the customer. Unbilled receivables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balances expected to be collected beyond one year are recorded within other long-term assets. For the year ended December 31, 2021, provisions for credit losses totaled a recovery of $11.9 million resulting from successful collection of previously reserved amounts, and amounts charged against the allowance, including direct write-offs, totaled $0.8 million. For the year ended December 31, 2020, provisions for credit losses totaled $12.1 million, and amounts charged against the allowance, including direct write-offs, totaled $1.7 million. Impairment losses on contract assets were not material in any of the years ended December 31, 2021, 2020 and 2019.</w:t>
      </w:r>
    </w:p>
    <w:p>
      <w:pPr>
        <w:spacing w:after="0" w:line="60"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$314.0 million and $228.4 million as of December 31, 2021 and 2020, respectively, of which deferred revenue comprised approximately $296.1 million and $203.0 million, respectively. For the years ended December 31, 2021 and 2020, the Company recognized revenue of approximately $186.9 million and $159.6 million, respectively, related to amounts that were included in deferred revenue as of December 31, 2020 and 2019, respectively, resulting primarily from the advancement of physical progress on the related projects during the related periods.</w:t>
      </w:r>
    </w:p>
    <w:p>
      <w:pPr>
        <w:spacing w:after="0" w:line="71"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Discount charges related to these arrangements, which are included within interest expense, net, totaled approximately $3.2 million, $5.0 million and $10.1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auto"/>
        </w:rPr>
        <w:t>Note 6 – Property and Equipment, Net</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following table provides details of property and equipment, net, including property and equipment held under finance leases as of the dates indicated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5"/>
                <w:szCs w:val="15"/>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6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88"/>
              </w:rPr>
              <w:t>Estimated Useful Lives</w:t>
            </w:r>
          </w:p>
        </w:tc>
        <w:tc>
          <w:tcPr>
            <w:tcW w:w="0" w:type="dxa"/>
            <w:vAlign w:val="bottom"/>
          </w:tcPr>
          <w:p>
            <w:pPr>
              <w:spacing w:after="0"/>
              <w:rPr>
                <w:sz w:val="1"/>
                <w:szCs w:val="1"/>
                <w:color w:val="auto"/>
              </w:rPr>
            </w:pPr>
          </w:p>
        </w:tc>
      </w:tr>
      <w:tr>
        <w:trPr>
          <w:trHeight w:val="186"/>
        </w:trPr>
        <w:tc>
          <w:tcPr>
            <w:tcW w:w="56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94"/>
        </w:trPr>
        <w:tc>
          <w:tcPr>
            <w:tcW w:w="5640" w:type="dxa"/>
            <w:vAlign w:val="bottom"/>
            <w:shd w:val="clear" w:color="auto" w:fill="CCEEFF"/>
          </w:tcPr>
          <w:p>
            <w:pPr>
              <w:ind w:left="60"/>
              <w:spacing w:after="0"/>
              <w:rPr>
                <w:sz w:val="20"/>
                <w:szCs w:val="20"/>
                <w:color w:val="auto"/>
              </w:rPr>
            </w:pPr>
            <w:r>
              <w:rPr>
                <w:rFonts w:ascii="Arial" w:cs="Arial" w:eastAsia="Arial" w:hAnsi="Arial"/>
                <w:sz w:val="15"/>
                <w:szCs w:val="15"/>
                <w:color w:val="auto"/>
              </w:rPr>
              <w:t>Land</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60"/>
              <w:spacing w:after="0"/>
              <w:rPr>
                <w:sz w:val="20"/>
                <w:szCs w:val="20"/>
                <w:color w:val="auto"/>
              </w:rPr>
            </w:pPr>
            <w:r>
              <w:rPr>
                <w:rFonts w:ascii="Arial" w:cs="Arial" w:eastAsia="Arial" w:hAnsi="Arial"/>
                <w:sz w:val="15"/>
                <w:szCs w:val="15"/>
                <w:color w:val="auto"/>
              </w:rPr>
              <w:t>Buildings and leasehold improvements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94.1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40.5</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180" w:type="dxa"/>
            <w:vAlign w:val="bottom"/>
          </w:tcPr>
          <w:p>
            <w:pPr>
              <w:ind w:left="20"/>
              <w:spacing w:after="0"/>
              <w:rPr>
                <w:sz w:val="20"/>
                <w:szCs w:val="20"/>
                <w:color w:val="auto"/>
              </w:rPr>
            </w:pPr>
            <w:r>
              <w:rPr>
                <w:rFonts w:ascii="Arial" w:cs="Arial" w:eastAsia="Arial" w:hAnsi="Arial"/>
                <w:sz w:val="15"/>
                <w:szCs w:val="15"/>
                <w:color w:val="auto"/>
              </w:rPr>
              <w:t>- 40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60"/>
              <w:spacing w:after="0"/>
              <w:rPr>
                <w:sz w:val="20"/>
                <w:szCs w:val="20"/>
                <w:color w:val="auto"/>
              </w:rPr>
            </w:pPr>
            <w:r>
              <w:rPr>
                <w:rFonts w:ascii="Arial" w:cs="Arial" w:eastAsia="Arial" w:hAnsi="Arial"/>
                <w:sz w:val="15"/>
                <w:szCs w:val="15"/>
                <w:color w:val="auto"/>
              </w:rPr>
              <w:t>Machinery and equipment</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2,411.0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- 20</w:t>
            </w:r>
          </w:p>
        </w:tc>
        <w:tc>
          <w:tcPr>
            <w:tcW w:w="0" w:type="dxa"/>
            <w:vAlign w:val="bottom"/>
          </w:tcPr>
          <w:p>
            <w:pPr>
              <w:spacing w:after="0"/>
              <w:rPr>
                <w:sz w:val="1"/>
                <w:szCs w:val="1"/>
                <w:color w:val="auto"/>
              </w:rPr>
            </w:pPr>
          </w:p>
        </w:tc>
      </w:tr>
      <w:tr>
        <w:trPr>
          <w:trHeight w:val="197"/>
        </w:trPr>
        <w:tc>
          <w:tcPr>
            <w:tcW w:w="5640" w:type="dxa"/>
            <w:vAlign w:val="bottom"/>
          </w:tcPr>
          <w:p>
            <w:pPr>
              <w:ind w:left="60"/>
              <w:spacing w:after="0"/>
              <w:rPr>
                <w:sz w:val="20"/>
                <w:szCs w:val="20"/>
                <w:color w:val="auto"/>
              </w:rPr>
            </w:pPr>
            <w:r>
              <w:rPr>
                <w:rFonts w:ascii="Arial" w:cs="Arial" w:eastAsia="Arial" w:hAnsi="Arial"/>
                <w:sz w:val="15"/>
                <w:szCs w:val="15"/>
                <w:color w:val="auto"/>
              </w:rPr>
              <w:t>Office furniture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262.6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221.6</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180" w:type="dxa"/>
            <w:vAlign w:val="bottom"/>
          </w:tcPr>
          <w:p>
            <w:pPr>
              <w:ind w:left="20"/>
              <w:spacing w:after="0"/>
              <w:rPr>
                <w:sz w:val="20"/>
                <w:szCs w:val="20"/>
                <w:color w:val="auto"/>
              </w:rPr>
            </w:pPr>
            <w:r>
              <w:rPr>
                <w:rFonts w:ascii="Arial" w:cs="Arial" w:eastAsia="Arial" w:hAnsi="Arial"/>
                <w:sz w:val="15"/>
                <w:szCs w:val="15"/>
                <w:color w:val="auto"/>
              </w:rPr>
              <w:t>- 7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Construction in progress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280"/>
              <w:spacing w:after="0"/>
              <w:rPr>
                <w:sz w:val="20"/>
                <w:szCs w:val="20"/>
                <w:color w:val="auto"/>
              </w:rPr>
            </w:pPr>
            <w:r>
              <w:rPr>
                <w:rFonts w:ascii="Arial" w:cs="Arial" w:eastAsia="Arial" w:hAnsi="Arial"/>
                <w:sz w:val="15"/>
                <w:szCs w:val="15"/>
                <w:color w:val="auto"/>
              </w:rPr>
              <w:t>Total property and equipment</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2,840.4</w:t>
            </w:r>
          </w:p>
        </w:tc>
        <w:tc>
          <w:tcPr>
            <w:tcW w:w="100" w:type="dxa"/>
            <w:vAlign w:val="bottom"/>
          </w:tcPr>
          <w:p>
            <w:pPr>
              <w:spacing w:after="0"/>
              <w:rPr>
                <w:sz w:val="16"/>
                <w:szCs w:val="16"/>
                <w:color w:val="auto"/>
              </w:rPr>
            </w:pPr>
          </w:p>
        </w:tc>
        <w:tc>
          <w:tcPr>
            <w:tcW w:w="980" w:type="dxa"/>
            <w:vAlign w:val="bottom"/>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2,169.7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60"/>
              <w:spacing w:after="0"/>
              <w:rPr>
                <w:sz w:val="20"/>
                <w:szCs w:val="20"/>
                <w:color w:val="auto"/>
              </w:rPr>
            </w:pPr>
            <w:r>
              <w:rPr>
                <w:rFonts w:ascii="Arial" w:cs="Arial" w:eastAsia="Arial" w:hAnsi="Arial"/>
                <w:sz w:val="15"/>
                <w:szCs w:val="15"/>
                <w:color w:val="auto"/>
              </w:rPr>
              <w:t>Less accumulated depreciation and amortization</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(1,404.3)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(1,187.4)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280"/>
              <w:spacing w:after="0"/>
              <w:rPr>
                <w:sz w:val="20"/>
                <w:szCs w:val="20"/>
                <w:color w:val="auto"/>
              </w:rPr>
            </w:pPr>
            <w:r>
              <w:rPr>
                <w:rFonts w:ascii="Arial" w:cs="Arial" w:eastAsia="Arial" w:hAnsi="Arial"/>
                <w:sz w:val="15"/>
                <w:szCs w:val="15"/>
                <w:color w:val="auto"/>
              </w:rPr>
              <w:t>Property and equipment, net</w:t>
            </w: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1,436.1</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0" w:firstLine="599"/>
        <w:spacing w:after="0" w:line="251" w:lineRule="auto"/>
        <w:rPr>
          <w:sz w:val="20"/>
          <w:szCs w:val="20"/>
          <w:color w:val="auto"/>
        </w:rPr>
      </w:pPr>
      <w:r>
        <w:rPr>
          <w:rFonts w:ascii="Arial" w:cs="Arial" w:eastAsia="Arial" w:hAnsi="Arial"/>
          <w:sz w:val="15"/>
          <w:szCs w:val="15"/>
          <w:color w:val="auto"/>
        </w:rPr>
        <w:t>The gross amount of capitalized internal-use software, which is included within office furniture and equipment, totaled $176.4 million and $154.1 million as of December 31, 2021 and 2020, respectively. Capitalized internal-use software, net of accumulated amortization, totaled $43.9 million and $34.3 million as of December 31, 2021 and 2020, respectively. Accrued capital expenditures, the effects of which are excluded from capital expenditures in the Company’s consolidated statements of cash flows given their non-cash nature, totaled $17.5 million and $13.5 million as of December 31, 2021 and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Debt</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provides details of the carrying values of debt as of the dates indicated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5"/>
                <w:szCs w:val="15"/>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42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2020</w:t>
            </w:r>
          </w:p>
        </w:tc>
      </w:tr>
      <w:tr>
        <w:trPr>
          <w:trHeight w:val="195"/>
        </w:trPr>
        <w:tc>
          <w:tcPr>
            <w:tcW w:w="43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Senior credit facility:</w:t>
            </w:r>
          </w:p>
        </w:tc>
        <w:tc>
          <w:tcPr>
            <w:tcW w:w="402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November 1, 2026</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7"/>
        </w:trPr>
        <w:tc>
          <w:tcPr>
            <w:tcW w:w="4380" w:type="dxa"/>
            <w:vAlign w:val="bottom"/>
            <w:gridSpan w:val="2"/>
          </w:tcPr>
          <w:p>
            <w:pPr>
              <w:ind w:left="720"/>
              <w:spacing w:after="0"/>
              <w:rPr>
                <w:sz w:val="20"/>
                <w:szCs w:val="20"/>
                <w:color w:val="auto"/>
              </w:rPr>
            </w:pPr>
            <w:r>
              <w:rPr>
                <w:rFonts w:ascii="Arial" w:cs="Arial" w:eastAsia="Arial" w:hAnsi="Arial"/>
                <w:sz w:val="15"/>
                <w:szCs w:val="15"/>
                <w:color w:val="auto"/>
              </w:rPr>
              <w:t>Revolving loans</w:t>
            </w:r>
          </w:p>
        </w:tc>
        <w:tc>
          <w:tcPr>
            <w:tcW w:w="4020" w:type="dxa"/>
            <w:vAlign w:val="bottom"/>
            <w:gridSpan w:val="3"/>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772.3</w:t>
            </w:r>
          </w:p>
        </w:tc>
        <w:tc>
          <w:tcPr>
            <w:tcW w:w="100" w:type="dxa"/>
            <w:vAlign w:val="bottom"/>
          </w:tcPr>
          <w:p>
            <w:pPr>
              <w:spacing w:after="0"/>
              <w:rPr>
                <w:sz w:val="17"/>
                <w:szCs w:val="17"/>
                <w:color w:val="auto"/>
              </w:rPr>
            </w:pPr>
          </w:p>
        </w:tc>
        <w:tc>
          <w:tcPr>
            <w:tcW w:w="8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03"/>
        </w:trPr>
        <w:tc>
          <w:tcPr>
            <w:tcW w:w="43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Term loan</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397.5</w:t>
            </w:r>
          </w:p>
        </w:tc>
      </w:tr>
      <w:tr>
        <w:trPr>
          <w:trHeight w:val="197"/>
        </w:trPr>
        <w:tc>
          <w:tcPr>
            <w:tcW w:w="4380" w:type="dxa"/>
            <w:vAlign w:val="bottom"/>
            <w:gridSpan w:val="2"/>
          </w:tcPr>
          <w:p>
            <w:pPr>
              <w:ind w:left="620"/>
              <w:spacing w:after="0"/>
              <w:rPr>
                <w:sz w:val="20"/>
                <w:szCs w:val="20"/>
                <w:color w:val="auto"/>
              </w:rPr>
            </w:pPr>
            <w:r>
              <w:rPr>
                <w:rFonts w:ascii="Arial" w:cs="Arial" w:eastAsia="Arial" w:hAnsi="Arial"/>
                <w:sz w:val="15"/>
                <w:szCs w:val="15"/>
                <w:color w:val="auto"/>
              </w:rPr>
              <w:t>4.50% Senior Notes</w:t>
            </w:r>
          </w:p>
        </w:tc>
        <w:tc>
          <w:tcPr>
            <w:tcW w:w="4020" w:type="dxa"/>
            <w:vAlign w:val="bottom"/>
            <w:gridSpan w:val="3"/>
          </w:tcPr>
          <w:p>
            <w:pPr>
              <w:ind w:left="620"/>
              <w:spacing w:after="0"/>
              <w:rPr>
                <w:sz w:val="20"/>
                <w:szCs w:val="20"/>
                <w:color w:val="auto"/>
              </w:rPr>
            </w:pPr>
            <w:r>
              <w:rPr>
                <w:rFonts w:ascii="Arial" w:cs="Arial" w:eastAsia="Arial" w:hAnsi="Arial"/>
                <w:sz w:val="15"/>
                <w:szCs w:val="15"/>
                <w:color w:val="auto"/>
              </w:rPr>
              <w:t>August 15, 2028</w:t>
            </w:r>
          </w:p>
        </w:tc>
        <w:tc>
          <w:tcPr>
            <w:tcW w:w="940" w:type="dxa"/>
            <w:vAlign w:val="bottom"/>
          </w:tcPr>
          <w:p>
            <w:pPr>
              <w:jc w:val="right"/>
              <w:spacing w:after="0"/>
              <w:rPr>
                <w:sz w:val="20"/>
                <w:szCs w:val="20"/>
                <w:color w:val="auto"/>
              </w:rPr>
            </w:pPr>
            <w:r>
              <w:rPr>
                <w:rFonts w:ascii="Arial" w:cs="Arial" w:eastAsia="Arial" w:hAnsi="Arial"/>
                <w:sz w:val="15"/>
                <w:szCs w:val="15"/>
                <w:color w:val="auto"/>
              </w:rPr>
              <w:t>600.0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600.0</w:t>
            </w:r>
          </w:p>
        </w:tc>
      </w:tr>
      <w:tr>
        <w:trPr>
          <w:trHeight w:val="203"/>
        </w:trPr>
        <w:tc>
          <w:tcPr>
            <w:tcW w:w="43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Finance lease and other obligations</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310.3</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288.5</w:t>
            </w:r>
          </w:p>
        </w:tc>
      </w:tr>
      <w:tr>
        <w:trPr>
          <w:trHeight w:val="189"/>
        </w:trPr>
        <w:tc>
          <w:tcPr>
            <w:tcW w:w="4380" w:type="dxa"/>
            <w:vAlign w:val="bottom"/>
            <w:gridSpan w:val="2"/>
          </w:tcPr>
          <w:p>
            <w:pPr>
              <w:ind w:left="720"/>
              <w:spacing w:after="0"/>
              <w:rPr>
                <w:sz w:val="20"/>
                <w:szCs w:val="20"/>
                <w:color w:val="auto"/>
              </w:rPr>
            </w:pPr>
            <w:r>
              <w:rPr>
                <w:rFonts w:ascii="Arial" w:cs="Arial" w:eastAsia="Arial" w:hAnsi="Arial"/>
                <w:sz w:val="15"/>
                <w:szCs w:val="15"/>
                <w:color w:val="auto"/>
              </w:rPr>
              <w:t>Total debt obligations</w:t>
            </w:r>
          </w:p>
        </w:tc>
        <w:tc>
          <w:tcPr>
            <w:tcW w:w="4020" w:type="dxa"/>
            <w:vAlign w:val="bottom"/>
            <w:gridSpan w:val="3"/>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2,032.6</w:t>
            </w:r>
          </w:p>
        </w:tc>
        <w:tc>
          <w:tcPr>
            <w:tcW w:w="100" w:type="dxa"/>
            <w:vAlign w:val="bottom"/>
          </w:tcPr>
          <w:p>
            <w:pPr>
              <w:spacing w:after="0"/>
              <w:rPr>
                <w:sz w:val="16"/>
                <w:szCs w:val="16"/>
                <w:color w:val="auto"/>
              </w:rPr>
            </w:pPr>
          </w:p>
        </w:tc>
        <w:tc>
          <w:tcPr>
            <w:tcW w:w="8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1,318.7</w:t>
            </w:r>
          </w:p>
        </w:tc>
      </w:tr>
      <w:tr>
        <w:trPr>
          <w:trHeight w:val="195"/>
        </w:trPr>
        <w:tc>
          <w:tcPr>
            <w:tcW w:w="4380" w:type="dxa"/>
            <w:vAlign w:val="bottom"/>
            <w:tcBorders>
              <w:top w:val="single" w:sz="8" w:color="CCEEFF"/>
            </w:tcBorders>
            <w:gridSpan w:val="2"/>
            <w:shd w:val="clear" w:color="auto" w:fill="CCEEFF"/>
          </w:tcPr>
          <w:p>
            <w:pPr>
              <w:ind w:left="800"/>
              <w:spacing w:after="0"/>
              <w:rPr>
                <w:sz w:val="20"/>
                <w:szCs w:val="20"/>
                <w:color w:val="auto"/>
              </w:rPr>
            </w:pPr>
            <w:r>
              <w:rPr>
                <w:rFonts w:ascii="Arial" w:cs="Arial" w:eastAsia="Arial" w:hAnsi="Arial"/>
                <w:sz w:val="15"/>
                <w:szCs w:val="15"/>
                <w:color w:val="auto"/>
              </w:rPr>
              <w:t>Less unamortized deferred financing costs</w:t>
            </w:r>
          </w:p>
        </w:tc>
        <w:tc>
          <w:tcPr>
            <w:tcW w:w="3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w:t>
            </w:r>
          </w:p>
        </w:tc>
      </w:tr>
      <w:tr>
        <w:trPr>
          <w:trHeight w:val="189"/>
        </w:trPr>
        <w:tc>
          <w:tcPr>
            <w:tcW w:w="4380" w:type="dxa"/>
            <w:vAlign w:val="bottom"/>
            <w:gridSpan w:val="2"/>
          </w:tcPr>
          <w:p>
            <w:pPr>
              <w:ind w:left="720"/>
              <w:spacing w:after="0"/>
              <w:rPr>
                <w:sz w:val="20"/>
                <w:szCs w:val="20"/>
                <w:color w:val="auto"/>
              </w:rPr>
            </w:pPr>
            <w:r>
              <w:rPr>
                <w:rFonts w:ascii="Arial" w:cs="Arial" w:eastAsia="Arial" w:hAnsi="Arial"/>
                <w:sz w:val="15"/>
                <w:szCs w:val="15"/>
                <w:color w:val="auto"/>
              </w:rPr>
              <w:t>Total debt, net of deferred financing costs</w:t>
            </w:r>
          </w:p>
        </w:tc>
        <w:tc>
          <w:tcPr>
            <w:tcW w:w="4020" w:type="dxa"/>
            <w:vAlign w:val="bottom"/>
            <w:gridSpan w:val="3"/>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2,014.1</w:t>
            </w:r>
          </w:p>
        </w:tc>
        <w:tc>
          <w:tcPr>
            <w:tcW w:w="100" w:type="dxa"/>
            <w:vAlign w:val="bottom"/>
          </w:tcPr>
          <w:p>
            <w:pPr>
              <w:spacing w:after="0"/>
              <w:rPr>
                <w:sz w:val="16"/>
                <w:szCs w:val="16"/>
                <w:color w:val="auto"/>
              </w:rPr>
            </w:pPr>
          </w:p>
        </w:tc>
        <w:tc>
          <w:tcPr>
            <w:tcW w:w="8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1,302.7</w:t>
            </w:r>
          </w:p>
        </w:tc>
      </w:tr>
      <w:tr>
        <w:trPr>
          <w:trHeight w:val="195"/>
        </w:trPr>
        <w:tc>
          <w:tcPr>
            <w:tcW w:w="4380" w:type="dxa"/>
            <w:vAlign w:val="bottom"/>
            <w:tcBorders>
              <w:top w:val="single" w:sz="8" w:color="CCEEFF"/>
            </w:tcBorders>
            <w:gridSpan w:val="2"/>
            <w:shd w:val="clear" w:color="auto" w:fill="CCEEFF"/>
          </w:tcPr>
          <w:p>
            <w:pPr>
              <w:ind w:left="800"/>
              <w:spacing w:after="0"/>
              <w:rPr>
                <w:sz w:val="20"/>
                <w:szCs w:val="20"/>
                <w:color w:val="auto"/>
              </w:rPr>
            </w:pPr>
            <w:r>
              <w:rPr>
                <w:rFonts w:ascii="Arial" w:cs="Arial" w:eastAsia="Arial" w:hAnsi="Arial"/>
                <w:sz w:val="15"/>
                <w:szCs w:val="15"/>
                <w:color w:val="auto"/>
              </w:rPr>
              <w:t>Current portion of long-term debt</w:t>
            </w:r>
          </w:p>
        </w:tc>
        <w:tc>
          <w:tcPr>
            <w:tcW w:w="3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145.1</w:t>
            </w:r>
          </w:p>
        </w:tc>
      </w:tr>
      <w:tr>
        <w:trPr>
          <w:trHeight w:val="189"/>
        </w:trPr>
        <w:tc>
          <w:tcPr>
            <w:tcW w:w="4380" w:type="dxa"/>
            <w:vAlign w:val="bottom"/>
            <w:gridSpan w:val="2"/>
          </w:tcPr>
          <w:p>
            <w:pPr>
              <w:ind w:left="800"/>
              <w:spacing w:after="0"/>
              <w:rPr>
                <w:sz w:val="20"/>
                <w:szCs w:val="20"/>
                <w:color w:val="auto"/>
              </w:rPr>
            </w:pPr>
            <w:r>
              <w:rPr>
                <w:rFonts w:ascii="Arial" w:cs="Arial" w:eastAsia="Arial" w:hAnsi="Arial"/>
                <w:sz w:val="15"/>
                <w:szCs w:val="15"/>
                <w:color w:val="auto"/>
              </w:rPr>
              <w:t>Long-term debt</w:t>
            </w:r>
          </w:p>
        </w:tc>
        <w:tc>
          <w:tcPr>
            <w:tcW w:w="3140" w:type="dxa"/>
            <w:vAlign w:val="bottom"/>
            <w:gridSpan w:val="2"/>
          </w:tcPr>
          <w:p>
            <w:pPr>
              <w:spacing w:after="0"/>
              <w:rPr>
                <w:sz w:val="16"/>
                <w:szCs w:val="16"/>
                <w:color w:val="auto"/>
              </w:rPr>
            </w:pPr>
          </w:p>
        </w:tc>
        <w:tc>
          <w:tcPr>
            <w:tcW w:w="8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1,876.2</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1,157.6</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Senior Credit Facility</w:t>
      </w:r>
    </w:p>
    <w:p>
      <w:pPr>
        <w:spacing w:after="0" w:line="102"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5"/>
          <w:szCs w:val="15"/>
          <w:color w:val="auto"/>
        </w:rPr>
        <w:t>On November 1, 2021, the Company refunded and replaced its senior secured credit facility with a senior unsecured credit facility (the “replacement Credit Facility”). The replacement Credit Facility, among other items, extended the maturity of the senior secured credit facility from September 19, 2024 to November 1, 2026, and increased total commitments from $1.75 billion to $2.0 billion, which amount is composed of $1.65 billion of revolving commitments and a term loan with an original principal amount of $350 million (the “Term Loan”), which amount was drawn as of the closing of the replacement Credit Facility. The Term Loan is subject to amortization in quarterly principal installments of approximately $2.2 million commencing in March 2023, which quarterly installments increase to approximately $4.4 million in March 2025 until maturity. Quarterly principal installments on the Term Loan are subject to adjustment, if applicable, for certain prepayments. The replacement of the credit facility was evaluated in accordance with ASC 470-50, Debt - Modifications and Extinguishments and determined to be a debt modification. In making this determination, the Company considered whether the lenders within the syndicate remained the same or changed and whether the changes in debt terms were substantial. With exception for an immaterial amount of debt issuance costs that were written off, the debt issuance costs associated with the Company’s previous credit facility, together with the $6 million of newly incurred debt issuance costs, will be amortized over the remaining term of the replacement Credit Facility.</w:t>
      </w:r>
    </w:p>
    <w:p>
      <w:pPr>
        <w:spacing w:after="0" w:line="87"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replacement Credit Facility allows the Company to borrow up to an aggregate equivalent amount of $300 million in revolving advances either in Canadian dollars and/or Mexican pesos. The maximum amount available for letters of credit under the replacement Credit Facility is $650 million, of which up to $200 million can be denominated in either Canadian dollars and/or Mexican pesos. The replacement Credit Facility also provides for swing line loans of up to $125 million, and, subject to certain conditions, the Company has the option to increase revolving commitments and/or establish additional term loan tranches, as defined in the replacement Credit Facility. Subject to certain limitations described in the replacement Credit Facility, these additional term loan tranches may have terms and pricing that differ from the replacement Credit Facility.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jc w:val="both"/>
        <w:spacing w:after="0" w:line="303" w:lineRule="auto"/>
        <w:rPr>
          <w:sz w:val="20"/>
          <w:szCs w:val="20"/>
          <w:color w:val="auto"/>
        </w:rPr>
      </w:pPr>
      <w:r>
        <w:rPr>
          <w:rFonts w:ascii="Arial" w:cs="Arial" w:eastAsia="Arial" w:hAnsi="Arial"/>
          <w:sz w:val="14"/>
          <w:szCs w:val="14"/>
          <w:color w:val="auto"/>
        </w:rPr>
        <w:t>Borrowings under the replacement Credit Facility are used for working capital requirements, capital expenditures and other corporate purposes, including potential acquisitions, equity investments or other strategic arrangements, the repurchase or prepayment of indebtedness, including repayment of term loans and potential share repurchases.</w:t>
      </w:r>
    </w:p>
    <w:p>
      <w:pPr>
        <w:spacing w:after="0" w:line="43"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5"/>
          <w:szCs w:val="15"/>
          <w:color w:val="auto"/>
        </w:rPr>
        <w:t>Outstanding revolving loans and the Term Loan under the replacement Credit Facility bear interest, at the Company’s option, at a rate equal to either (a) a Eurocurrency Rate, as defined in the replacement Credit Facility, plus a margin of 1.125% to 1.625% (under the senior secured credit facility, the margin was from 1.25% to 1.75%), or (b) a Base Rate, as defined in the replacement Credit Facility, plus a margin of 0.125% to 0.625% (under the senior secured credit facility, the margin was from 0.25% to 0.75%). The Base Rate equals the highest of (i) the Federal Funds Rate, as defined in the replacement Credit Facility, plus 0.50%, (ii) Bank of America’s prime rate, and (iii) the Eurocurrency Rate plus 1.00%. Financial standby letters of credit and commercial letters of credit issued under the replacement Credit Facility are subject to a letter of credit fee of 1.125% to 1.625% (under the senior secured credit facility, the letter of credit fee was from 1.25% to 1.75%), and performance standby letters of credit issued under the replacement Credit Facility are subject to a letter of credit fee of 0.3125% to 0.6875% (under the senior secured credit facility, the letter of credit fee was from 0.375% to 0.75%). The Company must also pay a commitment fee to the lenders of 0.150% to 0.225% (under the senior secured credit facility, the commitment fee was from 0.20% to 0.30%) on any unused availability under the replacement Credit Facility. In each of the foregoing cases, the applicable margin or fee is based on the Company’s Consolidated Leverage Ratio, as defined in the replacement Credit Facility, as of the then most recent fiscal quarter.</w:t>
      </w:r>
    </w:p>
    <w:p>
      <w:pPr>
        <w:spacing w:after="0" w:line="8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As of December 31, 2021 and 2020, outstanding revolving loans, which included $32 million and $33 million, respectively, of borrowings denominated in foreign currencies, accrued interest at weighted average rates of approximately 2.32% and 1.87% per annum, respectively. The term loan accrued interest at a rate of 1.35% and 1.40% as of December 31, 2021 and 2020, respectively. Letters of credit of approximately $166.3 million and $133.6 million were issued as of December 31, 2021 and 2020, respectively. As of December 31, 2021 and 2020, fees for performance standby letters of credit accrued at 0.4375% and 0.375% per annum, respectively, and fees for financial standby letters of credit accrued at 1.250% per annum as of both December 31, 2021 and 2020. Outstanding letters of credit mature at various dates and most have automatic renewal provisions, subject to prior notice of cancellation. As of December 31, 2021 and 2020, availability for revolving loans totaled $0.7 billion and $1.2 billion, respectively, or up to $483.7 million and $516.4 million, respectively, for new letters of credit. Revolving loan borrowing capacity included $267.7 million and $267.3 million of availability in either Canadian dollars or Mexican pesos as of December 31, 2021 and 2020, respectively. The unused facility fee as of December 31, 2021 and 2020 accrued at a rate of 0.175% and 0.20%, respectively.</w:t>
      </w:r>
    </w:p>
    <w:p>
      <w:pPr>
        <w:spacing w:after="0" w:line="71"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replacement Credit Facility is guaranteed by certain subsidiaries of the Company (the “Guarantor Subsidiaries”) and the obligations under the replacement Credit Facility are not secured. Under the replacement Credit Facility, if the Loan Party EBITDA, as defined in the replacement Credit Facility, as of the last four consecutive fiscal quarters does not represent at least 80% of the Adjusted Consolidated EBITDA for such period, as defined in the replacement Credit Facility, then the Company must cause additional subsidiaries to become Guarantor Subsidiaries. Additionally, any domestic subsidiary with consolidated EBITDA of at least 15% of Adjusted Consolidated EBITDA, as defined in the replacement Credit Facility, must become a Guarantor Subsidiary and join the applicable guaranty agreements.</w:t>
      </w:r>
    </w:p>
    <w:p>
      <w:pPr>
        <w:spacing w:after="0" w:line="79"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4"/>
          <w:szCs w:val="14"/>
          <w:color w:val="auto"/>
        </w:rPr>
        <w:t>The replacement Credit Facility requires that the Company maintain a maximum Consolidated Leverage Ratio, as defined in the replacement Credit Facility, of not more than 3.50 as of the end of any fiscal quarter (subject to the Acquisition Adjustment described below). The replacement Credit Facility also requires that the Company maintain a minimum Consolidated Interest Coverage Ratio, as defined in the replacement Credit Facility, of at least 3.00. Additionally, subject to certain conditions, if a Permitted Acquisition, as defined in the replacement Credit Facility, or series of Permitted Acquisitions having consideration exceeding $100 million occurs during a fiscal quarter, the maximum Consolidated Leverage Ratio may be temporarily increased to up to 4.00 during such fiscal quarter and the subsequent four fiscal quarters (the “Acquisition Adjustment”). Such right may be exercised no more than two times during the term of the replacement Credit Facility. Subject to customary exceptions, the replacement Credit Facility limits the Company’s ability to engage in certain activities, including, but not limited to, acquisitions, mergers and consolidations, debt incurrence, investments, asset sales, debt prepayments, lien incurrence and the making of distributions or repurchases of the Company’s capital stock. However, distributions payable solely in common stock are permitted. The replacement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4.50% Senior Notes</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On August 4, 2020, the Company issued $600 million aggregate principal amount of senior unsecured notes due August 15, 2028, which bear interest at a rate of 4.50% (the “4.50% Senior Notes”), at par in a private offering (the “Private Offering”). Interest on the 4.50% Senior Notes is payable semiannually in arrears on February 15 and August 15 of each year, beginning on February 15, 2021. The 4.50% Senior Notes are general senior unsecured obligations of the Company, and rank equal in right of payment with all of the Company’s existing and future senior unsecured indebtedness and senior in right of payment to all of the Company’s existing and future subordinated indebtedness. The 4.50% Senior Notes are effectively subordinated to all secured indebtedness of the Company to the extent of the value of the assets securing such indebtedness. The 4.50% Senior Notes are fully and unconditionally guaranteed on a senior unsecured, joint and several basis by the Company’s wholly-owned domestic restricted subsidiaries that guarantee its existing credit facilities, subject to certain exceptions.</w:t>
      </w:r>
    </w:p>
    <w:p>
      <w:pPr>
        <w:spacing w:after="0" w:line="81"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color w:val="auto"/>
        </w:rPr>
        <w:t>The Company used a portion of the proceeds from the Private Offering to redeem all $400 million of its outstanding 4.875% Senior Notes due 2023 (the “4.875% Senior Notes”) on August 19, 2020 (the “Redemption Date”) at a redemption price equal to 100.813% of the principal amount of the 4.875% Senior Notes redeemed, plus accrued and unpaid interest to, but not including, the Redemption Date. The remaining net proceeds from the Private Offering were primarily used to repay revolving loans under the Company’s existing credit facilities.</w:t>
      </w:r>
    </w:p>
    <w:p>
      <w:pPr>
        <w:spacing w:after="0" w:line="41"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 Company has the option to redeem all or a portion of the 4.50% Senior Notes at any time on or after August 15, 2023 at the redemption prices specified in the indenture that governs the 4.50% Senior Notes (the “4.50% Senior Notes Indenture”), plus accrued and unpaid interest, if any, to (but excluding) the redemption date. In addition, at any time prior to August 15, 2023, the Company may redeem all or a part of the 4.50% Senior Notes at a redemption price equal to 100% of the principal amount of the 4.50% Senior Notes redeemed, plus accrued and unpaid interest, if any,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2" w:name="page73"/>
    <w:bookmarkEnd w:id="72"/>
    <w:p>
      <w:pPr>
        <w:jc w:val="both"/>
        <w:spacing w:after="0" w:line="255" w:lineRule="auto"/>
        <w:rPr>
          <w:sz w:val="20"/>
          <w:szCs w:val="20"/>
          <w:color w:val="auto"/>
        </w:rPr>
      </w:pPr>
      <w:r>
        <w:rPr>
          <w:rFonts w:ascii="Arial" w:cs="Arial" w:eastAsia="Arial" w:hAnsi="Arial"/>
          <w:sz w:val="15"/>
          <w:szCs w:val="15"/>
          <w:color w:val="auto"/>
        </w:rPr>
        <w:t>(but excluding) the redemption date, plus a “make-whole” premium. Further, prior to August 15, 2023, the Company may redeem up to 40% of the aggregate principal amount of the 4.50% Senior Notes using the net cash proceeds of certain equity offerings, at a redemption price equal to 104.500% of the principal amount of the 4.50% Senior Notes redeemed, plus accrued and unpaid interest, if any, to (but excluding) the date of redemption, subject to certain conditions.</w:t>
      </w:r>
    </w:p>
    <w:p>
      <w:pPr>
        <w:spacing w:after="0" w:line="74"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color w:val="auto"/>
        </w:rPr>
        <w:t>If the Company undergoes a change of control, as defined in the 4.50% Senior Notes Indenture, the Company must make an offer to repurchase all of the 4.50% Senior Notes then outstanding at a price equal to 101% of their principal amount, plus accrued and unpaid interest, if any, to (but excluding) the date of repurchase.</w:t>
      </w:r>
    </w:p>
    <w:p>
      <w:pPr>
        <w:spacing w:after="0" w:line="43"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4.50% Senior Notes Indenture, among other things, generally limits the ability of the Company and certain of its subsidiaries, subject to certain exceptions, to (i) create liens, (ii) pay dividends, (iii) acquire shares of capital stock, (iv) make certain investments and (v) effect mergers. The 4.50% Senior Notes Indenture provides for customary events of default, subject to customary grace and cure periods. Generally, if an event of default occurs and is continuing, the trustee or holders of at least 30% of the 4.50% Senior Notes then outstanding may declare the principal of, premium, if any, and accrued interest on all of the 4.50% Senior Notes immediately due and payable. Financing costs incurred in connection with the issuance of the 4.50% Senior Notes totaled approximately $8.9 million. These deferred financing costs, which are reflected as a reduction of the carrying amount of the 4.50% Senior Notes, will be amortized over the term of the 4.50% Senior Notes using the effective interest method.</w:t>
      </w:r>
    </w:p>
    <w:p>
      <w:pPr>
        <w:spacing w:after="0" w:line="6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Management determined that the repurchase and redemption of the Company’s 4.875% Senior Notes should be accounted for as a debt extinguishment and recorded a pre-tax debt extinguishment loss of approximately $5.6 million for the year ended December 31, 2020, including $3.3 million of early repayment premiums and $2.3 million of unamortized deferred financing costs. This loss is separately disclosed within the Company’s consolidated statements of operations.</w:t>
      </w:r>
    </w:p>
    <w:p>
      <w:pPr>
        <w:spacing w:after="0" w:line="74"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b w:val="1"/>
          <w:bCs w:val="1"/>
          <w:i w:val="1"/>
          <w:iCs w:val="1"/>
          <w:color w:val="auto"/>
        </w:rPr>
        <w:t>Other Credit Facilities</w:t>
      </w:r>
      <w:r>
        <w:rPr>
          <w:rFonts w:ascii="Arial" w:cs="Arial" w:eastAsia="Arial" w:hAnsi="Arial"/>
          <w:sz w:val="13"/>
          <w:szCs w:val="13"/>
          <w:color w:val="auto"/>
        </w:rPr>
        <w:t>. The Company has other credit facilities that support: (i) the working capital requirements of its foreign operations, and (ii) certain letter of credit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issuances. Borrowings under the Company’s foreign credit facilities, which have varying dates of maturity and are generally renewed on an annual basis, are denominated in Canadian dollars. Maximum borrowing capacity under these credit facilities totaled Canadian $20.0 million as of both December 31, 2021 and 2020, or approximately $15.8 million and $15.7 million, respectively. As of both December 31, 2021 and 2020, there were no outstanding borrowings. Outstanding borrowings that are not renewed are repaid with borrowings under the replacement Credit Facility. Accordingly, the carrying amounts of the Company’s borrowings under its other credit facilities, if any, are included within other debt obligations in the table above and classified within long-term debt in the Company’s consolidated balance sheets. Additionally, the Company has a separate credit facility, which is renewable on an annual basis, under which it may issue up to $50.0 million of performance standby letters of credit. As of December 31, 2021 and 2020, letters of credit issued under this facility totaled $22.2 million and $18.2 million, respectively, and accrued fees at 0.40% and 0.50% per annum, respectively. The Company’s other credit facilities are subject to customary provisions and covenants.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80" w:type="dxa"/>
            <w:vAlign w:val="bottom"/>
          </w:tcPr>
          <w:p>
            <w:pPr>
              <w:ind w:left="300"/>
              <w:spacing w:after="0"/>
              <w:rPr>
                <w:sz w:val="20"/>
                <w:szCs w:val="20"/>
                <w:color w:val="auto"/>
              </w:rPr>
            </w:pPr>
            <w:r>
              <w:rPr>
                <w:rFonts w:ascii="Arial" w:cs="Arial" w:eastAsia="Arial" w:hAnsi="Arial"/>
                <w:sz w:val="15"/>
                <w:szCs w:val="15"/>
                <w:b w:val="1"/>
                <w:bCs w:val="1"/>
                <w:i w:val="1"/>
                <w:iCs w:val="1"/>
                <w:color w:val="auto"/>
              </w:rPr>
              <w:t>Debt Covenants</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75"/>
        </w:trPr>
        <w:tc>
          <w:tcPr>
            <w:tcW w:w="9880" w:type="dxa"/>
            <w:vAlign w:val="bottom"/>
          </w:tcPr>
          <w:p>
            <w:pPr>
              <w:ind w:left="600"/>
              <w:spacing w:after="0"/>
              <w:rPr>
                <w:sz w:val="20"/>
                <w:szCs w:val="20"/>
                <w:color w:val="auto"/>
              </w:rPr>
            </w:pPr>
            <w:r>
              <w:rPr>
                <w:rFonts w:ascii="Arial" w:cs="Arial" w:eastAsia="Arial" w:hAnsi="Arial"/>
                <w:sz w:val="15"/>
                <w:szCs w:val="15"/>
                <w:color w:val="auto"/>
              </w:rPr>
              <w:t>MasTec was in compliance with the provisions and covenants of its outstanding debt instruments as of both December 31, 2021 and 2020.</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9880" w:type="dxa"/>
            <w:vAlign w:val="bottom"/>
          </w:tcPr>
          <w:p>
            <w:pPr>
              <w:ind w:left="300"/>
              <w:spacing w:after="0"/>
              <w:rPr>
                <w:sz w:val="20"/>
                <w:szCs w:val="20"/>
                <w:color w:val="auto"/>
              </w:rPr>
            </w:pPr>
            <w:r>
              <w:rPr>
                <w:rFonts w:ascii="Arial" w:cs="Arial" w:eastAsia="Arial" w:hAnsi="Arial"/>
                <w:sz w:val="15"/>
                <w:szCs w:val="15"/>
                <w:b w:val="1"/>
                <w:bCs w:val="1"/>
                <w:i w:val="1"/>
                <w:iCs w:val="1"/>
                <w:color w:val="auto"/>
              </w:rPr>
              <w:t>Contractual Maturities of Debt</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9880" w:type="dxa"/>
            <w:vAlign w:val="bottom"/>
          </w:tcPr>
          <w:p>
            <w:pPr>
              <w:ind w:left="600"/>
              <w:spacing w:after="0"/>
              <w:rPr>
                <w:sz w:val="20"/>
                <w:szCs w:val="20"/>
                <w:color w:val="auto"/>
              </w:rPr>
            </w:pPr>
            <w:r>
              <w:rPr>
                <w:rFonts w:ascii="Arial" w:cs="Arial" w:eastAsia="Arial" w:hAnsi="Arial"/>
                <w:sz w:val="15"/>
                <w:szCs w:val="15"/>
                <w:color w:val="auto"/>
              </w:rPr>
              <w:t>Contractual maturities of MasTec’s debt, which includes finance lease obligations, as of December 31, 2021 were as follows (in millions):</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18"/>
        </w:trPr>
        <w:tc>
          <w:tcPr>
            <w:tcW w:w="9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0"/>
        </w:trPr>
        <w:tc>
          <w:tcPr>
            <w:tcW w:w="9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r>
      <w:tr>
        <w:trPr>
          <w:trHeight w:val="197"/>
        </w:trPr>
        <w:tc>
          <w:tcPr>
            <w:tcW w:w="9880" w:type="dxa"/>
            <w:vAlign w:val="bottom"/>
          </w:tcPr>
          <w:p>
            <w:pPr>
              <w:ind w:left="20"/>
              <w:spacing w:after="0"/>
              <w:rPr>
                <w:sz w:val="20"/>
                <w:szCs w:val="20"/>
                <w:color w:val="auto"/>
              </w:rPr>
            </w:pPr>
            <w:r>
              <w:rPr>
                <w:rFonts w:ascii="Arial" w:cs="Arial" w:eastAsia="Arial" w:hAnsi="Arial"/>
                <w:sz w:val="15"/>
                <w:szCs w:val="15"/>
                <w:color w:val="auto"/>
              </w:rPr>
              <w:t>2023</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96.9</w:t>
            </w:r>
          </w:p>
        </w:tc>
      </w:tr>
      <w:tr>
        <w:trPr>
          <w:trHeight w:val="203"/>
        </w:trPr>
        <w:tc>
          <w:tcPr>
            <w:tcW w:w="9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r>
      <w:tr>
        <w:trPr>
          <w:trHeight w:val="197"/>
        </w:trPr>
        <w:tc>
          <w:tcPr>
            <w:tcW w:w="9880" w:type="dxa"/>
            <w:vAlign w:val="bottom"/>
          </w:tcPr>
          <w:p>
            <w:pPr>
              <w:ind w:left="20"/>
              <w:spacing w:after="0"/>
              <w:rPr>
                <w:sz w:val="20"/>
                <w:szCs w:val="20"/>
                <w:color w:val="auto"/>
              </w:rPr>
            </w:pPr>
            <w:r>
              <w:rPr>
                <w:rFonts w:ascii="Arial" w:cs="Arial" w:eastAsia="Arial" w:hAnsi="Arial"/>
                <w:sz w:val="15"/>
                <w:szCs w:val="15"/>
                <w:color w:val="auto"/>
              </w:rPr>
              <w:t>2025</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36.9</w:t>
            </w:r>
          </w:p>
        </w:tc>
      </w:tr>
      <w:tr>
        <w:trPr>
          <w:trHeight w:val="203"/>
        </w:trPr>
        <w:tc>
          <w:tcPr>
            <w:tcW w:w="9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1,103.3</w:t>
            </w:r>
          </w:p>
        </w:tc>
      </w:tr>
      <w:tr>
        <w:trPr>
          <w:trHeight w:val="197"/>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w:t>
            </w:r>
          </w:p>
        </w:tc>
      </w:tr>
      <w:tr>
        <w:trPr>
          <w:trHeight w:val="192"/>
        </w:trPr>
        <w:tc>
          <w:tcPr>
            <w:tcW w:w="9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2,032.6</w:t>
            </w:r>
          </w:p>
        </w:tc>
      </w:tr>
    </w:tbl>
    <w:p>
      <w:pPr>
        <w:spacing w:after="0" w:line="17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As of December 31, 2021 and 2020, accrued interest payable, which is recorded within other accrued expenses in the consolidated balance sheets, totaled $11.7 million and $12.4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Lease Obligations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Finance Leases</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gross amount of assets held under finance leases as of December 31, 2021 and 2020 totaled $653.5 million and $563.0 million, respectively. Assets held under finance leases, net of accumulated depreciation, totaled $468.5 million and $418.7 million as of December 31, 2021 and 2020, respectively. Depreciation expense associated with finance leases totaled $80.1 million, $68.0 million and $48.6 million for the years ended December 31, 2021, 2020 and 2019, respectively.</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Operating lease additions for the year ended December 31, 2021 totaled $172.9 million, of which $149.3 million was acquisition-related. Operating lease additions for the years ended December 31, 2020 and 2019 totaled $28.0 million and $103.3 million, respectively.</w:t>
      </w:r>
    </w:p>
    <w:p>
      <w:pPr>
        <w:spacing w:after="0" w:line="6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For the years ended December 31, 2021, 2020 and 2019, rent expense for leases that have terms in excess of one year totaled approximately $107.7 million, $113.0 million and $114.5 million, respectively, of which $10.1 million, $10.0 million and $10.4 million, respectively, represented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5"/>
          <w:szCs w:val="15"/>
          <w:color w:val="auto"/>
        </w:rPr>
        <w:t>variable lease costs. The Company also incurred rent expense for leases with terms of one year or less totaling approximately $494.7 million, $312.0 million and $448.2 million for the years ended December 31, 2021, 2020, and 2019, respectively. Rent expense for operating leases is generally consistent with the amount of the related payments, which payments are included within operating activities in the 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300"/>
              <w:spacing w:after="0"/>
              <w:rPr>
                <w:sz w:val="20"/>
                <w:szCs w:val="20"/>
                <w:color w:val="auto"/>
              </w:rPr>
            </w:pPr>
            <w:r>
              <w:rPr>
                <w:rFonts w:ascii="Arial" w:cs="Arial" w:eastAsia="Arial" w:hAnsi="Arial"/>
                <w:sz w:val="15"/>
                <w:szCs w:val="15"/>
                <w:b w:val="1"/>
                <w:bCs w:val="1"/>
                <w:i w:val="1"/>
                <w:iCs w:val="1"/>
                <w:color w:val="auto"/>
              </w:rPr>
              <w:t>Additional Lease Information</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980" w:type="dxa"/>
            <w:vAlign w:val="bottom"/>
          </w:tcPr>
          <w:p>
            <w:pPr>
              <w:ind w:left="600"/>
              <w:spacing w:after="0"/>
              <w:rPr>
                <w:sz w:val="20"/>
                <w:szCs w:val="20"/>
                <w:color w:val="auto"/>
              </w:rPr>
            </w:pPr>
            <w:r>
              <w:rPr>
                <w:rFonts w:ascii="Arial" w:cs="Arial" w:eastAsia="Arial" w:hAnsi="Arial"/>
                <w:sz w:val="15"/>
                <w:szCs w:val="15"/>
                <w:color w:val="auto"/>
              </w:rPr>
              <w:t>Future minimum lease commitments as of December 31, 2021 were as follows (in millions):</w:t>
            </w: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9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Finance</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w w:val="93"/>
              </w:rPr>
              <w:t>Operating Leases</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Leases</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80" w:type="dxa"/>
            <w:vAlign w:val="bottom"/>
            <w:shd w:val="clear" w:color="auto" w:fill="CCEEFF"/>
          </w:tcPr>
          <w:p>
            <w:pPr>
              <w:jc w:val="right"/>
              <w:ind w:right="7585"/>
              <w:spacing w:after="0"/>
              <w:rPr>
                <w:sz w:val="20"/>
                <w:szCs w:val="20"/>
                <w:color w:val="auto"/>
              </w:rPr>
            </w:pPr>
            <w:r>
              <w:rPr>
                <w:rFonts w:ascii="Arial" w:cs="Arial" w:eastAsia="Arial" w:hAnsi="Arial"/>
                <w:sz w:val="15"/>
                <w:szCs w:val="15"/>
                <w:color w:val="auto"/>
                <w:w w:val="89"/>
              </w:rPr>
              <w:t>2022</w:t>
            </w:r>
          </w:p>
        </w:tc>
        <w:tc>
          <w:tcPr>
            <w:tcW w:w="112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197"/>
        </w:trPr>
        <w:tc>
          <w:tcPr>
            <w:tcW w:w="7980" w:type="dxa"/>
            <w:vAlign w:val="bottom"/>
          </w:tcPr>
          <w:p>
            <w:pPr>
              <w:jc w:val="right"/>
              <w:ind w:right="7585"/>
              <w:spacing w:after="0"/>
              <w:rPr>
                <w:sz w:val="20"/>
                <w:szCs w:val="20"/>
                <w:color w:val="auto"/>
              </w:rPr>
            </w:pPr>
            <w:r>
              <w:rPr>
                <w:rFonts w:ascii="Arial" w:cs="Arial" w:eastAsia="Arial" w:hAnsi="Arial"/>
                <w:sz w:val="15"/>
                <w:szCs w:val="15"/>
                <w:color w:val="auto"/>
                <w:w w:val="89"/>
              </w:rPr>
              <w:t>2023</w:t>
            </w: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65.5</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jc w:val="right"/>
              <w:ind w:right="7585"/>
              <w:spacing w:after="0"/>
              <w:rPr>
                <w:sz w:val="20"/>
                <w:szCs w:val="20"/>
                <w:color w:val="auto"/>
              </w:rPr>
            </w:pPr>
            <w:r>
              <w:rPr>
                <w:rFonts w:ascii="Arial" w:cs="Arial" w:eastAsia="Arial" w:hAnsi="Arial"/>
                <w:sz w:val="15"/>
                <w:szCs w:val="15"/>
                <w:color w:val="auto"/>
                <w:w w:val="89"/>
              </w:rPr>
              <w:t>2024</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197"/>
        </w:trPr>
        <w:tc>
          <w:tcPr>
            <w:tcW w:w="7980" w:type="dxa"/>
            <w:vAlign w:val="bottom"/>
          </w:tcPr>
          <w:p>
            <w:pPr>
              <w:jc w:val="right"/>
              <w:ind w:right="7585"/>
              <w:spacing w:after="0"/>
              <w:rPr>
                <w:sz w:val="20"/>
                <w:szCs w:val="20"/>
                <w:color w:val="auto"/>
              </w:rPr>
            </w:pPr>
            <w:r>
              <w:rPr>
                <w:rFonts w:ascii="Arial" w:cs="Arial" w:eastAsia="Arial" w:hAnsi="Arial"/>
                <w:sz w:val="15"/>
                <w:szCs w:val="15"/>
                <w:color w:val="auto"/>
                <w:w w:val="89"/>
              </w:rPr>
              <w:t>2025</w:t>
            </w: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jc w:val="right"/>
              <w:ind w:right="7585"/>
              <w:spacing w:after="0"/>
              <w:rPr>
                <w:sz w:val="20"/>
                <w:szCs w:val="20"/>
                <w:color w:val="auto"/>
              </w:rPr>
            </w:pPr>
            <w:r>
              <w:rPr>
                <w:rFonts w:ascii="Arial" w:cs="Arial" w:eastAsia="Arial" w:hAnsi="Arial"/>
                <w:sz w:val="15"/>
                <w:szCs w:val="15"/>
                <w:color w:val="auto"/>
                <w:w w:val="89"/>
              </w:rPr>
              <w:t>2026</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97"/>
        </w:trPr>
        <w:tc>
          <w:tcPr>
            <w:tcW w:w="7980" w:type="dxa"/>
            <w:vAlign w:val="bottom"/>
          </w:tcPr>
          <w:p>
            <w:pPr>
              <w:ind w:left="60"/>
              <w:spacing w:after="0"/>
              <w:rPr>
                <w:sz w:val="20"/>
                <w:szCs w:val="20"/>
                <w:color w:val="auto"/>
              </w:rPr>
            </w:pPr>
            <w:r>
              <w:rPr>
                <w:rFonts w:ascii="Arial" w:cs="Arial" w:eastAsia="Arial" w:hAnsi="Arial"/>
                <w:sz w:val="15"/>
                <w:szCs w:val="15"/>
                <w:color w:val="auto"/>
              </w:rPr>
              <w:t>Thereafter</w:t>
            </w:r>
          </w:p>
        </w:tc>
        <w:tc>
          <w:tcPr>
            <w:tcW w:w="112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5"/>
        </w:trPr>
        <w:tc>
          <w:tcPr>
            <w:tcW w:w="79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minimum lease payments</w:t>
            </w: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Less amounts representing interest</w:t>
            </w: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195"/>
        </w:trPr>
        <w:tc>
          <w:tcPr>
            <w:tcW w:w="7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lease obligations, net of interest</w:t>
            </w:r>
          </w:p>
        </w:tc>
        <w:tc>
          <w:tcPr>
            <w:tcW w:w="112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271.8</w:t>
            </w:r>
          </w:p>
        </w:tc>
        <w:tc>
          <w:tcPr>
            <w:tcW w:w="0" w:type="dxa"/>
            <w:vAlign w:val="bottom"/>
          </w:tcPr>
          <w:p>
            <w:pPr>
              <w:spacing w:after="0"/>
              <w:rPr>
                <w:sz w:val="1"/>
                <w:szCs w:val="1"/>
                <w:color w:val="auto"/>
              </w:rPr>
            </w:pPr>
          </w:p>
        </w:tc>
      </w:tr>
      <w:tr>
        <w:trPr>
          <w:trHeight w:val="197"/>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Less current portion</w:t>
            </w: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Long-term portion of lease obligations, net of interest</w:t>
            </w:r>
          </w:p>
        </w:tc>
        <w:tc>
          <w:tcPr>
            <w:tcW w:w="1120" w:type="dxa"/>
            <w:vAlign w:val="bottom"/>
            <w:tcBorders>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As of December 31, 2021, finance leases had a weighted average remaining lease term of 2.5 years and a weighted average discount rate of 3.2%. Non-cancelable operating leases had a weighted average remaining lease term of 3.9 years and a weighted average discount rate of 2.9% as of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 Stock-Based Compensation and Other Employee Benefit Plans</w:t>
      </w:r>
    </w:p>
    <w:p>
      <w:pPr>
        <w:spacing w:after="0" w:line="106"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color w:val="auto"/>
        </w:rPr>
        <w:t>The Company’s stock-based compensation plans, under which shares of the Company’s common stock are reserved for issuance, include: the MasTec, Inc. 2013 Incentive Compensation Plan (as amended from time to time, the “2013 Incentive Plan”), the MasTec, Inc. Amended and Restated Bargaining Units Employee Stock Purchase Plan (the “2013 Bargaining Units ESPP”) and the MasTec, Inc. 2011 Amended and Restated Employee Stock Purchase Plan (the “2011 ESPP,” and, together with the 2013 Bargaining Units ESPP, the “ESPPs”). The 2013 Incentive Plan was amended in May 2021, which increased the shares of MasTec, Inc. common stock reserved and available for delivery pursuant to awards by 1,150,000 shares. The 2013 Incentive Plan permits a total of approximately 8,541,000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2021, there were approximately 3,525,000 shares available for future grant.</w:t>
      </w:r>
    </w:p>
    <w:p>
      <w:pPr>
        <w:spacing w:after="0" w:line="70"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Non-cash stock-based compensation expense under all plans totaled $24.8 million, $21.9 million and $16.4 million for the years ended December 31, 2021, 2020 and 2019, respectively. Income tax benefits associated with stock-based compensation arrangements totaled $8.5 million, $5.7 million and $7.9 million for the years ended December 31, 2021, 2020 and 2019, respectively, including net tax benefits related to the vesting of share-based payment awards totaling $3.8 million, $0.5 million and $3.9 million for the years ended December 31, 2021, 2020 and 2019, respectively.</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Restricted Shares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2021, total unearned compensation related to restricted shares was approximately $42.3 million, which amount is expected to be recognized over a weighted average period of approximately 2.1 years. The fair value of restricted shares that vested, which is based on the market price on the date of vesting, totaled $37.4 million, $16.8 million and $25.0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2"/>
        </w:trPr>
        <w:tc>
          <w:tcPr>
            <w:tcW w:w="7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45"/>
              <w:spacing w:after="0"/>
              <w:rPr>
                <w:sz w:val="20"/>
                <w:szCs w:val="20"/>
                <w:color w:val="auto"/>
              </w:rPr>
            </w:pPr>
            <w:r>
              <w:rPr>
                <w:rFonts w:ascii="Arial" w:cs="Arial" w:eastAsia="Arial" w:hAnsi="Arial"/>
                <w:sz w:val="15"/>
                <w:szCs w:val="15"/>
                <w:b w:val="1"/>
                <w:bCs w:val="1"/>
                <w:color w:val="auto"/>
                <w:w w:val="91"/>
              </w:rPr>
              <w:t>Per Share</w:t>
            </w:r>
          </w:p>
        </w:tc>
        <w:tc>
          <w:tcPr>
            <w:tcW w:w="0" w:type="dxa"/>
            <w:vAlign w:val="bottom"/>
          </w:tcPr>
          <w:p>
            <w:pPr>
              <w:spacing w:after="0"/>
              <w:rPr>
                <w:sz w:val="1"/>
                <w:szCs w:val="1"/>
                <w:color w:val="auto"/>
              </w:rPr>
            </w:pPr>
          </w:p>
        </w:tc>
      </w:tr>
      <w:tr>
        <w:trPr>
          <w:trHeight w:val="150"/>
        </w:trPr>
        <w:tc>
          <w:tcPr>
            <w:tcW w:w="7980" w:type="dxa"/>
            <w:vAlign w:val="bottom"/>
          </w:tcPr>
          <w:p>
            <w:pPr>
              <w:spacing w:after="0"/>
              <w:rPr>
                <w:sz w:val="13"/>
                <w:szCs w:val="13"/>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89"/>
              </w:rPr>
              <w:t>Restricted</w:t>
            </w:r>
          </w:p>
        </w:tc>
        <w:tc>
          <w:tcPr>
            <w:tcW w:w="140" w:type="dxa"/>
            <w:vAlign w:val="bottom"/>
          </w:tcPr>
          <w:p>
            <w:pPr>
              <w:spacing w:after="0"/>
              <w:rPr>
                <w:sz w:val="13"/>
                <w:szCs w:val="13"/>
                <w:color w:val="auto"/>
              </w:rPr>
            </w:pPr>
          </w:p>
        </w:tc>
        <w:tc>
          <w:tcPr>
            <w:tcW w:w="1440" w:type="dxa"/>
            <w:vAlign w:val="bottom"/>
          </w:tcPr>
          <w:p>
            <w:pPr>
              <w:jc w:val="center"/>
              <w:ind w:right="85"/>
              <w:spacing w:after="0" w:line="150" w:lineRule="exact"/>
              <w:rPr>
                <w:sz w:val="20"/>
                <w:szCs w:val="20"/>
                <w:color w:val="auto"/>
              </w:rPr>
            </w:pPr>
            <w:r>
              <w:rPr>
                <w:rFonts w:ascii="Arial" w:cs="Arial" w:eastAsia="Arial" w:hAnsi="Arial"/>
                <w:sz w:val="15"/>
                <w:szCs w:val="15"/>
                <w:b w:val="1"/>
                <w:bCs w:val="1"/>
                <w:color w:val="auto"/>
                <w:w w:val="88"/>
              </w:rPr>
              <w:t>Weighted Average</w:t>
            </w:r>
          </w:p>
        </w:tc>
        <w:tc>
          <w:tcPr>
            <w:tcW w:w="0" w:type="dxa"/>
            <w:vAlign w:val="bottom"/>
          </w:tcPr>
          <w:p>
            <w:pPr>
              <w:spacing w:after="0"/>
              <w:rPr>
                <w:sz w:val="1"/>
                <w:szCs w:val="1"/>
                <w:color w:val="auto"/>
              </w:rPr>
            </w:pPr>
          </w:p>
        </w:tc>
      </w:tr>
      <w:tr>
        <w:trPr>
          <w:trHeight w:val="150"/>
        </w:trPr>
        <w:tc>
          <w:tcPr>
            <w:tcW w:w="7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xml:space="preserve">Activity, restricted shares: </w:t>
            </w:r>
            <w:r>
              <w:rPr>
                <w:rFonts w:ascii="Arial" w:cs="Arial" w:eastAsia="Arial" w:hAnsi="Arial"/>
                <w:sz w:val="19"/>
                <w:szCs w:val="19"/>
                <w:b w:val="1"/>
                <w:bCs w:val="1"/>
                <w:color w:val="auto"/>
                <w:vertAlign w:val="superscript"/>
              </w:rPr>
              <w:t>(a)</w:t>
            </w: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3"/>
              </w:rPr>
              <w:t>Grant Date</w:t>
            </w:r>
          </w:p>
        </w:tc>
        <w:tc>
          <w:tcPr>
            <w:tcW w:w="0" w:type="dxa"/>
            <w:vAlign w:val="bottom"/>
          </w:tcPr>
          <w:p>
            <w:pPr>
              <w:spacing w:after="0"/>
              <w:rPr>
                <w:sz w:val="1"/>
                <w:szCs w:val="1"/>
                <w:color w:val="auto"/>
              </w:rPr>
            </w:pPr>
          </w:p>
        </w:tc>
      </w:tr>
      <w:tr>
        <w:trPr>
          <w:trHeight w:val="199"/>
        </w:trPr>
        <w:tc>
          <w:tcPr>
            <w:tcW w:w="7980" w:type="dxa"/>
            <w:vAlign w:val="bottom"/>
            <w:vMerge w:val="continue"/>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3"/>
              </w:rPr>
              <w:t>Shares</w:t>
            </w:r>
          </w:p>
        </w:tc>
        <w:tc>
          <w:tcPr>
            <w:tcW w:w="140" w:type="dxa"/>
            <w:vAlign w:val="bottom"/>
          </w:tcPr>
          <w:p>
            <w:pPr>
              <w:spacing w:after="0"/>
              <w:rPr>
                <w:sz w:val="17"/>
                <w:szCs w:val="17"/>
                <w:color w:val="auto"/>
              </w:rPr>
            </w:pPr>
          </w:p>
        </w:tc>
        <w:tc>
          <w:tcPr>
            <w:tcW w:w="1440" w:type="dxa"/>
            <w:vAlign w:val="bottom"/>
          </w:tcPr>
          <w:p>
            <w:pPr>
              <w:jc w:val="center"/>
              <w:ind w:right="45"/>
              <w:spacing w:after="0"/>
              <w:rPr>
                <w:sz w:val="20"/>
                <w:szCs w:val="20"/>
                <w:color w:val="auto"/>
              </w:rPr>
            </w:pPr>
            <w:r>
              <w:rPr>
                <w:rFonts w:ascii="Arial" w:cs="Arial" w:eastAsia="Arial" w:hAnsi="Arial"/>
                <w:sz w:val="15"/>
                <w:szCs w:val="15"/>
                <w:b w:val="1"/>
                <w:bCs w:val="1"/>
                <w:color w:val="auto"/>
                <w:w w:val="94"/>
              </w:rPr>
              <w:t>Fair Value</w:t>
            </w:r>
          </w:p>
        </w:tc>
        <w:tc>
          <w:tcPr>
            <w:tcW w:w="0" w:type="dxa"/>
            <w:vAlign w:val="bottom"/>
          </w:tcPr>
          <w:p>
            <w:pPr>
              <w:spacing w:after="0"/>
              <w:rPr>
                <w:sz w:val="1"/>
                <w:szCs w:val="1"/>
                <w:color w:val="auto"/>
              </w:rPr>
            </w:pPr>
          </w:p>
        </w:tc>
      </w:tr>
      <w:tr>
        <w:trPr>
          <w:trHeight w:val="192"/>
        </w:trPr>
        <w:tc>
          <w:tcPr>
            <w:tcW w:w="7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Non-vested restricted shares, as of December 31, 2019</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1,221,593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45.36</w:t>
            </w:r>
          </w:p>
        </w:tc>
        <w:tc>
          <w:tcPr>
            <w:tcW w:w="0" w:type="dxa"/>
            <w:vAlign w:val="bottom"/>
          </w:tcPr>
          <w:p>
            <w:pPr>
              <w:spacing w:after="0"/>
              <w:rPr>
                <w:sz w:val="1"/>
                <w:szCs w:val="1"/>
                <w:color w:val="auto"/>
              </w:rPr>
            </w:pPr>
          </w:p>
        </w:tc>
      </w:tr>
      <w:tr>
        <w:trPr>
          <w:trHeight w:val="189"/>
        </w:trPr>
        <w:tc>
          <w:tcPr>
            <w:tcW w:w="7980" w:type="dxa"/>
            <w:vAlign w:val="bottom"/>
          </w:tcPr>
          <w:p>
            <w:pPr>
              <w:ind w:left="200"/>
              <w:spacing w:after="0"/>
              <w:rPr>
                <w:sz w:val="20"/>
                <w:szCs w:val="20"/>
                <w:color w:val="auto"/>
              </w:rPr>
            </w:pPr>
            <w:r>
              <w:rPr>
                <w:rFonts w:ascii="Arial" w:cs="Arial" w:eastAsia="Arial" w:hAnsi="Arial"/>
                <w:sz w:val="15"/>
                <w:szCs w:val="15"/>
                <w:color w:val="auto"/>
              </w:rPr>
              <w:t>Granted</w:t>
            </w:r>
          </w:p>
        </w:tc>
        <w:tc>
          <w:tcPr>
            <w:tcW w:w="1580" w:type="dxa"/>
            <w:vAlign w:val="bottom"/>
          </w:tcPr>
          <w:p>
            <w:pPr>
              <w:jc w:val="right"/>
              <w:spacing w:after="0"/>
              <w:rPr>
                <w:sz w:val="20"/>
                <w:szCs w:val="20"/>
                <w:color w:val="auto"/>
              </w:rPr>
            </w:pPr>
            <w:r>
              <w:rPr>
                <w:rFonts w:ascii="Arial" w:cs="Arial" w:eastAsia="Arial" w:hAnsi="Arial"/>
                <w:sz w:val="15"/>
                <w:szCs w:val="15"/>
                <w:color w:val="auto"/>
              </w:rPr>
              <w:t>1,246,583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30.77</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(372,445)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39.88</w:t>
            </w:r>
          </w:p>
        </w:tc>
        <w:tc>
          <w:tcPr>
            <w:tcW w:w="0" w:type="dxa"/>
            <w:vAlign w:val="bottom"/>
          </w:tcPr>
          <w:p>
            <w:pPr>
              <w:spacing w:after="0"/>
              <w:rPr>
                <w:sz w:val="1"/>
                <w:szCs w:val="1"/>
                <w:color w:val="auto"/>
              </w:rPr>
            </w:pPr>
          </w:p>
        </w:tc>
      </w:tr>
      <w:tr>
        <w:trPr>
          <w:trHeight w:val="197"/>
        </w:trPr>
        <w:tc>
          <w:tcPr>
            <w:tcW w:w="79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(250,390)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57.95</w:t>
            </w:r>
          </w:p>
        </w:tc>
        <w:tc>
          <w:tcPr>
            <w:tcW w:w="0" w:type="dxa"/>
            <w:vAlign w:val="bottom"/>
          </w:tcPr>
          <w:p>
            <w:pPr>
              <w:spacing w:after="0"/>
              <w:rPr>
                <w:sz w:val="1"/>
                <w:szCs w:val="1"/>
                <w:color w:val="auto"/>
              </w:rPr>
            </w:pPr>
          </w:p>
        </w:tc>
      </w:tr>
      <w:tr>
        <w:trPr>
          <w:trHeight w:val="195"/>
        </w:trPr>
        <w:tc>
          <w:tcPr>
            <w:tcW w:w="7980" w:type="dxa"/>
            <w:vAlign w:val="bottom"/>
            <w:shd w:val="clear" w:color="auto" w:fill="CCEEFF"/>
          </w:tcPr>
          <w:p>
            <w:pPr>
              <w:ind w:left="60"/>
              <w:spacing w:after="0"/>
              <w:rPr>
                <w:sz w:val="20"/>
                <w:szCs w:val="20"/>
                <w:color w:val="auto"/>
              </w:rPr>
            </w:pPr>
            <w:r>
              <w:rPr>
                <w:rFonts w:ascii="Arial" w:cs="Arial" w:eastAsia="Arial" w:hAnsi="Arial"/>
                <w:sz w:val="15"/>
                <w:szCs w:val="15"/>
                <w:color w:val="auto"/>
              </w:rPr>
              <w:t>Non-vested restricted shares, as of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1,845,341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34.90</w:t>
            </w:r>
          </w:p>
        </w:tc>
        <w:tc>
          <w:tcPr>
            <w:tcW w:w="0" w:type="dxa"/>
            <w:vAlign w:val="bottom"/>
          </w:tcPr>
          <w:p>
            <w:pPr>
              <w:spacing w:after="0"/>
              <w:rPr>
                <w:sz w:val="1"/>
                <w:szCs w:val="1"/>
                <w:color w:val="auto"/>
              </w:rPr>
            </w:pPr>
          </w:p>
        </w:tc>
      </w:tr>
      <w:tr>
        <w:trPr>
          <w:trHeight w:val="189"/>
        </w:trPr>
        <w:tc>
          <w:tcPr>
            <w:tcW w:w="7980" w:type="dxa"/>
            <w:vAlign w:val="bottom"/>
          </w:tcPr>
          <w:p>
            <w:pPr>
              <w:ind w:left="200"/>
              <w:spacing w:after="0"/>
              <w:rPr>
                <w:sz w:val="20"/>
                <w:szCs w:val="20"/>
                <w:color w:val="auto"/>
              </w:rPr>
            </w:pPr>
            <w:r>
              <w:rPr>
                <w:rFonts w:ascii="Arial" w:cs="Arial" w:eastAsia="Arial" w:hAnsi="Arial"/>
                <w:sz w:val="15"/>
                <w:szCs w:val="15"/>
                <w:color w:val="auto"/>
              </w:rPr>
              <w:t>Granted</w:t>
            </w:r>
          </w:p>
        </w:tc>
        <w:tc>
          <w:tcPr>
            <w:tcW w:w="1580" w:type="dxa"/>
            <w:vAlign w:val="bottom"/>
          </w:tcPr>
          <w:p>
            <w:pPr>
              <w:jc w:val="right"/>
              <w:spacing w:after="0"/>
              <w:rPr>
                <w:sz w:val="20"/>
                <w:szCs w:val="20"/>
                <w:color w:val="auto"/>
              </w:rPr>
            </w:pPr>
            <w:r>
              <w:rPr>
                <w:rFonts w:ascii="Arial" w:cs="Arial" w:eastAsia="Arial" w:hAnsi="Arial"/>
                <w:sz w:val="15"/>
                <w:szCs w:val="15"/>
                <w:color w:val="auto"/>
              </w:rPr>
              <w:t>338,446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89.20</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(403,538)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42.32</w:t>
            </w:r>
          </w:p>
        </w:tc>
        <w:tc>
          <w:tcPr>
            <w:tcW w:w="0" w:type="dxa"/>
            <w:vAlign w:val="bottom"/>
          </w:tcPr>
          <w:p>
            <w:pPr>
              <w:spacing w:after="0"/>
              <w:rPr>
                <w:sz w:val="1"/>
                <w:szCs w:val="1"/>
                <w:color w:val="auto"/>
              </w:rPr>
            </w:pPr>
          </w:p>
        </w:tc>
      </w:tr>
      <w:tr>
        <w:trPr>
          <w:trHeight w:val="197"/>
        </w:trPr>
        <w:tc>
          <w:tcPr>
            <w:tcW w:w="79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32.96</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60"/>
              <w:spacing w:after="0"/>
              <w:rPr>
                <w:sz w:val="20"/>
                <w:szCs w:val="20"/>
                <w:color w:val="auto"/>
              </w:rPr>
            </w:pPr>
            <w:r>
              <w:rPr>
                <w:rFonts w:ascii="Arial" w:cs="Arial" w:eastAsia="Arial" w:hAnsi="Arial"/>
                <w:sz w:val="15"/>
                <w:szCs w:val="15"/>
                <w:color w:val="auto"/>
              </w:rPr>
              <w:t>Non-vested restricted shares, as of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1,748,685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43.73</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1"/>
          <w:szCs w:val="11"/>
          <w:color w:val="auto"/>
        </w:rPr>
        <w:t>Includes 1,300 and 2,300 restricted stock units as of December 31, 2021 and 2020, respectively. There were no restricted stock units as of December 31, 2019</w:t>
      </w:r>
      <w:r>
        <w:rPr>
          <w:rFonts w:ascii="Arial" w:cs="Arial" w:eastAsia="Arial" w:hAnsi="Arial"/>
          <w:sz w:val="12"/>
          <w:szCs w:val="12"/>
          <w:color w:val="auto"/>
        </w:rPr>
        <w:t>.</w:t>
      </w:r>
    </w:p>
    <w:p>
      <w:pPr>
        <w:spacing w:after="0" w:line="175" w:lineRule="exact"/>
        <w:rPr>
          <w:sz w:val="20"/>
          <w:szCs w:val="20"/>
          <w:color w:val="auto"/>
        </w:rPr>
      </w:pPr>
    </w:p>
    <w:p>
      <w:pPr>
        <w:jc w:val="both"/>
        <w:ind w:firstLine="300"/>
        <w:spacing w:after="0" w:line="249" w:lineRule="auto"/>
        <w:rPr>
          <w:sz w:val="20"/>
          <w:szCs w:val="20"/>
          <w:color w:val="auto"/>
        </w:rPr>
      </w:pPr>
      <w:r>
        <w:rPr>
          <w:rFonts w:ascii="Arial" w:cs="Arial" w:eastAsia="Arial" w:hAnsi="Arial"/>
          <w:sz w:val="15"/>
          <w:szCs w:val="15"/>
          <w:b w:val="1"/>
          <w:bCs w:val="1"/>
          <w:i w:val="1"/>
          <w:iCs w:val="1"/>
          <w:color w:val="auto"/>
        </w:rPr>
        <w:t xml:space="preserve">Employee Stock Purchase Plans. </w:t>
      </w:r>
      <w:r>
        <w:rPr>
          <w:rFonts w:ascii="Arial" w:cs="Arial" w:eastAsia="Arial" w:hAnsi="Arial"/>
          <w:sz w:val="15"/>
          <w:szCs w:val="15"/>
          <w:color w:val="auto"/>
        </w:rPr>
        <w:t>For the year ended December 31, 2021, 86,510 shares were purchased by participants under the Company’s ESPPs for $7.0 million, which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were delivered with shares reacquired by the Company on the open market. For the years ended December 31, 2020 and 2019, 239,322 shares and 111,136 shares, respectively, were purchased by participants under the Company’s ESPPs for $7.1 million and $4.7 million, respectively, which shares were delivered with shares newly issued by the Company. Compensation expense associated with the Company’s ESPPs totaled approximately $1.2 million, $2.2 million and $1.2 million for the years ended December 31, 2021, 2020 and 2019, respectively.</w:t>
      </w:r>
    </w:p>
    <w:p>
      <w:pPr>
        <w:spacing w:after="0" w:line="79" w:lineRule="exact"/>
        <w:rPr>
          <w:sz w:val="20"/>
          <w:szCs w:val="20"/>
          <w:color w:val="auto"/>
        </w:rPr>
      </w:pPr>
    </w:p>
    <w:p>
      <w:pPr>
        <w:jc w:val="both"/>
        <w:ind w:firstLine="300"/>
        <w:spacing w:after="0" w:line="281" w:lineRule="auto"/>
        <w:rPr>
          <w:sz w:val="20"/>
          <w:szCs w:val="20"/>
          <w:color w:val="auto"/>
        </w:rPr>
      </w:pPr>
      <w:r>
        <w:rPr>
          <w:rFonts w:ascii="Arial" w:cs="Arial" w:eastAsia="Arial" w:hAnsi="Arial"/>
          <w:sz w:val="14"/>
          <w:szCs w:val="14"/>
          <w:b w:val="1"/>
          <w:bCs w:val="1"/>
          <w:i w:val="1"/>
          <w:iCs w:val="1"/>
          <w:color w:val="auto"/>
        </w:rPr>
        <w:t xml:space="preserve">401(k) Plan. </w:t>
      </w:r>
      <w:r>
        <w:rPr>
          <w:rFonts w:ascii="Arial" w:cs="Arial" w:eastAsia="Arial" w:hAnsi="Arial"/>
          <w:sz w:val="14"/>
          <w:szCs w:val="14"/>
          <w:color w:val="auto"/>
        </w:rPr>
        <w:t>MasTec has a 401(k) plan covering all eligible employees, which allows participants to contribute up to 75% of their pre-tax annual compensation to the plan, subject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certain limitations. Company contributions under the plan are based upon a percentage of the employee’s salary, subject to certain limitations as defined by the plan. During the years ended December 31, 2021, 2020 and 2019, matching contributions totaled approximately $23.1 million, $19.3 million and $16.5 million, respectively.</w:t>
      </w:r>
    </w:p>
    <w:p>
      <w:pPr>
        <w:spacing w:after="0" w:line="59" w:lineRule="exact"/>
        <w:rPr>
          <w:sz w:val="20"/>
          <w:szCs w:val="20"/>
          <w:color w:val="auto"/>
        </w:rPr>
      </w:pPr>
    </w:p>
    <w:p>
      <w:pPr>
        <w:jc w:val="both"/>
        <w:ind w:firstLine="300"/>
        <w:spacing w:after="0" w:line="271" w:lineRule="auto"/>
        <w:rPr>
          <w:sz w:val="20"/>
          <w:szCs w:val="20"/>
          <w:color w:val="auto"/>
        </w:rPr>
      </w:pPr>
      <w:r>
        <w:rPr>
          <w:rFonts w:ascii="Arial" w:cs="Arial" w:eastAsia="Arial" w:hAnsi="Arial"/>
          <w:sz w:val="14"/>
          <w:szCs w:val="14"/>
          <w:b w:val="1"/>
          <w:bCs w:val="1"/>
          <w:i w:val="1"/>
          <w:iCs w:val="1"/>
          <w:color w:val="auto"/>
        </w:rPr>
        <w:t xml:space="preserve">Deferred Compensation Plans. </w:t>
      </w:r>
      <w:r>
        <w:rPr>
          <w:rFonts w:ascii="Arial" w:cs="Arial" w:eastAsia="Arial" w:hAnsi="Arial"/>
          <w:sz w:val="14"/>
          <w:szCs w:val="14"/>
          <w:color w:val="auto"/>
        </w:rPr>
        <w:t>MasTec offers a deferred compensation plan to its highly compensated employees. These employees are allowed to contribute a percentage of their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pre-tax annual compensation to the deferred compensation plan. The Company also offers a deferred compensation plan to its Board of Directors, under which directors may elect to defer the receipt of compensation for their services. Total deferred compensation plan assets, which are included within other long-term assets in the consolidated balance sheets, totaled $17.5 million and $14.1 million as of December 31, 2021 and 2020, respectively. Total deferred compensation plan liabilities, which are included within other long-term liabilities in the consolidated balance sheets, totaled $18.7 million and $15 million as of December 31,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Other Retirement Plans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Multiemployer Plans</w:t>
      </w:r>
    </w:p>
    <w:p>
      <w:pPr>
        <w:spacing w:after="0" w:line="102"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five categories based on multiple factors, which categories are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83" w:lineRule="exact"/>
        <w:rPr>
          <w:sz w:val="20"/>
          <w:szCs w:val="20"/>
          <w:color w:val="auto"/>
        </w:rPr>
      </w:pPr>
    </w:p>
    <w:p>
      <w:pPr>
        <w:jc w:val="both"/>
        <w:ind w:firstLine="599"/>
        <w:spacing w:after="0" w:line="288" w:lineRule="auto"/>
        <w:rPr>
          <w:sz w:val="20"/>
          <w:szCs w:val="20"/>
          <w:color w:val="auto"/>
        </w:rPr>
      </w:pPr>
      <w:r>
        <w:rPr>
          <w:rFonts w:ascii="Arial" w:cs="Arial" w:eastAsia="Arial" w:hAnsi="Arial"/>
          <w:sz w:val="13"/>
          <w:szCs w:val="13"/>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5" w:name="page76"/>
    <w:bookmarkEnd w:id="75"/>
    <w:p>
      <w:pPr>
        <w:ind w:firstLine="599"/>
        <w:spacing w:after="0" w:line="266" w:lineRule="auto"/>
        <w:rPr>
          <w:sz w:val="20"/>
          <w:szCs w:val="20"/>
          <w:color w:val="auto"/>
        </w:rPr>
      </w:pPr>
      <w:r>
        <w:rPr>
          <w:rFonts w:ascii="Arial" w:cs="Arial" w:eastAsia="Arial" w:hAnsi="Arial"/>
          <w:sz w:val="15"/>
          <w:szCs w:val="15"/>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8"/>
              </w:rPr>
              <w:t>Contributions</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86"/>
              </w:rPr>
              <w:t>(in millions)</w:t>
            </w: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Pension Protection Act Zone Status</w:t>
            </w: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For the Years Ended December 31,</w:t>
            </w:r>
          </w:p>
        </w:tc>
        <w:tc>
          <w:tcPr>
            <w:tcW w:w="8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80" w:type="dxa"/>
            <w:vAlign w:val="bottom"/>
          </w:tcPr>
          <w:p>
            <w:pPr>
              <w:spacing w:after="0"/>
              <w:rPr>
                <w:sz w:val="8"/>
                <w:szCs w:val="8"/>
                <w:color w:val="auto"/>
              </w:rPr>
            </w:pPr>
          </w:p>
        </w:tc>
        <w:tc>
          <w:tcPr>
            <w:tcW w:w="1080" w:type="dxa"/>
            <w:vAlign w:val="bottom"/>
          </w:tcPr>
          <w:p>
            <w:pPr>
              <w:jc w:val="center"/>
              <w:ind w:left="64"/>
              <w:spacing w:after="0" w:line="100" w:lineRule="exact"/>
              <w:rPr>
                <w:sz w:val="20"/>
                <w:szCs w:val="20"/>
                <w:color w:val="auto"/>
              </w:rPr>
            </w:pPr>
            <w:r>
              <w:rPr>
                <w:rFonts w:ascii="Arial" w:cs="Arial" w:eastAsia="Arial" w:hAnsi="Arial"/>
                <w:sz w:val="10"/>
                <w:szCs w:val="10"/>
                <w:b w:val="1"/>
                <w:bCs w:val="1"/>
                <w:color w:val="auto"/>
              </w:rPr>
              <w:t>Employer</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Plan</w:t>
            </w: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80" w:type="dxa"/>
            <w:vAlign w:val="bottom"/>
            <w:vMerge w:val="restart"/>
          </w:tcPr>
          <w:p>
            <w:pPr>
              <w:spacing w:after="0"/>
              <w:rPr>
                <w:sz w:val="20"/>
                <w:szCs w:val="20"/>
                <w:color w:val="auto"/>
              </w:rPr>
            </w:pPr>
            <w:r>
              <w:rPr>
                <w:rFonts w:ascii="Arial" w:cs="Arial" w:eastAsia="Arial" w:hAnsi="Arial"/>
                <w:sz w:val="12"/>
                <w:szCs w:val="12"/>
                <w:b w:val="1"/>
                <w:bCs w:val="1"/>
                <w:color w:val="auto"/>
              </w:rPr>
              <w:t>Multiemployer Pension Plan</w:t>
            </w:r>
          </w:p>
        </w:tc>
        <w:tc>
          <w:tcPr>
            <w:tcW w:w="1080" w:type="dxa"/>
            <w:vAlign w:val="bottom"/>
          </w:tcPr>
          <w:p>
            <w:pPr>
              <w:jc w:val="center"/>
              <w:ind w:left="64"/>
              <w:spacing w:after="0" w:line="113" w:lineRule="exact"/>
              <w:rPr>
                <w:sz w:val="20"/>
                <w:szCs w:val="20"/>
                <w:color w:val="auto"/>
              </w:rPr>
            </w:pPr>
            <w:r>
              <w:rPr>
                <w:rFonts w:ascii="Arial" w:cs="Arial" w:eastAsia="Arial" w:hAnsi="Arial"/>
                <w:sz w:val="12"/>
                <w:szCs w:val="12"/>
                <w:b w:val="1"/>
                <w:bCs w:val="1"/>
                <w:color w:val="auto"/>
                <w:w w:val="90"/>
              </w:rPr>
              <w:t>Identification</w:t>
            </w:r>
          </w:p>
        </w:tc>
        <w:tc>
          <w:tcPr>
            <w:tcW w:w="680" w:type="dxa"/>
            <w:vAlign w:val="bottom"/>
            <w:vMerge w:val="continue"/>
          </w:tcPr>
          <w:p>
            <w:pPr>
              <w:spacing w:after="0"/>
              <w:rPr>
                <w:sz w:val="9"/>
                <w:szCs w:val="9"/>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2020</w:t>
            </w:r>
          </w:p>
        </w:tc>
        <w:tc>
          <w:tcPr>
            <w:tcW w:w="50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2019</w:t>
            </w:r>
          </w:p>
        </w:tc>
        <w:tc>
          <w:tcPr>
            <w:tcW w:w="820" w:type="dxa"/>
            <w:vAlign w:val="bottom"/>
            <w:vMerge w:val="continue"/>
          </w:tcPr>
          <w:p>
            <w:pPr>
              <w:spacing w:after="0"/>
              <w:rPr>
                <w:sz w:val="9"/>
                <w:szCs w:val="9"/>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2021</w:t>
            </w:r>
          </w:p>
        </w:tc>
        <w:tc>
          <w:tcPr>
            <w:tcW w:w="9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As of</w:t>
            </w:r>
          </w:p>
        </w:tc>
        <w:tc>
          <w:tcPr>
            <w:tcW w:w="980" w:type="dxa"/>
            <w:vAlign w:val="bottom"/>
            <w:vMerge w:val="restart"/>
          </w:tcPr>
          <w:p>
            <w:pPr>
              <w:jc w:val="right"/>
              <w:ind w:right="342"/>
              <w:spacing w:after="0"/>
              <w:rPr>
                <w:sz w:val="20"/>
                <w:szCs w:val="20"/>
                <w:color w:val="auto"/>
              </w:rPr>
            </w:pPr>
            <w:r>
              <w:rPr>
                <w:rFonts w:ascii="Arial" w:cs="Arial" w:eastAsia="Arial" w:hAnsi="Arial"/>
                <w:sz w:val="12"/>
                <w:szCs w:val="12"/>
                <w:b w:val="1"/>
                <w:bCs w:val="1"/>
                <w:color w:val="auto"/>
              </w:rPr>
              <w:t>2020</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As of</w:t>
            </w:r>
          </w:p>
        </w:tc>
        <w:tc>
          <w:tcPr>
            <w:tcW w:w="9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FIP/RP Status</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84"/>
              </w:rPr>
              <w:t>Surcharge</w:t>
            </w:r>
          </w:p>
        </w:tc>
        <w:tc>
          <w:tcPr>
            <w:tcW w:w="0" w:type="dxa"/>
            <w:vAlign w:val="bottom"/>
          </w:tcPr>
          <w:p>
            <w:pPr>
              <w:spacing w:after="0"/>
              <w:rPr>
                <w:sz w:val="1"/>
                <w:szCs w:val="1"/>
                <w:color w:val="auto"/>
              </w:rPr>
            </w:pPr>
          </w:p>
        </w:tc>
      </w:tr>
      <w:tr>
        <w:trPr>
          <w:trHeight w:val="150"/>
        </w:trPr>
        <w:tc>
          <w:tcPr>
            <w:tcW w:w="1680" w:type="dxa"/>
            <w:vAlign w:val="bottom"/>
            <w:vMerge w:val="continue"/>
          </w:tcPr>
          <w:p>
            <w:pPr>
              <w:spacing w:after="0"/>
              <w:rPr>
                <w:sz w:val="13"/>
                <w:szCs w:val="13"/>
                <w:color w:val="auto"/>
              </w:rPr>
            </w:pPr>
          </w:p>
        </w:tc>
        <w:tc>
          <w:tcPr>
            <w:tcW w:w="1080" w:type="dxa"/>
            <w:vAlign w:val="bottom"/>
          </w:tcPr>
          <w:p>
            <w:pPr>
              <w:jc w:val="center"/>
              <w:ind w:left="64"/>
              <w:spacing w:after="0"/>
              <w:rPr>
                <w:sz w:val="20"/>
                <w:szCs w:val="20"/>
                <w:color w:val="auto"/>
              </w:rPr>
            </w:pPr>
            <w:r>
              <w:rPr>
                <w:rFonts w:ascii="Arial" w:cs="Arial" w:eastAsia="Arial" w:hAnsi="Arial"/>
                <w:sz w:val="12"/>
                <w:szCs w:val="12"/>
                <w:b w:val="1"/>
                <w:bCs w:val="1"/>
                <w:color w:val="auto"/>
                <w:w w:val="88"/>
              </w:rPr>
              <w:t>Number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5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8"/>
              </w:rPr>
              <w:t>Date of CBA</w:t>
            </w:r>
          </w:p>
        </w:tc>
        <w:tc>
          <w:tcPr>
            <w:tcW w:w="5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2480" cy="182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1822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National Electrical Benefit Fund</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IBEW Local 1249 Pension Plan</w:t>
      </w:r>
    </w:p>
    <w:p>
      <w:pPr>
        <w:spacing w:after="0" w:line="37" w:lineRule="exact"/>
        <w:rPr>
          <w:sz w:val="20"/>
          <w:szCs w:val="20"/>
          <w:color w:val="auto"/>
        </w:rPr>
      </w:pPr>
    </w:p>
    <w:p>
      <w:pPr>
        <w:ind w:left="20" w:right="160"/>
        <w:spacing w:after="0" w:line="286" w:lineRule="auto"/>
        <w:rPr>
          <w:sz w:val="20"/>
          <w:szCs w:val="20"/>
          <w:color w:val="auto"/>
        </w:rPr>
      </w:pPr>
      <w:r>
        <w:rPr>
          <w:rFonts w:ascii="Arial" w:cs="Arial" w:eastAsia="Arial" w:hAnsi="Arial"/>
          <w:sz w:val="10"/>
          <w:szCs w:val="10"/>
          <w:color w:val="auto"/>
        </w:rPr>
        <w:t>Local Union 9 IBEW and Outside Contractors Pension Fund</w:t>
      </w:r>
    </w:p>
    <w:p>
      <w:pPr>
        <w:spacing w:after="0" w:line="1" w:lineRule="exact"/>
        <w:rPr>
          <w:sz w:val="20"/>
          <w:szCs w:val="20"/>
          <w:color w:val="auto"/>
        </w:rPr>
      </w:pPr>
    </w:p>
    <w:p>
      <w:pPr>
        <w:ind w:left="20"/>
        <w:spacing w:after="0" w:line="226" w:lineRule="auto"/>
        <w:rPr>
          <w:sz w:val="20"/>
          <w:szCs w:val="20"/>
          <w:color w:val="auto"/>
        </w:rPr>
      </w:pPr>
      <w:r>
        <w:rPr>
          <w:rFonts w:ascii="Arial" w:cs="Arial" w:eastAsia="Arial" w:hAnsi="Arial"/>
          <w:sz w:val="12"/>
          <w:szCs w:val="12"/>
          <w:color w:val="auto"/>
        </w:rPr>
        <w:t>Central Pension Fund of the IUOE &amp; Participating Employers</w:t>
      </w:r>
    </w:p>
    <w:p>
      <w:pPr>
        <w:spacing w:after="0" w:line="15" w:lineRule="exact"/>
        <w:rPr>
          <w:sz w:val="20"/>
          <w:szCs w:val="20"/>
          <w:color w:val="auto"/>
        </w:rPr>
      </w:pPr>
    </w:p>
    <w:p>
      <w:pPr>
        <w:ind w:left="20"/>
        <w:spacing w:after="0" w:line="302" w:lineRule="auto"/>
        <w:rPr>
          <w:sz w:val="20"/>
          <w:szCs w:val="20"/>
          <w:color w:val="auto"/>
        </w:rPr>
      </w:pPr>
      <w:r>
        <w:rPr>
          <w:rFonts w:ascii="Arial" w:cs="Arial" w:eastAsia="Arial" w:hAnsi="Arial"/>
          <w:sz w:val="10"/>
          <w:szCs w:val="10"/>
          <w:color w:val="auto"/>
        </w:rPr>
        <w:t>Laborers' District Council of Western Pennsylvania Pension Fund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Central Laborers' Pension Fund</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Pipeline Industry Pension Fund</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0"/>
          <w:szCs w:val="10"/>
          <w:color w:val="auto"/>
        </w:rPr>
        <w:t>Laborers' National Pension Fund</w:t>
      </w:r>
    </w:p>
    <w:p>
      <w:pPr>
        <w:spacing w:after="0" w:line="110" w:lineRule="exact"/>
        <w:rPr>
          <w:sz w:val="20"/>
          <w:szCs w:val="20"/>
          <w:color w:val="auto"/>
        </w:rPr>
      </w:pPr>
    </w:p>
    <w:p>
      <w:pPr>
        <w:ind w:left="20" w:right="40"/>
        <w:spacing w:after="0" w:line="226" w:lineRule="auto"/>
        <w:rPr>
          <w:sz w:val="20"/>
          <w:szCs w:val="20"/>
          <w:color w:val="auto"/>
        </w:rPr>
      </w:pPr>
      <w:r>
        <w:rPr>
          <w:rFonts w:ascii="Arial" w:cs="Arial" w:eastAsia="Arial" w:hAnsi="Arial"/>
          <w:sz w:val="12"/>
          <w:szCs w:val="12"/>
          <w:color w:val="auto"/>
        </w:rPr>
        <w:t>Teamsters National Pipeline Pension Fund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Michigan Laborers' Pension Plan</w:t>
      </w:r>
    </w:p>
    <w:p>
      <w:pPr>
        <w:spacing w:after="0" w:line="60" w:lineRule="exact"/>
        <w:rPr>
          <w:sz w:val="20"/>
          <w:szCs w:val="20"/>
          <w:color w:val="auto"/>
        </w:rPr>
      </w:pPr>
    </w:p>
    <w:p>
      <w:pPr>
        <w:ind w:left="20" w:right="240"/>
        <w:spacing w:after="0" w:line="226" w:lineRule="auto"/>
        <w:rPr>
          <w:sz w:val="20"/>
          <w:szCs w:val="20"/>
          <w:color w:val="auto"/>
        </w:rPr>
      </w:pPr>
      <w:r>
        <w:rPr>
          <w:rFonts w:ascii="Arial" w:cs="Arial" w:eastAsia="Arial" w:hAnsi="Arial"/>
          <w:sz w:val="12"/>
          <w:szCs w:val="12"/>
          <w:color w:val="auto"/>
        </w:rPr>
        <w:t>West Virginia Laborers' Pension Trust Fund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Minnesota Laborers' Pension Fund</w:t>
      </w:r>
    </w:p>
    <w:p>
      <w:pPr>
        <w:spacing w:after="0" w:line="60" w:lineRule="exact"/>
        <w:rPr>
          <w:sz w:val="20"/>
          <w:szCs w:val="20"/>
          <w:color w:val="auto"/>
        </w:rPr>
      </w:pPr>
    </w:p>
    <w:p>
      <w:pPr>
        <w:ind w:left="20" w:right="120"/>
        <w:spacing w:after="0" w:line="286" w:lineRule="auto"/>
        <w:rPr>
          <w:sz w:val="20"/>
          <w:szCs w:val="20"/>
          <w:color w:val="auto"/>
        </w:rPr>
      </w:pPr>
      <w:r>
        <w:rPr>
          <w:rFonts w:ascii="Arial" w:cs="Arial" w:eastAsia="Arial" w:hAnsi="Arial"/>
          <w:sz w:val="10"/>
          <w:szCs w:val="10"/>
          <w:color w:val="auto"/>
        </w:rPr>
        <w:t>International Union of Operating Engineers Local 132 Pension Fund</w:t>
      </w:r>
    </w:p>
    <w:p>
      <w:pPr>
        <w:spacing w:after="0" w:line="1" w:lineRule="exact"/>
        <w:rPr>
          <w:sz w:val="20"/>
          <w:szCs w:val="20"/>
          <w:color w:val="auto"/>
        </w:rPr>
      </w:pPr>
    </w:p>
    <w:p>
      <w:pPr>
        <w:ind w:left="20"/>
        <w:spacing w:after="0" w:line="286" w:lineRule="auto"/>
        <w:rPr>
          <w:sz w:val="20"/>
          <w:szCs w:val="20"/>
          <w:color w:val="auto"/>
        </w:rPr>
      </w:pPr>
      <w:r>
        <w:rPr>
          <w:rFonts w:ascii="Arial" w:cs="Arial" w:eastAsia="Arial" w:hAnsi="Arial"/>
          <w:sz w:val="10"/>
          <w:szCs w:val="10"/>
          <w:color w:val="auto"/>
        </w:rPr>
        <w:t>Employer- Teamsters Local Nos. 175 &amp; 505 Pension Trust Fund</w:t>
      </w:r>
    </w:p>
    <w:p>
      <w:pPr>
        <w:spacing w:after="0" w:line="1" w:lineRule="exact"/>
        <w:rPr>
          <w:sz w:val="20"/>
          <w:szCs w:val="20"/>
          <w:color w:val="auto"/>
        </w:rPr>
      </w:pPr>
    </w:p>
    <w:p>
      <w:pPr>
        <w:ind w:left="20" w:right="120"/>
        <w:spacing w:after="0" w:line="286" w:lineRule="auto"/>
        <w:rPr>
          <w:sz w:val="20"/>
          <w:szCs w:val="20"/>
          <w:color w:val="auto"/>
        </w:rPr>
      </w:pPr>
      <w:r>
        <w:rPr>
          <w:rFonts w:ascii="Arial" w:cs="Arial" w:eastAsia="Arial" w:hAnsi="Arial"/>
          <w:sz w:val="10"/>
          <w:szCs w:val="10"/>
          <w:color w:val="auto"/>
        </w:rPr>
        <w:t>Minnesota Teamsters Construction Division Pension Fund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funds</w:t>
      </w:r>
    </w:p>
    <w:p>
      <w:pPr>
        <w:spacing w:after="0" w:line="37" w:lineRule="exact"/>
        <w:rPr>
          <w:sz w:val="20"/>
          <w:szCs w:val="20"/>
          <w:color w:val="auto"/>
        </w:rPr>
      </w:pPr>
    </w:p>
    <w:p>
      <w:pPr>
        <w:ind w:left="20" w:right="180"/>
        <w:spacing w:after="0" w:line="226" w:lineRule="auto"/>
        <w:rPr>
          <w:sz w:val="20"/>
          <w:szCs w:val="20"/>
          <w:color w:val="auto"/>
        </w:rPr>
      </w:pPr>
      <w:r>
        <w:rPr>
          <w:rFonts w:ascii="Arial" w:cs="Arial" w:eastAsia="Arial" w:hAnsi="Arial"/>
          <w:sz w:val="12"/>
          <w:szCs w:val="12"/>
          <w:color w:val="auto"/>
        </w:rPr>
        <w:t>Total multiemployer pension plan contributions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530181657</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1.2</w:t>
            </w:r>
          </w:p>
        </w:tc>
        <w:tc>
          <w:tcPr>
            <w:tcW w:w="840" w:type="dxa"/>
            <w:vAlign w:val="bottom"/>
          </w:tcPr>
          <w:p>
            <w:pPr>
              <w:ind w:left="60"/>
              <w:spacing w:after="0"/>
              <w:rPr>
                <w:sz w:val="20"/>
                <w:szCs w:val="20"/>
                <w:color w:val="auto"/>
              </w:rPr>
            </w:pPr>
            <w:r>
              <w:rPr>
                <w:rFonts w:ascii="Arial" w:cs="Arial" w:eastAsia="Arial" w:hAnsi="Arial"/>
                <w:sz w:val="12"/>
                <w:szCs w:val="12"/>
                <w:color w:val="auto"/>
                <w:w w:val="97"/>
              </w:rPr>
              <w:t>Varies through</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111"/>
        </w:trPr>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color w:val="auto"/>
                <w:w w:val="86"/>
              </w:rPr>
              <w:t>5/31/2026</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162"/>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156035161</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3.2</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5/4/2025</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516077720</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5/31/2025</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10/31/2020</w:t>
            </w:r>
          </w:p>
        </w:tc>
        <w:tc>
          <w:tcPr>
            <w:tcW w:w="380" w:type="dxa"/>
            <w:vAlign w:val="bottom"/>
          </w:tcPr>
          <w:p>
            <w:pPr>
              <w:ind w:left="80"/>
              <w:spacing w:after="0"/>
              <w:rPr>
                <w:sz w:val="20"/>
                <w:szCs w:val="20"/>
                <w:color w:val="auto"/>
              </w:rPr>
            </w:pPr>
            <w:r>
              <w:rPr>
                <w:rFonts w:ascii="Arial" w:cs="Arial" w:eastAsia="Arial" w:hAnsi="Arial"/>
                <w:sz w:val="8"/>
                <w:szCs w:val="8"/>
                <w:color w:val="auto"/>
              </w:rPr>
              <w:t>(a)</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10/31/2019</w:t>
            </w:r>
          </w:p>
        </w:tc>
        <w:tc>
          <w:tcPr>
            <w:tcW w:w="400" w:type="dxa"/>
            <w:vAlign w:val="bottom"/>
          </w:tcPr>
          <w:p>
            <w:pPr>
              <w:ind w:left="80"/>
              <w:spacing w:after="0"/>
              <w:rPr>
                <w:sz w:val="20"/>
                <w:szCs w:val="20"/>
                <w:color w:val="auto"/>
              </w:rPr>
            </w:pPr>
            <w:r>
              <w:rPr>
                <w:rFonts w:ascii="Arial" w:cs="Arial" w:eastAsia="Arial" w:hAnsi="Arial"/>
                <w:sz w:val="8"/>
                <w:szCs w:val="8"/>
                <w:color w:val="auto"/>
              </w:rPr>
              <w:t>(a)</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6"/>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366052390</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12.6</w:t>
            </w:r>
          </w:p>
        </w:tc>
        <w:tc>
          <w:tcPr>
            <w:tcW w:w="840" w:type="dxa"/>
            <w:vAlign w:val="bottom"/>
          </w:tcPr>
          <w:p>
            <w:pPr>
              <w:ind w:left="60"/>
              <w:spacing w:after="0"/>
              <w:rPr>
                <w:sz w:val="20"/>
                <w:szCs w:val="20"/>
                <w:color w:val="auto"/>
              </w:rPr>
            </w:pPr>
            <w:r>
              <w:rPr>
                <w:rFonts w:ascii="Arial" w:cs="Arial" w:eastAsia="Arial" w:hAnsi="Arial"/>
                <w:sz w:val="12"/>
                <w:szCs w:val="12"/>
                <w:color w:val="auto"/>
                <w:w w:val="97"/>
              </w:rPr>
              <w:t>Varies through</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1/31/2021</w:t>
            </w:r>
          </w:p>
        </w:tc>
        <w:tc>
          <w:tcPr>
            <w:tcW w:w="380" w:type="dxa"/>
            <w:vAlign w:val="bottom"/>
          </w:tcPr>
          <w:p>
            <w:pPr>
              <w:spacing w:after="0"/>
              <w:rPr>
                <w:sz w:val="19"/>
                <w:szCs w:val="19"/>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6"/>
              </w:rPr>
              <w:t>1/31/2020</w:t>
            </w:r>
          </w:p>
        </w:tc>
        <w:tc>
          <w:tcPr>
            <w:tcW w:w="400" w:type="dxa"/>
            <w:vAlign w:val="bottom"/>
          </w:tcPr>
          <w:p>
            <w:pPr>
              <w:spacing w:after="0"/>
              <w:rPr>
                <w:sz w:val="19"/>
                <w:szCs w:val="19"/>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148"/>
        </w:trPr>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5/31/2027</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256135576</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1.9</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5"/>
                <w:szCs w:val="15"/>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spacing w:after="0"/>
              <w:rPr>
                <w:sz w:val="15"/>
                <w:szCs w:val="15"/>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86"/>
              </w:rPr>
              <w:t>Implemented</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6"/>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376052379</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w:t>
            </w:r>
          </w:p>
        </w:tc>
        <w:tc>
          <w:tcPr>
            <w:tcW w:w="840" w:type="dxa"/>
            <w:vAlign w:val="bottom"/>
          </w:tcPr>
          <w:p>
            <w:pPr>
              <w:ind w:left="60"/>
              <w:spacing w:after="0"/>
              <w:rPr>
                <w:sz w:val="20"/>
                <w:szCs w:val="20"/>
                <w:color w:val="auto"/>
              </w:rPr>
            </w:pPr>
            <w:r>
              <w:rPr>
                <w:rFonts w:ascii="Arial" w:cs="Arial" w:eastAsia="Arial" w:hAnsi="Arial"/>
                <w:sz w:val="12"/>
                <w:szCs w:val="12"/>
                <w:color w:val="auto"/>
                <w:w w:val="97"/>
              </w:rPr>
              <w:t>Varies through</w:t>
            </w:r>
          </w:p>
        </w:tc>
        <w:tc>
          <w:tcPr>
            <w:tcW w:w="540" w:type="dxa"/>
            <w:vAlign w:val="bottom"/>
          </w:tcPr>
          <w:p>
            <w:pPr>
              <w:jc w:val="center"/>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ind w:left="80"/>
              <w:spacing w:after="0"/>
              <w:rPr>
                <w:sz w:val="20"/>
                <w:szCs w:val="20"/>
                <w:color w:val="auto"/>
              </w:rPr>
            </w:pPr>
            <w:r>
              <w:rPr>
                <w:rFonts w:ascii="Arial" w:cs="Arial" w:eastAsia="Arial" w:hAnsi="Arial"/>
                <w:sz w:val="8"/>
                <w:szCs w:val="8"/>
                <w:color w:val="auto"/>
              </w:rPr>
              <w:t>(b)</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ind w:left="80"/>
              <w:spacing w:after="0"/>
              <w:rPr>
                <w:sz w:val="20"/>
                <w:szCs w:val="20"/>
                <w:color w:val="auto"/>
              </w:rPr>
            </w:pPr>
            <w:r>
              <w:rPr>
                <w:rFonts w:ascii="Arial" w:cs="Arial" w:eastAsia="Arial" w:hAnsi="Arial"/>
                <w:sz w:val="8"/>
                <w:szCs w:val="8"/>
                <w:color w:val="auto"/>
              </w:rPr>
              <w:t>(b)</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86"/>
              </w:rPr>
              <w:t>Implemented</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111"/>
        </w:trPr>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color w:val="auto"/>
                <w:w w:val="86"/>
              </w:rPr>
              <w:t>5/31/2023</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162"/>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736146433</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10.9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9.6</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ind w:left="80"/>
              <w:spacing w:after="0"/>
              <w:rPr>
                <w:sz w:val="20"/>
                <w:szCs w:val="20"/>
                <w:color w:val="auto"/>
              </w:rPr>
            </w:pPr>
            <w:r>
              <w:rPr>
                <w:rFonts w:ascii="Arial" w:cs="Arial" w:eastAsia="Arial" w:hAnsi="Arial"/>
                <w:sz w:val="8"/>
                <w:szCs w:val="8"/>
                <w:color w:val="auto"/>
              </w:rPr>
              <w:t>(a)</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176"/>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751280827</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3.0</w:t>
            </w:r>
          </w:p>
        </w:tc>
        <w:tc>
          <w:tcPr>
            <w:tcW w:w="840" w:type="dxa"/>
            <w:vAlign w:val="bottom"/>
          </w:tcPr>
          <w:p>
            <w:pPr>
              <w:ind w:left="60"/>
              <w:spacing w:after="0"/>
              <w:rPr>
                <w:sz w:val="20"/>
                <w:szCs w:val="20"/>
                <w:color w:val="auto"/>
              </w:rPr>
            </w:pPr>
            <w:r>
              <w:rPr>
                <w:rFonts w:ascii="Arial" w:cs="Arial" w:eastAsia="Arial" w:hAnsi="Arial"/>
                <w:sz w:val="12"/>
                <w:szCs w:val="12"/>
                <w:color w:val="auto"/>
                <w:w w:val="97"/>
              </w:rPr>
              <w:t>Varies through</w:t>
            </w:r>
          </w:p>
        </w:tc>
        <w:tc>
          <w:tcPr>
            <w:tcW w:w="540" w:type="dxa"/>
            <w:vAlign w:val="bottom"/>
          </w:tcPr>
          <w:p>
            <w:pPr>
              <w:jc w:val="center"/>
              <w:spacing w:after="0"/>
              <w:rPr>
                <w:sz w:val="20"/>
                <w:szCs w:val="20"/>
                <w:color w:val="auto"/>
              </w:rPr>
            </w:pPr>
            <w:r>
              <w:rPr>
                <w:rFonts w:ascii="Arial" w:cs="Arial" w:eastAsia="Arial" w:hAnsi="Arial"/>
                <w:sz w:val="12"/>
                <w:szCs w:val="12"/>
                <w:color w:val="auto"/>
                <w:w w:val="81"/>
              </w:rPr>
              <w:t>Red</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5"/>
                <w:szCs w:val="15"/>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1"/>
              </w:rPr>
              <w:t>Red</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spacing w:after="0"/>
              <w:rPr>
                <w:sz w:val="15"/>
                <w:szCs w:val="15"/>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86"/>
              </w:rPr>
              <w:t>Implemented</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148"/>
        </w:trPr>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461102851</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4.5</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ind w:left="80"/>
              <w:spacing w:after="0"/>
              <w:rPr>
                <w:sz w:val="20"/>
                <w:szCs w:val="20"/>
                <w:color w:val="auto"/>
              </w:rPr>
            </w:pPr>
            <w:r>
              <w:rPr>
                <w:rFonts w:ascii="Arial" w:cs="Arial" w:eastAsia="Arial" w:hAnsi="Arial"/>
                <w:sz w:val="8"/>
                <w:szCs w:val="8"/>
                <w:color w:val="auto"/>
              </w:rPr>
              <w:t>(a)</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ind w:left="80"/>
              <w:spacing w:after="0"/>
              <w:rPr>
                <w:sz w:val="20"/>
                <w:szCs w:val="20"/>
                <w:color w:val="auto"/>
              </w:rPr>
            </w:pPr>
            <w:r>
              <w:rPr>
                <w:rFonts w:ascii="Arial" w:cs="Arial" w:eastAsia="Arial" w:hAnsi="Arial"/>
                <w:sz w:val="8"/>
                <w:szCs w:val="8"/>
                <w:color w:val="auto"/>
              </w:rPr>
              <w:t>(a)</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386233976</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1.1</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8/31/2021</w:t>
            </w:r>
          </w:p>
        </w:tc>
        <w:tc>
          <w:tcPr>
            <w:tcW w:w="380" w:type="dxa"/>
            <w:vAlign w:val="bottom"/>
          </w:tcPr>
          <w:p>
            <w:pPr>
              <w:spacing w:after="0"/>
              <w:rPr>
                <w:sz w:val="19"/>
                <w:szCs w:val="19"/>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96"/>
              </w:rPr>
              <w:t>Yellow</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6"/>
              </w:rPr>
              <w:t>8/31/2020</w:t>
            </w:r>
          </w:p>
        </w:tc>
        <w:tc>
          <w:tcPr>
            <w:tcW w:w="400" w:type="dxa"/>
            <w:vAlign w:val="bottom"/>
          </w:tcPr>
          <w:p>
            <w:pPr>
              <w:ind w:left="80"/>
              <w:spacing w:after="0"/>
              <w:rPr>
                <w:sz w:val="20"/>
                <w:szCs w:val="20"/>
                <w:color w:val="auto"/>
              </w:rPr>
            </w:pPr>
            <w:r>
              <w:rPr>
                <w:rFonts w:ascii="Arial" w:cs="Arial" w:eastAsia="Arial" w:hAnsi="Arial"/>
                <w:sz w:val="8"/>
                <w:szCs w:val="8"/>
                <w:color w:val="auto"/>
              </w:rPr>
              <w:t>(b)</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86"/>
              </w:rPr>
              <w:t>Implemented</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556026775</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4.9</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3/31/2021</w:t>
            </w:r>
          </w:p>
        </w:tc>
        <w:tc>
          <w:tcPr>
            <w:tcW w:w="380" w:type="dxa"/>
            <w:vAlign w:val="bottom"/>
          </w:tcPr>
          <w:p>
            <w:pPr>
              <w:ind w:left="80"/>
              <w:spacing w:after="0"/>
              <w:rPr>
                <w:sz w:val="20"/>
                <w:szCs w:val="20"/>
                <w:color w:val="auto"/>
              </w:rPr>
            </w:pPr>
            <w:r>
              <w:rPr>
                <w:rFonts w:ascii="Arial" w:cs="Arial" w:eastAsia="Arial" w:hAnsi="Arial"/>
                <w:sz w:val="8"/>
                <w:szCs w:val="8"/>
                <w:color w:val="auto"/>
              </w:rPr>
              <w:t>(a)</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6"/>
              </w:rPr>
              <w:t>3/31/2020</w:t>
            </w:r>
          </w:p>
        </w:tc>
        <w:tc>
          <w:tcPr>
            <w:tcW w:w="400" w:type="dxa"/>
            <w:vAlign w:val="bottom"/>
          </w:tcPr>
          <w:p>
            <w:pPr>
              <w:ind w:left="80"/>
              <w:spacing w:after="0"/>
              <w:rPr>
                <w:sz w:val="20"/>
                <w:szCs w:val="20"/>
                <w:color w:val="auto"/>
              </w:rPr>
            </w:pPr>
            <w:r>
              <w:rPr>
                <w:rFonts w:ascii="Arial" w:cs="Arial" w:eastAsia="Arial" w:hAnsi="Arial"/>
                <w:sz w:val="8"/>
                <w:szCs w:val="8"/>
                <w:color w:val="auto"/>
              </w:rPr>
              <w:t>(a)</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416159599</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0.8</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spacing w:after="0"/>
              <w:rPr>
                <w:sz w:val="19"/>
                <w:szCs w:val="19"/>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spacing w:after="0"/>
              <w:rPr>
                <w:sz w:val="19"/>
                <w:szCs w:val="19"/>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2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556015364</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5.0</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3/31/2021</w:t>
            </w:r>
          </w:p>
        </w:tc>
        <w:tc>
          <w:tcPr>
            <w:tcW w:w="380" w:type="dxa"/>
            <w:vAlign w:val="bottom"/>
          </w:tcPr>
          <w:p>
            <w:pPr>
              <w:ind w:left="80"/>
              <w:spacing w:after="0"/>
              <w:rPr>
                <w:sz w:val="20"/>
                <w:szCs w:val="20"/>
                <w:color w:val="auto"/>
              </w:rPr>
            </w:pPr>
            <w:r>
              <w:rPr>
                <w:rFonts w:ascii="Arial" w:cs="Arial" w:eastAsia="Arial" w:hAnsi="Arial"/>
                <w:sz w:val="8"/>
                <w:szCs w:val="8"/>
                <w:color w:val="auto"/>
              </w:rPr>
              <w:t>(a)</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6"/>
              </w:rPr>
              <w:t>3/31/2020</w:t>
            </w:r>
          </w:p>
        </w:tc>
        <w:tc>
          <w:tcPr>
            <w:tcW w:w="400" w:type="dxa"/>
            <w:vAlign w:val="bottom"/>
          </w:tcPr>
          <w:p>
            <w:pPr>
              <w:ind w:left="80"/>
              <w:spacing w:after="0"/>
              <w:rPr>
                <w:sz w:val="20"/>
                <w:szCs w:val="20"/>
                <w:color w:val="auto"/>
              </w:rPr>
            </w:pPr>
            <w:r>
              <w:rPr>
                <w:rFonts w:ascii="Arial" w:cs="Arial" w:eastAsia="Arial" w:hAnsi="Arial"/>
                <w:sz w:val="8"/>
                <w:szCs w:val="8"/>
                <w:color w:val="auto"/>
              </w:rPr>
              <w:t>(a)</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7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556021850</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0.6</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1.7</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1"/>
              </w:rPr>
              <w:t>Red</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12/31/2020</w:t>
            </w:r>
          </w:p>
        </w:tc>
        <w:tc>
          <w:tcPr>
            <w:tcW w:w="380" w:type="dxa"/>
            <w:vAlign w:val="bottom"/>
          </w:tcPr>
          <w:p>
            <w:pPr>
              <w:ind w:left="80"/>
              <w:spacing w:after="0"/>
              <w:rPr>
                <w:sz w:val="20"/>
                <w:szCs w:val="20"/>
                <w:color w:val="auto"/>
              </w:rPr>
            </w:pPr>
            <w:r>
              <w:rPr>
                <w:rFonts w:ascii="Arial" w:cs="Arial" w:eastAsia="Arial" w:hAnsi="Arial"/>
                <w:sz w:val="8"/>
                <w:szCs w:val="8"/>
                <w:color w:val="auto"/>
              </w:rPr>
              <w:t>(a), (b)</w:t>
            </w: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1"/>
              </w:rPr>
              <w:t>Red</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9"/>
              </w:rPr>
              <w:t>12/31/2019</w:t>
            </w:r>
          </w:p>
        </w:tc>
        <w:tc>
          <w:tcPr>
            <w:tcW w:w="400" w:type="dxa"/>
            <w:vAlign w:val="bottom"/>
          </w:tcPr>
          <w:p>
            <w:pPr>
              <w:ind w:left="80"/>
              <w:spacing w:after="0"/>
              <w:rPr>
                <w:sz w:val="20"/>
                <w:szCs w:val="20"/>
                <w:color w:val="auto"/>
              </w:rPr>
            </w:pPr>
            <w:r>
              <w:rPr>
                <w:rFonts w:ascii="Arial" w:cs="Arial" w:eastAsia="Arial" w:hAnsi="Arial"/>
                <w:sz w:val="8"/>
                <w:szCs w:val="8"/>
                <w:color w:val="auto"/>
              </w:rPr>
              <w:t>(a), (b)</w:t>
            </w: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86"/>
              </w:rPr>
              <w:t>Implemented</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75"/>
        </w:trPr>
        <w:tc>
          <w:tcPr>
            <w:tcW w:w="760" w:type="dxa"/>
            <w:vAlign w:val="bottom"/>
          </w:tcPr>
          <w:p>
            <w:pPr>
              <w:jc w:val="right"/>
              <w:ind w:right="182"/>
              <w:spacing w:after="0"/>
              <w:rPr>
                <w:sz w:val="20"/>
                <w:szCs w:val="20"/>
                <w:color w:val="auto"/>
              </w:rPr>
            </w:pPr>
            <w:r>
              <w:rPr>
                <w:rFonts w:ascii="Arial" w:cs="Arial" w:eastAsia="Arial" w:hAnsi="Arial"/>
                <w:sz w:val="12"/>
                <w:szCs w:val="12"/>
                <w:color w:val="auto"/>
                <w:w w:val="83"/>
              </w:rPr>
              <w:t>416187751</w:t>
            </w:r>
          </w:p>
        </w:tc>
        <w:tc>
          <w:tcPr>
            <w:tcW w:w="660" w:type="dxa"/>
            <w:vAlign w:val="bottom"/>
          </w:tcPr>
          <w:p>
            <w:pPr>
              <w:jc w:val="right"/>
              <w:ind w:right="182"/>
              <w:spacing w:after="0"/>
              <w:rPr>
                <w:sz w:val="20"/>
                <w:szCs w:val="20"/>
                <w:color w:val="auto"/>
              </w:rPr>
            </w:pPr>
            <w:r>
              <w:rPr>
                <w:rFonts w:ascii="Arial" w:cs="Arial" w:eastAsia="Arial" w:hAnsi="Arial"/>
                <w:sz w:val="12"/>
                <w:szCs w:val="12"/>
                <w:color w:val="auto"/>
              </w:rPr>
              <w:t>001</w:t>
            </w: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0.2</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w:t>
            </w:r>
          </w:p>
        </w:tc>
        <w:tc>
          <w:tcPr>
            <w:tcW w:w="840" w:type="dxa"/>
            <w:vAlign w:val="bottom"/>
          </w:tcPr>
          <w:p>
            <w:pPr>
              <w:jc w:val="center"/>
              <w:spacing w:after="0"/>
              <w:rPr>
                <w:sz w:val="20"/>
                <w:szCs w:val="20"/>
                <w:color w:val="auto"/>
              </w:rPr>
            </w:pPr>
            <w:r>
              <w:rPr>
                <w:rFonts w:ascii="Arial" w:cs="Arial" w:eastAsia="Arial" w:hAnsi="Arial"/>
                <w:sz w:val="12"/>
                <w:szCs w:val="12"/>
                <w:color w:val="auto"/>
                <w:w w:val="86"/>
              </w:rPr>
              <w:t>5/31/2023</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11/30/2020</w:t>
            </w:r>
          </w:p>
        </w:tc>
        <w:tc>
          <w:tcPr>
            <w:tcW w:w="380" w:type="dxa"/>
            <w:vAlign w:val="bottom"/>
          </w:tcPr>
          <w:p>
            <w:pPr>
              <w:spacing w:after="0"/>
              <w:rPr>
                <w:sz w:val="23"/>
                <w:szCs w:val="23"/>
                <w:color w:val="auto"/>
              </w:rPr>
            </w:pPr>
          </w:p>
        </w:tc>
        <w:tc>
          <w:tcPr>
            <w:tcW w:w="520" w:type="dxa"/>
            <w:vAlign w:val="bottom"/>
          </w:tcPr>
          <w:p>
            <w:pPr>
              <w:jc w:val="center"/>
              <w:ind w:right="2"/>
              <w:spacing w:after="0"/>
              <w:rPr>
                <w:sz w:val="20"/>
                <w:szCs w:val="20"/>
                <w:color w:val="auto"/>
              </w:rPr>
            </w:pPr>
            <w:r>
              <w:rPr>
                <w:rFonts w:ascii="Arial" w:cs="Arial" w:eastAsia="Arial" w:hAnsi="Arial"/>
                <w:sz w:val="12"/>
                <w:szCs w:val="12"/>
                <w:color w:val="auto"/>
                <w:w w:val="89"/>
              </w:rPr>
              <w:t>Green</w:t>
            </w: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11/30/2019</w:t>
            </w:r>
          </w:p>
        </w:tc>
        <w:tc>
          <w:tcPr>
            <w:tcW w:w="400" w:type="dxa"/>
            <w:vAlign w:val="bottom"/>
          </w:tcPr>
          <w:p>
            <w:pPr>
              <w:spacing w:after="0"/>
              <w:rPr>
                <w:sz w:val="23"/>
                <w:szCs w:val="23"/>
                <w:color w:val="auto"/>
              </w:rPr>
            </w:pPr>
          </w:p>
        </w:tc>
        <w:tc>
          <w:tcPr>
            <w:tcW w:w="960" w:type="dxa"/>
            <w:vAlign w:val="bottom"/>
          </w:tcPr>
          <w:p>
            <w:pPr>
              <w:jc w:val="center"/>
              <w:ind w:right="102"/>
              <w:spacing w:after="0"/>
              <w:rPr>
                <w:sz w:val="20"/>
                <w:szCs w:val="20"/>
                <w:color w:val="auto"/>
              </w:rPr>
            </w:pPr>
            <w:r>
              <w:rPr>
                <w:rFonts w:ascii="Arial" w:cs="Arial" w:eastAsia="Arial" w:hAnsi="Arial"/>
                <w:sz w:val="12"/>
                <w:szCs w:val="12"/>
                <w:color w:val="auto"/>
                <w:w w:val="95"/>
              </w:rPr>
              <w:t>NA</w:t>
            </w:r>
          </w:p>
        </w:tc>
        <w:tc>
          <w:tcPr>
            <w:tcW w:w="380" w:type="dxa"/>
            <w:vAlign w:val="bottom"/>
          </w:tcPr>
          <w:p>
            <w:pPr>
              <w:ind w:left="240"/>
              <w:spacing w:after="0"/>
              <w:rPr>
                <w:sz w:val="20"/>
                <w:szCs w:val="20"/>
                <w:color w:val="auto"/>
              </w:rPr>
            </w:pPr>
            <w:r>
              <w:rPr>
                <w:rFonts w:ascii="Arial" w:cs="Arial" w:eastAsia="Arial" w:hAnsi="Arial"/>
                <w:sz w:val="12"/>
                <w:szCs w:val="12"/>
                <w:color w:val="auto"/>
                <w:w w:val="77"/>
              </w:rPr>
              <w:t>No</w:t>
            </w:r>
          </w:p>
        </w:tc>
      </w:tr>
      <w:tr>
        <w:trPr>
          <w:trHeight w:val="232"/>
        </w:trPr>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94.0</w:t>
            </w:r>
          </w:p>
        </w:tc>
        <w:tc>
          <w:tcPr>
            <w:tcW w:w="260" w:type="dxa"/>
            <w:vAlign w:val="bottom"/>
          </w:tcPr>
          <w:p>
            <w:pPr>
              <w:spacing w:after="0"/>
              <w:rPr>
                <w:sz w:val="17"/>
                <w:szCs w:val="17"/>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30.0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66.9</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4"/>
        </w:trPr>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-2369820</wp:posOffset>
            </wp:positionV>
            <wp:extent cx="7142480" cy="174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-2020570</wp:posOffset>
            </wp:positionV>
            <wp:extent cx="7142480" cy="174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-1671955</wp:posOffset>
            </wp:positionV>
            <wp:extent cx="714248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2480" cy="1111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-1386840</wp:posOffset>
            </wp:positionV>
            <wp:extent cx="7142480" cy="174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-1101090</wp:posOffset>
            </wp:positionV>
            <wp:extent cx="7142480" cy="174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-815975</wp:posOffset>
            </wp:positionV>
            <wp:extent cx="7142480" cy="174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-467360</wp:posOffset>
            </wp:positionV>
            <wp:extent cx="7142480" cy="174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17462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-181610</wp:posOffset>
            </wp:positionV>
            <wp:extent cx="7142480" cy="174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17462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1760" w:space="280"/>
            <w:col w:w="9200"/>
          </w:cols>
          <w:pgMar w:left="320" w:top="843" w:right="339" w:bottom="1440" w:gutter="0" w:footer="0" w:header="0"/>
          <w:type w:val="continuous"/>
        </w:sectPr>
      </w:pPr>
    </w:p>
    <w:p>
      <w:pPr>
        <w:ind w:left="380" w:hanging="38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Company’s contributions to this plan represent greater than 5% of the plan’s total contributions.</w:t>
      </w:r>
    </w:p>
    <w:p>
      <w:pPr>
        <w:spacing w:after="0" w:line="10" w:lineRule="exact"/>
        <w:rPr>
          <w:rFonts w:ascii="Arial" w:cs="Arial" w:eastAsia="Arial" w:hAnsi="Arial"/>
          <w:sz w:val="13"/>
          <w:szCs w:val="13"/>
          <w:color w:val="auto"/>
        </w:rPr>
      </w:pPr>
    </w:p>
    <w:p>
      <w:pPr>
        <w:ind w:left="360" w:hanging="360"/>
        <w:spacing w:after="0"/>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This plan has utilized extended amortization provisions, which provide plans with extensions of time to amortize pension funding shortfalls.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type w:val="continuous"/>
        </w:sectPr>
      </w:pPr>
    </w:p>
    <w:bookmarkStart w:id="76" w:name="page77"/>
    <w:bookmarkEnd w:id="76"/>
    <w:p>
      <w:pPr>
        <w:jc w:val="both"/>
        <w:ind w:firstLine="599"/>
        <w:spacing w:after="0" w:line="255" w:lineRule="auto"/>
        <w:rPr>
          <w:sz w:val="20"/>
          <w:szCs w:val="20"/>
          <w:color w:val="auto"/>
        </w:rPr>
      </w:pPr>
      <w:r>
        <w:rPr>
          <w:rFonts w:ascii="Arial" w:cs="Arial" w:eastAsia="Arial" w:hAnsi="Arial"/>
          <w:sz w:val="15"/>
          <w:szCs w:val="15"/>
          <w:color w:val="auto"/>
        </w:rPr>
        <w:t>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Multiemployer Plans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840" w:type="dxa"/>
            <w:vAlign w:val="bottom"/>
          </w:tcPr>
          <w:p>
            <w:pPr>
              <w:spacing w:after="0"/>
              <w:rPr>
                <w:sz w:val="12"/>
                <w:szCs w:val="12"/>
                <w:color w:val="auto"/>
              </w:rPr>
            </w:pPr>
          </w:p>
        </w:tc>
        <w:tc>
          <w:tcPr>
            <w:tcW w:w="2120" w:type="dxa"/>
            <w:vAlign w:val="bottom"/>
            <w:gridSpan w:val="3"/>
            <w:vMerge w:val="restart"/>
          </w:tcPr>
          <w:p>
            <w:pPr>
              <w:jc w:val="right"/>
              <w:ind w:right="345"/>
              <w:spacing w:after="0"/>
              <w:rPr>
                <w:sz w:val="20"/>
                <w:szCs w:val="20"/>
                <w:color w:val="auto"/>
              </w:rPr>
            </w:pPr>
            <w:r>
              <w:rPr>
                <w:rFonts w:ascii="Arial" w:cs="Arial" w:eastAsia="Arial" w:hAnsi="Arial"/>
                <w:sz w:val="15"/>
                <w:szCs w:val="15"/>
                <w:b w:val="1"/>
                <w:bCs w:val="1"/>
                <w:color w:val="auto"/>
              </w:rPr>
              <w:t>Covered Employees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5"/>
                <w:szCs w:val="15"/>
                <w:b w:val="1"/>
                <w:bCs w:val="1"/>
                <w:color w:val="auto"/>
                <w:w w:val="91"/>
              </w:rPr>
              <w:t>Contributions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3"/>
              </w:rPr>
              <w:t>(in millions)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8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 the Years Ended December 31:</w:t>
            </w:r>
          </w:p>
        </w:tc>
        <w:tc>
          <w:tcPr>
            <w:tcW w:w="110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Low</w:t>
            </w:r>
          </w:p>
        </w:tc>
        <w:tc>
          <w:tcPr>
            <w:tcW w:w="112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High</w:t>
            </w:r>
          </w:p>
        </w:tc>
        <w:tc>
          <w:tcPr>
            <w:tcW w:w="20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Pension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4" w:lineRule="exact"/>
              <w:rPr>
                <w:sz w:val="20"/>
                <w:szCs w:val="20"/>
                <w:color w:val="auto"/>
              </w:rPr>
            </w:pPr>
            <w:r>
              <w:rPr>
                <w:rFonts w:ascii="Arial" w:cs="Arial" w:eastAsia="Arial" w:hAnsi="Arial"/>
                <w:sz w:val="15"/>
                <w:szCs w:val="15"/>
                <w:b w:val="1"/>
                <w:bCs w:val="1"/>
                <w:color w:val="auto"/>
                <w:w w:val="94"/>
              </w:rPr>
              <w:t>Other</w:t>
            </w:r>
          </w:p>
        </w:tc>
        <w:tc>
          <w:tcPr>
            <w:tcW w:w="300" w:type="dxa"/>
            <w:vAlign w:val="bottom"/>
          </w:tcPr>
          <w:p>
            <w:pPr>
              <w:spacing w:after="0"/>
              <w:rPr>
                <w:sz w:val="12"/>
                <w:szCs w:val="12"/>
                <w:color w:val="auto"/>
              </w:rPr>
            </w:pPr>
          </w:p>
        </w:tc>
        <w:tc>
          <w:tcPr>
            <w:tcW w:w="1020" w:type="dxa"/>
            <w:vAlign w:val="bottom"/>
            <w:vMerge w:val="restart"/>
          </w:tcPr>
          <w:p>
            <w:pPr>
              <w:jc w:val="right"/>
              <w:ind w:right="40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Multiemployer</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2,412</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128.1</w:t>
            </w:r>
          </w:p>
        </w:tc>
        <w:tc>
          <w:tcPr>
            <w:tcW w:w="0" w:type="dxa"/>
            <w:vAlign w:val="bottom"/>
          </w:tcPr>
          <w:p>
            <w:pPr>
              <w:spacing w:after="0"/>
              <w:rPr>
                <w:sz w:val="1"/>
                <w:szCs w:val="1"/>
                <w:color w:val="auto"/>
              </w:rPr>
            </w:pPr>
          </w:p>
        </w:tc>
      </w:tr>
      <w:tr>
        <w:trPr>
          <w:trHeight w:val="197"/>
        </w:trPr>
        <w:tc>
          <w:tcPr>
            <w:tcW w:w="4840" w:type="dxa"/>
            <w:vAlign w:val="bottom"/>
          </w:tcPr>
          <w:p>
            <w:pPr>
              <w:ind w:left="20"/>
              <w:spacing w:after="0"/>
              <w:rPr>
                <w:sz w:val="20"/>
                <w:szCs w:val="20"/>
                <w:color w:val="auto"/>
              </w:rPr>
            </w:pPr>
            <w:r>
              <w:rPr>
                <w:rFonts w:ascii="Arial" w:cs="Arial" w:eastAsia="Arial" w:hAnsi="Arial"/>
                <w:sz w:val="15"/>
                <w:szCs w:val="15"/>
                <w:color w:val="auto"/>
              </w:rPr>
              <w:t>2020</w:t>
            </w:r>
          </w:p>
        </w:tc>
        <w:tc>
          <w:tcPr>
            <w:tcW w:w="1000" w:type="dxa"/>
            <w:vAlign w:val="bottom"/>
          </w:tcPr>
          <w:p>
            <w:pPr>
              <w:jc w:val="right"/>
              <w:spacing w:after="0"/>
              <w:rPr>
                <w:sz w:val="20"/>
                <w:szCs w:val="20"/>
                <w:color w:val="auto"/>
              </w:rPr>
            </w:pPr>
            <w:r>
              <w:rPr>
                <w:rFonts w:ascii="Arial" w:cs="Arial" w:eastAsia="Arial" w:hAnsi="Arial"/>
                <w:sz w:val="15"/>
                <w:szCs w:val="15"/>
                <w:color w:val="auto"/>
              </w:rPr>
              <w:t>1,119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2,412</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fluctuations in the number of employees covered under multiemployer plans and related contributions in the table above related primarily to the timing of activity for the Company’s union resource-based projects, the majority of which are within its oil and gas operations, as well as the effect of the Company’s 2021 acquisitions within its Power Delivery segment.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 Equity</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Share Activity</w:t>
      </w:r>
    </w:p>
    <w:p>
      <w:pPr>
        <w:spacing w:after="0" w:line="102"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The Company’s share repurchase programs provide for the repurchase of shares of MasTec common stock from time to time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65"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For the year ended December 31, 2021, there were no share repurchases under the Company’s share repurchase programs. For the year ended December 31, 2020, the Company repurchased 3.6 million shares of its common stock, substantially all of which were repurchased in the first quarter, for an aggregate purchase price totaling approximately $120.2 million. Of the total repurchased shares, 0.6 million were repurchased for $28.8 million under a $150 million share repurchase program that was established in September 2018 and completed in the first quarter of 2020, and 3.0 million were repurchased for $91.4 million under the Company’s December 2018 $100 million share repurchase program. For the year ended December 31, 2019, share repurchases under the Company’s September 2018 $150 million share repurchase program totaled approximately $0.6 million.</w:t>
      </w:r>
    </w:p>
    <w:p>
      <w:pPr>
        <w:spacing w:after="0" w:line="65"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color w:val="auto"/>
        </w:rPr>
        <w:t>As of December 31, 2021,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Accumulated Other Comprehensive Loss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rollforward of activity within accumulated other comprehensive income (loss) for the periods indicated was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ind w:left="100"/>
              <w:spacing w:after="0"/>
              <w:rPr>
                <w:sz w:val="20"/>
                <w:szCs w:val="20"/>
                <w:color w:val="auto"/>
              </w:rPr>
            </w:pPr>
            <w:r>
              <w:rPr>
                <w:rFonts w:ascii="Arial" w:cs="Arial" w:eastAsia="Arial" w:hAnsi="Arial"/>
                <w:sz w:val="15"/>
                <w:szCs w:val="15"/>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w w:val="87"/>
              </w:rPr>
              <w:t>Foreign</w:t>
            </w:r>
          </w:p>
        </w:tc>
        <w:tc>
          <w:tcPr>
            <w:tcW w:w="16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0"/>
              </w:rPr>
              <w:t>Foreign</w:t>
            </w:r>
          </w:p>
        </w:tc>
        <w:tc>
          <w:tcPr>
            <w:tcW w:w="16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w w:val="90"/>
              </w:rPr>
              <w:t>Foreign</w:t>
            </w: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2"/>
                <w:szCs w:val="12"/>
                <w:color w:val="auto"/>
              </w:rPr>
            </w:pPr>
          </w:p>
        </w:tc>
        <w:tc>
          <w:tcPr>
            <w:tcW w:w="62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Currency</w:t>
            </w: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Currency</w:t>
            </w: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Currency</w:t>
            </w: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center"/>
              <w:ind w:left="5"/>
              <w:spacing w:after="0"/>
              <w:rPr>
                <w:sz w:val="20"/>
                <w:szCs w:val="20"/>
                <w:color w:val="auto"/>
              </w:rPr>
            </w:pPr>
            <w:r>
              <w:rPr>
                <w:rFonts w:ascii="Arial" w:cs="Arial" w:eastAsia="Arial" w:hAnsi="Arial"/>
                <w:sz w:val="15"/>
                <w:szCs w:val="15"/>
                <w:color w:val="auto"/>
                <w:w w:val="93"/>
              </w:rPr>
              <w:t>(27,172)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center"/>
              <w:ind w:left="5"/>
              <w:spacing w:after="0"/>
              <w:rPr>
                <w:sz w:val="20"/>
                <w:szCs w:val="20"/>
                <w:color w:val="auto"/>
              </w:rPr>
            </w:pPr>
            <w:r>
              <w:rPr>
                <w:rFonts w:ascii="Arial" w:cs="Arial" w:eastAsia="Arial" w:hAnsi="Arial"/>
                <w:sz w:val="15"/>
                <w:szCs w:val="15"/>
                <w:color w:val="auto"/>
                <w:w w:val="93"/>
              </w:rPr>
              <w:t>(91,444)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(65,685)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(10,021)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(65,496)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(60,494)</w:t>
            </w:r>
          </w:p>
        </w:tc>
        <w:tc>
          <w:tcPr>
            <w:tcW w:w="0" w:type="dxa"/>
            <w:vAlign w:val="bottom"/>
          </w:tcPr>
          <w:p>
            <w:pPr>
              <w:spacing w:after="0"/>
              <w:rPr>
                <w:sz w:val="1"/>
                <w:szCs w:val="1"/>
                <w:color w:val="auto"/>
              </w:rPr>
            </w:pPr>
          </w:p>
        </w:tc>
      </w:tr>
      <w:tr>
        <w:trPr>
          <w:trHeight w:val="197"/>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Unrealized gains (losses), net of tax</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auto"/>
                <w:w w:val="91"/>
              </w:rPr>
              <w:t>12,410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auto"/>
                <w:w w:val="91"/>
              </w:rPr>
              <w:t>12,668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(15,212)</w:t>
            </w:r>
          </w:p>
        </w:tc>
        <w:tc>
          <w:tcPr>
            <w:tcW w:w="0" w:type="dxa"/>
            <w:vAlign w:val="bottom"/>
          </w:tcPr>
          <w:p>
            <w:pPr>
              <w:spacing w:after="0"/>
              <w:rPr>
                <w:sz w:val="1"/>
                <w:szCs w:val="1"/>
                <w:color w:val="auto"/>
              </w:rPr>
            </w:pPr>
          </w:p>
        </w:tc>
      </w:tr>
      <w:tr>
        <w:trPr>
          <w:trHeight w:val="19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(64,014)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center"/>
              <w:ind w:left="5"/>
              <w:spacing w:after="0"/>
              <w:rPr>
                <w:sz w:val="20"/>
                <w:szCs w:val="20"/>
                <w:color w:val="auto"/>
              </w:rPr>
            </w:pPr>
            <w:r>
              <w:rPr>
                <w:rFonts w:ascii="Arial" w:cs="Arial" w:eastAsia="Arial" w:hAnsi="Arial"/>
                <w:sz w:val="15"/>
                <w:szCs w:val="15"/>
                <w:color w:val="auto"/>
                <w:w w:val="93"/>
              </w:rPr>
              <w:t>(14,762)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center"/>
              <w:ind w:left="5"/>
              <w:spacing w:after="0"/>
              <w:rPr>
                <w:sz w:val="20"/>
                <w:szCs w:val="20"/>
                <w:color w:val="auto"/>
              </w:rPr>
            </w:pPr>
            <w:r>
              <w:rPr>
                <w:rFonts w:ascii="Arial" w:cs="Arial" w:eastAsia="Arial" w:hAnsi="Arial"/>
                <w:sz w:val="15"/>
                <w:szCs w:val="15"/>
                <w:color w:val="auto"/>
                <w:w w:val="93"/>
              </w:rPr>
              <w:t>(78,776)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(91,444)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(65,685)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(75,706)</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Unrealized foreign currency translation activity, net, for the three years in the period ended December 31, 2021 relates to the Company’s operations in Canada and Mexico. For the year ended December 31, 2021, unrealized investment activity, net, includes unrealized gains on the Waha JV swaps, offset, in part, by unrealized losses on the AVCT convertible debentures. The net unrealized gain on the AVCT convertible debentures was reclassified into other income, net, in conjunction with their conversion into shares of AVCT common stock in 2021. Unrealized investment activity, net, for the year ended December 31, 2020 includes unrealized losses on the Waha JV swaps, offset, in part, by unrealized gains on the AVCT convertible debentures. Unrealized investment activity, net, for the year ended 2019 relates to the Waha JV swaps. See Note 4 - Fair Value of Financial Instruments for additional information pertaining to the Waha JV swaps and AVCT convertible debentures.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20"/>
                <w:szCs w:val="20"/>
                <w:color w:val="auto"/>
              </w:rPr>
            </w:pPr>
            <w:r>
              <w:rPr>
                <w:rFonts w:ascii="Arial" w:cs="Arial" w:eastAsia="Arial" w:hAnsi="Arial"/>
                <w:sz w:val="15"/>
                <w:szCs w:val="15"/>
                <w:b w:val="1"/>
                <w:bCs w:val="1"/>
                <w:color w:val="auto"/>
              </w:rPr>
              <w:t>Note 12 – Income Taxes</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5"/>
        </w:trPr>
        <w:tc>
          <w:tcPr>
            <w:tcW w:w="6860" w:type="dxa"/>
            <w:vAlign w:val="bottom"/>
          </w:tcPr>
          <w:p>
            <w:pPr>
              <w:ind w:left="600"/>
              <w:spacing w:after="0"/>
              <w:rPr>
                <w:sz w:val="20"/>
                <w:szCs w:val="20"/>
                <w:color w:val="auto"/>
              </w:rPr>
            </w:pPr>
            <w:r>
              <w:rPr>
                <w:rFonts w:ascii="Arial" w:cs="Arial" w:eastAsia="Arial" w:hAnsi="Arial"/>
                <w:sz w:val="15"/>
                <w:szCs w:val="15"/>
                <w:color w:val="auto"/>
                <w:w w:val="92"/>
              </w:rPr>
              <w:t>The components of income before income taxes for the periods indicated were as follows (in millions):</w:t>
            </w: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15"/>
        </w:trPr>
        <w:tc>
          <w:tcPr>
            <w:tcW w:w="6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89"/>
              </w:rPr>
              <w:t>For the Years Ended December 31,</w:t>
            </w:r>
          </w:p>
        </w:tc>
        <w:tc>
          <w:tcPr>
            <w:tcW w:w="920" w:type="dxa"/>
            <w:vAlign w:val="bottom"/>
            <w:tcBorders>
              <w:bottom w:val="single" w:sz="8" w:color="auto"/>
            </w:tcBorders>
          </w:tcPr>
          <w:p>
            <w:pPr>
              <w:spacing w:after="0"/>
              <w:rPr>
                <w:sz w:val="24"/>
                <w:szCs w:val="24"/>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425"/>
              <w:spacing w:after="0"/>
              <w:rPr>
                <w:sz w:val="20"/>
                <w:szCs w:val="20"/>
                <w:color w:val="auto"/>
              </w:rPr>
            </w:pPr>
            <w:r>
              <w:rPr>
                <w:rFonts w:ascii="Arial" w:cs="Arial" w:eastAsia="Arial" w:hAnsi="Arial"/>
                <w:sz w:val="15"/>
                <w:szCs w:val="15"/>
                <w:b w:val="1"/>
                <w:bCs w:val="1"/>
                <w:color w:val="auto"/>
                <w:w w:val="89"/>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Domestic</w:t>
            </w:r>
          </w:p>
        </w:tc>
        <w:tc>
          <w:tcPr>
            <w:tcW w:w="92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414.1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435.9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452.2</w:t>
            </w:r>
          </w:p>
        </w:tc>
      </w:tr>
      <w:tr>
        <w:trPr>
          <w:trHeight w:val="197"/>
        </w:trPr>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Foreign</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16.0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w:t>
            </w:r>
          </w:p>
        </w:tc>
      </w:tr>
      <w:tr>
        <w:trPr>
          <w:trHeight w:val="195"/>
        </w:trPr>
        <w:tc>
          <w:tcPr>
            <w:tcW w:w="6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430.1</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425.2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510.9</w:t>
            </w:r>
          </w:p>
        </w:tc>
      </w:tr>
      <w:tr>
        <w:trPr>
          <w:trHeight w:val="411"/>
        </w:trPr>
        <w:tc>
          <w:tcPr>
            <w:tcW w:w="6860" w:type="dxa"/>
            <w:vAlign w:val="bottom"/>
          </w:tcPr>
          <w:p>
            <w:pPr>
              <w:ind w:left="600"/>
              <w:spacing w:after="0"/>
              <w:rPr>
                <w:sz w:val="20"/>
                <w:szCs w:val="20"/>
                <w:color w:val="auto"/>
              </w:rPr>
            </w:pPr>
            <w:r>
              <w:rPr>
                <w:rFonts w:ascii="Arial" w:cs="Arial" w:eastAsia="Arial" w:hAnsi="Arial"/>
                <w:sz w:val="15"/>
                <w:szCs w:val="15"/>
                <w:color w:val="auto"/>
              </w:rPr>
              <w:t>The provision for income taxes for the periods indicated were as follows (in millions):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5"/>
        </w:trPr>
        <w:tc>
          <w:tcPr>
            <w:tcW w:w="6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89"/>
              </w:rPr>
              <w:t>For the Years Ended December 31,</w:t>
            </w:r>
          </w:p>
        </w:tc>
        <w:tc>
          <w:tcPr>
            <w:tcW w:w="920" w:type="dxa"/>
            <w:vAlign w:val="bottom"/>
            <w:tcBorders>
              <w:bottom w:val="single" w:sz="8" w:color="auto"/>
            </w:tcBorders>
          </w:tcPr>
          <w:p>
            <w:pPr>
              <w:spacing w:after="0"/>
              <w:rPr>
                <w:sz w:val="24"/>
                <w:szCs w:val="24"/>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425"/>
              <w:spacing w:after="0"/>
              <w:rPr>
                <w:sz w:val="20"/>
                <w:szCs w:val="20"/>
                <w:color w:val="auto"/>
              </w:rPr>
            </w:pPr>
            <w:r>
              <w:rPr>
                <w:rFonts w:ascii="Arial" w:cs="Arial" w:eastAsia="Arial" w:hAnsi="Arial"/>
                <w:sz w:val="15"/>
                <w:szCs w:val="15"/>
                <w:b w:val="1"/>
                <w:bCs w:val="1"/>
                <w:color w:val="auto"/>
                <w:w w:val="89"/>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8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Federal</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70.6</w:t>
            </w:r>
          </w:p>
        </w:tc>
        <w:tc>
          <w:tcPr>
            <w:tcW w:w="8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77.4</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197"/>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State and local</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w:t>
            </w:r>
          </w:p>
        </w:tc>
      </w:tr>
      <w:tr>
        <w:trPr>
          <w:trHeight w:val="195"/>
        </w:trPr>
        <w:tc>
          <w:tcPr>
            <w:tcW w:w="68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95.3</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w:t>
            </w:r>
          </w:p>
        </w:tc>
      </w:tr>
      <w:tr>
        <w:trPr>
          <w:trHeight w:val="177"/>
        </w:trPr>
        <w:tc>
          <w:tcPr>
            <w:tcW w:w="6860" w:type="dxa"/>
            <w:vAlign w:val="bottom"/>
          </w:tcPr>
          <w:p>
            <w:pPr>
              <w:ind w:left="20"/>
              <w:spacing w:after="0"/>
              <w:rPr>
                <w:sz w:val="20"/>
                <w:szCs w:val="20"/>
                <w:color w:val="auto"/>
              </w:rPr>
            </w:pPr>
            <w:r>
              <w:rPr>
                <w:rFonts w:ascii="Arial" w:cs="Arial" w:eastAsia="Arial" w:hAnsi="Arial"/>
                <w:sz w:val="15"/>
                <w:szCs w:val="15"/>
                <w:color w:val="auto"/>
              </w:rPr>
              <w:t>Deferred:</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Federal</w:t>
            </w:r>
          </w:p>
        </w:tc>
        <w:tc>
          <w:tcPr>
            <w:tcW w:w="920" w:type="dxa"/>
            <w:vAlign w:val="bottom"/>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Foreign</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00"/>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State and local</w:t>
            </w:r>
          </w:p>
        </w:tc>
        <w:tc>
          <w:tcPr>
            <w:tcW w:w="9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2"/>
        </w:trPr>
        <w:tc>
          <w:tcPr>
            <w:tcW w:w="6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51.9</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r>
      <w:tr>
        <w:trPr>
          <w:trHeight w:val="192"/>
        </w:trPr>
        <w:tc>
          <w:tcPr>
            <w:tcW w:w="6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 for income taxes</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102.5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116.8</w:t>
            </w:r>
          </w:p>
        </w:tc>
      </w:tr>
      <w:tr>
        <w:trPr>
          <w:trHeight w:val="401"/>
        </w:trPr>
        <w:tc>
          <w:tcPr>
            <w:tcW w:w="9240" w:type="dxa"/>
            <w:vAlign w:val="bottom"/>
            <w:gridSpan w:val="5"/>
          </w:tcPr>
          <w:p>
            <w:pPr>
              <w:ind w:left="600"/>
              <w:spacing w:after="0"/>
              <w:rPr>
                <w:sz w:val="20"/>
                <w:szCs w:val="20"/>
                <w:color w:val="auto"/>
              </w:rPr>
            </w:pPr>
            <w:r>
              <w:rPr>
                <w:rFonts w:ascii="Arial" w:cs="Arial" w:eastAsia="Arial" w:hAnsi="Arial"/>
                <w:sz w:val="15"/>
                <w:szCs w:val="15"/>
                <w:color w:val="auto"/>
                <w:w w:val="93"/>
              </w:rPr>
              <w:t>The tax effects of significant items comprising the Company’s net deferred tax liability as of the dates indicated were as follows (in millions):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5"/>
        </w:trPr>
        <w:tc>
          <w:tcPr>
            <w:tcW w:w="6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5"/>
                <w:szCs w:val="15"/>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425"/>
              <w:spacing w:after="0"/>
              <w:rPr>
                <w:sz w:val="20"/>
                <w:szCs w:val="20"/>
                <w:color w:val="auto"/>
              </w:rPr>
            </w:pPr>
            <w:r>
              <w:rPr>
                <w:rFonts w:ascii="Arial" w:cs="Arial" w:eastAsia="Arial" w:hAnsi="Arial"/>
                <w:sz w:val="15"/>
                <w:szCs w:val="15"/>
                <w:b w:val="1"/>
                <w:bCs w:val="1"/>
                <w:color w:val="auto"/>
                <w:w w:val="89"/>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2020</w:t>
            </w:r>
          </w:p>
        </w:tc>
      </w:tr>
      <w:tr>
        <w:trPr>
          <w:trHeight w:val="183"/>
        </w:trPr>
        <w:tc>
          <w:tcPr>
            <w:tcW w:w="6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tax assets: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Accrued insurance</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42.2</w:t>
            </w:r>
          </w:p>
        </w:tc>
        <w:tc>
          <w:tcPr>
            <w:tcW w:w="8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loss carryforwards and tax credits</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80.7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Compensation and benefits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36.1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32.8</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Bad debt</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Other</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15.4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Valuation allowance</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r>
      <w:tr>
        <w:trPr>
          <w:trHeight w:val="189"/>
        </w:trPr>
        <w:tc>
          <w:tcPr>
            <w:tcW w:w="68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deferred tax assets</w:t>
            </w: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121.8</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116.2</w:t>
            </w:r>
          </w:p>
        </w:tc>
      </w:tr>
      <w:tr>
        <w:trPr>
          <w:trHeight w:val="183"/>
        </w:trPr>
        <w:tc>
          <w:tcPr>
            <w:tcW w:w="6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tax liabilities: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Property and equipment</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310.1</w:t>
            </w:r>
          </w:p>
        </w:tc>
        <w:tc>
          <w:tcPr>
            <w:tcW w:w="8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205.0</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Goodwill</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77.9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Other intangible assets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58.7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30.7</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remeasurement of equity investee</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Revenue recognition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22.4</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Investments in unconsolidated entities</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99.7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w:t>
            </w:r>
          </w:p>
        </w:tc>
      </w:tr>
      <w:tr>
        <w:trPr>
          <w:trHeight w:val="197"/>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9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17.0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r>
      <w:tr>
        <w:trPr>
          <w:trHeight w:val="195"/>
        </w:trPr>
        <w:tc>
          <w:tcPr>
            <w:tcW w:w="68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deferred tax liabilities</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572.2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419.1</w:t>
            </w:r>
          </w:p>
        </w:tc>
      </w:tr>
      <w:tr>
        <w:trPr>
          <w:trHeight w:val="189"/>
        </w:trPr>
        <w:tc>
          <w:tcPr>
            <w:tcW w:w="6860" w:type="dxa"/>
            <w:vAlign w:val="bottom"/>
          </w:tcPr>
          <w:p>
            <w:pPr>
              <w:ind w:left="20"/>
              <w:spacing w:after="0"/>
              <w:rPr>
                <w:sz w:val="20"/>
                <w:szCs w:val="20"/>
                <w:color w:val="auto"/>
              </w:rPr>
            </w:pPr>
            <w:r>
              <w:rPr>
                <w:rFonts w:ascii="Arial" w:cs="Arial" w:eastAsia="Arial" w:hAnsi="Arial"/>
                <w:sz w:val="15"/>
                <w:szCs w:val="15"/>
                <w:color w:val="auto"/>
              </w:rPr>
              <w:t>Net deferred tax liabilities</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(450.4)</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w:t>
            </w:r>
          </w:p>
        </w:tc>
      </w:tr>
    </w:tbl>
    <w:p>
      <w:pPr>
        <w:spacing w:after="0" w:line="229"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December 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5"/>
          <w:szCs w:val="15"/>
          <w:color w:val="auto"/>
        </w:rPr>
        <w:t>2021 and 2020 are related primarily to foreign net operating losses and deferred tax assets.</w:t>
      </w:r>
    </w:p>
    <w:p>
      <w:pPr>
        <w:spacing w:after="0" w:line="102" w:lineRule="exact"/>
        <w:rPr>
          <w:sz w:val="20"/>
          <w:szCs w:val="20"/>
          <w:color w:val="auto"/>
        </w:rPr>
      </w:pPr>
    </w:p>
    <w:p>
      <w:pPr>
        <w:jc w:val="both"/>
        <w:ind w:firstLine="599"/>
        <w:spacing w:after="0" w:line="296" w:lineRule="auto"/>
        <w:rPr>
          <w:sz w:val="20"/>
          <w:szCs w:val="20"/>
          <w:color w:val="auto"/>
        </w:rPr>
      </w:pPr>
      <w:r>
        <w:rPr>
          <w:rFonts w:ascii="Arial" w:cs="Arial" w:eastAsia="Arial" w:hAnsi="Arial"/>
          <w:sz w:val="13"/>
          <w:szCs w:val="13"/>
          <w:color w:val="auto"/>
        </w:rPr>
        <w:t>The Company’s deferred tax assets for its state net operating loss carryforwards, which may be carried forward from 0 years to indefinitely, depending on the jurisdiction, totaled approximately $18.6 million and $15.7 million as of December 31, 2021 and 2020, respectively. The Company’s deferred tax assets for its foreign net operating loss carryforwards, which are primarily related to the Company’s Canadian operations, totaled approximately $57.7 million and $66.0 million as of December 31, 2021 and 2020, respectively. The Canadian net operating loss carryforwards, which make up the majority of the foreign net operating loss carryforwards, begin to expire in 2031. The Company’s deferred tax assets for its federal net operating loss carryforwards, which begin to expire in 2022, totaled $2.9 million and $0.1 million as of December 31, 2021 and December 31, 2020, respectively.</w:t>
      </w:r>
    </w:p>
    <w:p>
      <w:pPr>
        <w:spacing w:after="0" w:line="52"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 Company is generally free of additional U.S. federal tax consequences on distributed foreign subsidiary earnings due to a dividends received deduction implemented as part of the move to a territorial tax system in connection with the Tax Cuts and Jobs Act of 2017.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U.S. statutory federal income tax rate related to pretax income to the effective tax rate for the periods indicated is as follows:</w:t>
      </w:r>
    </w:p>
    <w:p>
      <w:pPr>
        <w:spacing w:after="0" w:line="136" w:lineRule="exact"/>
        <w:rPr>
          <w:sz w:val="20"/>
          <w:szCs w:val="20"/>
          <w:color w:val="auto"/>
        </w:rPr>
      </w:pPr>
    </w:p>
    <w:p>
      <w:pPr>
        <w:ind w:left="7740"/>
        <w:spacing w:after="0"/>
        <w:rPr>
          <w:sz w:val="20"/>
          <w:szCs w:val="20"/>
          <w:color w:val="auto"/>
        </w:rPr>
      </w:pPr>
      <w:r>
        <w:rPr>
          <w:rFonts w:ascii="Arial" w:cs="Arial" w:eastAsia="Arial" w:hAnsi="Arial"/>
          <w:sz w:val="15"/>
          <w:szCs w:val="15"/>
          <w:b w:val="1"/>
          <w:bCs w:val="1"/>
          <w:color w:val="auto"/>
        </w:rPr>
        <w:t>For the 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2019</w:t>
            </w:r>
          </w:p>
        </w:tc>
      </w:tr>
      <w:tr>
        <w:trPr>
          <w:trHeight w:val="195"/>
        </w:trPr>
        <w:tc>
          <w:tcPr>
            <w:tcW w:w="74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U.S. statutory federal rate applied to pretax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19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State and local income taxes, net of federal benefit</w:t>
            </w:r>
          </w:p>
        </w:tc>
        <w:tc>
          <w:tcPr>
            <w:tcW w:w="540" w:type="dxa"/>
            <w:vAlign w:val="bottom"/>
          </w:tcPr>
          <w:p>
            <w:pPr>
              <w:jc w:val="right"/>
              <w:ind w:right="105"/>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color w:val="auto"/>
              </w:rPr>
              <w:t>3.2</w:t>
            </w:r>
          </w:p>
        </w:tc>
      </w:tr>
      <w:tr>
        <w:trPr>
          <w:trHeight w:val="203"/>
        </w:trPr>
        <w:tc>
          <w:tcPr>
            <w:tcW w:w="74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Foreign tax rate differential</w:t>
            </w: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0.2</w:t>
            </w:r>
          </w:p>
        </w:tc>
      </w:tr>
      <w:tr>
        <w:trPr>
          <w:trHeight w:val="19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Non-deductible expenses</w:t>
            </w:r>
          </w:p>
        </w:tc>
        <w:tc>
          <w:tcPr>
            <w:tcW w:w="540" w:type="dxa"/>
            <w:vAlign w:val="bottom"/>
          </w:tcPr>
          <w:p>
            <w:pPr>
              <w:jc w:val="right"/>
              <w:ind w:right="105"/>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520" w:type="dxa"/>
            <w:vAlign w:val="bottom"/>
          </w:tcPr>
          <w:p>
            <w:pPr>
              <w:jc w:val="right"/>
              <w:ind w:right="105"/>
              <w:spacing w:after="0"/>
              <w:rPr>
                <w:sz w:val="20"/>
                <w:szCs w:val="20"/>
                <w:color w:val="auto"/>
              </w:rPr>
            </w:pPr>
            <w:r>
              <w:rPr>
                <w:rFonts w:ascii="Arial" w:cs="Arial" w:eastAsia="Arial" w:hAnsi="Arial"/>
                <w:sz w:val="15"/>
                <w:szCs w:val="15"/>
                <w:color w:val="auto"/>
              </w:rPr>
              <w:t>1.7</w:t>
            </w:r>
          </w:p>
        </w:tc>
      </w:tr>
      <w:tr>
        <w:trPr>
          <w:trHeight w:val="203"/>
        </w:trPr>
        <w:tc>
          <w:tcPr>
            <w:tcW w:w="74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Goodwill and intangible assets</w:t>
            </w: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(0.5)</w:t>
            </w:r>
          </w:p>
        </w:tc>
      </w:tr>
      <w:tr>
        <w:trPr>
          <w:trHeight w:val="19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Change in tax rate</w:t>
            </w:r>
          </w:p>
        </w:tc>
        <w:tc>
          <w:tcPr>
            <w:tcW w:w="540" w:type="dxa"/>
            <w:vAlign w:val="bottom"/>
          </w:tcPr>
          <w:p>
            <w:pPr>
              <w:jc w:val="right"/>
              <w:ind w:right="105"/>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125"/>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1520" w:type="dxa"/>
            <w:vAlign w:val="bottom"/>
          </w:tcPr>
          <w:p>
            <w:pPr>
              <w:jc w:val="right"/>
              <w:ind w:right="65"/>
              <w:spacing w:after="0"/>
              <w:rPr>
                <w:sz w:val="20"/>
                <w:szCs w:val="20"/>
                <w:color w:val="auto"/>
              </w:rPr>
            </w:pPr>
            <w:r>
              <w:rPr>
                <w:rFonts w:ascii="Arial" w:cs="Arial" w:eastAsia="Arial" w:hAnsi="Arial"/>
                <w:sz w:val="15"/>
                <w:szCs w:val="15"/>
                <w:color w:val="auto"/>
              </w:rPr>
              <w:t>(1.5)</w:t>
            </w:r>
          </w:p>
        </w:tc>
      </w:tr>
      <w:tr>
        <w:trPr>
          <w:trHeight w:val="203"/>
        </w:trPr>
        <w:tc>
          <w:tcPr>
            <w:tcW w:w="74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(1.0)</w:t>
            </w:r>
          </w:p>
        </w:tc>
      </w:tr>
      <w:tr>
        <w:trPr>
          <w:trHeight w:val="19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Tax credits</w:t>
            </w: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85"/>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520" w:type="dxa"/>
            <w:vAlign w:val="bottom"/>
          </w:tcPr>
          <w:p>
            <w:pPr>
              <w:jc w:val="right"/>
              <w:ind w:right="65"/>
              <w:spacing w:after="0"/>
              <w:rPr>
                <w:sz w:val="20"/>
                <w:szCs w:val="20"/>
                <w:color w:val="auto"/>
              </w:rPr>
            </w:pPr>
            <w:r>
              <w:rPr>
                <w:rFonts w:ascii="Arial" w:cs="Arial" w:eastAsia="Arial" w:hAnsi="Arial"/>
                <w:sz w:val="15"/>
                <w:szCs w:val="15"/>
                <w:color w:val="auto"/>
              </w:rPr>
              <w:t>(0.6)</w:t>
            </w:r>
          </w:p>
        </w:tc>
      </w:tr>
      <w:tr>
        <w:trPr>
          <w:trHeight w:val="203"/>
        </w:trPr>
        <w:tc>
          <w:tcPr>
            <w:tcW w:w="74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Stock basis adjustment</w:t>
            </w: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(1.8)</w:t>
            </w:r>
          </w:p>
        </w:tc>
      </w:tr>
      <w:tr>
        <w:trPr>
          <w:trHeight w:val="197"/>
        </w:trPr>
        <w:tc>
          <w:tcPr>
            <w:tcW w:w="644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Valuation allowance for deferred tax assets</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2.2</w:t>
            </w:r>
          </w:p>
        </w:tc>
      </w:tr>
      <w:tr>
        <w:trPr>
          <w:trHeight w:val="192"/>
        </w:trPr>
        <w:tc>
          <w:tcPr>
            <w:tcW w:w="6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Effective income tax rate</w:t>
            </w: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24.1 %</w:t>
            </w: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22.9 %</w:t>
            </w: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beginning and ending amount of uncertain tax positions including interest and penalties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5"/>
                <w:szCs w:val="15"/>
                <w:b w:val="1"/>
                <w:bCs w:val="1"/>
                <w:color w:val="auto"/>
                <w:w w:val="96"/>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2019</w:t>
            </w:r>
          </w:p>
        </w:tc>
      </w:tr>
      <w:tr>
        <w:trPr>
          <w:trHeight w:val="195"/>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97"/>
        </w:trPr>
        <w:tc>
          <w:tcPr>
            <w:tcW w:w="6660" w:type="dxa"/>
            <w:vAlign w:val="bottom"/>
          </w:tcPr>
          <w:p>
            <w:pPr>
              <w:ind w:left="20"/>
              <w:spacing w:after="0"/>
              <w:rPr>
                <w:sz w:val="20"/>
                <w:szCs w:val="20"/>
                <w:color w:val="auto"/>
              </w:rPr>
            </w:pPr>
            <w:r>
              <w:rPr>
                <w:rFonts w:ascii="Arial" w:cs="Arial" w:eastAsia="Arial" w:hAnsi="Arial"/>
                <w:sz w:val="15"/>
                <w:szCs w:val="15"/>
                <w:color w:val="auto"/>
              </w:rPr>
              <w:t>Additions based on tax positions related to the current year</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for tax positions of prior years</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97"/>
        </w:trPr>
        <w:tc>
          <w:tcPr>
            <w:tcW w:w="6660" w:type="dxa"/>
            <w:vAlign w:val="bottom"/>
          </w:tcPr>
          <w:p>
            <w:pPr>
              <w:ind w:left="20"/>
              <w:spacing w:after="0"/>
              <w:rPr>
                <w:sz w:val="20"/>
                <w:szCs w:val="20"/>
                <w:color w:val="auto"/>
              </w:rPr>
            </w:pPr>
            <w:r>
              <w:rPr>
                <w:rFonts w:ascii="Arial" w:cs="Arial" w:eastAsia="Arial" w:hAnsi="Arial"/>
                <w:sz w:val="15"/>
                <w:szCs w:val="15"/>
                <w:color w:val="auto"/>
              </w:rPr>
              <w:t>Reductions for tax positions of prior years</w:t>
            </w:r>
          </w:p>
        </w:tc>
        <w:tc>
          <w:tcPr>
            <w:tcW w:w="10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Settlements</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660" w:type="dxa"/>
            <w:vAlign w:val="bottom"/>
          </w:tcPr>
          <w:p>
            <w:pPr>
              <w:ind w:left="20"/>
              <w:spacing w:after="0"/>
              <w:rPr>
                <w:sz w:val="20"/>
                <w:szCs w:val="20"/>
                <w:color w:val="auto"/>
              </w:rPr>
            </w:pPr>
            <w:r>
              <w:rPr>
                <w:rFonts w:ascii="Arial" w:cs="Arial" w:eastAsia="Arial" w:hAnsi="Arial"/>
                <w:sz w:val="15"/>
                <w:szCs w:val="15"/>
                <w:color w:val="auto"/>
              </w:rPr>
              <w:t>Lapse of statute of limitations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102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w:t>
            </w:r>
          </w:p>
        </w:tc>
      </w:tr>
    </w:tbl>
    <w:p>
      <w:pPr>
        <w:spacing w:after="0" w:line="217"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color w:val="auto"/>
        </w:rPr>
        <w:t>The Company classifies interest, penalties and recoveries related to uncertain tax positions as a component of income tax expense in the consolidated statements of operations. Income tax expense (benefit) related to uncertain tax positions totaled a net benefit of $0.3 million for the year ended December 31, 2021 and totaled expense of $1.4 million and $0.5 million for the years ended December 31, 2020 and 2019, respectively. Accrued interest and penalties related to uncertain tax positions were $2.3 million and $2.6 million as of December 31, 2021 and 2020, respectively. The effect on the Company’s tax rate if it were to recognize its gross unrecognized tax benefits as of December 31, 2021 approximates $23.7 million, including interest and penalties.</w:t>
      </w:r>
    </w:p>
    <w:p>
      <w:pPr>
        <w:spacing w:after="0" w:line="79"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IRS has examined the Company’s federal income tax returns through 2017. The IRS examinations for 2016 and 2017 were recently completed, which examinations resulted in an immaterial refund. Certain foreign and state taxing authorities are examining various years. The final outcome of these examinations is not yet determinable. With few exceptions, as of December 31, 2021, the Company is no longer subject to state examinations by taxing authorities for years before 2018.</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color w:val="auto"/>
        </w:rPr>
        <w:t>Note 13 – Segments and Related Information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Segment Discussion</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74"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3"/>
          <w:szCs w:val="13"/>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 Company performs engineering, construction and maintenance services for pipelines and processing facilities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The Other segment includes certain equity investees, the services of which vary from those provided by the Company’s primary segments, as well as other small business units that perform construction and other services for certain international end-markets.</w:t>
      </w:r>
    </w:p>
    <w:p>
      <w:pPr>
        <w:spacing w:after="0" w:line="58" w:lineRule="exact"/>
        <w:rPr>
          <w:sz w:val="20"/>
          <w:szCs w:val="20"/>
          <w:color w:val="auto"/>
        </w:rPr>
      </w:pPr>
    </w:p>
    <w:p>
      <w:pPr>
        <w:jc w:val="both"/>
        <w:ind w:firstLine="599"/>
        <w:spacing w:after="0" w:line="246" w:lineRule="auto"/>
        <w:rPr>
          <w:sz w:val="20"/>
          <w:szCs w:val="20"/>
          <w:color w:val="auto"/>
        </w:rPr>
      </w:pPr>
      <w:r>
        <w:rPr>
          <w:rFonts w:ascii="Arial" w:cs="Arial" w:eastAsia="Arial" w:hAnsi="Arial"/>
          <w:sz w:val="15"/>
          <w:szCs w:val="15"/>
          <w:color w:val="auto"/>
        </w:rPr>
        <w:t>The accounting policies of the reportable segments are the same as those described in Note 1 - Business, Basis of Presentation and Significant Accounting Policies. Intercompany revenue and costs among the reportable segments are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such as administration, including for legal and professional matters, changes in the fair value of Earn-outs and certain investments, acquisition-related transaction costs and other discrete items, including goodwill and/or intangible asset impairment. Segment results include certain allocations of centralized costs such as general liability, medical and workers’ compensation insurance and certain information technology and interest costs. Income tax expense, which is recorded within corporate results, is managed on a consolidated basis and is not allocated to the reportable segments.</w:t>
      </w:r>
    </w:p>
    <w:p>
      <w:pPr>
        <w:spacing w:after="0" w:line="84"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66"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Revenue: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line="195" w:lineRule="exact"/>
              <w:rPr>
                <w:sz w:val="20"/>
                <w:szCs w:val="20"/>
                <w:color w:val="auto"/>
              </w:rPr>
            </w:pPr>
            <w:r>
              <w:rPr>
                <w:rFonts w:ascii="Arial" w:cs="Arial" w:eastAsia="Arial" w:hAnsi="Arial"/>
                <w:sz w:val="15"/>
                <w:szCs w:val="15"/>
                <w:color w:val="auto"/>
              </w:rPr>
              <w:t xml:space="preserve">Communications </w:t>
            </w:r>
            <w:r>
              <w:rPr>
                <w:rFonts w:ascii="Arial" w:cs="Arial" w:eastAsia="Arial" w:hAnsi="Arial"/>
                <w:sz w:val="19"/>
                <w:szCs w:val="19"/>
                <w:color w:val="auto"/>
                <w:vertAlign w:val="superscript"/>
              </w:rPr>
              <w:t>(a)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2,551.1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2,512.2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2,618.8</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Clean Energy and Infrastructure</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1,865.0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1,526.9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1,034.3</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Oil and Gas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2,540.5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1,789.8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3,117.2</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Power Delivery</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1,016.8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506.5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413.9</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19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Eliminations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192"/>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Consolidated revenue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7,951.8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6,321.0</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7,183.2</w:t>
            </w:r>
          </w:p>
        </w:tc>
      </w:tr>
    </w:tbl>
    <w:p>
      <w:pPr>
        <w:spacing w:after="0" w:line="121" w:lineRule="exact"/>
        <w:rPr>
          <w:sz w:val="20"/>
          <w:szCs w:val="20"/>
          <w:color w:val="auto"/>
        </w:rPr>
      </w:pPr>
    </w:p>
    <w:p>
      <w:pPr>
        <w:ind w:left="280" w:hanging="280"/>
        <w:spacing w:after="0"/>
        <w:tabs>
          <w:tab w:leader="none" w:pos="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Revenue generated primarily by utilities customers represented 20.8%, 15.6% and 15.0% of Communications segment revenue for the years ended December 31, 2021, 2020 and 2019, respectively.</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56" w:lineRule="exact"/>
        <w:rPr>
          <w:rFonts w:ascii="Arial" w:cs="Arial" w:eastAsia="Arial" w:hAnsi="Arial"/>
          <w:sz w:val="12"/>
          <w:szCs w:val="12"/>
          <w:color w:val="auto"/>
        </w:rPr>
      </w:pPr>
    </w:p>
    <w:p>
      <w:pPr>
        <w:ind w:left="5540"/>
        <w:spacing w:after="0"/>
        <w:rPr>
          <w:rFonts w:ascii="Arial" w:cs="Arial" w:eastAsia="Arial" w:hAnsi="Arial"/>
          <w:sz w:val="12"/>
          <w:szCs w:val="12"/>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180" w:type="dxa"/>
            <w:vAlign w:val="bottom"/>
            <w:tcBorders>
              <w:bottom w:val="single" w:sz="8" w:color="auto"/>
            </w:tcBorders>
            <w:gridSpan w:val="5"/>
          </w:tcPr>
          <w:p>
            <w:pPr>
              <w:ind w:left="860"/>
              <w:spacing w:after="0"/>
              <w:rPr>
                <w:sz w:val="20"/>
                <w:szCs w:val="20"/>
                <w:color w:val="auto"/>
              </w:rPr>
            </w:pPr>
            <w:r>
              <w:rPr>
                <w:rFonts w:ascii="Arial" w:cs="Arial" w:eastAsia="Arial" w:hAnsi="Arial"/>
                <w:sz w:val="15"/>
                <w:szCs w:val="15"/>
                <w:b w:val="1"/>
                <w:bCs w:val="1"/>
                <w:color w:val="auto"/>
                <w:w w:val="92"/>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195"/>
        </w:trPr>
        <w:tc>
          <w:tcPr>
            <w:tcW w:w="4140" w:type="dxa"/>
            <w:vAlign w:val="bottom"/>
            <w:gridSpan w:val="2"/>
          </w:tcPr>
          <w:p>
            <w:pPr>
              <w:ind w:left="20"/>
              <w:spacing w:after="0"/>
              <w:rPr>
                <w:sz w:val="20"/>
                <w:szCs w:val="20"/>
                <w:color w:val="auto"/>
              </w:rPr>
            </w:pPr>
            <w:r>
              <w:rPr>
                <w:rFonts w:ascii="Arial" w:cs="Arial" w:eastAsia="Arial" w:hAnsi="Arial"/>
                <w:sz w:val="15"/>
                <w:szCs w:val="15"/>
                <w:b w:val="1"/>
                <w:bCs w:val="1"/>
                <w:color w:val="auto"/>
              </w:rPr>
              <w:t>ITDA:</w:t>
            </w:r>
          </w:p>
        </w:tc>
        <w:tc>
          <w:tcPr>
            <w:tcW w:w="2660" w:type="dxa"/>
            <w:vAlign w:val="bottom"/>
          </w:tcPr>
          <w:p>
            <w:pPr>
              <w:spacing w:after="0"/>
              <w:rPr>
                <w:sz w:val="16"/>
                <w:szCs w:val="16"/>
                <w:color w:val="auto"/>
              </w:rPr>
            </w:pPr>
          </w:p>
        </w:tc>
        <w:tc>
          <w:tcPr>
            <w:tcW w:w="1360" w:type="dxa"/>
            <w:vAlign w:val="bottom"/>
          </w:tcPr>
          <w:p>
            <w:pPr>
              <w:jc w:val="right"/>
              <w:ind w:right="60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340" w:type="dxa"/>
            <w:vAlign w:val="bottom"/>
          </w:tcPr>
          <w:p>
            <w:pPr>
              <w:jc w:val="right"/>
              <w:ind w:right="605"/>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585"/>
              <w:spacing w:after="0"/>
              <w:rPr>
                <w:sz w:val="20"/>
                <w:szCs w:val="20"/>
                <w:color w:val="auto"/>
              </w:rPr>
            </w:pPr>
            <w:r>
              <w:rPr>
                <w:rFonts w:ascii="Arial" w:cs="Arial" w:eastAsia="Arial" w:hAnsi="Arial"/>
                <w:sz w:val="15"/>
                <w:szCs w:val="15"/>
                <w:b w:val="1"/>
                <w:bCs w:val="1"/>
                <w:color w:val="auto"/>
              </w:rPr>
              <w:t>2019</w:t>
            </w:r>
          </w:p>
        </w:tc>
      </w:tr>
      <w:tr>
        <w:trPr>
          <w:trHeight w:val="195"/>
        </w:trPr>
        <w:tc>
          <w:tcPr>
            <w:tcW w:w="1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mmunications</w:t>
            </w:r>
          </w:p>
        </w:tc>
        <w:tc>
          <w:tcPr>
            <w:tcW w:w="2660" w:type="dxa"/>
            <w:vAlign w:val="bottom"/>
            <w:tcBorders>
              <w:top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269$.5</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208.8</w:t>
            </w:r>
          </w:p>
        </w:tc>
      </w:tr>
      <w:tr>
        <w:trPr>
          <w:trHeight w:val="194"/>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an Energy and Infrastructure</w:t>
            </w:r>
          </w:p>
        </w:tc>
        <w:tc>
          <w:tcPr>
            <w:tcW w:w="2660" w:type="dxa"/>
            <w:vAlign w:val="bottom"/>
          </w:tcPr>
          <w:p>
            <w:pPr>
              <w:spacing w:after="0"/>
              <w:rPr>
                <w:sz w:val="16"/>
                <w:szCs w:val="16"/>
                <w:color w:val="auto"/>
              </w:rPr>
            </w:pPr>
          </w:p>
        </w:tc>
        <w:tc>
          <w:tcPr>
            <w:tcW w:w="1360" w:type="dxa"/>
            <w:vAlign w:val="bottom"/>
          </w:tcPr>
          <w:p>
            <w:pPr>
              <w:jc w:val="right"/>
              <w:ind w:right="5"/>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00"/>
        </w:trPr>
        <w:tc>
          <w:tcPr>
            <w:tcW w:w="4140" w:type="dxa"/>
            <w:vAlign w:val="bottom"/>
            <w:gridSpan w:val="2"/>
          </w:tcPr>
          <w:p>
            <w:pPr>
              <w:ind w:left="40"/>
              <w:spacing w:after="0"/>
              <w:rPr>
                <w:sz w:val="20"/>
                <w:szCs w:val="20"/>
                <w:color w:val="auto"/>
              </w:rPr>
            </w:pPr>
            <w:r>
              <w:rPr>
                <w:rFonts w:ascii="Arial" w:cs="Arial" w:eastAsia="Arial" w:hAnsi="Arial"/>
                <w:sz w:val="15"/>
                <w:szCs w:val="15"/>
                <w:color w:val="auto"/>
              </w:rPr>
              <w:t>and Gas</w:t>
            </w:r>
          </w:p>
        </w:tc>
        <w:tc>
          <w:tcPr>
            <w:tcW w:w="2660" w:type="dxa"/>
            <w:vAlign w:val="bottom"/>
          </w:tcPr>
          <w:p>
            <w:pPr>
              <w:spacing w:after="0"/>
              <w:rPr>
                <w:sz w:val="17"/>
                <w:szCs w:val="17"/>
                <w:color w:val="auto"/>
              </w:rPr>
            </w:pPr>
          </w:p>
        </w:tc>
        <w:tc>
          <w:tcPr>
            <w:tcW w:w="1360" w:type="dxa"/>
            <w:vAlign w:val="bottom"/>
          </w:tcPr>
          <w:p>
            <w:pPr>
              <w:jc w:val="right"/>
              <w:ind w:right="5"/>
              <w:spacing w:after="0"/>
              <w:rPr>
                <w:sz w:val="20"/>
                <w:szCs w:val="20"/>
                <w:color w:val="auto"/>
              </w:rPr>
            </w:pPr>
            <w:r>
              <w:rPr>
                <w:rFonts w:ascii="Arial" w:cs="Arial" w:eastAsia="Arial" w:hAnsi="Arial"/>
                <w:sz w:val="15"/>
                <w:szCs w:val="15"/>
                <w:color w:val="auto"/>
              </w:rPr>
              <w:t>557.6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510.9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634.2</w:t>
            </w:r>
          </w:p>
        </w:tc>
      </w:tr>
      <w:tr>
        <w:trPr>
          <w:trHeight w:val="200"/>
        </w:trPr>
        <w:tc>
          <w:tcPr>
            <w:tcW w:w="4140" w:type="dxa"/>
            <w:vAlign w:val="bottom"/>
            <w:gridSpan w:val="2"/>
          </w:tcPr>
          <w:p>
            <w:pPr>
              <w:spacing w:after="0"/>
              <w:rPr>
                <w:sz w:val="20"/>
                <w:szCs w:val="20"/>
                <w:color w:val="auto"/>
              </w:rPr>
            </w:pPr>
            <w:r>
              <w:rPr>
                <w:rFonts w:ascii="Arial" w:cs="Arial" w:eastAsia="Arial" w:hAnsi="Arial"/>
                <w:sz w:val="15"/>
                <w:szCs w:val="15"/>
                <w:color w:val="auto"/>
              </w:rPr>
              <w:t>wer Delivery</w:t>
            </w:r>
          </w:p>
        </w:tc>
        <w:tc>
          <w:tcPr>
            <w:tcW w:w="2660" w:type="dxa"/>
            <w:vAlign w:val="bottom"/>
          </w:tcPr>
          <w:p>
            <w:pPr>
              <w:spacing w:after="0"/>
              <w:rPr>
                <w:sz w:val="17"/>
                <w:szCs w:val="17"/>
                <w:color w:val="auto"/>
              </w:rPr>
            </w:pPr>
          </w:p>
        </w:tc>
        <w:tc>
          <w:tcPr>
            <w:tcW w:w="1360" w:type="dxa"/>
            <w:vAlign w:val="bottom"/>
          </w:tcPr>
          <w:p>
            <w:pPr>
              <w:jc w:val="right"/>
              <w:ind w:right="5"/>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200"/>
        </w:trPr>
        <w:tc>
          <w:tcPr>
            <w:tcW w:w="4140" w:type="dxa"/>
            <w:vAlign w:val="bottom"/>
            <w:gridSpan w:val="2"/>
          </w:tcPr>
          <w:p>
            <w:pPr>
              <w:spacing w:after="0"/>
              <w:rPr>
                <w:sz w:val="20"/>
                <w:szCs w:val="20"/>
                <w:color w:val="auto"/>
              </w:rPr>
            </w:pPr>
            <w:r>
              <w:rPr>
                <w:rFonts w:ascii="Arial" w:cs="Arial" w:eastAsia="Arial" w:hAnsi="Arial"/>
                <w:sz w:val="15"/>
                <w:szCs w:val="15"/>
                <w:color w:val="auto"/>
              </w:rPr>
              <w:t>her</w:t>
            </w:r>
          </w:p>
        </w:tc>
        <w:tc>
          <w:tcPr>
            <w:tcW w:w="2660" w:type="dxa"/>
            <w:vAlign w:val="bottom"/>
          </w:tcPr>
          <w:p>
            <w:pPr>
              <w:spacing w:after="0"/>
              <w:rPr>
                <w:sz w:val="17"/>
                <w:szCs w:val="17"/>
                <w:color w:val="auto"/>
              </w:rPr>
            </w:pPr>
          </w:p>
        </w:tc>
        <w:tc>
          <w:tcPr>
            <w:tcW w:w="1360" w:type="dxa"/>
            <w:vAlign w:val="bottom"/>
          </w:tcPr>
          <w:p>
            <w:pPr>
              <w:jc w:val="right"/>
              <w:ind w:right="5"/>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26.5</w:t>
            </w:r>
          </w:p>
        </w:tc>
      </w:tr>
      <w:tr>
        <w:trPr>
          <w:trHeight w:val="203"/>
        </w:trPr>
        <w:tc>
          <w:tcPr>
            <w:tcW w:w="4140" w:type="dxa"/>
            <w:vAlign w:val="bottom"/>
            <w:gridSpan w:val="2"/>
          </w:tcPr>
          <w:p>
            <w:pPr>
              <w:spacing w:after="0"/>
              <w:rPr>
                <w:sz w:val="20"/>
                <w:szCs w:val="20"/>
                <w:color w:val="auto"/>
              </w:rPr>
            </w:pPr>
            <w:r>
              <w:rPr>
                <w:rFonts w:ascii="Arial" w:cs="Arial" w:eastAsia="Arial" w:hAnsi="Arial"/>
                <w:sz w:val="15"/>
                <w:szCs w:val="15"/>
                <w:color w:val="auto"/>
              </w:rPr>
              <w:t>rporate</w:t>
            </w:r>
          </w:p>
        </w:tc>
        <w:tc>
          <w:tcPr>
            <w:tcW w:w="2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(115.7)</w:t>
            </w:r>
          </w:p>
        </w:tc>
      </w:tr>
      <w:tr>
        <w:trPr>
          <w:trHeight w:val="192"/>
        </w:trPr>
        <w:tc>
          <w:tcPr>
            <w:tcW w:w="1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onsolidated EBITDA</w:t>
            </w:r>
          </w:p>
        </w:tc>
        <w:tc>
          <w:tcPr>
            <w:tcW w:w="2660" w:type="dxa"/>
            <w:vAlign w:val="bottom"/>
            <w:tcBorders>
              <w:top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906$.3</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782$.5</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-649605</wp:posOffset>
            </wp:positionV>
            <wp:extent cx="6952615" cy="12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52615" cy="1270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-395605</wp:posOffset>
            </wp:positionV>
            <wp:extent cx="6952615" cy="127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2615" cy="127000"/>
                    </a:xfrm>
                    <a:prstGeom prst="rect">
                      <a:avLst/>
                    </a:prstGeom>
                    <a:noFill/>
                  </pic:spPr>
                </pic:pic>
              </a:graphicData>
            </a:graphic>
          </wp:anchor>
        </w:drawing>
      </w:r>
    </w:p>
    <w:p>
      <w:pPr>
        <w:spacing w:after="0" w:line="384" w:lineRule="exact"/>
        <w:rPr>
          <w:sz w:val="20"/>
          <w:szCs w:val="20"/>
          <w:color w:val="auto"/>
        </w:rPr>
      </w:pPr>
    </w:p>
    <w:p>
      <w:pPr>
        <w:ind w:left="100" w:firstLine="599"/>
        <w:spacing w:after="0" w:line="303" w:lineRule="auto"/>
        <w:rPr>
          <w:sz w:val="20"/>
          <w:szCs w:val="20"/>
          <w:color w:val="auto"/>
        </w:rPr>
      </w:pPr>
      <w:r>
        <w:rPr>
          <w:rFonts w:ascii="Arial" w:cs="Arial" w:eastAsia="Arial" w:hAnsi="Arial"/>
          <w:sz w:val="14"/>
          <w:szCs w:val="14"/>
          <w:color w:val="auto"/>
        </w:rPr>
        <w:t>For the year ended December 31, 2021, Corporate EBITDA included a bargain purchase gain of $3.5 million and acquisition and integration costs of $3.6 million. In 2020, Corporate EBITDA included $5.6 million of debt extinguishment losses, and in 2019, included $3.3 million of indefinite-lived pre-qualification intangible asset impairment charges.</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Depreciation and Amortization:</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Communications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87.1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Clean Energy and Infrastructure</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Oil and Gas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156.6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Power Delivery</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24.7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r>
      <w:tr>
        <w:trPr>
          <w:trHeight w:val="192"/>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Consolidated depreciation and amortization</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422.8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297.8</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235.5</w:t>
            </w:r>
          </w:p>
        </w:tc>
      </w:tr>
    </w:tbl>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9"/>
              </w:rPr>
              <w:t>As of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Communications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2,031.5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1,941.9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1,958.1</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Clean Energy and Infrastructure</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1,067.0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653.7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570.5</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Oil and Gas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1,450.6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1,631.1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1,762.4</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Power Delivery</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2,209.4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541.6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463.9</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w:t>
            </w:r>
          </w:p>
        </w:tc>
      </w:tr>
      <w:tr>
        <w:trPr>
          <w:trHeight w:val="19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124.8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267.8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w:t>
            </w:r>
          </w:p>
        </w:tc>
      </w:tr>
      <w:tr>
        <w:trPr>
          <w:trHeight w:val="192"/>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Consolidated segment assets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7,121.4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5,227.8</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4,997.0</w:t>
            </w:r>
          </w:p>
        </w:tc>
      </w:tr>
    </w:tbl>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Capital Expenditures: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Communications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38.4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Clean Energy and Infrastructure</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Oil and Gas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149.2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Power Delivery</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19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r>
      <w:tr>
        <w:trPr>
          <w:trHeight w:val="192"/>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Consolidated capital expenditures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170.1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213.7</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126.5</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57150</wp:posOffset>
            </wp:positionV>
            <wp:extent cx="716788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220" w:top="87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EBITDA Reconciliation:</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2019</w:t>
            </w:r>
          </w:p>
        </w:tc>
      </w:tr>
      <w:tr>
        <w:trPr>
          <w:trHeight w:val="195"/>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430.1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425.2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r>
      <w:tr>
        <w:trPr>
          <w:trHeight w:val="197"/>
        </w:trPr>
        <w:tc>
          <w:tcPr>
            <w:tcW w:w="6860" w:type="dxa"/>
            <w:vAlign w:val="bottom"/>
          </w:tcPr>
          <w:p>
            <w:pPr>
              <w:ind w:left="20"/>
              <w:spacing w:after="0"/>
              <w:rPr>
                <w:sz w:val="20"/>
                <w:szCs w:val="20"/>
                <w:color w:val="auto"/>
              </w:rPr>
            </w:pPr>
            <w:r>
              <w:rPr>
                <w:rFonts w:ascii="Arial" w:cs="Arial" w:eastAsia="Arial" w:hAnsi="Arial"/>
                <w:sz w:val="15"/>
                <w:szCs w:val="15"/>
                <w:color w:val="auto"/>
              </w:rPr>
              <w:t>Plus: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r>
      <w:tr>
        <w:trPr>
          <w:trHeight w:val="197"/>
        </w:trPr>
        <w:tc>
          <w:tcPr>
            <w:tcW w:w="686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345.6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258.8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212.5</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38.9</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r>
      <w:tr>
        <w:trPr>
          <w:trHeight w:val="189"/>
        </w:trPr>
        <w:tc>
          <w:tcPr>
            <w:tcW w:w="6860" w:type="dxa"/>
            <w:vAlign w:val="bottom"/>
          </w:tcPr>
          <w:p>
            <w:pPr>
              <w:ind w:left="20"/>
              <w:spacing w:after="0"/>
              <w:rPr>
                <w:sz w:val="20"/>
                <w:szCs w:val="20"/>
                <w:color w:val="auto"/>
              </w:rPr>
            </w:pPr>
            <w:r>
              <w:rPr>
                <w:rFonts w:ascii="Arial" w:cs="Arial" w:eastAsia="Arial" w:hAnsi="Arial"/>
                <w:sz w:val="15"/>
                <w:szCs w:val="15"/>
                <w:color w:val="auto"/>
              </w:rPr>
              <w:t>Consolidated EBITDA</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906.3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782.5</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823.4</w:t>
            </w:r>
          </w:p>
        </w:tc>
      </w:tr>
    </w:tbl>
    <w:p>
      <w:pPr>
        <w:spacing w:after="0" w:line="225" w:lineRule="exact"/>
        <w:rPr>
          <w:sz w:val="20"/>
          <w:szCs w:val="20"/>
          <w:color w:val="auto"/>
        </w:rPr>
      </w:pPr>
    </w:p>
    <w:p>
      <w:pPr>
        <w:jc w:val="both"/>
        <w:ind w:firstLine="300"/>
        <w:spacing w:after="0" w:line="264" w:lineRule="auto"/>
        <w:rPr>
          <w:sz w:val="20"/>
          <w:szCs w:val="20"/>
          <w:color w:val="auto"/>
        </w:rPr>
      </w:pPr>
      <w:r>
        <w:rPr>
          <w:rFonts w:ascii="Arial" w:cs="Arial" w:eastAsia="Arial" w:hAnsi="Arial"/>
          <w:sz w:val="14"/>
          <w:szCs w:val="14"/>
          <w:b w:val="1"/>
          <w:bCs w:val="1"/>
          <w:color w:val="auto"/>
        </w:rPr>
        <w:t xml:space="preserve">Foreign Operations and Other. </w:t>
      </w:r>
      <w:r>
        <w:rPr>
          <w:rFonts w:ascii="Arial" w:cs="Arial" w:eastAsia="Arial" w:hAnsi="Arial"/>
          <w:sz w:val="14"/>
          <w:szCs w:val="14"/>
          <w:color w:val="auto"/>
        </w:rPr>
        <w:t>MasTec operates primarily in the United States and Canada, and, to a far lesser extent, in Mexico, the Caribbean and India. Revenue derived from</w:t>
      </w:r>
      <w:r>
        <w:rPr>
          <w:rFonts w:ascii="Arial" w:cs="Arial" w:eastAsia="Arial" w:hAnsi="Arial"/>
          <w:sz w:val="14"/>
          <w:szCs w:val="14"/>
          <w:b w:val="1"/>
          <w:bCs w:val="1"/>
          <w:color w:val="auto"/>
        </w:rPr>
        <w:t xml:space="preserve"> </w:t>
      </w:r>
      <w:r>
        <w:rPr>
          <w:rFonts w:ascii="Arial" w:cs="Arial" w:eastAsia="Arial" w:hAnsi="Arial"/>
          <w:sz w:val="14"/>
          <w:szCs w:val="14"/>
          <w:color w:val="auto"/>
        </w:rPr>
        <w:t>U.S. operations totaled $7.8 billion, $6.2 billion and $6.9 billion for the years ended December 31, 2021, 2020 and 2019, respectively. Revenue derived from foreign operations totaled $165.2 million, $133.1 million and $233.5 million for the years ended December 31, 2021, 2020 and 2019, respectively, substantially all was derived from the Company’s Canadian operations in its Oil and Gas segment, and, to a lesser extent, from the Company’s operations in Mexico. Long-lived assets held in the U.S. included property and equipment, net, of $1,411.6 million, $959.5 million and $874.7 million as of December 31, 2021, 2020 and 2019, respectively, and, for the Company’s businesses in foreign countries, totaled $24.5 million, $22.8 million and $31.1 million, respectively. Intangible assets and goodwill, net, related to the Company’s U.S. operations totaled approximately $2.1 billion as of December 31, 2021, and totaled $1.4 billion as of both December 31, 2020 and 2019. For the Company’s businesses in foreign countries, intangible assets and goodwill, net, totaled approximately $43.8 million, $50.5 million and $56.4 million, as of December 31, 2021, 2020 and 2019, respectively. Substantially all of the Company’s long-lived and intangible assets and goodwill in foreign countries relate to its Canadian operations. As of December 31, 2021, amounts due from customers from which foreign revenue was derived accounted for approximately 2% of the Company’s consolidated net accounts receivable position, which represents accounts receivable, net, less deferred revenue. As of both December 31, 2020 and 2019, amounts due from customers from which foreign revenue was derived accounted for approximately 5% of the Company’s consolidated net accounts receivable position. Revenue from governmental entities for the years ended December 31, 2021, 2020 and 2019 totaled approximately 5%, 2% and 1%, respectively, of total revenue, substantially all of which was derived from the Company’s U.S. operations.</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Significant Customers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Revenue concentration information for significant customers as a percentage of total consolidated revenue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w w:val="93"/>
              </w:rPr>
              <w:t>For the Years Ended December 31,</w:t>
            </w:r>
          </w:p>
        </w:tc>
        <w:tc>
          <w:tcPr>
            <w:tcW w:w="960" w:type="dxa"/>
            <w:vAlign w:val="bottom"/>
            <w:tcBorders>
              <w:bottom w:val="single" w:sz="8" w:color="auto"/>
            </w:tcBorders>
          </w:tcPr>
          <w:p>
            <w:pPr>
              <w:spacing w:after="0"/>
              <w:rPr>
                <w:sz w:val="17"/>
                <w:szCs w:val="17"/>
                <w:color w:val="auto"/>
              </w:rPr>
            </w:pPr>
          </w:p>
        </w:tc>
      </w:tr>
      <w:tr>
        <w:trPr>
          <w:trHeight w:val="189"/>
        </w:trPr>
        <w:tc>
          <w:tcPr>
            <w:tcW w:w="6860" w:type="dxa"/>
            <w:vAlign w:val="bottom"/>
          </w:tcPr>
          <w:p>
            <w:pPr>
              <w:spacing w:after="0"/>
              <w:rPr>
                <w:sz w:val="16"/>
                <w:szCs w:val="16"/>
                <w:color w:val="auto"/>
              </w:rPr>
            </w:pPr>
          </w:p>
        </w:tc>
        <w:tc>
          <w:tcPr>
            <w:tcW w:w="960" w:type="dxa"/>
            <w:vAlign w:val="bottom"/>
          </w:tcPr>
          <w:p>
            <w:pPr>
              <w:jc w:val="center"/>
              <w:ind w:left="345"/>
              <w:spacing w:after="0"/>
              <w:rPr>
                <w:sz w:val="20"/>
                <w:szCs w:val="20"/>
                <w:color w:val="auto"/>
              </w:rPr>
            </w:pPr>
            <w:r>
              <w:rPr>
                <w:rFonts w:ascii="Arial" w:cs="Arial" w:eastAsia="Arial" w:hAnsi="Arial"/>
                <w:sz w:val="15"/>
                <w:szCs w:val="15"/>
                <w:b w:val="1"/>
                <w:bCs w:val="1"/>
                <w:color w:val="auto"/>
                <w:w w:val="89"/>
              </w:rPr>
              <w:t>2021</w:t>
            </w:r>
          </w:p>
        </w:tc>
        <w:tc>
          <w:tcPr>
            <w:tcW w:w="1940" w:type="dxa"/>
            <w:vAlign w:val="bottom"/>
            <w:gridSpan w:val="3"/>
          </w:tcPr>
          <w:p>
            <w:pPr>
              <w:jc w:val="center"/>
              <w:ind w:left="445"/>
              <w:spacing w:after="0"/>
              <w:rPr>
                <w:sz w:val="20"/>
                <w:szCs w:val="20"/>
                <w:color w:val="auto"/>
              </w:rPr>
            </w:pPr>
            <w:r>
              <w:rPr>
                <w:rFonts w:ascii="Arial" w:cs="Arial" w:eastAsia="Arial" w:hAnsi="Arial"/>
                <w:sz w:val="15"/>
                <w:szCs w:val="15"/>
                <w:b w:val="1"/>
                <w:bCs w:val="1"/>
                <w:color w:val="auto"/>
                <w:w w:val="89"/>
              </w:rPr>
              <w:t>2020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center"/>
              <w:ind w:right="345"/>
              <w:spacing w:after="0"/>
              <w:rPr>
                <w:sz w:val="20"/>
                <w:szCs w:val="20"/>
                <w:color w:val="auto"/>
              </w:rPr>
            </w:pPr>
            <w:r>
              <w:rPr>
                <w:rFonts w:ascii="Arial" w:cs="Arial" w:eastAsia="Arial" w:hAnsi="Arial"/>
                <w:sz w:val="15"/>
                <w:szCs w:val="15"/>
                <w:b w:val="1"/>
                <w:bCs w:val="1"/>
                <w:color w:val="auto"/>
                <w:w w:val="89"/>
              </w:rPr>
              <w:t>2019</w:t>
            </w:r>
          </w:p>
        </w:tc>
      </w:tr>
      <w:tr>
        <w:trPr>
          <w:trHeight w:val="183"/>
        </w:trPr>
        <w:tc>
          <w:tcPr>
            <w:tcW w:w="6860" w:type="dxa"/>
            <w:vAlign w:val="bottom"/>
          </w:tcPr>
          <w:p>
            <w:pPr>
              <w:ind w:left="60"/>
              <w:spacing w:after="0"/>
              <w:rPr>
                <w:sz w:val="20"/>
                <w:szCs w:val="20"/>
                <w:color w:val="auto"/>
              </w:rPr>
            </w:pPr>
            <w:r>
              <w:rPr>
                <w:rFonts w:ascii="Arial" w:cs="Arial" w:eastAsia="Arial" w:hAnsi="Arial"/>
                <w:sz w:val="15"/>
                <w:szCs w:val="15"/>
                <w:b w:val="1"/>
                <w:bCs w:val="1"/>
                <w:color w:val="auto"/>
              </w:rPr>
              <w:t>Customer:</w:t>
            </w:r>
          </w:p>
        </w:tc>
        <w:tc>
          <w:tcPr>
            <w:tcW w:w="9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15"/>
                <w:szCs w:val="15"/>
                <w:color w:val="auto"/>
              </w:rPr>
              <w:t xml:space="preserve">Enbridge, Inc. </w:t>
            </w:r>
            <w:r>
              <w:rPr>
                <w:rFonts w:ascii="Arial" w:cs="Arial" w:eastAsia="Arial" w:hAnsi="Arial"/>
                <w:sz w:val="19"/>
                <w:szCs w:val="19"/>
                <w:color w:val="auto"/>
                <w:vertAlign w:val="superscript"/>
              </w:rPr>
              <w:t>(a)</w:t>
            </w:r>
          </w:p>
        </w:tc>
        <w:tc>
          <w:tcPr>
            <w:tcW w:w="960" w:type="dxa"/>
            <w:vAlign w:val="bottom"/>
            <w:shd w:val="clear" w:color="auto" w:fill="CCEEFF"/>
          </w:tcPr>
          <w:p>
            <w:pPr>
              <w:jc w:val="center"/>
              <w:ind w:left="365"/>
              <w:spacing w:after="0"/>
              <w:rPr>
                <w:sz w:val="20"/>
                <w:szCs w:val="20"/>
                <w:color w:val="auto"/>
              </w:rPr>
            </w:pPr>
            <w:r>
              <w:rPr>
                <w:rFonts w:ascii="Arial" w:cs="Arial" w:eastAsia="Arial" w:hAnsi="Arial"/>
                <w:sz w:val="15"/>
                <w:szCs w:val="15"/>
                <w:color w:val="auto"/>
                <w:w w:val="93"/>
              </w:rPr>
              <w:t>16%</w:t>
            </w:r>
          </w:p>
        </w:tc>
        <w:tc>
          <w:tcPr>
            <w:tcW w:w="1940" w:type="dxa"/>
            <w:vAlign w:val="bottom"/>
            <w:gridSpan w:val="3"/>
            <w:shd w:val="clear" w:color="auto" w:fill="CCEEFF"/>
          </w:tcPr>
          <w:p>
            <w:pPr>
              <w:jc w:val="center"/>
              <w:ind w:left="465"/>
              <w:spacing w:after="0"/>
              <w:rPr>
                <w:sz w:val="20"/>
                <w:szCs w:val="20"/>
                <w:color w:val="auto"/>
              </w:rPr>
            </w:pPr>
            <w:r>
              <w:rPr>
                <w:rFonts w:ascii="Arial" w:cs="Arial" w:eastAsia="Arial" w:hAnsi="Arial"/>
                <w:sz w:val="15"/>
                <w:szCs w:val="15"/>
                <w:color w:val="auto"/>
                <w:w w:val="92"/>
              </w:rPr>
              <w:t>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345"/>
              <w:spacing w:after="0"/>
              <w:rPr>
                <w:sz w:val="20"/>
                <w:szCs w:val="20"/>
                <w:color w:val="auto"/>
              </w:rPr>
            </w:pPr>
            <w:r>
              <w:rPr>
                <w:rFonts w:ascii="Arial" w:cs="Arial" w:eastAsia="Arial" w:hAnsi="Arial"/>
                <w:sz w:val="15"/>
                <w:szCs w:val="15"/>
                <w:color w:val="auto"/>
                <w:w w:val="91"/>
              </w:rPr>
              <w:t>—%</w:t>
            </w:r>
          </w:p>
        </w:tc>
      </w:tr>
      <w:tr>
        <w:trPr>
          <w:trHeight w:val="200"/>
        </w:trPr>
        <w:tc>
          <w:tcPr>
            <w:tcW w:w="6860" w:type="dxa"/>
            <w:vAlign w:val="bottom"/>
          </w:tcPr>
          <w:p>
            <w:pPr>
              <w:ind w:left="120"/>
              <w:spacing w:after="0" w:line="200" w:lineRule="exact"/>
              <w:rPr>
                <w:sz w:val="20"/>
                <w:szCs w:val="20"/>
                <w:color w:val="auto"/>
              </w:rPr>
            </w:pPr>
            <w:r>
              <w:rPr>
                <w:rFonts w:ascii="Arial" w:cs="Arial" w:eastAsia="Arial" w:hAnsi="Arial"/>
                <w:sz w:val="15"/>
                <w:szCs w:val="15"/>
                <w:color w:val="auto"/>
              </w:rPr>
              <w:t>AT&amp;T (excluding DIRECTV</w:t>
            </w:r>
            <w:r>
              <w:rPr>
                <w:rFonts w:ascii="Arial" w:cs="Arial" w:eastAsia="Arial" w:hAnsi="Arial"/>
                <w:sz w:val="19"/>
                <w:szCs w:val="19"/>
                <w:color w:val="auto"/>
                <w:vertAlign w:val="superscript"/>
              </w:rPr>
              <w:t>®</w:t>
            </w:r>
            <w:r>
              <w:rPr>
                <w:rFonts w:ascii="Arial" w:cs="Arial" w:eastAsia="Arial" w:hAnsi="Arial"/>
                <w:sz w:val="15"/>
                <w:szCs w:val="15"/>
                <w:color w:val="auto"/>
              </w:rPr>
              <w:t xml:space="preserve">) </w:t>
            </w:r>
            <w:r>
              <w:rPr>
                <w:rFonts w:ascii="Arial" w:cs="Arial" w:eastAsia="Arial" w:hAnsi="Arial"/>
                <w:sz w:val="19"/>
                <w:szCs w:val="19"/>
                <w:color w:val="auto"/>
                <w:vertAlign w:val="superscript"/>
              </w:rPr>
              <w:t>(b)</w:t>
            </w:r>
          </w:p>
        </w:tc>
        <w:tc>
          <w:tcPr>
            <w:tcW w:w="960" w:type="dxa"/>
            <w:vAlign w:val="bottom"/>
          </w:tcPr>
          <w:p>
            <w:pPr>
              <w:jc w:val="center"/>
              <w:ind w:left="365"/>
              <w:spacing w:after="0"/>
              <w:rPr>
                <w:sz w:val="20"/>
                <w:szCs w:val="20"/>
                <w:color w:val="auto"/>
              </w:rPr>
            </w:pPr>
            <w:r>
              <w:rPr>
                <w:rFonts w:ascii="Arial" w:cs="Arial" w:eastAsia="Arial" w:hAnsi="Arial"/>
                <w:sz w:val="15"/>
                <w:szCs w:val="15"/>
                <w:color w:val="auto"/>
                <w:w w:val="92"/>
              </w:rPr>
              <w:t>9%</w:t>
            </w:r>
          </w:p>
        </w:tc>
        <w:tc>
          <w:tcPr>
            <w:tcW w:w="1940" w:type="dxa"/>
            <w:vAlign w:val="bottom"/>
            <w:gridSpan w:val="3"/>
          </w:tcPr>
          <w:p>
            <w:pPr>
              <w:jc w:val="center"/>
              <w:ind w:left="445"/>
              <w:spacing w:after="0"/>
              <w:rPr>
                <w:sz w:val="20"/>
                <w:szCs w:val="20"/>
                <w:color w:val="auto"/>
              </w:rPr>
            </w:pPr>
            <w:r>
              <w:rPr>
                <w:rFonts w:ascii="Arial" w:cs="Arial" w:eastAsia="Arial" w:hAnsi="Arial"/>
                <w:sz w:val="15"/>
                <w:szCs w:val="15"/>
                <w:color w:val="auto"/>
                <w:w w:val="86"/>
              </w:rPr>
              <w:t>15%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center"/>
              <w:ind w:right="345"/>
              <w:spacing w:after="0"/>
              <w:rPr>
                <w:sz w:val="20"/>
                <w:szCs w:val="20"/>
                <w:color w:val="auto"/>
              </w:rPr>
            </w:pPr>
            <w:r>
              <w:rPr>
                <w:rFonts w:ascii="Arial" w:cs="Arial" w:eastAsia="Arial" w:hAnsi="Arial"/>
                <w:sz w:val="15"/>
                <w:szCs w:val="15"/>
                <w:color w:val="auto"/>
                <w:w w:val="86"/>
              </w:rPr>
              <w:t>15%</w:t>
            </w:r>
          </w:p>
        </w:tc>
      </w:tr>
      <w:tr>
        <w:trPr>
          <w:trHeight w:val="200"/>
        </w:trPr>
        <w:tc>
          <w:tcPr>
            <w:tcW w:w="6860" w:type="dxa"/>
            <w:vAlign w:val="bottom"/>
            <w:shd w:val="clear" w:color="auto" w:fill="CCEEFF"/>
          </w:tcPr>
          <w:p>
            <w:pPr>
              <w:ind w:left="120"/>
              <w:spacing w:after="0" w:line="200" w:lineRule="exact"/>
              <w:rPr>
                <w:sz w:val="20"/>
                <w:szCs w:val="20"/>
                <w:color w:val="auto"/>
              </w:rPr>
            </w:pPr>
            <w:r>
              <w:rPr>
                <w:rFonts w:ascii="Arial" w:cs="Arial" w:eastAsia="Arial" w:hAnsi="Arial"/>
                <w:sz w:val="15"/>
                <w:szCs w:val="15"/>
                <w:color w:val="auto"/>
              </w:rPr>
              <w:t xml:space="preserve">Equitrans Midstream Corporation </w:t>
            </w:r>
            <w:r>
              <w:rPr>
                <w:rFonts w:ascii="Arial" w:cs="Arial" w:eastAsia="Arial" w:hAnsi="Arial"/>
                <w:sz w:val="19"/>
                <w:szCs w:val="19"/>
                <w:color w:val="auto"/>
                <w:vertAlign w:val="superscript"/>
              </w:rPr>
              <w:t>(c)</w:t>
            </w:r>
          </w:p>
        </w:tc>
        <w:tc>
          <w:tcPr>
            <w:tcW w:w="960" w:type="dxa"/>
            <w:vAlign w:val="bottom"/>
            <w:shd w:val="clear" w:color="auto" w:fill="CCEEFF"/>
          </w:tcPr>
          <w:p>
            <w:pPr>
              <w:jc w:val="center"/>
              <w:ind w:left="365"/>
              <w:spacing w:after="0"/>
              <w:rPr>
                <w:sz w:val="20"/>
                <w:szCs w:val="20"/>
                <w:color w:val="auto"/>
              </w:rPr>
            </w:pPr>
            <w:r>
              <w:rPr>
                <w:rFonts w:ascii="Arial" w:cs="Arial" w:eastAsia="Arial" w:hAnsi="Arial"/>
                <w:sz w:val="15"/>
                <w:szCs w:val="15"/>
                <w:color w:val="auto"/>
                <w:w w:val="92"/>
              </w:rPr>
              <w:t>4%</w:t>
            </w:r>
          </w:p>
        </w:tc>
        <w:tc>
          <w:tcPr>
            <w:tcW w:w="1940" w:type="dxa"/>
            <w:vAlign w:val="bottom"/>
            <w:gridSpan w:val="3"/>
            <w:shd w:val="clear" w:color="auto" w:fill="CCEEFF"/>
          </w:tcPr>
          <w:p>
            <w:pPr>
              <w:jc w:val="center"/>
              <w:ind w:left="465"/>
              <w:spacing w:after="0"/>
              <w:rPr>
                <w:sz w:val="20"/>
                <w:szCs w:val="20"/>
                <w:color w:val="auto"/>
              </w:rPr>
            </w:pPr>
            <w:r>
              <w:rPr>
                <w:rFonts w:ascii="Arial" w:cs="Arial" w:eastAsia="Arial" w:hAnsi="Arial"/>
                <w:sz w:val="15"/>
                <w:szCs w:val="15"/>
                <w:color w:val="auto"/>
                <w:w w:val="92"/>
              </w:rPr>
              <w:t>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345"/>
              <w:spacing w:after="0"/>
              <w:rPr>
                <w:sz w:val="20"/>
                <w:szCs w:val="20"/>
                <w:color w:val="auto"/>
              </w:rPr>
            </w:pPr>
            <w:r>
              <w:rPr>
                <w:rFonts w:ascii="Arial" w:cs="Arial" w:eastAsia="Arial" w:hAnsi="Arial"/>
                <w:sz w:val="15"/>
                <w:szCs w:val="15"/>
                <w:color w:val="auto"/>
                <w:w w:val="86"/>
              </w:rPr>
              <w:t>11%</w:t>
            </w:r>
          </w:p>
        </w:tc>
      </w:tr>
    </w:tbl>
    <w:p>
      <w:pPr>
        <w:spacing w:after="0" w:line="109" w:lineRule="exact"/>
        <w:rPr>
          <w:sz w:val="20"/>
          <w:szCs w:val="20"/>
          <w:color w:val="auto"/>
        </w:rPr>
      </w:pPr>
    </w:p>
    <w:p>
      <w:pPr>
        <w:ind w:left="280" w:hanging="280"/>
        <w:spacing w:after="0"/>
        <w:tabs>
          <w:tab w:leader="none" w:pos="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relationship with Enbridge, Inc. is based upon various construction contracts for pipeline activities, for which the related revenue is included within the Oil and Gas segment.</w:t>
      </w:r>
    </w:p>
    <w:p>
      <w:pPr>
        <w:spacing w:after="0" w:line="25" w:lineRule="exact"/>
        <w:rPr>
          <w:rFonts w:ascii="Arial" w:cs="Arial" w:eastAsia="Arial" w:hAnsi="Arial"/>
          <w:sz w:val="13"/>
          <w:szCs w:val="13"/>
          <w:color w:val="auto"/>
        </w:rPr>
      </w:pPr>
    </w:p>
    <w:p>
      <w:pPr>
        <w:jc w:val="both"/>
        <w:ind w:left="300" w:hanging="300"/>
        <w:spacing w:after="0" w:line="229" w:lineRule="auto"/>
        <w:tabs>
          <w:tab w:leader="none" w:pos="292"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other installation services, including smart city initiatives. Revenue from AT&amp;T is included within the Communications segment. DIRECTV</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spun off from AT&amp;T in July 2021. Revenue from DIRECTV</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excluded from AT&amp;T for all periods presented.</w:t>
      </w:r>
    </w:p>
    <w:p>
      <w:pPr>
        <w:ind w:left="300" w:hanging="300"/>
        <w:spacing w:after="0" w:line="255" w:lineRule="auto"/>
        <w:tabs>
          <w:tab w:leader="none" w:pos="2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relationship with Equitrans Midstream Corporation and its affiliates is based upon various construction contracts for pipeline activities, for which the related revenue is included within the Oil and Gas segment.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 Commitments and Contingencies</w:t>
      </w:r>
    </w:p>
    <w:p>
      <w:pPr>
        <w:spacing w:after="0" w:line="106"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MasTec is subject to a variety of legal cases, claims and other disputes that arise from time to time in the ordinary course of its business, including project contract price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$25.0 million, of which $19.0 million is due in 2022. Net of legal and other costs incurred, the Company recorded $5.0 million of other income related to this settlement in the Company’s financial statements in the third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Commitments and Contingencies</w:t>
      </w:r>
    </w:p>
    <w:p>
      <w:pPr>
        <w:spacing w:after="0" w:line="102"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15"/>
          <w:szCs w:val="15"/>
          <w:b w:val="1"/>
          <w:bCs w:val="1"/>
          <w:color w:val="auto"/>
        </w:rPr>
        <w:t xml:space="preserve">Leases. </w:t>
      </w:r>
      <w:r>
        <w:rPr>
          <w:rFonts w:ascii="Arial" w:cs="Arial" w:eastAsia="Arial" w:hAnsi="Arial"/>
          <w:sz w:val="15"/>
          <w:szCs w:val="15"/>
          <w:color w:val="auto"/>
        </w:rPr>
        <w:t>In the ordinary course of business, the Company enters into non-cancelable operating leases for certain of its facility, vehicle and equipment needs, including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party leases. See Note 8 - Lease Obligations and Note 15 - Related Party Transactions.</w:t>
      </w:r>
    </w:p>
    <w:p>
      <w:pPr>
        <w:spacing w:after="0" w:line="58"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5"/>
          <w:szCs w:val="15"/>
          <w:b w:val="1"/>
          <w:bCs w:val="1"/>
          <w:color w:val="auto"/>
        </w:rPr>
        <w:t xml:space="preserve">Letters of Credit. </w:t>
      </w:r>
      <w:r>
        <w:rPr>
          <w:rFonts w:ascii="Arial" w:cs="Arial" w:eastAsia="Arial" w:hAnsi="Arial"/>
          <w:sz w:val="15"/>
          <w:szCs w:val="15"/>
          <w:color w:val="auto"/>
        </w:rPr>
        <w:t>In the ordinary course of business, the Company is required to post letters of credit for its insurance carriers and surety bond providers and in support of</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2" w:name="page83"/>
    <w:bookmarkEnd w:id="82"/>
    <w:p>
      <w:pPr>
        <w:jc w:val="both"/>
        <w:spacing w:after="0" w:line="255" w:lineRule="auto"/>
        <w:rPr>
          <w:sz w:val="20"/>
          <w:szCs w:val="20"/>
          <w:color w:val="auto"/>
        </w:rPr>
      </w:pPr>
      <w:r>
        <w:rPr>
          <w:rFonts w:ascii="Arial" w:cs="Arial" w:eastAsia="Arial" w:hAnsi="Arial"/>
          <w:sz w:val="15"/>
          <w:szCs w:val="15"/>
          <w:color w:val="auto"/>
        </w:rPr>
        <w:t>this were to occur, the Company would be required to reimburse the issuer of the letter of credit, which, depending upon the circumstances, could result in a charge to earnings. As of December 31, 2021 and 2020, there were $188.5 million and $151.8 million, respectively, of letters of credit issued under the Company’s credit facilities. The Company is not aware of any material claims relating to its outstanding letters of credit as of December 31, 2021 or 2020.</w:t>
      </w:r>
    </w:p>
    <w:p>
      <w:pPr>
        <w:spacing w:after="0" w:line="70" w:lineRule="exact"/>
        <w:rPr>
          <w:sz w:val="20"/>
          <w:szCs w:val="20"/>
          <w:color w:val="auto"/>
        </w:rPr>
      </w:pPr>
    </w:p>
    <w:p>
      <w:pPr>
        <w:jc w:val="both"/>
        <w:ind w:firstLine="599"/>
        <w:spacing w:after="0" w:line="292" w:lineRule="auto"/>
        <w:rPr>
          <w:sz w:val="20"/>
          <w:szCs w:val="20"/>
          <w:color w:val="auto"/>
        </w:rPr>
      </w:pPr>
      <w:r>
        <w:rPr>
          <w:rFonts w:ascii="Arial" w:cs="Arial" w:eastAsia="Arial" w:hAnsi="Arial"/>
          <w:sz w:val="13"/>
          <w:szCs w:val="13"/>
          <w:b w:val="1"/>
          <w:bCs w:val="1"/>
          <w:color w:val="auto"/>
        </w:rPr>
        <w:t xml:space="preserve">Performance and Payment Bonds. </w:t>
      </w:r>
      <w:r>
        <w:rPr>
          <w:rFonts w:ascii="Arial" w:cs="Arial" w:eastAsia="Arial" w:hAnsi="Arial"/>
          <w:sz w:val="13"/>
          <w:szCs w:val="13"/>
          <w:color w:val="auto"/>
        </w:rPr>
        <w:t>In the ordinary course of business, MasTec is required by certain customers to provide performance and payment bonds for contractual</w:t>
      </w:r>
      <w:r>
        <w:rPr>
          <w:rFonts w:ascii="Arial" w:cs="Arial" w:eastAsia="Arial" w:hAnsi="Arial"/>
          <w:sz w:val="13"/>
          <w:szCs w:val="13"/>
          <w:b w:val="1"/>
          <w:bCs w:val="1"/>
          <w:color w:val="auto"/>
        </w:rPr>
        <w:t xml:space="preserve"> </w:t>
      </w:r>
      <w:r>
        <w:rPr>
          <w:rFonts w:ascii="Arial" w:cs="Arial" w:eastAsia="Arial" w:hAnsi="Arial"/>
          <w:sz w:val="13"/>
          <w:szCs w:val="13"/>
          <w:color w:val="auto"/>
        </w:rPr>
        <w:t>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2021 and 2020, outstanding performance and payment bonds approximated $2,155.2 million and $764.8 million, respectively, and estimated costs to complete projects secured by these bonds totaled $768.8 million and $263.2 million as of December 31, 2021 and 2020, respectively. Included in these balances as of December 31, 2021 is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50" w:lineRule="exact"/>
        <w:rPr>
          <w:sz w:val="20"/>
          <w:szCs w:val="20"/>
          <w:color w:val="auto"/>
        </w:rPr>
      </w:pPr>
    </w:p>
    <w:p>
      <w:pPr>
        <w:jc w:val="both"/>
        <w:ind w:firstLine="599"/>
        <w:spacing w:after="0" w:line="267" w:lineRule="auto"/>
        <w:rPr>
          <w:sz w:val="20"/>
          <w:szCs w:val="20"/>
          <w:color w:val="auto"/>
        </w:rPr>
      </w:pPr>
      <w:r>
        <w:rPr>
          <w:rFonts w:ascii="Arial" w:cs="Arial" w:eastAsia="Arial" w:hAnsi="Arial"/>
          <w:sz w:val="14"/>
          <w:szCs w:val="14"/>
          <w:b w:val="1"/>
          <w:bCs w:val="1"/>
          <w:color w:val="auto"/>
        </w:rPr>
        <w:t xml:space="preserve">Investment and Strategic Arrangements. </w:t>
      </w:r>
      <w:r>
        <w:rPr>
          <w:rFonts w:ascii="Arial" w:cs="Arial" w:eastAsia="Arial" w:hAnsi="Arial"/>
          <w:sz w:val="14"/>
          <w:szCs w:val="14"/>
          <w:color w:val="auto"/>
        </w:rPr>
        <w:t>The Company holds undivided interests, ranging from 85% to 90%, in multiple proportionately consolidated non-controlled</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contractual joint ventures that provide infrastructure construction services for 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2021, the Company was not aware of material future claims against it in connection with these arrangements. For the year ended December 31, 2021, the Company provided $0.7 million of project-related financing to its contractual joint ventures, for which no amounts were outstanding as of December 31, 2021.</w:t>
      </w:r>
    </w:p>
    <w:p>
      <w:pPr>
        <w:spacing w:after="0" w:line="69" w:lineRule="exact"/>
        <w:rPr>
          <w:sz w:val="20"/>
          <w:szCs w:val="20"/>
          <w:color w:val="auto"/>
        </w:rPr>
      </w:pPr>
    </w:p>
    <w:p>
      <w:pPr>
        <w:jc w:val="both"/>
        <w:ind w:firstLine="599"/>
        <w:spacing w:after="0" w:line="303" w:lineRule="auto"/>
        <w:rPr>
          <w:sz w:val="20"/>
          <w:szCs w:val="20"/>
          <w:color w:val="auto"/>
        </w:rPr>
      </w:pPr>
      <w:r>
        <w:rPr>
          <w:rFonts w:ascii="Arial" w:cs="Arial" w:eastAsia="Arial" w:hAnsi="Arial"/>
          <w:sz w:val="14"/>
          <w:szCs w:val="14"/>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39"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 deductibles.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is self-insured up to the amount of the deductible. The Company also maintains excess umbrella coverage. As of December 31, 2021 and 2020, MasTec’s estimated liability for unpaid claims and associated expenses, including incurred but not reported losses related to these policies, totaled $189.8 million and $129.6 million, respectively, of which $126.5 million and $86.1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$4.2 million and $4.3 million as of December 31, 2021 and 2020, respectively.</w:t>
      </w:r>
    </w:p>
    <w:p>
      <w:pPr>
        <w:spacing w:after="0" w:line="79" w:lineRule="exact"/>
        <w:rPr>
          <w:sz w:val="20"/>
          <w:szCs w:val="20"/>
          <w:color w:val="auto"/>
        </w:rPr>
      </w:pPr>
    </w:p>
    <w:p>
      <w:pPr>
        <w:jc w:val="both"/>
        <w:ind w:firstLine="599"/>
        <w:spacing w:after="0" w:line="281" w:lineRule="auto"/>
        <w:rPr>
          <w:sz w:val="20"/>
          <w:szCs w:val="20"/>
          <w:color w:val="auto"/>
        </w:rPr>
      </w:pPr>
      <w:r>
        <w:rPr>
          <w:rFonts w:ascii="Arial" w:cs="Arial" w:eastAsia="Arial" w:hAnsi="Arial"/>
          <w:sz w:val="14"/>
          <w:szCs w:val="14"/>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$125.7 million and $59.3 million as of December 31, 2021 and 2020, respectively. Outstanding surety bonds related to self-insurance programs amounted to $52.9 million and $37.4 million as of December 31, 2021 and 2020, respectively.</w:t>
      </w:r>
    </w:p>
    <w:p>
      <w:pPr>
        <w:spacing w:after="0" w:line="55" w:lineRule="exact"/>
        <w:rPr>
          <w:sz w:val="20"/>
          <w:szCs w:val="20"/>
          <w:color w:val="auto"/>
        </w:rPr>
      </w:pPr>
    </w:p>
    <w:p>
      <w:pPr>
        <w:jc w:val="both"/>
        <w:ind w:firstLine="599"/>
        <w:spacing w:after="0" w:line="252" w:lineRule="auto"/>
        <w:rPr>
          <w:sz w:val="20"/>
          <w:szCs w:val="20"/>
          <w:color w:val="auto"/>
        </w:rPr>
      </w:pPr>
      <w:r>
        <w:rPr>
          <w:rFonts w:ascii="Arial" w:cs="Arial" w:eastAsia="Arial" w:hAnsi="Arial"/>
          <w:sz w:val="15"/>
          <w:szCs w:val="15"/>
          <w:b w:val="1"/>
          <w:bCs w:val="1"/>
          <w:color w:val="auto"/>
        </w:rPr>
        <w:t xml:space="preserve">Employment Agreements. </w:t>
      </w:r>
      <w:r>
        <w:rPr>
          <w:rFonts w:ascii="Arial" w:cs="Arial" w:eastAsia="Arial" w:hAnsi="Arial"/>
          <w:sz w:val="15"/>
          <w:szCs w:val="15"/>
          <w:color w:val="auto"/>
        </w:rPr>
        <w:t>The Company has employment agreements with certain executives and other employees, which provide for compensation and certain other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75"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1 - Business, Basis of Presentation and Significant Accounting Policies and Note 10 -</w:t>
      </w:r>
      <w:r>
        <w:rPr>
          <w:rFonts w:ascii="Arial" w:cs="Arial" w:eastAsia="Arial" w:hAnsi="Arial"/>
          <w:sz w:val="15"/>
          <w:szCs w:val="15"/>
          <w:b w:val="1"/>
          <w:bCs w:val="1"/>
          <w:color w:val="auto"/>
        </w:rPr>
        <w:t xml:space="preserve"> </w:t>
      </w:r>
      <w:r>
        <w:rPr>
          <w:rFonts w:ascii="Arial" w:cs="Arial" w:eastAsia="Arial" w:hAnsi="Arial"/>
          <w:sz w:val="15"/>
          <w:szCs w:val="15"/>
          <w:color w:val="auto"/>
        </w:rPr>
        <w:t>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9"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December 31, 2021,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62" w:lineRule="exact"/>
        <w:rPr>
          <w:sz w:val="20"/>
          <w:szCs w:val="20"/>
          <w:color w:val="auto"/>
        </w:rPr>
      </w:pPr>
    </w:p>
    <w:p>
      <w:pPr>
        <w:jc w:val="both"/>
        <w:ind w:firstLine="599"/>
        <w:spacing w:after="0" w:line="284" w:lineRule="auto"/>
        <w:rPr>
          <w:sz w:val="20"/>
          <w:szCs w:val="20"/>
          <w:color w:val="auto"/>
        </w:rPr>
      </w:pPr>
      <w:r>
        <w:rPr>
          <w:rFonts w:ascii="Arial" w:cs="Arial" w:eastAsia="Arial" w:hAnsi="Arial"/>
          <w:sz w:val="14"/>
          <w:szCs w:val="14"/>
          <w:b w:val="1"/>
          <w:bCs w:val="1"/>
          <w:color w:val="auto"/>
        </w:rPr>
        <w:t xml:space="preserve">Indemnities. </w:t>
      </w:r>
      <w:r>
        <w:rPr>
          <w:rFonts w:ascii="Arial" w:cs="Arial" w:eastAsia="Arial" w:hAnsi="Arial"/>
          <w:sz w:val="14"/>
          <w:szCs w:val="14"/>
          <w:color w:val="auto"/>
        </w:rPr>
        <w:t>The Company generally indemnifies its customers for the services it provides under its contracts, as well as other specified liabilities, which may subject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to indemnity claims, liabilities and related litigation. As of December 31, 2021 and 2020, the Company had accrued project close-out liabilities of approximately $40 million and $20 million, respectively. The Company is not aware of any other material asserted or unasserted claims in connection with its potential indemnity obligations.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3" w:name="page84"/>
    <w:bookmarkEnd w:id="83"/>
    <w:p>
      <w:pPr>
        <w:jc w:val="both"/>
        <w:ind w:firstLine="599"/>
        <w:spacing w:after="0" w:line="249"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 certain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75" w:lineRule="exact"/>
        <w:rPr>
          <w:sz w:val="20"/>
          <w:szCs w:val="20"/>
          <w:color w:val="auto"/>
        </w:rPr>
      </w:pPr>
    </w:p>
    <w:p>
      <w:pPr>
        <w:jc w:val="both"/>
        <w:ind w:firstLine="599"/>
        <w:spacing w:after="0" w:line="263" w:lineRule="auto"/>
        <w:rPr>
          <w:sz w:val="20"/>
          <w:szCs w:val="20"/>
          <w:color w:val="auto"/>
        </w:rPr>
      </w:pPr>
      <w:r>
        <w:rPr>
          <w:rFonts w:ascii="Arial" w:cs="Arial" w:eastAsia="Arial" w:hAnsi="Arial"/>
          <w:sz w:val="14"/>
          <w:szCs w:val="14"/>
          <w:b w:val="1"/>
          <w:bCs w:val="1"/>
          <w:color w:val="auto"/>
        </w:rPr>
        <w:t>Concentrations of Risk</w:t>
      </w:r>
      <w:r>
        <w:rPr>
          <w:rFonts w:ascii="Arial" w:cs="Arial" w:eastAsia="Arial" w:hAnsi="Arial"/>
          <w:sz w:val="14"/>
          <w:szCs w:val="14"/>
          <w:color w:val="auto"/>
        </w:rPr>
        <w:t>. The Company is subject to certain risk factors, including, but not limited to: governmental and/or regulatory changes, including governmental</w:t>
      </w:r>
      <w:r>
        <w:rPr>
          <w:rFonts w:ascii="Arial" w:cs="Arial" w:eastAsia="Arial" w:hAnsi="Arial"/>
          <w:sz w:val="14"/>
          <w:szCs w:val="14"/>
          <w:b w:val="1"/>
          <w:bCs w:val="1"/>
          <w:color w:val="auto"/>
        </w:rPr>
        <w:t xml:space="preserve"> </w:t>
      </w:r>
      <w:r>
        <w:rPr>
          <w:rFonts w:ascii="Arial" w:cs="Arial" w:eastAsia="Arial" w:hAnsi="Arial"/>
          <w:sz w:val="14"/>
          <w:szCs w:val="14"/>
          <w:color w:val="auto"/>
        </w:rPr>
        <w:t>permitting, or from climate-related matters, or other factors affecting the industries in which the Company operates; changes in customers’ capital spending plans; risks related to market conditions, market uncertainty, including from health outbreaks such as the COVID-19 pandemic and/or economic downturns or other economic factors, including supply chain disruptions, inflationary risk or rising interest rates; risks related to the Company’s acquisitions and strategic investment arrangements, including acquisition integration and financing; availability of qualified employees; risks related to rapid technological changes or customer consolidation; competition; the ability to manage projects effectively and in accordance with management’s estimates; the nature of its contracts, which do not obligate MasTec’s customers to undertake any infrastructure projects and may be canceled on short notice; customer disputes related to the performance of services; seasonality, adverse weather conditions and fluctuations in operational factors; potential exposure to environmental liabilities; exposure from system or information technology interruptions; recoverability of goodwill; collectibility of receivables and resolution of unapproved change orders; the adequacy of our reserves; exposure to litigation; exposure related to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public and private energy providers; wireless and wireline/fiber service providers; broadband operators; install-to-the-home service providers; pipeline operators; civil infrastructure providers; and government entities. The industries served by MasTec’s customers include the communications and utilities industries, including the power industry, among others. In the third quarter of 2021, DIRECTV® was spun off from AT&amp;T. As a result, for customer reporting purposes, AT&amp;T and DIRECTV® are reported separately and all prior periods have been updated to give retroactive effect to the spin off of DIRECTV® from AT&amp;T. The Company had approximately 460 customers for the year ended December 31, 2021. As of December 31, 2021, there were no customers that represented greater than 10% of the Company’s consolidated net accounts receivable position, which represents accounts receivable, net, less deferred revenue. As of December 31, 2020, two customers each accounted for approximately 15% and 12%, respectively, of the Company’s consolidated net accounts receivable position. In addition, the Company derived 54%, 55% and 62%, of its revenue from its top ten customers for the years ended December 31,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Related Party Transactions</w:t>
      </w:r>
    </w:p>
    <w:p>
      <w:pPr>
        <w:spacing w:after="0" w:line="10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years ended December 31, 2021, 2020 and 2019, such payments to related party entities totaled approximately $81.2 million, $80.9 million and $108.0 million, respectively. Payables associated with such arrangements totaled approximately $0.6 million and $8.9 million as of December 31, 2021 and 2020, respectively. Revenue from such related party arrangements totaled approximately $4.2 million, $4.1 million and $2.3 million for the years ended December 31, 2021, 2020 and 2019, respectively. Related amounts receivable, net, totaled approximately $0.4 million and $0.5 million as of December 31, 2021 and 2020, respectively.</w:t>
      </w:r>
    </w:p>
    <w:p>
      <w:pPr>
        <w:spacing w:after="0" w:line="81"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MasTec paid CCI $23.2 million, $6.8 million and $41.7 million, net of rebates for the years ended December 31, 2021, 2020 and 2019, respectively, related to this activity. Amounts payable to CCI, net of rebates receivable, totaled approximately $0.8 million and $4.2 million as of December 31, 2021 and 2020, respectively. The Company has also rented equipment to CCI. Revenue from equipment rentals to CCI totaled approximately $0.1 million and $0.9 million for the years ended December 31, 2021 and 2020, respectively. There were no related receivables as of December 31, 2021, and as of December 31, 2020, related receivables were de minimis.</w:t>
      </w:r>
    </w:p>
    <w:p>
      <w:pPr>
        <w:spacing w:after="0" w:line="66"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2021, 2020 and 2019, MasTec incurred subcontracting expenses of approximately $90.3 million, $1.9 million and $10.3 million, respectively, under these arrangements. As of December 31, 2021 and 2020, related amounts payable totaled approximately $0.5 million and $1.4 million, respectively.</w:t>
      </w:r>
    </w:p>
    <w:p>
      <w:pPr>
        <w:spacing w:after="0" w:line="77"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MasTec has a leasing arrangement for an aircraft that is owned by an entity that Jorge Mas owns. MasTec paid approximately $2.6 million for both the years ended December 31, 2021 and 2020 related to this leasing arrangement, and for the year ended December 31, 2019, paid approximately $2.4 million.</w:t>
      </w:r>
    </w:p>
    <w:p>
      <w:pPr>
        <w:spacing w:after="0" w:line="67"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4"/>
          <w:szCs w:val="14"/>
          <w:color w:val="auto"/>
        </w:rPr>
        <w:t>MasTec performs construction services on behalf of a professional Miami soccer franchise (the “Franchise”) in which Jorge Mas and José R. Mas are minority owners. Services provided by MasTec have included the construction of a soccer facility and stadium as well as wireless infrastructure services. For the year ended December 31, 2021, charges under these arrangements were de minimis, and for the years ended December 31, 2020 and 2019, MasTec charged approximately $7.1 million and $12.6 million, respectively. Related amounts outstanding as of December 31, 2021 and 2020, were de minimis. Payments for other expenses related to the Franchise totaled $0.6 million and $0.3 million for the years ended December 31, 2021 and 2020, respectively, for which there were no amounts outstanding as of either December 31, 2021 or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4" w:name="page85"/>
    <w:bookmarkEnd w:id="84"/>
    <w:p>
      <w:pPr>
        <w:jc w:val="both"/>
        <w:ind w:firstLine="599"/>
        <w:spacing w:after="0" w:line="255" w:lineRule="auto"/>
        <w:rPr>
          <w:sz w:val="20"/>
          <w:szCs w:val="20"/>
          <w:color w:val="auto"/>
        </w:rPr>
      </w:pPr>
      <w:r>
        <w:rPr>
          <w:rFonts w:ascii="Arial" w:cs="Arial" w:eastAsia="Arial" w:hAnsi="Arial"/>
          <w:sz w:val="15"/>
          <w:szCs w:val="15"/>
          <w:color w:val="auto"/>
        </w:rPr>
        <w:t>MasTec leases employees and provides satellite communication services to a customer in which Jorge Mas and José R. Mas own a majority interest. Charges to this customer under these arrangements totaled approximately $1.2 million, $1.3 million and $1.4 million for the years ended December 31, 2021, 2020 and 2019, respectively. As of December 31, 2021 and 2020, related amounts receivable totaled approximately $0.8 million and $0.9 million, respectively.</w:t>
      </w:r>
    </w:p>
    <w:p>
      <w:pPr>
        <w:spacing w:after="0" w:line="74"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color w:val="auto"/>
        </w:rPr>
        <w:t>In connection with one of its 2021 acquisitions, the Company advanced approximately $1.0 million to the former owner of the acquired business, which amount is outstanding as of December 31, 2021. Additionally, a separate 2021 acquisition has investments in certain entities, each of which is 49% owned by the Company, and is accounted for as an equity method investment. The Company has line of credit arrangements with these investees, providing for up to $8.5 million of borrowing availability, of which $0.4 million was drawn as of December 31, 2021, which amount is included within other current assets. In 2018, the Company acquired a construction management firm specializing in steel building systems, of which Juan Carlos Mas was a minority owner at the time of acquisition. During the third quarter of 2021, certain provisions relating to contingent consideration within the purchase agreement were clarified, for which the net impact is expected to be insignificant. For the year ended December 31, 2021, the Company paid $0.8 million of contingent consideration related to this agreement.</w:t>
      </w:r>
    </w:p>
    <w:p>
      <w:pPr>
        <w:spacing w:after="0" w:line="81"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The Company, through a 2020 acquisition, has a 25% interest in an entity, under which the acquired business and the 25% owned entity have a subcontracting arrangement. The Company’s interest in this entity, for which post acquisition operating activity is de minimis, is accounted for as an equity method investment. As of December 31, 2021 and 2020, the Company’s net investment in this entity was a liability of approximately $1.6 million and $2.0 million, respectively, which net amount includes approximately $2.3 million and $1.9 million, respectively,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the years ended December 31, 2021 and 2020, approximately $0.8 million and $0.9 million, respectively, of income and recovery of costs was recognized in connection with these arrangements, and as of both December 31, 2021 and 2020, related amounts receivable totaled $0.4 million. In addition, for the year ended December 31, 2020, the Company advanced $1.2 million on behalf of this entity, which amount was collected as of December 31, 2020.</w:t>
      </w:r>
    </w:p>
    <w:p>
      <w:pPr>
        <w:spacing w:after="0" w:line="71"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One of the Company’s subsidiaries has a subcontracting arrangement with a contractual joint venture in which it holds a 35% undivided interest, for which the related project was complete as of December 31, 2021. Outstanding performance guarantees on behalf of this contractual joint venture totaled Canadian $9.7 million and $26.4 million as of December 31, 2021 and 2020, respectively, or approximately $7.7 million and $20.7 million, respectively.</w:t>
      </w:r>
    </w:p>
    <w:p>
      <w:pPr>
        <w:spacing w:after="0" w:line="74" w:lineRule="exact"/>
        <w:rPr>
          <w:sz w:val="20"/>
          <w:szCs w:val="20"/>
          <w:color w:val="auto"/>
        </w:rPr>
      </w:pPr>
    </w:p>
    <w:p>
      <w:pPr>
        <w:ind w:right="380" w:firstLine="599"/>
        <w:spacing w:after="0" w:line="255" w:lineRule="auto"/>
        <w:rPr>
          <w:sz w:val="20"/>
          <w:szCs w:val="20"/>
          <w:color w:val="auto"/>
        </w:rPr>
      </w:pPr>
      <w:r>
        <w:rPr>
          <w:rFonts w:ascii="Arial" w:cs="Arial" w:eastAsia="Arial" w:hAnsi="Arial"/>
          <w:sz w:val="15"/>
          <w:szCs w:val="15"/>
          <w:color w:val="auto"/>
        </w:rPr>
        <w:t>Non-controlling interests in entities consolidated by the Company represent ownership interests held by members of management of certain of the Company’s subsidiaries, primarily in the Company’s Oil and Gas segment. In 2021, the Company acquired an additional 15% of the non-controlling interests in one of these entities from two members of subsidiary management for $6.8 million in cash.</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Split Dollar Agreements</w:t>
      </w:r>
    </w:p>
    <w:p>
      <w:pPr>
        <w:spacing w:after="0" w:line="102"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color w:val="auto"/>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w:t>
      </w:r>
    </w:p>
    <w:p>
      <w:pPr>
        <w:spacing w:after="0" w:line="71"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5"/>
          <w:szCs w:val="15"/>
          <w:color w:val="auto"/>
        </w:rPr>
        <w:t>The Company paid approximately $1.1 million in each of the years ended December 31, 2021, 2020 and 2019 in connection with the split dollar agreements for Jorge Mas, and paid approximately $0.7 million in each of the years ended December 31, 2021, 2020 and 2019 in connection with the split dollar agreements for José R. Mas. Life insurance assets associated with these agreements, which amounts are included within other long-term assets, totaled approximately $24.0 million and $22.2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5" w:name="page86"/>
    <w:bookmarkEnd w:id="85"/>
    <w:p>
      <w:pPr>
        <w:spacing w:after="0"/>
        <w:tabs>
          <w:tab w:leader="none" w:pos="620" w:val="left"/>
        </w:tabs>
        <w:rPr>
          <w:sz w:val="20"/>
          <w:szCs w:val="20"/>
          <w:color w:val="auto"/>
        </w:rPr>
      </w:pPr>
      <w:r>
        <w:rPr>
          <w:rFonts w:ascii="Arial" w:cs="Arial" w:eastAsia="Arial" w:hAnsi="Arial"/>
          <w:sz w:val="15"/>
          <w:szCs w:val="15"/>
          <w:b w:val="1"/>
          <w:bCs w:val="1"/>
          <w:color w:val="auto"/>
        </w:rPr>
        <w:t>Item 9.</w:t>
        <w:tab/>
        <w:t>CHANGES IN AND DISAGREEMENTS WITH ACCOUNTANTS ON ACCOUNTING AND FINANCIAL DISCLOSURE</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4"/>
          <w:szCs w:val="14"/>
          <w:b w:val="1"/>
          <w:bCs w:val="1"/>
          <w:i w:val="1"/>
          <w:iCs w:val="1"/>
          <w:color w:val="auto"/>
        </w:rPr>
        <w:t xml:space="preserve">Evaluation of Disclosure Controls and Procedures. </w:t>
      </w:r>
      <w:r>
        <w:rPr>
          <w:rFonts w:ascii="Arial" w:cs="Arial" w:eastAsia="Arial" w:hAnsi="Arial"/>
          <w:sz w:val="14"/>
          <w:szCs w:val="14"/>
          <w:color w:val="auto"/>
        </w:rPr>
        <w:t>As of the end of the period covered by this Form 10-K, our management, with the participation of our Chief Executive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December 31, 2021.</w:t>
      </w:r>
    </w:p>
    <w:p>
      <w:pPr>
        <w:spacing w:after="0" w:line="71"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5"/>
          <w:szCs w:val="15"/>
          <w:b w:val="1"/>
          <w:bCs w:val="1"/>
          <w:i w:val="1"/>
          <w:iCs w:val="1"/>
          <w:color w:val="auto"/>
        </w:rPr>
        <w:t xml:space="preserve">Management’s Report on Internal Control Over Financial Reporting. </w:t>
      </w:r>
      <w:r>
        <w:rPr>
          <w:rFonts w:ascii="Arial" w:cs="Arial" w:eastAsia="Arial" w:hAnsi="Arial"/>
          <w:sz w:val="15"/>
          <w:szCs w:val="15"/>
          <w:color w:val="auto"/>
        </w:rPr>
        <w:t>Our management is responsible for establishing and maintaining adequate internal control over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reporting, as such term is defined in Exchange Act Rule 13a-15(f). Management, including our Chief Executive Officer and Chief Financial Officer, evaluated the effectiveness of our internal control over financial reporting as of the end of the period covered by this report. In making its assessment of the effectiveness of internal control, management used the criteria set forth by the Committee of Sponsoring Organizations of the Treadway Commission (“COSO criteria”)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Our internal control over financial reporting is designed to provide reasonable assurance to management and to our Board of Directors regarding the 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81" w:lineRule="exact"/>
        <w:rPr>
          <w:sz w:val="20"/>
          <w:szCs w:val="20"/>
          <w:color w:val="auto"/>
        </w:rPr>
      </w:pPr>
    </w:p>
    <w:p>
      <w:pPr>
        <w:ind w:left="780" w:hanging="181"/>
        <w:spacing w:after="0"/>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our assets;</w:t>
      </w:r>
    </w:p>
    <w:p>
      <w:pPr>
        <w:spacing w:after="0" w:line="102" w:lineRule="exact"/>
        <w:rPr>
          <w:rFonts w:ascii="Arial" w:cs="Arial" w:eastAsia="Arial" w:hAnsi="Arial"/>
          <w:sz w:val="15"/>
          <w:szCs w:val="15"/>
          <w:color w:val="auto"/>
        </w:rPr>
      </w:pPr>
    </w:p>
    <w:p>
      <w:pPr>
        <w:ind w:firstLine="599"/>
        <w:spacing w:after="0" w:line="266" w:lineRule="auto"/>
        <w:tabs>
          <w:tab w:leader="none" w:pos="838"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67" w:lineRule="exact"/>
        <w:rPr>
          <w:rFonts w:ascii="Arial" w:cs="Arial" w:eastAsia="Arial" w:hAnsi="Arial"/>
          <w:sz w:val="15"/>
          <w:szCs w:val="15"/>
          <w:color w:val="auto"/>
        </w:rPr>
      </w:pPr>
    </w:p>
    <w:p>
      <w:pPr>
        <w:ind w:firstLine="599"/>
        <w:spacing w:after="0" w:line="266" w:lineRule="auto"/>
        <w:tabs>
          <w:tab w:leader="none" w:pos="869"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our assets that could have a material effect on the financial statements.</w:t>
      </w:r>
    </w:p>
    <w:p>
      <w:pPr>
        <w:spacing w:after="0" w:line="67" w:lineRule="exact"/>
        <w:rPr>
          <w:sz w:val="20"/>
          <w:szCs w:val="20"/>
          <w:color w:val="auto"/>
        </w:rPr>
      </w:pPr>
    </w:p>
    <w:p>
      <w:pPr>
        <w:jc w:val="both"/>
        <w:ind w:firstLine="599"/>
        <w:spacing w:after="0" w:line="312" w:lineRule="auto"/>
        <w:rPr>
          <w:sz w:val="20"/>
          <w:szCs w:val="20"/>
          <w:color w:val="auto"/>
        </w:rPr>
      </w:pPr>
      <w:r>
        <w:rPr>
          <w:rFonts w:ascii="Arial" w:cs="Arial" w:eastAsia="Arial" w:hAnsi="Arial"/>
          <w:sz w:val="13"/>
          <w:szCs w:val="13"/>
          <w:color w:val="auto"/>
        </w:rPr>
        <w:t>Management’s assessment of the effectiveness of internal control over financial reporting did not include the internal controls over financial reporting of 12 of the 14 entities acquired in 2021. All of these acquisitions are included in the 2021 consolidated financial statements in this Form 10-K. These acquisitions’ total assets constituted approximately 29% of the Company’s total assets as of December 31, 2021 and represented approximately 11% and 4% of the Company’s revenue and net income, respectively, for the year then ended.</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Based on this assessment, management has concluded that our internal control over financial reporting was effective as of December 31, 2021.</w:t>
      </w:r>
    </w:p>
    <w:p>
      <w:pPr>
        <w:spacing w:after="0" w:line="102" w:lineRule="exact"/>
        <w:rPr>
          <w:sz w:val="20"/>
          <w:szCs w:val="20"/>
          <w:color w:val="auto"/>
        </w:rPr>
      </w:pPr>
    </w:p>
    <w:p>
      <w:pPr>
        <w:jc w:val="both"/>
        <w:ind w:firstLine="599"/>
        <w:spacing w:after="0" w:line="255" w:lineRule="auto"/>
        <w:rPr>
          <w:sz w:val="20"/>
          <w:szCs w:val="20"/>
          <w:color w:val="auto"/>
        </w:rPr>
      </w:pPr>
      <w:r>
        <w:rPr>
          <w:rFonts w:ascii="Arial" w:cs="Arial" w:eastAsia="Arial" w:hAnsi="Arial"/>
          <w:sz w:val="15"/>
          <w:szCs w:val="15"/>
          <w:color w:val="auto"/>
        </w:rPr>
        <w:t>BDO USA, LLP, the independent registered public accounting firm which audits our financial statements, has audited our internal control over financial reporting as of December 31, 2021 and has expressed an unqualified opinion thereon as stated in their report that is included in Item 8. “Financial Statements and Supplementary Data,” of this Form 10-K.</w:t>
      </w:r>
    </w:p>
    <w:p>
      <w:pPr>
        <w:spacing w:after="0" w:line="74"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b w:val="1"/>
          <w:bCs w:val="1"/>
          <w:i w:val="1"/>
          <w:iCs w:val="1"/>
          <w:color w:val="auto"/>
        </w:rPr>
        <w:t xml:space="preserve">Changes in Internal Control Over Financial Reporting. </w:t>
      </w:r>
      <w:r>
        <w:rPr>
          <w:rFonts w:ascii="Arial" w:cs="Arial" w:eastAsia="Arial" w:hAnsi="Arial"/>
          <w:sz w:val="15"/>
          <w:szCs w:val="15"/>
          <w:color w:val="auto"/>
        </w:rPr>
        <w:t>There have been no changes in the Company’s internal control over financial reporting during the fourth quarter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MasTec, Inc.</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Coral Gables, Florida</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We have audited MasTec, Inc.’s (the “Company’s”) internal control over financial reporting as of December 31, 2021, based on criteria established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(2013) </w:t>
      </w:r>
      <w:r>
        <w:rPr>
          <w:rFonts w:ascii="Arial" w:cs="Arial" w:eastAsia="Arial" w:hAnsi="Arial"/>
          <w:sz w:val="15"/>
          <w:szCs w:val="15"/>
          <w:color w:val="auto"/>
        </w:rPr>
        <w:t>issued by the Committee of Sponsoring Organizations of the Treadway Commission (the “COSO criteria”). In our opinion, the Company maintained, in all material</w:t>
      </w:r>
      <w:r>
        <w:rPr>
          <w:rFonts w:ascii="Arial" w:cs="Arial" w:eastAsia="Arial" w:hAnsi="Arial"/>
          <w:sz w:val="15"/>
          <w:szCs w:val="15"/>
          <w:i w:val="1"/>
          <w:iCs w:val="1"/>
          <w:color w:val="auto"/>
        </w:rPr>
        <w:t xml:space="preserve"> </w:t>
      </w:r>
      <w:r>
        <w:rPr>
          <w:rFonts w:ascii="Arial" w:cs="Arial" w:eastAsia="Arial" w:hAnsi="Arial"/>
          <w:sz w:val="15"/>
          <w:szCs w:val="15"/>
          <w:color w:val="auto"/>
        </w:rPr>
        <w:t>respects, effective internal control over financial reporting as of December 31, 2021, based on the COSO criteria.</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equity, and cash flows for each of the three years in the period ended December 31, 2021, and the related notes and financial schedule listed in the accompanying index (collectively referred to as the “consolidated financial statements”) and our report dated March 1, 2022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indicated in the accompanying “Item 9A, Management’s Report on Internal Control over Financial Reporting”, management’s assessment of and conclusion on the effectiveness of internal control over financial reporting did not include the internal controls of 12 of the 14 entities acquired in 2021, which are included in the consolidated balance sheet of the Company as of December 31, 2021, and the related consolidated statements of operations, comprehensive income, equity, and cash flows for the year then ended. These entities constituted approximately 29% of total assets as of December 31, 2021, and approximately 11% and 4% of revenues and net income, respectively, for the year then ended. Management did not assess the effectiveness of internal control over financial reporting of these acquired entities because of the timing of their acquisitions. Our audit of internal control over financial reporting of the Company also did not include an evaluation of the internal control over financial reporting of these acquired entities.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jc w:val="both"/>
        <w:spacing w:after="0" w:line="34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 BDO USA, LLP</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7" w:name="page88"/>
    <w:bookmarkEnd w:id="87"/>
    <w:p>
      <w:pPr>
        <w:spacing w:after="0"/>
        <w:tabs>
          <w:tab w:leader="none" w:pos="780" w:val="left"/>
        </w:tabs>
        <w:rPr>
          <w:sz w:val="20"/>
          <w:szCs w:val="20"/>
          <w:color w:val="auto"/>
        </w:rPr>
      </w:pPr>
      <w:r>
        <w:rPr>
          <w:rFonts w:ascii="Arial" w:cs="Arial" w:eastAsia="Arial" w:hAnsi="Arial"/>
          <w:sz w:val="15"/>
          <w:szCs w:val="15"/>
          <w:b w:val="1"/>
          <w:bCs w:val="1"/>
          <w:color w:val="auto"/>
        </w:rPr>
        <w:t>ITEM 9B.</w:t>
        <w:tab/>
        <w:t>OTHER INFORMATION</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9C.</w:t>
        <w:tab/>
        <w:t>DISCLOSURE REGARDING FOREIGN JURISDICTIONS THAT PREVENT INSPECTIONS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48" w:lineRule="exact"/>
        <w:rPr>
          <w:sz w:val="20"/>
          <w:szCs w:val="20"/>
          <w:color w:val="auto"/>
        </w:rPr>
      </w:pPr>
    </w:p>
    <w:p>
      <w:pPr>
        <w:jc w:val="right"/>
        <w:ind w:right="5320"/>
        <w:spacing w:after="0"/>
        <w:rPr>
          <w:sz w:val="20"/>
          <w:szCs w:val="20"/>
          <w:color w:val="auto"/>
        </w:rPr>
      </w:pPr>
      <w:r>
        <w:rPr>
          <w:rFonts w:ascii="Arial" w:cs="Arial" w:eastAsia="Arial" w:hAnsi="Arial"/>
          <w:sz w:val="15"/>
          <w:szCs w:val="15"/>
          <w:b w:val="1"/>
          <w:bCs w:val="1"/>
          <w:color w:val="auto"/>
        </w:rPr>
        <w:t>PART III</w:t>
      </w:r>
    </w:p>
    <w:p>
      <w:pPr>
        <w:spacing w:after="0" w:line="152" w:lineRule="exact"/>
        <w:rPr>
          <w:sz w:val="20"/>
          <w:szCs w:val="20"/>
          <w:color w:val="auto"/>
        </w:rPr>
      </w:pPr>
    </w:p>
    <w:p>
      <w:pPr>
        <w:jc w:val="right"/>
        <w:ind w:right="5360"/>
        <w:spacing w:after="0"/>
        <w:tabs>
          <w:tab w:leader="none" w:pos="1044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06"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5"/>
          <w:szCs w:val="15"/>
          <w:color w:val="auto"/>
        </w:rPr>
        <w:t>Except as set forth below, the information about directors, executive officers and corporate governance required for this item is incorporated by reference from our Proxy Statement to be filed in connection with our 2022 Annual Meeting of Shareholders.</w:t>
      </w:r>
    </w:p>
    <w:p>
      <w:pPr>
        <w:spacing w:after="0" w:line="67" w:lineRule="exact"/>
        <w:rPr>
          <w:sz w:val="20"/>
          <w:szCs w:val="20"/>
          <w:color w:val="auto"/>
        </w:rPr>
      </w:pPr>
    </w:p>
    <w:p>
      <w:pPr>
        <w:jc w:val="both"/>
        <w:ind w:firstLine="599"/>
        <w:spacing w:after="0" w:line="269" w:lineRule="auto"/>
        <w:rPr>
          <w:sz w:val="20"/>
          <w:szCs w:val="20"/>
          <w:color w:val="auto"/>
        </w:rPr>
      </w:pPr>
      <w:r>
        <w:rPr>
          <w:rFonts w:ascii="Arial" w:cs="Arial" w:eastAsia="Arial" w:hAnsi="Arial"/>
          <w:sz w:val="14"/>
          <w:szCs w:val="14"/>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4"/>
          <w:szCs w:val="14"/>
          <w:u w:val="single" w:color="auto"/>
          <w:color w:val="auto"/>
        </w:rPr>
        <w:t>www.mastec.com</w:t>
      </w:r>
      <w:r>
        <w:rPr>
          <w:rFonts w:ascii="Arial" w:cs="Arial" w:eastAsia="Arial" w:hAnsi="Arial"/>
          <w:sz w:val="14"/>
          <w:szCs w:val="14"/>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11.</w:t>
        <w:tab/>
        <w:t>EXECUTIVE COMPENSATION</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information required for this item is incorporated by reference from our Proxy Statement to be filed in connection with our 2022 Annual Meeting of Shareholders.</w:t>
      </w:r>
    </w:p>
    <w:p>
      <w:pPr>
        <w:spacing w:after="0" w:line="259" w:lineRule="exact"/>
        <w:rPr>
          <w:sz w:val="20"/>
          <w:szCs w:val="20"/>
          <w:color w:val="auto"/>
        </w:rPr>
      </w:pPr>
    </w:p>
    <w:p>
      <w:pPr>
        <w:ind w:right="1480"/>
        <w:spacing w:after="0" w:line="384" w:lineRule="auto"/>
        <w:rPr>
          <w:sz w:val="20"/>
          <w:szCs w:val="20"/>
          <w:color w:val="auto"/>
        </w:rPr>
      </w:pPr>
      <w:r>
        <w:rPr>
          <w:rFonts w:ascii="Arial" w:cs="Arial" w:eastAsia="Arial" w:hAnsi="Arial"/>
          <w:sz w:val="15"/>
          <w:szCs w:val="15"/>
          <w:b w:val="1"/>
          <w:bCs w:val="1"/>
          <w:color w:val="auto"/>
        </w:rPr>
        <w:t xml:space="preserve">ITEM 12. SECURITY OWNERSHIP OF CERTAIN BENEFICIAL OWNERS AND MANAGEMENT AND RELATED SHAREHOLDER MATTERS </w:t>
      </w:r>
      <w:r>
        <w:rPr>
          <w:rFonts w:ascii="Arial" w:cs="Arial" w:eastAsia="Arial" w:hAnsi="Arial"/>
          <w:sz w:val="15"/>
          <w:szCs w:val="15"/>
          <w:b w:val="1"/>
          <w:bCs w:val="1"/>
          <w:i w:val="1"/>
          <w:iCs w:val="1"/>
          <w:color w:val="auto"/>
        </w:rPr>
        <w:t>Equity Compensation Plans</w:t>
      </w:r>
    </w:p>
    <w:p>
      <w:pPr>
        <w:spacing w:after="0" w:line="1" w:lineRule="exact"/>
        <w:rPr>
          <w:sz w:val="20"/>
          <w:szCs w:val="20"/>
          <w:color w:val="auto"/>
        </w:rPr>
      </w:pPr>
    </w:p>
    <w:p>
      <w:pPr>
        <w:ind w:firstLine="599"/>
        <w:spacing w:after="0" w:line="266" w:lineRule="auto"/>
        <w:rPr>
          <w:sz w:val="20"/>
          <w:szCs w:val="20"/>
          <w:color w:val="auto"/>
        </w:rPr>
      </w:pPr>
      <w:r>
        <w:rPr>
          <w:rFonts w:ascii="Arial" w:cs="Arial" w:eastAsia="Arial" w:hAnsi="Arial"/>
          <w:sz w:val="15"/>
          <w:szCs w:val="15"/>
          <w:color w:val="auto"/>
        </w:rPr>
        <w:t>The following table sets forth information about our common stock that may be issued under all of our equity compensation plans as of December 31, 2021, which included: the 2013 Incentive Plan; the 2011 ESPP; and the 2013 Bargaining Units ESPP.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(c)</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520" w:type="dxa"/>
            <w:vAlign w:val="bottom"/>
            <w:gridSpan w:val="3"/>
            <w:vMerge w:val="restart"/>
          </w:tcPr>
          <w:p>
            <w:pPr>
              <w:jc w:val="center"/>
              <w:ind w:right="340"/>
              <w:spacing w:after="0"/>
              <w:rPr>
                <w:sz w:val="20"/>
                <w:szCs w:val="20"/>
                <w:color w:val="auto"/>
              </w:rPr>
            </w:pPr>
            <w:r>
              <w:rPr>
                <w:rFonts w:ascii="Arial" w:cs="Arial" w:eastAsia="Arial" w:hAnsi="Arial"/>
                <w:sz w:val="15"/>
                <w:szCs w:val="15"/>
                <w:b w:val="1"/>
                <w:bCs w:val="1"/>
                <w:color w:val="auto"/>
                <w:w w:val="97"/>
              </w:rPr>
              <w:t>(a)</w:t>
            </w: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80" w:type="dxa"/>
            <w:vAlign w:val="bottom"/>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w w:val="90"/>
              </w:rPr>
              <w:t>Number of Securities</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520" w:type="dxa"/>
            <w:vAlign w:val="bottom"/>
            <w:gridSpan w:val="3"/>
            <w:vMerge w:val="continue"/>
          </w:tcPr>
          <w:p>
            <w:pPr>
              <w:spacing w:after="0"/>
              <w:rPr>
                <w:sz w:val="13"/>
                <w:szCs w:val="13"/>
                <w:color w:val="auto"/>
              </w:rPr>
            </w:pPr>
          </w:p>
        </w:tc>
        <w:tc>
          <w:tcPr>
            <w:tcW w:w="248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w w:val="93"/>
              </w:rPr>
              <w:t>(b)</w:t>
            </w:r>
          </w:p>
        </w:tc>
        <w:tc>
          <w:tcPr>
            <w:tcW w:w="2380" w:type="dxa"/>
            <w:vAlign w:val="bottom"/>
            <w:gridSpan w:val="2"/>
          </w:tcPr>
          <w:p>
            <w:pPr>
              <w:jc w:val="center"/>
              <w:ind w:right="280"/>
              <w:spacing w:after="0" w:line="150" w:lineRule="exact"/>
              <w:rPr>
                <w:sz w:val="20"/>
                <w:szCs w:val="20"/>
                <w:color w:val="auto"/>
              </w:rPr>
            </w:pPr>
            <w:r>
              <w:rPr>
                <w:rFonts w:ascii="Arial" w:cs="Arial" w:eastAsia="Arial" w:hAnsi="Arial"/>
                <w:sz w:val="15"/>
                <w:szCs w:val="15"/>
                <w:b w:val="1"/>
                <w:bCs w:val="1"/>
                <w:color w:val="auto"/>
                <w:w w:val="91"/>
              </w:rPr>
              <w:t>Remaining Available for Future</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520" w:type="dxa"/>
            <w:vAlign w:val="bottom"/>
            <w:gridSpan w:val="3"/>
          </w:tcPr>
          <w:p>
            <w:pPr>
              <w:jc w:val="center"/>
              <w:ind w:right="360"/>
              <w:spacing w:after="0" w:line="150" w:lineRule="exact"/>
              <w:rPr>
                <w:sz w:val="20"/>
                <w:szCs w:val="20"/>
                <w:color w:val="auto"/>
              </w:rPr>
            </w:pPr>
            <w:r>
              <w:rPr>
                <w:rFonts w:ascii="Arial" w:cs="Arial" w:eastAsia="Arial" w:hAnsi="Arial"/>
                <w:sz w:val="15"/>
                <w:szCs w:val="15"/>
                <w:b w:val="1"/>
                <w:bCs w:val="1"/>
                <w:color w:val="auto"/>
                <w:w w:val="89"/>
              </w:rPr>
              <w:t>Number of Securities to</w:t>
            </w:r>
          </w:p>
        </w:tc>
        <w:tc>
          <w:tcPr>
            <w:tcW w:w="2480" w:type="dxa"/>
            <w:vAlign w:val="bottom"/>
            <w:gridSpan w:val="2"/>
            <w:vMerge w:val="continue"/>
          </w:tcPr>
          <w:p>
            <w:pPr>
              <w:spacing w:after="0"/>
              <w:rPr>
                <w:sz w:val="13"/>
                <w:szCs w:val="13"/>
                <w:color w:val="auto"/>
              </w:rPr>
            </w:pPr>
          </w:p>
        </w:tc>
        <w:tc>
          <w:tcPr>
            <w:tcW w:w="2380" w:type="dxa"/>
            <w:vAlign w:val="bottom"/>
            <w:gridSpan w:val="2"/>
          </w:tcPr>
          <w:p>
            <w:pPr>
              <w:jc w:val="center"/>
              <w:ind w:right="280"/>
              <w:spacing w:after="0" w:line="150" w:lineRule="exact"/>
              <w:rPr>
                <w:sz w:val="20"/>
                <w:szCs w:val="20"/>
                <w:color w:val="auto"/>
              </w:rPr>
            </w:pPr>
            <w:r>
              <w:rPr>
                <w:rFonts w:ascii="Arial" w:cs="Arial" w:eastAsia="Arial" w:hAnsi="Arial"/>
                <w:sz w:val="15"/>
                <w:szCs w:val="15"/>
                <w:b w:val="1"/>
                <w:bCs w:val="1"/>
                <w:color w:val="auto"/>
                <w:w w:val="90"/>
              </w:rPr>
              <w:t>Issuance Under Equity</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520" w:type="dxa"/>
            <w:vAlign w:val="bottom"/>
            <w:gridSpan w:val="3"/>
          </w:tcPr>
          <w:p>
            <w:pPr>
              <w:jc w:val="center"/>
              <w:ind w:right="360"/>
              <w:spacing w:after="0" w:line="150" w:lineRule="exact"/>
              <w:rPr>
                <w:sz w:val="20"/>
                <w:szCs w:val="20"/>
                <w:color w:val="auto"/>
              </w:rPr>
            </w:pPr>
            <w:r>
              <w:rPr>
                <w:rFonts w:ascii="Arial" w:cs="Arial" w:eastAsia="Arial" w:hAnsi="Arial"/>
                <w:sz w:val="15"/>
                <w:szCs w:val="15"/>
                <w:b w:val="1"/>
                <w:bCs w:val="1"/>
                <w:color w:val="auto"/>
                <w:w w:val="87"/>
              </w:rPr>
              <w:t>be Issued Upon Exercise of</w:t>
            </w:r>
          </w:p>
        </w:tc>
        <w:tc>
          <w:tcPr>
            <w:tcW w:w="2480" w:type="dxa"/>
            <w:vAlign w:val="bottom"/>
            <w:gridSpan w:val="2"/>
          </w:tcPr>
          <w:p>
            <w:pPr>
              <w:jc w:val="center"/>
              <w:ind w:right="380"/>
              <w:spacing w:after="0" w:line="150" w:lineRule="exact"/>
              <w:rPr>
                <w:sz w:val="20"/>
                <w:szCs w:val="20"/>
                <w:color w:val="auto"/>
              </w:rPr>
            </w:pPr>
            <w:r>
              <w:rPr>
                <w:rFonts w:ascii="Arial" w:cs="Arial" w:eastAsia="Arial" w:hAnsi="Arial"/>
                <w:sz w:val="15"/>
                <w:szCs w:val="15"/>
                <w:b w:val="1"/>
                <w:bCs w:val="1"/>
                <w:color w:val="auto"/>
                <w:w w:val="88"/>
              </w:rPr>
              <w:t>Weighted Average Exercise</w:t>
            </w:r>
          </w:p>
        </w:tc>
        <w:tc>
          <w:tcPr>
            <w:tcW w:w="2380" w:type="dxa"/>
            <w:vAlign w:val="bottom"/>
            <w:gridSpan w:val="2"/>
          </w:tcPr>
          <w:p>
            <w:pPr>
              <w:jc w:val="center"/>
              <w:ind w:right="280"/>
              <w:spacing w:after="0" w:line="150" w:lineRule="exact"/>
              <w:rPr>
                <w:sz w:val="20"/>
                <w:szCs w:val="20"/>
                <w:color w:val="auto"/>
              </w:rPr>
            </w:pPr>
            <w:r>
              <w:rPr>
                <w:rFonts w:ascii="Arial" w:cs="Arial" w:eastAsia="Arial" w:hAnsi="Arial"/>
                <w:sz w:val="15"/>
                <w:szCs w:val="15"/>
                <w:b w:val="1"/>
                <w:bCs w:val="1"/>
                <w:color w:val="auto"/>
                <w:w w:val="89"/>
              </w:rPr>
              <w:t>Compensation Plans (Excluding</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2520" w:type="dxa"/>
            <w:vAlign w:val="bottom"/>
            <w:gridSpan w:val="3"/>
          </w:tcPr>
          <w:p>
            <w:pPr>
              <w:jc w:val="center"/>
              <w:ind w:right="360"/>
              <w:spacing w:after="0" w:line="150" w:lineRule="exact"/>
              <w:rPr>
                <w:sz w:val="20"/>
                <w:szCs w:val="20"/>
                <w:color w:val="auto"/>
              </w:rPr>
            </w:pPr>
            <w:r>
              <w:rPr>
                <w:rFonts w:ascii="Arial" w:cs="Arial" w:eastAsia="Arial" w:hAnsi="Arial"/>
                <w:sz w:val="15"/>
                <w:szCs w:val="15"/>
                <w:b w:val="1"/>
                <w:bCs w:val="1"/>
                <w:color w:val="auto"/>
                <w:w w:val="91"/>
              </w:rPr>
              <w:t>Outstanding Options, Warrants</w:t>
            </w:r>
          </w:p>
        </w:tc>
        <w:tc>
          <w:tcPr>
            <w:tcW w:w="2480" w:type="dxa"/>
            <w:vAlign w:val="bottom"/>
            <w:gridSpan w:val="2"/>
          </w:tcPr>
          <w:p>
            <w:pPr>
              <w:jc w:val="center"/>
              <w:ind w:right="360"/>
              <w:spacing w:after="0" w:line="150" w:lineRule="exact"/>
              <w:rPr>
                <w:sz w:val="20"/>
                <w:szCs w:val="20"/>
                <w:color w:val="auto"/>
              </w:rPr>
            </w:pPr>
            <w:r>
              <w:rPr>
                <w:rFonts w:ascii="Arial" w:cs="Arial" w:eastAsia="Arial" w:hAnsi="Arial"/>
                <w:sz w:val="15"/>
                <w:szCs w:val="15"/>
                <w:b w:val="1"/>
                <w:bCs w:val="1"/>
                <w:color w:val="auto"/>
                <w:w w:val="90"/>
              </w:rPr>
              <w:t>Price of Outstanding Options,</w:t>
            </w:r>
          </w:p>
        </w:tc>
        <w:tc>
          <w:tcPr>
            <w:tcW w:w="2380" w:type="dxa"/>
            <w:vAlign w:val="bottom"/>
            <w:gridSpan w:val="2"/>
          </w:tcPr>
          <w:p>
            <w:pPr>
              <w:jc w:val="center"/>
              <w:ind w:right="280"/>
              <w:spacing w:after="0" w:line="150" w:lineRule="exact"/>
              <w:rPr>
                <w:sz w:val="20"/>
                <w:szCs w:val="20"/>
                <w:color w:val="auto"/>
              </w:rPr>
            </w:pPr>
            <w:r>
              <w:rPr>
                <w:rFonts w:ascii="Arial" w:cs="Arial" w:eastAsia="Arial" w:hAnsi="Arial"/>
                <w:sz w:val="15"/>
                <w:szCs w:val="15"/>
                <w:b w:val="1"/>
                <w:bCs w:val="1"/>
                <w:color w:val="auto"/>
                <w:w w:val="89"/>
              </w:rPr>
              <w:t>Securities Reflected in Column</w:t>
            </w:r>
          </w:p>
        </w:tc>
        <w:tc>
          <w:tcPr>
            <w:tcW w:w="0" w:type="dxa"/>
            <w:vAlign w:val="bottom"/>
          </w:tcPr>
          <w:p>
            <w:pPr>
              <w:spacing w:after="0"/>
              <w:rPr>
                <w:sz w:val="1"/>
                <w:szCs w:val="1"/>
                <w:color w:val="auto"/>
              </w:rPr>
            </w:pPr>
          </w:p>
        </w:tc>
      </w:tr>
      <w:tr>
        <w:trPr>
          <w:trHeight w:val="22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Plan Category</w:t>
            </w: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and Rights</w:t>
            </w:r>
          </w:p>
        </w:tc>
        <w:tc>
          <w:tcPr>
            <w:tcW w:w="36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Warrants and Rights</w:t>
            </w:r>
          </w:p>
        </w:tc>
        <w:tc>
          <w:tcPr>
            <w:tcW w:w="3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compensation plans approved by security holders</w:t>
            </w:r>
          </w:p>
        </w:tc>
        <w:tc>
          <w:tcPr>
            <w:tcW w:w="2520" w:type="dxa"/>
            <w:vAlign w:val="bottom"/>
            <w:gridSpan w:val="3"/>
            <w:shd w:val="clear" w:color="auto" w:fill="CCEEFF"/>
          </w:tcPr>
          <w:p>
            <w:pPr>
              <w:ind w:left="1780"/>
              <w:spacing w:after="0"/>
              <w:rPr>
                <w:sz w:val="20"/>
                <w:szCs w:val="20"/>
                <w:color w:val="auto"/>
              </w:rPr>
            </w:pPr>
            <w:r>
              <w:rPr>
                <w:rFonts w:ascii="Arial" w:cs="Arial" w:eastAsia="Arial" w:hAnsi="Arial"/>
                <w:sz w:val="15"/>
                <w:szCs w:val="15"/>
                <w:color w:val="auto"/>
              </w:rPr>
              <w:t>N/A</w:t>
            </w:r>
          </w:p>
        </w:tc>
        <w:tc>
          <w:tcPr>
            <w:tcW w:w="2480" w:type="dxa"/>
            <w:vAlign w:val="bottom"/>
            <w:gridSpan w:val="2"/>
            <w:shd w:val="clear" w:color="auto" w:fill="CCEEFF"/>
          </w:tcPr>
          <w:p>
            <w:pPr>
              <w:ind w:left="1740"/>
              <w:spacing w:after="0"/>
              <w:rPr>
                <w:sz w:val="20"/>
                <w:szCs w:val="20"/>
                <w:color w:val="auto"/>
              </w:rPr>
            </w:pPr>
            <w:r>
              <w:rPr>
                <w:rFonts w:ascii="Arial" w:cs="Arial" w:eastAsia="Arial" w:hAnsi="Arial"/>
                <w:sz w:val="15"/>
                <w:szCs w:val="15"/>
                <w:color w:val="auto"/>
              </w:rPr>
              <w:t>N/A</w:t>
            </w:r>
          </w:p>
        </w:tc>
        <w:tc>
          <w:tcPr>
            <w:tcW w:w="2380" w:type="dxa"/>
            <w:vAlign w:val="bottom"/>
            <w:gridSpan w:val="2"/>
            <w:shd w:val="clear" w:color="auto" w:fill="CCEEFF"/>
          </w:tcPr>
          <w:p>
            <w:pPr>
              <w:ind w:left="1440"/>
              <w:spacing w:after="0"/>
              <w:rPr>
                <w:sz w:val="20"/>
                <w:szCs w:val="20"/>
                <w:color w:val="auto"/>
              </w:rPr>
            </w:pPr>
            <w:r>
              <w:rPr>
                <w:rFonts w:ascii="Arial" w:cs="Arial" w:eastAsia="Arial" w:hAnsi="Arial"/>
                <w:sz w:val="15"/>
                <w:szCs w:val="15"/>
                <w:color w:val="auto"/>
              </w:rPr>
              <w:t xml:space="preserve">3,525,009 </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w w:val="95"/>
              </w:rPr>
              <w:t>Equity compensation plans not approved by security holders</w:t>
            </w:r>
          </w:p>
        </w:tc>
        <w:tc>
          <w:tcPr>
            <w:tcW w:w="2060" w:type="dxa"/>
            <w:vAlign w:val="bottom"/>
            <w:tcBorders>
              <w:bottom w:val="single" w:sz="8" w:color="auto"/>
            </w:tcBorders>
          </w:tcPr>
          <w:p>
            <w:pPr>
              <w:ind w:left="1780"/>
              <w:spacing w:after="0"/>
              <w:rPr>
                <w:sz w:val="20"/>
                <w:szCs w:val="20"/>
                <w:color w:val="auto"/>
              </w:rPr>
            </w:pPr>
            <w:r>
              <w:rPr>
                <w:rFonts w:ascii="Arial" w:cs="Arial" w:eastAsia="Arial" w:hAnsi="Arial"/>
                <w:sz w:val="15"/>
                <w:szCs w:val="15"/>
                <w:color w:val="auto"/>
              </w:rPr>
              <w:t>N/A</w:t>
            </w:r>
          </w:p>
        </w:tc>
        <w:tc>
          <w:tcPr>
            <w:tcW w:w="460" w:type="dxa"/>
            <w:vAlign w:val="bottom"/>
            <w:tcBorders>
              <w:bottom w:val="single" w:sz="8" w:color="CCEEFF"/>
            </w:tcBorders>
            <w:gridSpan w:val="2"/>
          </w:tcPr>
          <w:p>
            <w:pPr>
              <w:spacing w:after="0"/>
              <w:rPr>
                <w:sz w:val="17"/>
                <w:szCs w:val="17"/>
                <w:color w:val="auto"/>
              </w:rPr>
            </w:pPr>
          </w:p>
        </w:tc>
        <w:tc>
          <w:tcPr>
            <w:tcW w:w="2480" w:type="dxa"/>
            <w:vAlign w:val="bottom"/>
            <w:tcBorders>
              <w:bottom w:val="single" w:sz="8" w:color="CCEEFF"/>
            </w:tcBorders>
            <w:gridSpan w:val="2"/>
          </w:tcPr>
          <w:p>
            <w:pPr>
              <w:ind w:left="1740"/>
              <w:spacing w:after="0"/>
              <w:rPr>
                <w:sz w:val="20"/>
                <w:szCs w:val="20"/>
                <w:color w:val="auto"/>
              </w:rPr>
            </w:pPr>
            <w:r>
              <w:rPr>
                <w:rFonts w:ascii="Arial" w:cs="Arial" w:eastAsia="Arial" w:hAnsi="Arial"/>
                <w:sz w:val="15"/>
                <w:szCs w:val="15"/>
                <w:color w:val="auto"/>
              </w:rPr>
              <w:t>N/A</w:t>
            </w:r>
          </w:p>
        </w:tc>
        <w:tc>
          <w:tcPr>
            <w:tcW w:w="2100" w:type="dxa"/>
            <w:vAlign w:val="bottom"/>
            <w:tcBorders>
              <w:bottom w:val="single" w:sz="8" w:color="auto"/>
            </w:tcBorders>
          </w:tcPr>
          <w:p>
            <w:pPr>
              <w:ind w:left="1820"/>
              <w:spacing w:after="0"/>
              <w:rPr>
                <w:sz w:val="20"/>
                <w:szCs w:val="20"/>
                <w:color w:val="auto"/>
              </w:rPr>
            </w:pPr>
            <w:r>
              <w:rPr>
                <w:rFonts w:ascii="Arial" w:cs="Arial" w:eastAsia="Arial" w:hAnsi="Arial"/>
                <w:sz w:val="15"/>
                <w:szCs w:val="15"/>
                <w:color w:val="auto"/>
              </w:rPr>
              <w:t>N/A</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6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5"/>
                <w:szCs w:val="15"/>
                <w:color w:val="auto"/>
              </w:rPr>
              <w:t>N/A</w:t>
            </w:r>
          </w:p>
        </w:tc>
        <w:tc>
          <w:tcPr>
            <w:tcW w:w="4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5"/>
                <w:szCs w:val="15"/>
                <w:color w:val="auto"/>
                <w:w w:val="95"/>
              </w:rPr>
              <w:t>3,525,009</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00" w:right="360" w:hanging="300"/>
        <w:spacing w:after="0" w:line="271" w:lineRule="auto"/>
        <w:tabs>
          <w:tab w:leader="none" w:pos="293" w:val="left"/>
        </w:tabs>
        <w:numPr>
          <w:ilvl w:val="0"/>
          <w:numId w:val="26"/>
        </w:numPr>
        <w:rPr>
          <w:rFonts w:ascii="Arial" w:cs="Arial" w:eastAsia="Arial" w:hAnsi="Arial"/>
          <w:sz w:val="13"/>
          <w:szCs w:val="13"/>
          <w:color w:val="auto"/>
        </w:rPr>
      </w:pPr>
      <w:r>
        <w:rPr>
          <w:rFonts w:ascii="Arial" w:cs="Arial" w:eastAsia="Arial" w:hAnsi="Arial"/>
          <w:sz w:val="13"/>
          <w:szCs w:val="13"/>
          <w:color w:val="auto"/>
        </w:rPr>
        <w:t>Under the 2013 Incentive Plan, 2,074,032 shares were available for issuance as of December 31, 2021. Under the 2011 ESPP and 2013 Bargaining Units ESPP, 517,606 shares and 933,371 shares, respectively, were available for issuance as of December 31, 2021.</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other information required by this item is incorporated by reference from our Proxy Statement to be filed in connection with our 2022 Annual Meeting of Shareholders.</w:t>
      </w:r>
    </w:p>
    <w:p>
      <w:pPr>
        <w:spacing w:after="0" w:line="259"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information required for this item is incorporated by reference from our Proxy Statement to be filed in connection with our 2022 Annual Meeting of Shareholders.</w:t>
      </w:r>
    </w:p>
    <w:p>
      <w:pPr>
        <w:spacing w:after="0" w:line="259"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information required for this item is incorporated by reference from our Proxy Statement to be filed in connection with our 2022 Annual Meeting of Shareholders.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IV</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spacing w:after="0"/>
        <w:tabs>
          <w:tab w:leader="none" w:pos="760" w:val="left"/>
        </w:tabs>
        <w:rPr>
          <w:sz w:val="20"/>
          <w:szCs w:val="20"/>
          <w:color w:val="auto"/>
        </w:rPr>
      </w:pPr>
      <w:r>
        <w:rPr>
          <w:rFonts w:ascii="Arial" w:cs="Arial" w:eastAsia="Arial" w:hAnsi="Arial"/>
          <w:sz w:val="15"/>
          <w:szCs w:val="15"/>
          <w:b w:val="1"/>
          <w:bCs w:val="1"/>
          <w:color w:val="auto"/>
        </w:rPr>
        <w:t>ITEM 15.</w:t>
        <w:tab/>
        <w:t>EXHIBITS AND FINANCIAL STATEMENT SCHEDULES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financial statements, schedules and exhibits are filed as part of this Form 10-K:</w:t>
      </w:r>
    </w:p>
    <w:p>
      <w:pPr>
        <w:spacing w:after="0" w:line="102" w:lineRule="exact"/>
        <w:rPr>
          <w:sz w:val="20"/>
          <w:szCs w:val="20"/>
          <w:color w:val="auto"/>
        </w:rPr>
      </w:pPr>
    </w:p>
    <w:p>
      <w:pPr>
        <w:ind w:left="920" w:hanging="321"/>
        <w:spacing w:after="0"/>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Financial Statements</w:t>
      </w:r>
      <w:r>
        <w:rPr>
          <w:rFonts w:ascii="Arial" w:cs="Arial" w:eastAsia="Arial" w:hAnsi="Arial"/>
          <w:sz w:val="13"/>
          <w:szCs w:val="13"/>
          <w:color w:val="auto"/>
        </w:rPr>
        <w:t xml:space="preserve"> – the consolidated financial statements and the reports of the Independent Registered Public Accounting firms are listed on pages 44 through 83.</w:t>
      </w:r>
    </w:p>
    <w:p>
      <w:pPr>
        <w:spacing w:after="0" w:line="62" w:lineRule="exact"/>
        <w:rPr>
          <w:rFonts w:ascii="Arial" w:cs="Arial" w:eastAsia="Arial" w:hAnsi="Arial"/>
          <w:sz w:val="13"/>
          <w:szCs w:val="13"/>
          <w:color w:val="auto"/>
        </w:rPr>
      </w:pPr>
    </w:p>
    <w:p>
      <w:pPr>
        <w:ind w:left="1160" w:hanging="261"/>
        <w:spacing w:after="0"/>
        <w:tabs>
          <w:tab w:leader="none" w:pos="1160" w:val="left"/>
        </w:tabs>
        <w:numPr>
          <w:ilvl w:val="1"/>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 Schedules </w:t>
      </w:r>
      <w:r>
        <w:rPr>
          <w:rFonts w:ascii="Arial" w:cs="Arial" w:eastAsia="Arial" w:hAnsi="Arial"/>
          <w:sz w:val="15"/>
          <w:szCs w:val="15"/>
          <w:color w:val="auto"/>
        </w:rPr>
        <w:t>– Schedule II - Valuation and Qualifying Accounts.</w:t>
      </w:r>
    </w:p>
    <w:p>
      <w:pPr>
        <w:spacing w:after="0" w:line="27" w:lineRule="exact"/>
        <w:rPr>
          <w:rFonts w:ascii="Arial" w:cs="Arial" w:eastAsia="Arial" w:hAnsi="Arial"/>
          <w:sz w:val="15"/>
          <w:szCs w:val="15"/>
          <w:color w:val="auto"/>
        </w:rPr>
      </w:pPr>
    </w:p>
    <w:p>
      <w:pPr>
        <w:ind w:left="1160" w:hanging="261"/>
        <w:spacing w:after="0"/>
        <w:tabs>
          <w:tab w:leader="none" w:pos="11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 xml:space="preserve">Exhibits </w:t>
      </w:r>
      <w:r>
        <w:rPr>
          <w:rFonts w:ascii="Arial" w:cs="Arial" w:eastAsia="Arial" w:hAnsi="Arial"/>
          <w:sz w:val="15"/>
          <w:szCs w:val="15"/>
          <w:i w:val="1"/>
          <w:iCs w:val="1"/>
          <w:color w:val="auto"/>
        </w:rPr>
        <w:t>including those incorporated by reference</w:t>
      </w:r>
      <w:r>
        <w:rPr>
          <w:rFonts w:ascii="Arial" w:cs="Arial" w:eastAsia="Arial" w:hAnsi="Arial"/>
          <w:sz w:val="15"/>
          <w:szCs w:val="15"/>
          <w:color w:val="auto"/>
        </w:rPr>
        <w:t xml:space="preserve"> – The Exhibit Index below contains a list of exhibits filed or furnished with this Form 10-K.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2"/>
              </w:rPr>
              <w:t>Exhibit Index</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80"/>
        </w:trPr>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Exhibits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2"/>
              </w:rPr>
              <w:t>Description (1)</w:t>
            </w:r>
          </w:p>
        </w:tc>
        <w:tc>
          <w:tcPr>
            <w:tcW w:w="9360" w:type="dxa"/>
            <w:vAlign w:val="bottom"/>
            <w:gridSpan w:val="28"/>
          </w:tcPr>
          <w:p>
            <w:pPr>
              <w:spacing w:after="0"/>
              <w:rPr>
                <w:sz w:val="24"/>
                <w:szCs w:val="24"/>
                <w:color w:val="auto"/>
              </w:rPr>
            </w:pPr>
          </w:p>
        </w:tc>
      </w:tr>
      <w:tr>
        <w:trPr>
          <w:trHeight w:val="180"/>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3.1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rPr>
                <w:rFonts w:ascii="Arial" w:cs="Arial" w:eastAsia="Arial" w:hAnsi="Arial"/>
                <w:sz w:val="15"/>
                <w:szCs w:val="15"/>
                <w:color w:val="0000FF"/>
              </w:rPr>
            </w:pPr>
            <w:hyperlink r:id="rId111">
              <w:r>
                <w:rPr>
                  <w:rFonts w:ascii="Arial" w:cs="Arial" w:eastAsia="Arial" w:hAnsi="Arial"/>
                  <w:sz w:val="15"/>
                  <w:szCs w:val="15"/>
                  <w:color w:val="0000FF"/>
                </w:rPr>
                <w:t>Composite Articles of Incorporation of MasTec, Inc.</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3.1 to our Annual Report on Form 10-K filed with the SEC on February 25,</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auto"/>
              </w:rPr>
              <w:t>2010 and incorporated by reference herein.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3.2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2">
              <w:r>
                <w:rPr>
                  <w:rFonts w:ascii="Arial" w:cs="Arial" w:eastAsia="Arial" w:hAnsi="Arial"/>
                  <w:sz w:val="15"/>
                  <w:szCs w:val="15"/>
                  <w:color w:val="0000FF"/>
                </w:rPr>
                <w:t>Amended and Restated By-laws of MasTec, Inc., amended and restated as of January 22, 2010</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3.1 to our Current Report on Form</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00" w:type="dxa"/>
            <w:vAlign w:val="bottom"/>
            <w:tcBorders>
              <w:top w:val="single" w:sz="8" w:color="0000FF"/>
            </w:tcBorders>
            <w:gridSpan w:val="14"/>
          </w:tcPr>
          <w:p>
            <w:pPr>
              <w:spacing w:after="0"/>
              <w:rPr>
                <w:sz w:val="20"/>
                <w:szCs w:val="20"/>
                <w:color w:val="auto"/>
              </w:rPr>
            </w:pPr>
            <w:r>
              <w:rPr>
                <w:rFonts w:ascii="Arial" w:cs="Arial" w:eastAsia="Arial" w:hAnsi="Arial"/>
                <w:sz w:val="15"/>
                <w:szCs w:val="15"/>
                <w:color w:val="auto"/>
              </w:rPr>
              <w:t>8-K filed with the SEC on January 28, 2010 and incorporated by reference herein.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4.1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3">
              <w:r>
                <w:rPr>
                  <w:rFonts w:ascii="Arial" w:cs="Arial" w:eastAsia="Arial" w:hAnsi="Arial"/>
                  <w:sz w:val="15"/>
                  <w:szCs w:val="15"/>
                  <w:color w:val="0000FF"/>
                </w:rPr>
                <w:t>Indenture, dated June 5, 2009, by and among MasTec, Inc., MasTec Inc.’s subsidiaries party thereto, as guarantors, and U.S. Bank National</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0" w:type="dxa"/>
            <w:vAlign w:val="bottom"/>
            <w:tcBorders>
              <w:top w:val="single" w:sz="8" w:color="0000FF"/>
            </w:tcBorders>
            <w:gridSpan w:val="24"/>
          </w:tcPr>
          <w:p>
            <w:pPr>
              <w:spacing w:after="0" w:line="130" w:lineRule="exact"/>
              <w:rPr>
                <w:rFonts w:ascii="Arial" w:cs="Arial" w:eastAsia="Arial" w:hAnsi="Arial"/>
                <w:sz w:val="15"/>
                <w:szCs w:val="15"/>
                <w:color w:val="0000FF"/>
                <w:w w:val="92"/>
              </w:rPr>
            </w:pPr>
            <w:hyperlink r:id="rId113">
              <w:r>
                <w:rPr>
                  <w:rFonts w:ascii="Arial" w:cs="Arial" w:eastAsia="Arial" w:hAnsi="Arial"/>
                  <w:sz w:val="15"/>
                  <w:szCs w:val="15"/>
                  <w:color w:val="0000FF"/>
                  <w:w w:val="92"/>
                </w:rPr>
                <w:t>Association, as trustee</w:t>
              </w:r>
              <w:r>
                <w:rPr>
                  <w:rFonts w:ascii="Arial" w:cs="Arial" w:eastAsia="Arial" w:hAnsi="Arial"/>
                  <w:sz w:val="15"/>
                  <w:szCs w:val="15"/>
                  <w:color w:val="000000"/>
                  <w:w w:val="92"/>
                </w:rPr>
                <w:t>, filed as Exhibit 4.2 to our Current Report on Form 8-K filed with the SEC on June 5, 2009 and incorporated by reference</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0000FF"/>
            </w:tcBorders>
            <w:gridSpan w:val="4"/>
          </w:tcPr>
          <w:p>
            <w:pPr>
              <w:spacing w:after="0"/>
              <w:rPr>
                <w:sz w:val="20"/>
                <w:szCs w:val="20"/>
                <w:color w:val="auto"/>
              </w:rPr>
            </w:pPr>
            <w:r>
              <w:rPr>
                <w:rFonts w:ascii="Arial" w:cs="Arial" w:eastAsia="Arial" w:hAnsi="Arial"/>
                <w:sz w:val="15"/>
                <w:szCs w:val="15"/>
                <w:color w:val="auto"/>
              </w:rPr>
              <w:t>herein.</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4.2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4">
              <w:r>
                <w:rPr>
                  <w:rFonts w:ascii="Arial" w:cs="Arial" w:eastAsia="Arial" w:hAnsi="Arial"/>
                  <w:sz w:val="15"/>
                  <w:szCs w:val="15"/>
                  <w:color w:val="0000FF"/>
                </w:rPr>
                <w:t>Form of 4.50% Senior Note due 2028</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incorporated by reference to Exhibit A of Exhibit 4.3 and filed as Exhibit 4.1 to our Current Report on Form</w:t>
            </w:r>
          </w:p>
        </w:tc>
      </w:tr>
      <w:tr>
        <w:trPr>
          <w:trHeight w:val="182"/>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auto"/>
                <w:w w:val="95"/>
              </w:rPr>
              <w:t>8-K filed with the SEC on August 4,</w:t>
            </w:r>
          </w:p>
        </w:tc>
        <w:tc>
          <w:tcPr>
            <w:tcW w:w="1500" w:type="dxa"/>
            <w:vAlign w:val="bottom"/>
            <w:gridSpan w:val="2"/>
          </w:tcPr>
          <w:p>
            <w:pPr>
              <w:jc w:val="right"/>
              <w:ind w:right="1200"/>
              <w:spacing w:after="0"/>
              <w:rPr>
                <w:sz w:val="20"/>
                <w:szCs w:val="20"/>
                <w:color w:val="auto"/>
              </w:rPr>
            </w:pPr>
            <w:r>
              <w:rPr>
                <w:rFonts w:ascii="Arial" w:cs="Arial" w:eastAsia="Arial" w:hAnsi="Arial"/>
                <w:sz w:val="15"/>
                <w:szCs w:val="15"/>
                <w:color w:val="auto"/>
                <w:w w:val="74"/>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4.3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rPr>
                <w:rFonts w:ascii="Arial" w:cs="Arial" w:eastAsia="Arial" w:hAnsi="Arial"/>
                <w:sz w:val="15"/>
                <w:szCs w:val="15"/>
                <w:color w:val="0000FF"/>
              </w:rPr>
            </w:pPr>
            <w:hyperlink r:id="rId114">
              <w:r>
                <w:rPr>
                  <w:rFonts w:ascii="Arial" w:cs="Arial" w:eastAsia="Arial" w:hAnsi="Arial"/>
                  <w:sz w:val="15"/>
                  <w:szCs w:val="15"/>
                  <w:color w:val="0000FF"/>
                </w:rPr>
                <w:t>Indenture, dated August 4, 2020, by and among the Company, certain of the Company’s subsidiaries and U.S. Bank National Association, as</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00" w:type="dxa"/>
            <w:vAlign w:val="bottom"/>
            <w:tcBorders>
              <w:top w:val="single" w:sz="8" w:color="0000FF"/>
            </w:tcBorders>
            <w:gridSpan w:val="26"/>
          </w:tcPr>
          <w:p>
            <w:pPr>
              <w:spacing w:after="0" w:line="130" w:lineRule="exact"/>
              <w:rPr>
                <w:rFonts w:ascii="Arial" w:cs="Arial" w:eastAsia="Arial" w:hAnsi="Arial"/>
                <w:sz w:val="15"/>
                <w:szCs w:val="15"/>
                <w:color w:val="0000FF"/>
                <w:w w:val="96"/>
              </w:rPr>
            </w:pPr>
            <w:hyperlink r:id="rId114">
              <w:r>
                <w:rPr>
                  <w:rFonts w:ascii="Arial" w:cs="Arial" w:eastAsia="Arial" w:hAnsi="Arial"/>
                  <w:sz w:val="15"/>
                  <w:szCs w:val="15"/>
                  <w:color w:val="0000FF"/>
                  <w:w w:val="96"/>
                </w:rPr>
                <w:t>trustee</w:t>
              </w:r>
              <w:r>
                <w:rPr>
                  <w:rFonts w:ascii="Arial" w:cs="Arial" w:eastAsia="Arial" w:hAnsi="Arial"/>
                  <w:sz w:val="15"/>
                  <w:szCs w:val="15"/>
                  <w:color w:val="000000"/>
                  <w:w w:val="96"/>
                </w:rPr>
                <w:t>, filed as Exhibit 4.2 to our Current Report on Form 10-Q filed with the SEC on August 4, 2020 and incorporated by reference herein.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0"/>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rPr>
                <w:rFonts w:ascii="Arial" w:cs="Arial" w:eastAsia="Arial" w:hAnsi="Arial"/>
                <w:sz w:val="15"/>
                <w:szCs w:val="15"/>
                <w:color w:val="0000FF"/>
              </w:rPr>
            </w:pPr>
            <w:hyperlink r:id="rId115">
              <w:r>
                <w:rPr>
                  <w:rFonts w:ascii="Arial" w:cs="Arial" w:eastAsia="Arial" w:hAnsi="Arial"/>
                  <w:sz w:val="15"/>
                  <w:szCs w:val="15"/>
                  <w:color w:val="0000FF"/>
                </w:rPr>
                <w:t>Description of Capital Stock</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4.17 to our Annual Report on Form 10-K filed with the SEC on February 27, 2020 and incorporated</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auto"/>
              </w:rPr>
              <w:t>by reference herein.</w:t>
            </w:r>
          </w:p>
        </w:tc>
        <w:tc>
          <w:tcPr>
            <w:tcW w:w="20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6">
              <w:r>
                <w:rPr>
                  <w:rFonts w:ascii="Arial" w:cs="Arial" w:eastAsia="Arial" w:hAnsi="Arial"/>
                  <w:sz w:val="15"/>
                  <w:szCs w:val="15"/>
                  <w:color w:val="0000FF"/>
                </w:rPr>
                <w:t>Split Dollar Agreement, dated as of February 26, 2018, by and between MasTec, Inc., Jorge Mas, and José Ramon Mas and Juan Carlos Mas, as</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80" w:type="dxa"/>
            <w:vAlign w:val="bottom"/>
            <w:tcBorders>
              <w:top w:val="single" w:sz="8" w:color="0000FF"/>
            </w:tcBorders>
            <w:gridSpan w:val="25"/>
          </w:tcPr>
          <w:p>
            <w:pPr>
              <w:spacing w:after="0" w:line="130" w:lineRule="exact"/>
              <w:rPr>
                <w:rFonts w:ascii="Arial" w:cs="Arial" w:eastAsia="Arial" w:hAnsi="Arial"/>
                <w:sz w:val="15"/>
                <w:szCs w:val="15"/>
                <w:color w:val="0000FF"/>
                <w:w w:val="93"/>
              </w:rPr>
            </w:pPr>
            <w:hyperlink r:id="rId116">
              <w:r>
                <w:rPr>
                  <w:rFonts w:ascii="Arial" w:cs="Arial" w:eastAsia="Arial" w:hAnsi="Arial"/>
                  <w:sz w:val="15"/>
                  <w:szCs w:val="15"/>
                  <w:color w:val="0000FF"/>
                  <w:w w:val="93"/>
                </w:rPr>
                <w:t>Trustees of the Jorge Mas Irrevocable Trust, dated June 1, 2012</w:t>
              </w:r>
              <w:r>
                <w:rPr>
                  <w:rFonts w:ascii="Arial" w:cs="Arial" w:eastAsia="Arial" w:hAnsi="Arial"/>
                  <w:sz w:val="15"/>
                  <w:szCs w:val="15"/>
                  <w:color w:val="000000"/>
                  <w:w w:val="93"/>
                </w:rPr>
                <w:t>, filed as Exhibit 10.1 to our Annual Report on Form 10-K filed with the SEC 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00" w:type="dxa"/>
            <w:vAlign w:val="bottom"/>
            <w:tcBorders>
              <w:top w:val="single" w:sz="8" w:color="0000FF"/>
            </w:tcBorders>
            <w:gridSpan w:val="9"/>
          </w:tcPr>
          <w:p>
            <w:pPr>
              <w:spacing w:after="0"/>
              <w:rPr>
                <w:sz w:val="20"/>
                <w:szCs w:val="20"/>
                <w:color w:val="auto"/>
              </w:rPr>
            </w:pPr>
            <w:r>
              <w:rPr>
                <w:rFonts w:ascii="Arial" w:cs="Arial" w:eastAsia="Arial" w:hAnsi="Arial"/>
                <w:sz w:val="15"/>
                <w:szCs w:val="15"/>
                <w:color w:val="auto"/>
              </w:rPr>
              <w:t>February 27, 2018 and incorporated by reference herein.</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7">
              <w:r>
                <w:rPr>
                  <w:rFonts w:ascii="Arial" w:cs="Arial" w:eastAsia="Arial" w:hAnsi="Arial"/>
                  <w:sz w:val="15"/>
                  <w:szCs w:val="15"/>
                  <w:color w:val="0000FF"/>
                </w:rPr>
                <w:t>Split Dollar Agreement, dated as of February 26, 2018, by and between MasTec, Inc., José Ramon Mas, and Patricia C. Mas, Jorge Mas and Juan</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20" w:type="dxa"/>
            <w:vAlign w:val="bottom"/>
            <w:tcBorders>
              <w:top w:val="single" w:sz="8" w:color="0000FF"/>
            </w:tcBorders>
            <w:gridSpan w:val="27"/>
          </w:tcPr>
          <w:p>
            <w:pPr>
              <w:spacing w:after="0" w:line="130" w:lineRule="exact"/>
              <w:rPr>
                <w:rFonts w:ascii="Arial" w:cs="Arial" w:eastAsia="Arial" w:hAnsi="Arial"/>
                <w:sz w:val="15"/>
                <w:szCs w:val="15"/>
                <w:color w:val="0000FF"/>
                <w:w w:val="90"/>
              </w:rPr>
            </w:pPr>
            <w:hyperlink r:id="rId117">
              <w:r>
                <w:rPr>
                  <w:rFonts w:ascii="Arial" w:cs="Arial" w:eastAsia="Arial" w:hAnsi="Arial"/>
                  <w:sz w:val="15"/>
                  <w:szCs w:val="15"/>
                  <w:color w:val="0000FF"/>
                  <w:w w:val="90"/>
                </w:rPr>
                <w:t>Carlos Mas, as Trustees of the José Ramon Mas Irrevocable Trust, dated December 7, 2012</w:t>
              </w:r>
              <w:r>
                <w:rPr>
                  <w:rFonts w:ascii="Arial" w:cs="Arial" w:eastAsia="Arial" w:hAnsi="Arial"/>
                  <w:sz w:val="15"/>
                  <w:szCs w:val="15"/>
                  <w:color w:val="000000"/>
                  <w:w w:val="90"/>
                </w:rPr>
                <w:t>, filed as Exhibit 10.2 to our Annual Report on Form 10-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80" w:type="dxa"/>
            <w:vAlign w:val="bottom"/>
            <w:tcBorders>
              <w:top w:val="single" w:sz="8" w:color="0000FF"/>
            </w:tcBorders>
            <w:gridSpan w:val="13"/>
          </w:tcPr>
          <w:p>
            <w:pPr>
              <w:spacing w:after="0"/>
              <w:rPr>
                <w:sz w:val="20"/>
                <w:szCs w:val="20"/>
                <w:color w:val="auto"/>
              </w:rPr>
            </w:pPr>
            <w:r>
              <w:rPr>
                <w:rFonts w:ascii="Arial" w:cs="Arial" w:eastAsia="Arial" w:hAnsi="Arial"/>
                <w:sz w:val="15"/>
                <w:szCs w:val="15"/>
                <w:color w:val="auto"/>
              </w:rPr>
              <w:t>K filed with the SEC on February 27, 2018 and incorporated by reference herein.</w:t>
            </w:r>
          </w:p>
        </w:tc>
        <w:tc>
          <w:tcPr>
            <w:tcW w:w="3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8">
              <w:r>
                <w:rPr>
                  <w:rFonts w:ascii="Arial" w:cs="Arial" w:eastAsia="Arial" w:hAnsi="Arial"/>
                  <w:sz w:val="15"/>
                  <w:szCs w:val="15"/>
                  <w:color w:val="0000FF"/>
                </w:rPr>
                <w:t>MasTec, Inc. Amended and Restated Deferred Compensation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10.3 to our Annual Report on Form 10-K filed with the SEC</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tcBorders>
              <w:top w:val="single" w:sz="8" w:color="0000FF"/>
            </w:tcBorders>
            <w:gridSpan w:val="10"/>
          </w:tcPr>
          <w:p>
            <w:pPr>
              <w:spacing w:after="0"/>
              <w:rPr>
                <w:sz w:val="20"/>
                <w:szCs w:val="20"/>
                <w:color w:val="auto"/>
              </w:rPr>
            </w:pPr>
            <w:r>
              <w:rPr>
                <w:rFonts w:ascii="Arial" w:cs="Arial" w:eastAsia="Arial" w:hAnsi="Arial"/>
                <w:sz w:val="15"/>
                <w:szCs w:val="15"/>
                <w:color w:val="auto"/>
              </w:rPr>
              <w:t>on February 25, 2021 and incorporated by reference herein.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19">
              <w:r>
                <w:rPr>
                  <w:rFonts w:ascii="Arial" w:cs="Arial" w:eastAsia="Arial" w:hAnsi="Arial"/>
                  <w:sz w:val="15"/>
                  <w:szCs w:val="15"/>
                  <w:color w:val="0000FF"/>
                </w:rPr>
                <w:t>Employment Agreement, effective as of January 1, 2010, between MasTec, Inc. and Robert Apple</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10.2 to our Current Report on</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40" w:type="dxa"/>
            <w:vAlign w:val="bottom"/>
            <w:tcBorders>
              <w:top w:val="single" w:sz="8" w:color="0000FF"/>
            </w:tcBorders>
            <w:gridSpan w:val="16"/>
          </w:tcPr>
          <w:p>
            <w:pPr>
              <w:spacing w:after="0"/>
              <w:rPr>
                <w:sz w:val="20"/>
                <w:szCs w:val="20"/>
                <w:color w:val="auto"/>
              </w:rPr>
            </w:pPr>
            <w:r>
              <w:rPr>
                <w:rFonts w:ascii="Arial" w:cs="Arial" w:eastAsia="Arial" w:hAnsi="Arial"/>
                <w:sz w:val="15"/>
                <w:szCs w:val="15"/>
                <w:color w:val="auto"/>
              </w:rPr>
              <w:t>Form 8-K filed with the SEC on January 28, 2010 and incorporated by reference herein.</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0">
              <w:r>
                <w:rPr>
                  <w:rFonts w:ascii="Arial" w:cs="Arial" w:eastAsia="Arial" w:hAnsi="Arial"/>
                  <w:sz w:val="15"/>
                  <w:szCs w:val="15"/>
                  <w:color w:val="0000FF"/>
                </w:rPr>
                <w:t xml:space="preserve">First Amendment to the Employment Agreement between MasTec, Inc. and Robert Apple, dated March 31, 2014, </w:t>
              </w:r>
            </w:hyperlink>
            <w:r>
              <w:rPr>
                <w:rFonts w:ascii="Arial" w:cs="Arial" w:eastAsia="Arial" w:hAnsi="Arial"/>
                <w:sz w:val="15"/>
                <w:szCs w:val="15"/>
                <w:color w:val="000000"/>
              </w:rPr>
              <w:t>filed</w:t>
            </w:r>
            <w:r>
              <w:rPr>
                <w:rFonts w:ascii="Arial" w:cs="Arial" w:eastAsia="Arial" w:hAnsi="Arial"/>
                <w:sz w:val="15"/>
                <w:szCs w:val="15"/>
                <w:color w:val="0000FF"/>
              </w:rPr>
              <w:t xml:space="preserve"> </w:t>
            </w:r>
            <w:r>
              <w:rPr>
                <w:rFonts w:ascii="Arial" w:cs="Arial" w:eastAsia="Arial" w:hAnsi="Arial"/>
                <w:sz w:val="15"/>
                <w:szCs w:val="15"/>
                <w:color w:val="000000"/>
              </w:rPr>
              <w:t>as Exhibit 10.4 to our</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20" w:type="dxa"/>
            <w:vAlign w:val="bottom"/>
            <w:tcBorders>
              <w:top w:val="single" w:sz="8" w:color="0000FF"/>
            </w:tcBorders>
            <w:gridSpan w:val="20"/>
          </w:tcPr>
          <w:p>
            <w:pPr>
              <w:spacing w:after="0"/>
              <w:rPr>
                <w:sz w:val="20"/>
                <w:szCs w:val="20"/>
                <w:color w:val="auto"/>
              </w:rPr>
            </w:pPr>
            <w:r>
              <w:rPr>
                <w:rFonts w:ascii="Arial" w:cs="Arial" w:eastAsia="Arial" w:hAnsi="Arial"/>
                <w:sz w:val="15"/>
                <w:szCs w:val="15"/>
                <w:color w:val="auto"/>
              </w:rPr>
              <w:t>Current Report on Form 8-K filed with the SEC on April 4, 2014 and incorporated by reference herein.</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8"/>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10.6+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80" w:type="dxa"/>
            <w:vAlign w:val="bottom"/>
            <w:gridSpan w:val="30"/>
          </w:tcPr>
          <w:p>
            <w:pPr>
              <w:spacing w:after="0"/>
              <w:rPr>
                <w:rFonts w:ascii="Arial" w:cs="Arial" w:eastAsia="Arial" w:hAnsi="Arial"/>
                <w:sz w:val="15"/>
                <w:szCs w:val="15"/>
                <w:color w:val="0000FF"/>
              </w:rPr>
            </w:pPr>
            <w:hyperlink r:id="rId121">
              <w:r>
                <w:rPr>
                  <w:rFonts w:ascii="Arial" w:cs="Arial" w:eastAsia="Arial" w:hAnsi="Arial"/>
                  <w:sz w:val="15"/>
                  <w:szCs w:val="15"/>
                  <w:color w:val="0000FF"/>
                </w:rPr>
                <w:t>MasTec, Inc. Amended and Restated 2011 Employee Stock Purchase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10.5 to our Annual Report on Form 10-K filed with</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Borders>
              <w:top w:val="single" w:sz="8" w:color="0000FF"/>
            </w:tcBorders>
            <w:gridSpan w:val="12"/>
          </w:tcPr>
          <w:p>
            <w:pPr>
              <w:spacing w:after="0"/>
              <w:rPr>
                <w:sz w:val="20"/>
                <w:szCs w:val="20"/>
                <w:color w:val="auto"/>
              </w:rPr>
            </w:pPr>
            <w:r>
              <w:rPr>
                <w:rFonts w:ascii="Arial" w:cs="Arial" w:eastAsia="Arial" w:hAnsi="Arial"/>
                <w:sz w:val="15"/>
                <w:szCs w:val="15"/>
                <w:color w:val="auto"/>
                <w:w w:val="99"/>
              </w:rPr>
              <w:t>the SEC on February 25, 2021 and incorporated by reference herein.</w:t>
            </w:r>
          </w:p>
        </w:tc>
        <w:tc>
          <w:tcPr>
            <w:tcW w:w="1300" w:type="dxa"/>
            <w:vAlign w:val="bottom"/>
            <w:gridSpan w:val="3"/>
          </w:tcPr>
          <w:p>
            <w:pPr>
              <w:spacing w:after="0"/>
              <w:rPr>
                <w:sz w:val="14"/>
                <w:szCs w:val="14"/>
                <w:color w:val="auto"/>
              </w:rPr>
            </w:pPr>
          </w:p>
        </w:tc>
        <w:tc>
          <w:tcPr>
            <w:tcW w:w="2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w:anchor="page93">
              <w:r>
                <w:rPr>
                  <w:rFonts w:ascii="Arial" w:cs="Arial" w:eastAsia="Arial" w:hAnsi="Arial"/>
                  <w:sz w:val="15"/>
                  <w:szCs w:val="15"/>
                  <w:color w:val="0000FF"/>
                </w:rPr>
                <w:t>Credit Agreement, dated as of November 1, 2021, by and among MasTec, Inc. and MasTec North America, Inc. as Borrowers, Bank of America,</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40" w:type="dxa"/>
            <w:vAlign w:val="bottom"/>
            <w:tcBorders>
              <w:top w:val="single" w:sz="8" w:color="0000FF"/>
            </w:tcBorders>
            <w:gridSpan w:val="28"/>
          </w:tcPr>
          <w:p>
            <w:pPr>
              <w:spacing w:after="0" w:line="130" w:lineRule="exact"/>
              <w:rPr>
                <w:rFonts w:ascii="Arial" w:cs="Arial" w:eastAsia="Arial" w:hAnsi="Arial"/>
                <w:sz w:val="15"/>
                <w:szCs w:val="15"/>
                <w:color w:val="0000FF"/>
              </w:rPr>
            </w:pPr>
            <w:hyperlink w:anchor="page93">
              <w:r>
                <w:rPr>
                  <w:rFonts w:ascii="Arial" w:cs="Arial" w:eastAsia="Arial" w:hAnsi="Arial"/>
                  <w:sz w:val="15"/>
                  <w:szCs w:val="15"/>
                  <w:color w:val="0000FF"/>
                </w:rPr>
                <w:t>N.A., as Administrative Agent, Swing Line Lender and L/C Issuer, and the other lenders party thereto.</w:t>
              </w:r>
            </w:hyperlink>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0"/>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10.8*</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rPr>
                <w:rFonts w:ascii="Arial" w:cs="Arial" w:eastAsia="Arial" w:hAnsi="Arial"/>
                <w:sz w:val="15"/>
                <w:szCs w:val="15"/>
                <w:color w:val="0000FF"/>
              </w:rPr>
            </w:pPr>
            <w:hyperlink w:anchor="page351">
              <w:r>
                <w:rPr>
                  <w:rFonts w:ascii="Arial" w:cs="Arial" w:eastAsia="Arial" w:hAnsi="Arial"/>
                  <w:sz w:val="15"/>
                  <w:szCs w:val="15"/>
                  <w:color w:val="0000FF"/>
                </w:rPr>
                <w:t>Subsidiary Guaranty Agreement, dated as of November 1, 2021, by and among the Guarantors party thereto and Bank of America, N.A., as</w:t>
              </w:r>
            </w:hyperlink>
          </w:p>
        </w:tc>
      </w:tr>
      <w:tr>
        <w:trPr>
          <w:trHeight w:val="130"/>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60" w:type="dxa"/>
            <w:vAlign w:val="bottom"/>
            <w:tcBorders>
              <w:top w:val="single" w:sz="8" w:color="0000FF"/>
            </w:tcBorders>
            <w:gridSpan w:val="29"/>
          </w:tcPr>
          <w:p>
            <w:pPr>
              <w:spacing w:after="0" w:line="130" w:lineRule="exact"/>
              <w:rPr>
                <w:rFonts w:ascii="Arial" w:cs="Arial" w:eastAsia="Arial" w:hAnsi="Arial"/>
                <w:sz w:val="15"/>
                <w:szCs w:val="15"/>
                <w:color w:val="0000FF"/>
              </w:rPr>
            </w:pPr>
            <w:hyperlink w:anchor="page351">
              <w:r>
                <w:rPr>
                  <w:rFonts w:ascii="Arial" w:cs="Arial" w:eastAsia="Arial" w:hAnsi="Arial"/>
                  <w:sz w:val="15"/>
                  <w:szCs w:val="15"/>
                  <w:color w:val="0000FF"/>
                </w:rPr>
                <w:t>Administrative Agent.</w:t>
              </w:r>
            </w:hyperlink>
          </w:p>
        </w:tc>
        <w:tc>
          <w:tcPr>
            <w:tcW w:w="1320" w:type="dxa"/>
            <w:vAlign w:val="bottom"/>
          </w:tcPr>
          <w:p>
            <w:pPr>
              <w:spacing w:after="0"/>
              <w:rPr>
                <w:sz w:val="11"/>
                <w:szCs w:val="1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r>
      <w:tr>
        <w:trPr>
          <w:trHeight w:val="180"/>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10.9+</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rPr>
                <w:rFonts w:ascii="Arial" w:cs="Arial" w:eastAsia="Arial" w:hAnsi="Arial"/>
                <w:sz w:val="15"/>
                <w:szCs w:val="15"/>
                <w:color w:val="0000FF"/>
              </w:rPr>
            </w:pPr>
            <w:hyperlink r:id="rId122">
              <w:r>
                <w:rPr>
                  <w:rFonts w:ascii="Arial" w:cs="Arial" w:eastAsia="Arial" w:hAnsi="Arial"/>
                  <w:sz w:val="15"/>
                  <w:szCs w:val="15"/>
                  <w:color w:val="0000FF"/>
                </w:rPr>
                <w:t>Employment Agreement, dated April 18, 2007, by and between MasTec, Inc. and José R. Mas</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10.1 to our Current Report on</w:t>
            </w:r>
          </w:p>
        </w:tc>
      </w:tr>
      <w:tr>
        <w:trPr>
          <w:trHeight w:val="167"/>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60" w:type="dxa"/>
            <w:vAlign w:val="bottom"/>
            <w:tcBorders>
              <w:top w:val="single" w:sz="8" w:color="0000FF"/>
            </w:tcBorders>
            <w:gridSpan w:val="15"/>
          </w:tcPr>
          <w:p>
            <w:pPr>
              <w:spacing w:after="0" w:line="167" w:lineRule="exact"/>
              <w:rPr>
                <w:sz w:val="20"/>
                <w:szCs w:val="20"/>
                <w:color w:val="auto"/>
              </w:rPr>
            </w:pPr>
            <w:r>
              <w:rPr>
                <w:rFonts w:ascii="Arial" w:cs="Arial" w:eastAsia="Arial" w:hAnsi="Arial"/>
                <w:sz w:val="15"/>
                <w:szCs w:val="15"/>
                <w:color w:val="auto"/>
              </w:rPr>
              <w:t>Form 8-K filed with the SEC on April 20, 2007 and incorporated by reference herein.</w:t>
            </w:r>
          </w:p>
        </w:tc>
        <w:tc>
          <w:tcPr>
            <w:tcW w:w="8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75"/>
        </w:trPr>
        <w:tc>
          <w:tcPr>
            <w:tcW w:w="560" w:type="dxa"/>
            <w:vAlign w:val="bottom"/>
            <w:gridSpan w:val="2"/>
          </w:tcPr>
          <w:p>
            <w:pPr>
              <w:ind w:left="60"/>
              <w:spacing w:after="0"/>
              <w:rPr>
                <w:sz w:val="20"/>
                <w:szCs w:val="20"/>
                <w:color w:val="auto"/>
              </w:rPr>
            </w:pPr>
            <w:r>
              <w:rPr>
                <w:rFonts w:ascii="Arial" w:cs="Arial" w:eastAsia="Arial" w:hAnsi="Arial"/>
                <w:sz w:val="15"/>
                <w:szCs w:val="15"/>
                <w:color w:val="auto"/>
              </w:rPr>
              <w:t>10.10+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gridSpan w:val="30"/>
          </w:tcPr>
          <w:p>
            <w:pPr>
              <w:spacing w:after="0" w:line="175" w:lineRule="exact"/>
              <w:rPr>
                <w:rFonts w:ascii="Arial" w:cs="Arial" w:eastAsia="Arial" w:hAnsi="Arial"/>
                <w:sz w:val="15"/>
                <w:szCs w:val="15"/>
                <w:color w:val="0000FF"/>
              </w:rPr>
            </w:pPr>
            <w:hyperlink r:id="rId123">
              <w:r>
                <w:rPr>
                  <w:rFonts w:ascii="Arial" w:cs="Arial" w:eastAsia="Arial" w:hAnsi="Arial"/>
                  <w:sz w:val="15"/>
                  <w:szCs w:val="15"/>
                  <w:color w:val="0000FF"/>
                </w:rPr>
                <w:t xml:space="preserve">Employment Agreement, dated as of March 31, 2014, by and between MasTec, Inc. and Alberto de Cardenas, </w:t>
              </w:r>
            </w:hyperlink>
            <w:r>
              <w:rPr>
                <w:rFonts w:ascii="Arial" w:cs="Arial" w:eastAsia="Arial" w:hAnsi="Arial"/>
                <w:sz w:val="15"/>
                <w:szCs w:val="15"/>
                <w:color w:val="000000"/>
              </w:rPr>
              <w:t>filed</w:t>
            </w:r>
            <w:r>
              <w:rPr>
                <w:rFonts w:ascii="Arial" w:cs="Arial" w:eastAsia="Arial" w:hAnsi="Arial"/>
                <w:sz w:val="15"/>
                <w:szCs w:val="15"/>
                <w:color w:val="0000FF"/>
              </w:rPr>
              <w:t xml:space="preserve"> </w:t>
            </w:r>
            <w:r>
              <w:rPr>
                <w:rFonts w:ascii="Arial" w:cs="Arial" w:eastAsia="Arial" w:hAnsi="Arial"/>
                <w:sz w:val="15"/>
                <w:szCs w:val="15"/>
                <w:color w:val="000000"/>
              </w:rPr>
              <w:t>as Exhibit 10.</w:t>
            </w:r>
            <w:r>
              <w:rPr>
                <w:rFonts w:ascii="Arial" w:cs="Arial" w:eastAsia="Arial" w:hAnsi="Arial"/>
                <w:sz w:val="16"/>
                <w:szCs w:val="16"/>
                <w:color w:val="000000"/>
              </w:rPr>
              <w:t>1</w:t>
            </w:r>
            <w:r>
              <w:rPr>
                <w:rFonts w:ascii="Arial" w:cs="Arial" w:eastAsia="Arial" w:hAnsi="Arial"/>
                <w:sz w:val="15"/>
                <w:szCs w:val="15"/>
                <w:color w:val="0000FF"/>
              </w:rPr>
              <w:t xml:space="preserve"> </w:t>
            </w:r>
            <w:r>
              <w:rPr>
                <w:rFonts w:ascii="Arial" w:cs="Arial" w:eastAsia="Arial" w:hAnsi="Arial"/>
                <w:sz w:val="15"/>
                <w:szCs w:val="15"/>
                <w:color w:val="000000"/>
              </w:rPr>
              <w:t>to our Current</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80" w:type="dxa"/>
            <w:vAlign w:val="bottom"/>
            <w:tcBorders>
              <w:top w:val="single" w:sz="8" w:color="0000FF"/>
            </w:tcBorders>
            <w:gridSpan w:val="18"/>
          </w:tcPr>
          <w:p>
            <w:pPr>
              <w:spacing w:after="0"/>
              <w:rPr>
                <w:sz w:val="20"/>
                <w:szCs w:val="20"/>
                <w:color w:val="auto"/>
              </w:rPr>
            </w:pPr>
            <w:r>
              <w:rPr>
                <w:rFonts w:ascii="Arial" w:cs="Arial" w:eastAsia="Arial" w:hAnsi="Arial"/>
                <w:sz w:val="15"/>
                <w:szCs w:val="15"/>
                <w:color w:val="auto"/>
              </w:rPr>
              <w:t>Report on Form 8-K filed with the SEC on April 4, 2014 and incorporated by reference herein.</w:t>
            </w:r>
          </w:p>
        </w:tc>
        <w:tc>
          <w:tcPr>
            <w:tcW w:w="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4">
              <w:r>
                <w:rPr>
                  <w:rFonts w:ascii="Arial" w:cs="Arial" w:eastAsia="Arial" w:hAnsi="Arial"/>
                  <w:sz w:val="15"/>
                  <w:szCs w:val="15"/>
                  <w:color w:val="0000FF"/>
                </w:rPr>
                <w:t>First Amendment to the Employment Agreement between MasTec, Inc. and Jose R. Mas, dated March 31, 2014</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 10.2 to our Current</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700" w:type="dxa"/>
            <w:vAlign w:val="bottom"/>
            <w:tcBorders>
              <w:top w:val="single" w:sz="8" w:color="0000FF"/>
            </w:tcBorders>
            <w:gridSpan w:val="19"/>
          </w:tcPr>
          <w:p>
            <w:pPr>
              <w:spacing w:after="0"/>
              <w:rPr>
                <w:sz w:val="20"/>
                <w:szCs w:val="20"/>
                <w:color w:val="auto"/>
              </w:rPr>
            </w:pPr>
            <w:r>
              <w:rPr>
                <w:rFonts w:ascii="Arial" w:cs="Arial" w:eastAsia="Arial" w:hAnsi="Arial"/>
                <w:sz w:val="15"/>
                <w:szCs w:val="15"/>
                <w:color w:val="auto"/>
              </w:rPr>
              <w:t>Report on Form 8-K filed with the SEC on April 4, 2014 and incorporated by reference herein.</w:t>
            </w:r>
          </w:p>
        </w:tc>
        <w:tc>
          <w:tcPr>
            <w:tcW w:w="11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5">
              <w:r>
                <w:rPr>
                  <w:rFonts w:ascii="Arial" w:cs="Arial" w:eastAsia="Arial" w:hAnsi="Arial"/>
                  <w:sz w:val="15"/>
                  <w:szCs w:val="15"/>
                  <w:color w:val="0000FF"/>
                </w:rPr>
                <w:t xml:space="preserve">MasTec, Inc. Amended and Restated Bargaining Units ESPP. </w:t>
              </w:r>
            </w:hyperlink>
            <w:r>
              <w:rPr>
                <w:rFonts w:ascii="Arial" w:cs="Arial" w:eastAsia="Arial" w:hAnsi="Arial"/>
                <w:sz w:val="15"/>
                <w:szCs w:val="15"/>
                <w:color w:val="000000"/>
              </w:rPr>
              <w:t>filed</w:t>
            </w:r>
            <w:r>
              <w:rPr>
                <w:rFonts w:ascii="Arial" w:cs="Arial" w:eastAsia="Arial" w:hAnsi="Arial"/>
                <w:sz w:val="15"/>
                <w:szCs w:val="15"/>
                <w:color w:val="0000FF"/>
              </w:rPr>
              <w:t xml:space="preserve"> </w:t>
            </w:r>
            <w:r>
              <w:rPr>
                <w:rFonts w:ascii="Arial" w:cs="Arial" w:eastAsia="Arial" w:hAnsi="Arial"/>
                <w:sz w:val="15"/>
                <w:szCs w:val="15"/>
                <w:color w:val="000000"/>
              </w:rPr>
              <w:t>as Exhibit 10.12 to our Annual Report on Form 10-K filed with the SEC on</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tcBorders>
              <w:top w:val="single" w:sz="8" w:color="0000FF"/>
            </w:tcBorders>
            <w:gridSpan w:val="8"/>
          </w:tcPr>
          <w:p>
            <w:pPr>
              <w:spacing w:after="0"/>
              <w:rPr>
                <w:sz w:val="20"/>
                <w:szCs w:val="20"/>
                <w:color w:val="auto"/>
              </w:rPr>
            </w:pPr>
            <w:r>
              <w:rPr>
                <w:rFonts w:ascii="Arial" w:cs="Arial" w:eastAsia="Arial" w:hAnsi="Arial"/>
                <w:sz w:val="15"/>
                <w:szCs w:val="15"/>
                <w:color w:val="auto"/>
                <w:w w:val="99"/>
              </w:rPr>
              <w:t>February 25, 2021 and incorporated by reference herein.</w:t>
            </w:r>
          </w:p>
        </w:tc>
        <w:tc>
          <w:tcPr>
            <w:tcW w:w="620" w:type="dxa"/>
            <w:vAlign w:val="bottom"/>
            <w:gridSpan w:val="3"/>
          </w:tcPr>
          <w:p>
            <w:pPr>
              <w:spacing w:after="0"/>
              <w:rPr>
                <w:sz w:val="14"/>
                <w:szCs w:val="14"/>
                <w:color w:val="auto"/>
              </w:rPr>
            </w:pPr>
          </w:p>
        </w:tc>
        <w:tc>
          <w:tcPr>
            <w:tcW w:w="3460" w:type="dxa"/>
            <w:vAlign w:val="bottom"/>
            <w:gridSpan w:val="10"/>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6">
              <w:r>
                <w:rPr>
                  <w:rFonts w:ascii="Arial" w:cs="Arial" w:eastAsia="Arial" w:hAnsi="Arial"/>
                  <w:sz w:val="15"/>
                  <w:szCs w:val="15"/>
                  <w:color w:val="0000FF"/>
                </w:rPr>
                <w:t>MasTec, Inc. Amended and Restated 2013 Incentive Compensation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Annex A to our Definitive Additional Proxy Materials filed with</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tcBorders>
              <w:top w:val="single" w:sz="8" w:color="0000FF"/>
            </w:tcBorders>
            <w:gridSpan w:val="11"/>
          </w:tcPr>
          <w:p>
            <w:pPr>
              <w:spacing w:after="0"/>
              <w:rPr>
                <w:sz w:val="20"/>
                <w:szCs w:val="20"/>
                <w:color w:val="auto"/>
              </w:rPr>
            </w:pPr>
            <w:r>
              <w:rPr>
                <w:rFonts w:ascii="Arial" w:cs="Arial" w:eastAsia="Arial" w:hAnsi="Arial"/>
                <w:sz w:val="15"/>
                <w:szCs w:val="15"/>
                <w:color w:val="auto"/>
              </w:rPr>
              <w:t>the SEC on May 13, 2021 and incorporated by reference herein.</w:t>
            </w:r>
          </w:p>
        </w:tc>
        <w:tc>
          <w:tcPr>
            <w:tcW w:w="3460" w:type="dxa"/>
            <w:vAlign w:val="bottom"/>
            <w:gridSpan w:val="10"/>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7">
              <w:r>
                <w:rPr>
                  <w:rFonts w:ascii="Arial" w:cs="Arial" w:eastAsia="Arial" w:hAnsi="Arial"/>
                  <w:sz w:val="15"/>
                  <w:szCs w:val="15"/>
                  <w:color w:val="0000FF"/>
                </w:rPr>
                <w:t>Form of Employee Restricted Stock Agreement for the MasTec, Inc. Amended and Restated 2013 Incentive Compensation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 Exhibit</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40" w:type="dxa"/>
            <w:vAlign w:val="bottom"/>
            <w:tcBorders>
              <w:top w:val="single" w:sz="8" w:color="0000FF"/>
            </w:tcBorders>
            <w:gridSpan w:val="21"/>
          </w:tcPr>
          <w:p>
            <w:pPr>
              <w:spacing w:after="0"/>
              <w:rPr>
                <w:sz w:val="20"/>
                <w:szCs w:val="20"/>
                <w:color w:val="auto"/>
              </w:rPr>
            </w:pPr>
            <w:r>
              <w:rPr>
                <w:rFonts w:ascii="Arial" w:cs="Arial" w:eastAsia="Arial" w:hAnsi="Arial"/>
                <w:sz w:val="15"/>
                <w:szCs w:val="15"/>
                <w:color w:val="auto"/>
              </w:rPr>
              <w:t>10.3 to our Quarterly Report on Form 10-Q filed with the SEC on May 4, 2017 and incorporated by reference herein.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8">
              <w:r>
                <w:rPr>
                  <w:rFonts w:ascii="Arial" w:cs="Arial" w:eastAsia="Arial" w:hAnsi="Arial"/>
                  <w:sz w:val="15"/>
                  <w:szCs w:val="15"/>
                  <w:color w:val="0000FF"/>
                </w:rPr>
                <w:t>Form of Non-Employee Restricted Stock Agreement for the MasTec, Inc. Amended and Restated 2013 Incentive Compensation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w:t>
            </w:r>
          </w:p>
        </w:tc>
      </w:tr>
      <w:tr>
        <w:trPr>
          <w:trHeight w:val="172"/>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320" w:type="dxa"/>
            <w:vAlign w:val="bottom"/>
            <w:tcBorders>
              <w:top w:val="single" w:sz="8" w:color="0000FF"/>
            </w:tcBorders>
            <w:gridSpan w:val="22"/>
          </w:tcPr>
          <w:p>
            <w:pPr>
              <w:spacing w:after="0"/>
              <w:rPr>
                <w:sz w:val="20"/>
                <w:szCs w:val="20"/>
                <w:color w:val="auto"/>
              </w:rPr>
            </w:pPr>
            <w:r>
              <w:rPr>
                <w:rFonts w:ascii="Arial" w:cs="Arial" w:eastAsia="Arial" w:hAnsi="Arial"/>
                <w:sz w:val="15"/>
                <w:szCs w:val="15"/>
                <w:color w:val="auto"/>
              </w:rPr>
              <w:t>Exhibit 10.4 to our Quarterly Report on Form 10-Q filed with the SEC on May 4, 2017 and incorporated by reference herein.</w:t>
            </w:r>
          </w:p>
        </w:tc>
        <w:tc>
          <w:tcPr>
            <w:tcW w:w="20" w:type="dxa"/>
            <w:vAlign w:val="bottom"/>
          </w:tcPr>
          <w:p>
            <w:pPr>
              <w:spacing w:after="0"/>
              <w:rPr>
                <w:sz w:val="14"/>
                <w:szCs w:val="14"/>
                <w:color w:val="auto"/>
              </w:rPr>
            </w:pPr>
          </w:p>
        </w:tc>
        <w:tc>
          <w:tcPr>
            <w:tcW w:w="1940" w:type="dxa"/>
            <w:vAlign w:val="bottom"/>
            <w:gridSpan w:val="7"/>
          </w:tcPr>
          <w:p>
            <w:pPr>
              <w:spacing w:after="0"/>
              <w:rPr>
                <w:sz w:val="14"/>
                <w:szCs w:val="14"/>
                <w:color w:val="auto"/>
              </w:rPr>
            </w:pPr>
          </w:p>
        </w:tc>
      </w:tr>
      <w:tr>
        <w:trPr>
          <w:trHeight w:val="158"/>
        </w:trPr>
        <w:tc>
          <w:tcPr>
            <w:tcW w:w="560" w:type="dxa"/>
            <w:vAlign w:val="bottom"/>
            <w:gridSpan w:val="2"/>
          </w:tcPr>
          <w:p>
            <w:pPr>
              <w:ind w:left="60"/>
              <w:spacing w:after="0" w:line="158" w:lineRule="exact"/>
              <w:rPr>
                <w:sz w:val="20"/>
                <w:szCs w:val="20"/>
                <w:color w:val="auto"/>
              </w:rPr>
            </w:pPr>
            <w:r>
              <w:rPr>
                <w:rFonts w:ascii="Arial" w:cs="Arial" w:eastAsia="Arial" w:hAnsi="Arial"/>
                <w:sz w:val="15"/>
                <w:szCs w:val="15"/>
                <w:color w:val="auto"/>
              </w:rPr>
              <w:t>10.16+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80" w:type="dxa"/>
            <w:vAlign w:val="bottom"/>
            <w:gridSpan w:val="30"/>
          </w:tcPr>
          <w:p>
            <w:pPr>
              <w:spacing w:after="0" w:line="158" w:lineRule="exact"/>
              <w:rPr>
                <w:rFonts w:ascii="Arial" w:cs="Arial" w:eastAsia="Arial" w:hAnsi="Arial"/>
                <w:sz w:val="15"/>
                <w:szCs w:val="15"/>
                <w:color w:val="0000FF"/>
              </w:rPr>
            </w:pPr>
            <w:hyperlink r:id="rId129">
              <w:r>
                <w:rPr>
                  <w:rFonts w:ascii="Arial" w:cs="Arial" w:eastAsia="Arial" w:hAnsi="Arial"/>
                  <w:sz w:val="15"/>
                  <w:szCs w:val="15"/>
                  <w:color w:val="0000FF"/>
                </w:rPr>
                <w:t>Form of Employee Restricted Stock Units Agreement for the MasTec, Inc. Amended and Restated 2013 Incentive Compensation Plan</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filed as</w:t>
            </w:r>
          </w:p>
        </w:tc>
      </w:tr>
      <w:tr>
        <w:trPr>
          <w:trHeight w:val="182"/>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40" w:type="dxa"/>
            <w:vAlign w:val="bottom"/>
            <w:tcBorders>
              <w:top w:val="single" w:sz="8" w:color="0000FF"/>
            </w:tcBorders>
            <w:gridSpan w:val="23"/>
          </w:tcPr>
          <w:p>
            <w:pPr>
              <w:spacing w:after="0"/>
              <w:rPr>
                <w:sz w:val="20"/>
                <w:szCs w:val="20"/>
                <w:color w:val="auto"/>
              </w:rPr>
            </w:pPr>
            <w:r>
              <w:rPr>
                <w:rFonts w:ascii="Arial" w:cs="Arial" w:eastAsia="Arial" w:hAnsi="Arial"/>
                <w:sz w:val="15"/>
                <w:szCs w:val="15"/>
                <w:color w:val="auto"/>
              </w:rPr>
              <w:t>Exhibit 10.5 to our Quarterly Report on Form 10-Q filed with the SEC on May 4, 2017 and incorporated by reference herein.</w:t>
            </w:r>
          </w:p>
        </w:tc>
        <w:tc>
          <w:tcPr>
            <w:tcW w:w="1940" w:type="dxa"/>
            <w:vAlign w:val="bottom"/>
            <w:gridSpan w:val="7"/>
          </w:tcPr>
          <w:p>
            <w:pPr>
              <w:spacing w:after="0"/>
              <w:rPr>
                <w:sz w:val="15"/>
                <w:szCs w:val="15"/>
                <w:color w:val="auto"/>
              </w:rPr>
            </w:pPr>
          </w:p>
        </w:tc>
      </w:tr>
      <w:tr>
        <w:trPr>
          <w:trHeight w:val="791"/>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14"/>
          </w:tcPr>
          <w:p>
            <w:pPr>
              <w:jc w:val="right"/>
              <w:ind w:right="740"/>
              <w:spacing w:after="0"/>
              <w:rPr>
                <w:sz w:val="20"/>
                <w:szCs w:val="20"/>
                <w:color w:val="auto"/>
              </w:rPr>
            </w:pPr>
            <w:r>
              <w:rPr>
                <w:rFonts w:ascii="Arial" w:cs="Arial" w:eastAsia="Arial" w:hAnsi="Arial"/>
                <w:sz w:val="15"/>
                <w:szCs w:val="15"/>
                <w:color w:val="auto"/>
              </w:rPr>
              <w:t>89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98"/>
        </w:trPr>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172"/>
        </w:trPr>
        <w:tc>
          <w:tcPr>
            <w:tcW w:w="940" w:type="dxa"/>
            <w:vAlign w:val="bottom"/>
          </w:tcPr>
          <w:p>
            <w:pPr>
              <w:ind w:left="40"/>
              <w:spacing w:after="0"/>
              <w:rPr>
                <w:sz w:val="20"/>
                <w:szCs w:val="20"/>
                <w:color w:val="auto"/>
              </w:rPr>
            </w:pPr>
            <w:r>
              <w:rPr>
                <w:rFonts w:ascii="Arial" w:cs="Arial" w:eastAsia="Arial" w:hAnsi="Arial"/>
                <w:sz w:val="15"/>
                <w:szCs w:val="15"/>
                <w:color w:val="auto"/>
              </w:rPr>
              <w:t>10.17+</w:t>
            </w:r>
          </w:p>
        </w:tc>
        <w:tc>
          <w:tcPr>
            <w:tcW w:w="8880" w:type="dxa"/>
            <w:vAlign w:val="bottom"/>
            <w:gridSpan w:val="12"/>
          </w:tcPr>
          <w:p>
            <w:pPr>
              <w:spacing w:after="0"/>
              <w:rPr>
                <w:rFonts w:ascii="Arial" w:cs="Arial" w:eastAsia="Arial" w:hAnsi="Arial"/>
                <w:sz w:val="15"/>
                <w:szCs w:val="15"/>
                <w:color w:val="0000FF"/>
                <w:w w:val="93"/>
              </w:rPr>
            </w:pPr>
            <w:hyperlink r:id="rId132">
              <w:r>
                <w:rPr>
                  <w:rFonts w:ascii="Arial" w:cs="Arial" w:eastAsia="Arial" w:hAnsi="Arial"/>
                  <w:sz w:val="15"/>
                  <w:szCs w:val="15"/>
                  <w:color w:val="0000FF"/>
                  <w:w w:val="93"/>
                </w:rPr>
                <w:t xml:space="preserve">Form of Executive Employee Restricted Stock Agreement for the MasTec, Inc. Amended and Restated 2013 Incentive Compensation Plan </w:t>
              </w:r>
            </w:hyperlink>
            <w:r>
              <w:rPr>
                <w:rFonts w:ascii="Arial" w:cs="Arial" w:eastAsia="Arial" w:hAnsi="Arial"/>
                <w:sz w:val="15"/>
                <w:szCs w:val="15"/>
                <w:color w:val="000000"/>
                <w:w w:val="93"/>
              </w:rPr>
              <w:t>(for</w:t>
            </w:r>
          </w:p>
        </w:tc>
      </w:tr>
      <w:tr>
        <w:trPr>
          <w:trHeight w:val="122"/>
        </w:trPr>
        <w:tc>
          <w:tcPr>
            <w:tcW w:w="940" w:type="dxa"/>
            <w:vAlign w:val="bottom"/>
          </w:tcPr>
          <w:p>
            <w:pPr>
              <w:spacing w:after="0"/>
              <w:rPr>
                <w:sz w:val="10"/>
                <w:szCs w:val="10"/>
                <w:color w:val="auto"/>
              </w:rPr>
            </w:pPr>
          </w:p>
        </w:tc>
        <w:tc>
          <w:tcPr>
            <w:tcW w:w="8600" w:type="dxa"/>
            <w:vAlign w:val="bottom"/>
            <w:tcBorders>
              <w:top w:val="single" w:sz="8" w:color="0000FF"/>
            </w:tcBorders>
            <w:gridSpan w:val="11"/>
          </w:tcPr>
          <w:p>
            <w:pPr>
              <w:spacing w:after="0" w:line="122" w:lineRule="exact"/>
              <w:rPr>
                <w:sz w:val="20"/>
                <w:szCs w:val="20"/>
                <w:color w:val="auto"/>
              </w:rPr>
            </w:pPr>
            <w:r>
              <w:rPr>
                <w:rFonts w:ascii="Arial" w:cs="Arial" w:eastAsia="Arial" w:hAnsi="Arial"/>
                <w:sz w:val="14"/>
                <w:szCs w:val="14"/>
                <w:color w:val="auto"/>
              </w:rPr>
              <w:t>awards made prior to May 14, 2020), filed as Exhibit 10.6 to our Quarterly Report on Form 10-Q filed with the SEC on May 4, 2017</w:t>
            </w:r>
          </w:p>
        </w:tc>
        <w:tc>
          <w:tcPr>
            <w:tcW w:w="280" w:type="dxa"/>
            <w:vAlign w:val="bottom"/>
          </w:tcPr>
          <w:p>
            <w:pPr>
              <w:ind w:left="60"/>
              <w:spacing w:after="0" w:line="122" w:lineRule="exact"/>
              <w:rPr>
                <w:sz w:val="20"/>
                <w:szCs w:val="20"/>
                <w:color w:val="auto"/>
              </w:rPr>
            </w:pPr>
            <w:r>
              <w:rPr>
                <w:rFonts w:ascii="Arial" w:cs="Arial" w:eastAsia="Arial" w:hAnsi="Arial"/>
                <w:sz w:val="14"/>
                <w:szCs w:val="14"/>
                <w:color w:val="auto"/>
                <w:w w:val="85"/>
              </w:rPr>
              <w:t>and</w:t>
            </w:r>
          </w:p>
        </w:tc>
      </w:tr>
      <w:tr>
        <w:trPr>
          <w:trHeight w:val="189"/>
        </w:trPr>
        <w:tc>
          <w:tcPr>
            <w:tcW w:w="940" w:type="dxa"/>
            <w:vAlign w:val="bottom"/>
          </w:tcPr>
          <w:p>
            <w:pPr>
              <w:spacing w:after="0"/>
              <w:rPr>
                <w:sz w:val="16"/>
                <w:szCs w:val="16"/>
                <w:color w:val="auto"/>
              </w:rPr>
            </w:pPr>
          </w:p>
        </w:tc>
        <w:tc>
          <w:tcPr>
            <w:tcW w:w="8880" w:type="dxa"/>
            <w:vAlign w:val="bottom"/>
            <w:gridSpan w:val="12"/>
          </w:tcPr>
          <w:p>
            <w:pPr>
              <w:spacing w:after="0"/>
              <w:rPr>
                <w:sz w:val="20"/>
                <w:szCs w:val="20"/>
                <w:color w:val="auto"/>
              </w:rPr>
            </w:pPr>
            <w:r>
              <w:rPr>
                <w:rFonts w:ascii="Arial" w:cs="Arial" w:eastAsia="Arial" w:hAnsi="Arial"/>
                <w:sz w:val="15"/>
                <w:szCs w:val="15"/>
                <w:color w:val="auto"/>
              </w:rPr>
              <w:t>incorporated by reference herein.</w:t>
            </w:r>
          </w:p>
        </w:tc>
      </w:tr>
      <w:tr>
        <w:trPr>
          <w:trHeight w:val="168"/>
        </w:trPr>
        <w:tc>
          <w:tcPr>
            <w:tcW w:w="940" w:type="dxa"/>
            <w:vAlign w:val="bottom"/>
          </w:tcPr>
          <w:p>
            <w:pPr>
              <w:ind w:left="40"/>
              <w:spacing w:after="0" w:line="169" w:lineRule="exact"/>
              <w:rPr>
                <w:sz w:val="20"/>
                <w:szCs w:val="20"/>
                <w:color w:val="auto"/>
              </w:rPr>
            </w:pPr>
            <w:r>
              <w:rPr>
                <w:rFonts w:ascii="Arial" w:cs="Arial" w:eastAsia="Arial" w:hAnsi="Arial"/>
                <w:sz w:val="15"/>
                <w:szCs w:val="15"/>
                <w:color w:val="auto"/>
              </w:rPr>
              <w:t>10.18+</w:t>
            </w:r>
          </w:p>
        </w:tc>
        <w:tc>
          <w:tcPr>
            <w:tcW w:w="8880" w:type="dxa"/>
            <w:vAlign w:val="bottom"/>
            <w:gridSpan w:val="12"/>
          </w:tcPr>
          <w:p>
            <w:pPr>
              <w:spacing w:after="0" w:line="169" w:lineRule="exact"/>
              <w:rPr>
                <w:rFonts w:ascii="Arial" w:cs="Arial" w:eastAsia="Arial" w:hAnsi="Arial"/>
                <w:sz w:val="15"/>
                <w:szCs w:val="15"/>
                <w:color w:val="0000FF"/>
                <w:w w:val="91"/>
              </w:rPr>
            </w:pPr>
            <w:hyperlink r:id="rId133">
              <w:r>
                <w:rPr>
                  <w:rFonts w:ascii="Arial" w:cs="Arial" w:eastAsia="Arial" w:hAnsi="Arial"/>
                  <w:sz w:val="15"/>
                  <w:szCs w:val="15"/>
                  <w:color w:val="0000FF"/>
                  <w:w w:val="91"/>
                </w:rPr>
                <w:t xml:space="preserve">Form of Executive Restricted Stock Agreement for the MasTec, Inc. Amended and Restated 2013 Incentive Compensation Plan </w:t>
              </w:r>
            </w:hyperlink>
            <w:r>
              <w:rPr>
                <w:rFonts w:ascii="Arial" w:cs="Arial" w:eastAsia="Arial" w:hAnsi="Arial"/>
                <w:sz w:val="15"/>
                <w:szCs w:val="15"/>
                <w:color w:val="000000"/>
                <w:w w:val="91"/>
              </w:rPr>
              <w:t>(for</w:t>
            </w:r>
            <w:r>
              <w:rPr>
                <w:rFonts w:ascii="Arial" w:cs="Arial" w:eastAsia="Arial" w:hAnsi="Arial"/>
                <w:sz w:val="15"/>
                <w:szCs w:val="15"/>
                <w:color w:val="0000FF"/>
                <w:w w:val="91"/>
              </w:rPr>
              <w:t xml:space="preserve"> </w:t>
            </w:r>
            <w:r>
              <w:rPr>
                <w:rFonts w:ascii="Arial" w:cs="Arial" w:eastAsia="Arial" w:hAnsi="Arial"/>
                <w:sz w:val="15"/>
                <w:szCs w:val="15"/>
                <w:color w:val="000000"/>
                <w:w w:val="91"/>
              </w:rPr>
              <w:t>awards made</w:t>
            </w:r>
          </w:p>
        </w:tc>
      </w:tr>
      <w:tr>
        <w:trPr>
          <w:trHeight w:val="20"/>
        </w:trPr>
        <w:tc>
          <w:tcPr>
            <w:tcW w:w="9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22"/>
        </w:trPr>
        <w:tc>
          <w:tcPr>
            <w:tcW w:w="940" w:type="dxa"/>
            <w:vAlign w:val="bottom"/>
          </w:tcPr>
          <w:p>
            <w:pPr>
              <w:spacing w:after="0"/>
              <w:rPr>
                <w:sz w:val="10"/>
                <w:szCs w:val="10"/>
                <w:color w:val="auto"/>
              </w:rPr>
            </w:pPr>
          </w:p>
        </w:tc>
        <w:tc>
          <w:tcPr>
            <w:tcW w:w="8880" w:type="dxa"/>
            <w:vAlign w:val="bottom"/>
            <w:gridSpan w:val="12"/>
          </w:tcPr>
          <w:p>
            <w:pPr>
              <w:spacing w:after="0" w:line="122" w:lineRule="exact"/>
              <w:rPr>
                <w:sz w:val="20"/>
                <w:szCs w:val="20"/>
                <w:color w:val="auto"/>
              </w:rPr>
            </w:pPr>
            <w:r>
              <w:rPr>
                <w:rFonts w:ascii="Arial" w:cs="Arial" w:eastAsia="Arial" w:hAnsi="Arial"/>
                <w:sz w:val="14"/>
                <w:szCs w:val="14"/>
                <w:color w:val="auto"/>
                <w:w w:val="98"/>
              </w:rPr>
              <w:t>after May 14, 2020), filed as Exhibit 10.1 to our Quarterly Report on Form 10-Q filed with the SEC on July 31, 2020 and incorporated by reference</w:t>
            </w:r>
          </w:p>
        </w:tc>
      </w:tr>
      <w:tr>
        <w:trPr>
          <w:trHeight w:val="189"/>
        </w:trPr>
        <w:tc>
          <w:tcPr>
            <w:tcW w:w="940" w:type="dxa"/>
            <w:vAlign w:val="bottom"/>
          </w:tcPr>
          <w:p>
            <w:pPr>
              <w:spacing w:after="0"/>
              <w:rPr>
                <w:sz w:val="16"/>
                <w:szCs w:val="16"/>
                <w:color w:val="auto"/>
              </w:rPr>
            </w:pPr>
          </w:p>
        </w:tc>
        <w:tc>
          <w:tcPr>
            <w:tcW w:w="8880" w:type="dxa"/>
            <w:vAlign w:val="bottom"/>
            <w:gridSpan w:val="12"/>
          </w:tcPr>
          <w:p>
            <w:pPr>
              <w:spacing w:after="0"/>
              <w:rPr>
                <w:sz w:val="20"/>
                <w:szCs w:val="20"/>
                <w:color w:val="auto"/>
              </w:rPr>
            </w:pPr>
            <w:r>
              <w:rPr>
                <w:rFonts w:ascii="Arial" w:cs="Arial" w:eastAsia="Arial" w:hAnsi="Arial"/>
                <w:sz w:val="15"/>
                <w:szCs w:val="15"/>
                <w:color w:val="auto"/>
              </w:rPr>
              <w:t>herein.</w:t>
            </w:r>
          </w:p>
        </w:tc>
      </w:tr>
      <w:tr>
        <w:trPr>
          <w:trHeight w:val="168"/>
        </w:trPr>
        <w:tc>
          <w:tcPr>
            <w:tcW w:w="940" w:type="dxa"/>
            <w:vAlign w:val="bottom"/>
          </w:tcPr>
          <w:p>
            <w:pPr>
              <w:ind w:left="40"/>
              <w:spacing w:after="0" w:line="169" w:lineRule="exact"/>
              <w:rPr>
                <w:sz w:val="20"/>
                <w:szCs w:val="20"/>
                <w:color w:val="auto"/>
              </w:rPr>
            </w:pPr>
            <w:r>
              <w:rPr>
                <w:rFonts w:ascii="Arial" w:cs="Arial" w:eastAsia="Arial" w:hAnsi="Arial"/>
                <w:sz w:val="15"/>
                <w:szCs w:val="15"/>
                <w:color w:val="auto"/>
              </w:rPr>
              <w:t>10.19+</w:t>
            </w:r>
          </w:p>
        </w:tc>
        <w:tc>
          <w:tcPr>
            <w:tcW w:w="8880" w:type="dxa"/>
            <w:vAlign w:val="bottom"/>
            <w:gridSpan w:val="12"/>
          </w:tcPr>
          <w:p>
            <w:pPr>
              <w:spacing w:after="0" w:line="169" w:lineRule="exact"/>
              <w:rPr>
                <w:rFonts w:ascii="Arial" w:cs="Arial" w:eastAsia="Arial" w:hAnsi="Arial"/>
                <w:sz w:val="15"/>
                <w:szCs w:val="15"/>
                <w:color w:val="0000FF"/>
                <w:w w:val="91"/>
              </w:rPr>
            </w:pPr>
            <w:hyperlink r:id="rId134">
              <w:r>
                <w:rPr>
                  <w:rFonts w:ascii="Arial" w:cs="Arial" w:eastAsia="Arial" w:hAnsi="Arial"/>
                  <w:sz w:val="15"/>
                  <w:szCs w:val="15"/>
                  <w:color w:val="0000FF"/>
                  <w:w w:val="91"/>
                </w:rPr>
                <w:t>Form of Executive (Jorge Mas) Restricted Stock Agreement for the MasTec, Inc. Amended and Restated 2013 Incentive Compensation Plan</w:t>
              </w:r>
            </w:hyperlink>
            <w:r>
              <w:rPr>
                <w:rFonts w:ascii="Arial" w:cs="Arial" w:eastAsia="Arial" w:hAnsi="Arial"/>
                <w:sz w:val="15"/>
                <w:szCs w:val="15"/>
                <w:color w:val="000000"/>
                <w:w w:val="91"/>
              </w:rPr>
              <w:t>,</w:t>
            </w:r>
            <w:r>
              <w:rPr>
                <w:rFonts w:ascii="Arial" w:cs="Arial" w:eastAsia="Arial" w:hAnsi="Arial"/>
                <w:sz w:val="15"/>
                <w:szCs w:val="15"/>
                <w:color w:val="0000FF"/>
                <w:w w:val="91"/>
              </w:rPr>
              <w:t xml:space="preserve"> </w:t>
            </w:r>
            <w:r>
              <w:rPr>
                <w:rFonts w:ascii="Arial" w:cs="Arial" w:eastAsia="Arial" w:hAnsi="Arial"/>
                <w:sz w:val="15"/>
                <w:szCs w:val="15"/>
                <w:color w:val="000000"/>
                <w:w w:val="91"/>
              </w:rPr>
              <w:t>filed</w:t>
            </w:r>
          </w:p>
        </w:tc>
      </w:tr>
      <w:tr>
        <w:trPr>
          <w:trHeight w:val="172"/>
        </w:trPr>
        <w:tc>
          <w:tcPr>
            <w:tcW w:w="940" w:type="dxa"/>
            <w:vAlign w:val="bottom"/>
          </w:tcPr>
          <w:p>
            <w:pPr>
              <w:spacing w:after="0"/>
              <w:rPr>
                <w:sz w:val="14"/>
                <w:szCs w:val="14"/>
                <w:color w:val="auto"/>
              </w:rPr>
            </w:pPr>
          </w:p>
        </w:tc>
        <w:tc>
          <w:tcPr>
            <w:tcW w:w="8520" w:type="dxa"/>
            <w:vAlign w:val="bottom"/>
            <w:tcBorders>
              <w:top w:val="single" w:sz="8" w:color="0000FF"/>
            </w:tcBorders>
            <w:gridSpan w:val="10"/>
          </w:tcPr>
          <w:p>
            <w:pPr>
              <w:spacing w:after="0"/>
              <w:rPr>
                <w:sz w:val="20"/>
                <w:szCs w:val="20"/>
                <w:color w:val="auto"/>
              </w:rPr>
            </w:pPr>
            <w:r>
              <w:rPr>
                <w:rFonts w:ascii="Arial" w:cs="Arial" w:eastAsia="Arial" w:hAnsi="Arial"/>
                <w:sz w:val="15"/>
                <w:szCs w:val="15"/>
                <w:color w:val="auto"/>
              </w:rPr>
              <w:t>as Exhibit 10.2 to our Quarterly Report on Form 10-Q filed with the SEC on July 31, 2020 and incorporated by reference herein.</w:t>
            </w:r>
          </w:p>
        </w:tc>
        <w:tc>
          <w:tcPr>
            <w:tcW w:w="360" w:type="dxa"/>
            <w:vAlign w:val="bottom"/>
            <w:gridSpan w:val="2"/>
          </w:tcPr>
          <w:p>
            <w:pPr>
              <w:spacing w:after="0"/>
              <w:rPr>
                <w:sz w:val="14"/>
                <w:szCs w:val="14"/>
                <w:color w:val="auto"/>
              </w:rPr>
            </w:pPr>
          </w:p>
        </w:tc>
      </w:tr>
      <w:tr>
        <w:trPr>
          <w:trHeight w:val="158"/>
        </w:trPr>
        <w:tc>
          <w:tcPr>
            <w:tcW w:w="940" w:type="dxa"/>
            <w:vAlign w:val="bottom"/>
          </w:tcPr>
          <w:p>
            <w:pPr>
              <w:ind w:left="40"/>
              <w:spacing w:after="0" w:line="158" w:lineRule="exact"/>
              <w:rPr>
                <w:sz w:val="20"/>
                <w:szCs w:val="20"/>
                <w:color w:val="auto"/>
              </w:rPr>
            </w:pPr>
            <w:r>
              <w:rPr>
                <w:rFonts w:ascii="Arial" w:cs="Arial" w:eastAsia="Arial" w:hAnsi="Arial"/>
                <w:sz w:val="15"/>
                <w:szCs w:val="15"/>
                <w:color w:val="auto"/>
              </w:rPr>
              <w:t>10.20+</w:t>
            </w:r>
          </w:p>
        </w:tc>
        <w:tc>
          <w:tcPr>
            <w:tcW w:w="8880" w:type="dxa"/>
            <w:vAlign w:val="bottom"/>
            <w:gridSpan w:val="12"/>
          </w:tcPr>
          <w:p>
            <w:pPr>
              <w:spacing w:after="0" w:line="158" w:lineRule="exact"/>
              <w:rPr>
                <w:rFonts w:ascii="Arial" w:cs="Arial" w:eastAsia="Arial" w:hAnsi="Arial"/>
                <w:sz w:val="15"/>
                <w:szCs w:val="15"/>
                <w:color w:val="0000FF"/>
                <w:w w:val="93"/>
              </w:rPr>
            </w:pPr>
            <w:hyperlink r:id="rId135">
              <w:r>
                <w:rPr>
                  <w:rFonts w:ascii="Arial" w:cs="Arial" w:eastAsia="Arial" w:hAnsi="Arial"/>
                  <w:sz w:val="15"/>
                  <w:szCs w:val="15"/>
                  <w:color w:val="0000FF"/>
                  <w:w w:val="93"/>
                </w:rPr>
                <w:t>Employment Agreement by and between MasTec, Inc. and George Pita, dated January 23, 2014</w:t>
              </w:r>
            </w:hyperlink>
            <w:r>
              <w:rPr>
                <w:rFonts w:ascii="Arial" w:cs="Arial" w:eastAsia="Arial" w:hAnsi="Arial"/>
                <w:sz w:val="15"/>
                <w:szCs w:val="15"/>
                <w:color w:val="000000"/>
                <w:w w:val="93"/>
              </w:rPr>
              <w:t>,</w:t>
            </w:r>
            <w:r>
              <w:rPr>
                <w:rFonts w:ascii="Arial" w:cs="Arial" w:eastAsia="Arial" w:hAnsi="Arial"/>
                <w:sz w:val="15"/>
                <w:szCs w:val="15"/>
                <w:color w:val="0000FF"/>
                <w:w w:val="93"/>
              </w:rPr>
              <w:t xml:space="preserve"> </w:t>
            </w:r>
            <w:r>
              <w:rPr>
                <w:rFonts w:ascii="Arial" w:cs="Arial" w:eastAsia="Arial" w:hAnsi="Arial"/>
                <w:sz w:val="15"/>
                <w:szCs w:val="15"/>
                <w:color w:val="000000"/>
                <w:w w:val="93"/>
              </w:rPr>
              <w:t>filed as Exhibit 10.2 to our Current Report on</w:t>
            </w:r>
          </w:p>
        </w:tc>
      </w:tr>
      <w:tr>
        <w:trPr>
          <w:trHeight w:val="172"/>
        </w:trPr>
        <w:tc>
          <w:tcPr>
            <w:tcW w:w="940" w:type="dxa"/>
            <w:vAlign w:val="bottom"/>
          </w:tcPr>
          <w:p>
            <w:pPr>
              <w:spacing w:after="0"/>
              <w:rPr>
                <w:sz w:val="14"/>
                <w:szCs w:val="14"/>
                <w:color w:val="auto"/>
              </w:rPr>
            </w:pPr>
          </w:p>
        </w:tc>
        <w:tc>
          <w:tcPr>
            <w:tcW w:w="594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auto"/>
              </w:rPr>
              <w:t>Form 8-K filed with the SEC on January 24, 2014 and incorporated by reference herein.</w:t>
            </w:r>
          </w:p>
        </w:tc>
        <w:tc>
          <w:tcPr>
            <w:tcW w:w="1140" w:type="dxa"/>
            <w:vAlign w:val="bottom"/>
          </w:tcPr>
          <w:p>
            <w:pPr>
              <w:spacing w:after="0"/>
              <w:rPr>
                <w:sz w:val="14"/>
                <w:szCs w:val="14"/>
                <w:color w:val="auto"/>
              </w:rPr>
            </w:pPr>
          </w:p>
        </w:tc>
        <w:tc>
          <w:tcPr>
            <w:tcW w:w="1800" w:type="dxa"/>
            <w:vAlign w:val="bottom"/>
            <w:gridSpan w:val="4"/>
          </w:tcPr>
          <w:p>
            <w:pPr>
              <w:spacing w:after="0"/>
              <w:rPr>
                <w:sz w:val="14"/>
                <w:szCs w:val="14"/>
                <w:color w:val="auto"/>
              </w:rPr>
            </w:pPr>
          </w:p>
        </w:tc>
      </w:tr>
      <w:tr>
        <w:trPr>
          <w:trHeight w:val="158"/>
        </w:trPr>
        <w:tc>
          <w:tcPr>
            <w:tcW w:w="940" w:type="dxa"/>
            <w:vAlign w:val="bottom"/>
          </w:tcPr>
          <w:p>
            <w:pPr>
              <w:ind w:left="40"/>
              <w:spacing w:after="0" w:line="158" w:lineRule="exact"/>
              <w:rPr>
                <w:sz w:val="20"/>
                <w:szCs w:val="20"/>
                <w:color w:val="auto"/>
              </w:rPr>
            </w:pPr>
            <w:r>
              <w:rPr>
                <w:rFonts w:ascii="Arial" w:cs="Arial" w:eastAsia="Arial" w:hAnsi="Arial"/>
                <w:sz w:val="15"/>
                <w:szCs w:val="15"/>
                <w:color w:val="auto"/>
              </w:rPr>
              <w:t>10.21+</w:t>
            </w:r>
          </w:p>
        </w:tc>
        <w:tc>
          <w:tcPr>
            <w:tcW w:w="8880" w:type="dxa"/>
            <w:vAlign w:val="bottom"/>
            <w:gridSpan w:val="12"/>
          </w:tcPr>
          <w:p>
            <w:pPr>
              <w:spacing w:after="0" w:line="158" w:lineRule="exact"/>
              <w:rPr>
                <w:rFonts w:ascii="Arial" w:cs="Arial" w:eastAsia="Arial" w:hAnsi="Arial"/>
                <w:sz w:val="15"/>
                <w:szCs w:val="15"/>
                <w:color w:val="0000FF"/>
                <w:w w:val="95"/>
              </w:rPr>
            </w:pPr>
            <w:hyperlink r:id="rId136">
              <w:r>
                <w:rPr>
                  <w:rFonts w:ascii="Arial" w:cs="Arial" w:eastAsia="Arial" w:hAnsi="Arial"/>
                  <w:sz w:val="15"/>
                  <w:szCs w:val="15"/>
                  <w:color w:val="0000FF"/>
                  <w:w w:val="95"/>
                </w:rPr>
                <w:t>First Amendment to the Employment Agreement between MasTec, Inc. and George Pita , dated March 31, 2014</w:t>
              </w:r>
            </w:hyperlink>
            <w:r>
              <w:rPr>
                <w:rFonts w:ascii="Arial" w:cs="Arial" w:eastAsia="Arial" w:hAnsi="Arial"/>
                <w:sz w:val="15"/>
                <w:szCs w:val="15"/>
                <w:color w:val="000000"/>
                <w:w w:val="95"/>
              </w:rPr>
              <w:t>,</w:t>
            </w:r>
            <w:r>
              <w:rPr>
                <w:rFonts w:ascii="Arial" w:cs="Arial" w:eastAsia="Arial" w:hAnsi="Arial"/>
                <w:sz w:val="15"/>
                <w:szCs w:val="15"/>
                <w:color w:val="0000FF"/>
                <w:w w:val="95"/>
              </w:rPr>
              <w:t xml:space="preserve"> </w:t>
            </w:r>
            <w:r>
              <w:rPr>
                <w:rFonts w:ascii="Arial" w:cs="Arial" w:eastAsia="Arial" w:hAnsi="Arial"/>
                <w:sz w:val="15"/>
                <w:szCs w:val="15"/>
                <w:color w:val="000000"/>
                <w:w w:val="95"/>
              </w:rPr>
              <w:t>filed as Exhibit 10.3 to our</w:t>
            </w:r>
          </w:p>
        </w:tc>
      </w:tr>
      <w:tr>
        <w:trPr>
          <w:trHeight w:val="172"/>
        </w:trPr>
        <w:tc>
          <w:tcPr>
            <w:tcW w:w="940" w:type="dxa"/>
            <w:vAlign w:val="bottom"/>
          </w:tcPr>
          <w:p>
            <w:pPr>
              <w:spacing w:after="0"/>
              <w:rPr>
                <w:sz w:val="14"/>
                <w:szCs w:val="14"/>
                <w:color w:val="auto"/>
              </w:rPr>
            </w:pPr>
          </w:p>
        </w:tc>
        <w:tc>
          <w:tcPr>
            <w:tcW w:w="7080" w:type="dxa"/>
            <w:vAlign w:val="bottom"/>
            <w:tcBorders>
              <w:top w:val="single" w:sz="8" w:color="0000FF"/>
            </w:tcBorders>
            <w:gridSpan w:val="8"/>
          </w:tcPr>
          <w:p>
            <w:pPr>
              <w:spacing w:after="0"/>
              <w:rPr>
                <w:sz w:val="20"/>
                <w:szCs w:val="20"/>
                <w:color w:val="auto"/>
              </w:rPr>
            </w:pPr>
            <w:r>
              <w:rPr>
                <w:rFonts w:ascii="Arial" w:cs="Arial" w:eastAsia="Arial" w:hAnsi="Arial"/>
                <w:sz w:val="15"/>
                <w:szCs w:val="15"/>
                <w:color w:val="auto"/>
              </w:rPr>
              <w:t>Current Report on Form 8-K filed with the SEC on April 4, 2014 and incorporated by reference herein.</w:t>
            </w:r>
          </w:p>
        </w:tc>
        <w:tc>
          <w:tcPr>
            <w:tcW w:w="1800" w:type="dxa"/>
            <w:vAlign w:val="bottom"/>
            <w:gridSpan w:val="4"/>
          </w:tcPr>
          <w:p>
            <w:pPr>
              <w:spacing w:after="0"/>
              <w:rPr>
                <w:sz w:val="14"/>
                <w:szCs w:val="14"/>
                <w:color w:val="auto"/>
              </w:rPr>
            </w:pPr>
          </w:p>
        </w:tc>
      </w:tr>
      <w:tr>
        <w:trPr>
          <w:trHeight w:val="158"/>
        </w:trPr>
        <w:tc>
          <w:tcPr>
            <w:tcW w:w="940" w:type="dxa"/>
            <w:vAlign w:val="bottom"/>
          </w:tcPr>
          <w:p>
            <w:pPr>
              <w:ind w:left="40"/>
              <w:spacing w:after="0" w:line="158" w:lineRule="exact"/>
              <w:rPr>
                <w:sz w:val="20"/>
                <w:szCs w:val="20"/>
                <w:color w:val="auto"/>
              </w:rPr>
            </w:pPr>
            <w:r>
              <w:rPr>
                <w:rFonts w:ascii="Arial" w:cs="Arial" w:eastAsia="Arial" w:hAnsi="Arial"/>
                <w:sz w:val="15"/>
                <w:szCs w:val="15"/>
                <w:color w:val="auto"/>
              </w:rPr>
              <w:t>10.22+</w:t>
            </w:r>
          </w:p>
        </w:tc>
        <w:tc>
          <w:tcPr>
            <w:tcW w:w="8880" w:type="dxa"/>
            <w:vAlign w:val="bottom"/>
            <w:gridSpan w:val="12"/>
          </w:tcPr>
          <w:p>
            <w:pPr>
              <w:spacing w:after="0" w:line="158" w:lineRule="exact"/>
              <w:rPr>
                <w:rFonts w:ascii="Arial" w:cs="Arial" w:eastAsia="Arial" w:hAnsi="Arial"/>
                <w:sz w:val="15"/>
                <w:szCs w:val="15"/>
                <w:color w:val="0000FF"/>
                <w:w w:val="92"/>
              </w:rPr>
            </w:pPr>
            <w:hyperlink r:id="rId137">
              <w:r>
                <w:rPr>
                  <w:rFonts w:ascii="Arial" w:cs="Arial" w:eastAsia="Arial" w:hAnsi="Arial"/>
                  <w:sz w:val="15"/>
                  <w:szCs w:val="15"/>
                  <w:color w:val="0000FF"/>
                  <w:w w:val="92"/>
                </w:rPr>
                <w:t>MasTec, Inc. Deferred Fee Plan for Directors (as amended and restated)</w:t>
              </w:r>
            </w:hyperlink>
            <w:r>
              <w:rPr>
                <w:rFonts w:ascii="Arial" w:cs="Arial" w:eastAsia="Arial" w:hAnsi="Arial"/>
                <w:sz w:val="15"/>
                <w:szCs w:val="15"/>
                <w:color w:val="000000"/>
                <w:w w:val="92"/>
              </w:rPr>
              <w:t>,</w:t>
            </w:r>
            <w:r>
              <w:rPr>
                <w:rFonts w:ascii="Arial" w:cs="Arial" w:eastAsia="Arial" w:hAnsi="Arial"/>
                <w:sz w:val="15"/>
                <w:szCs w:val="15"/>
                <w:color w:val="0000FF"/>
                <w:w w:val="92"/>
              </w:rPr>
              <w:t xml:space="preserve"> </w:t>
            </w:r>
            <w:r>
              <w:rPr>
                <w:rFonts w:ascii="Arial" w:cs="Arial" w:eastAsia="Arial" w:hAnsi="Arial"/>
                <w:sz w:val="15"/>
                <w:szCs w:val="15"/>
                <w:color w:val="000000"/>
                <w:w w:val="92"/>
              </w:rPr>
              <w:t>filed as Exhibit 10.38 to our Form 8-K filed with the SEC on December</w:t>
            </w:r>
          </w:p>
        </w:tc>
      </w:tr>
      <w:tr>
        <w:trPr>
          <w:trHeight w:val="172"/>
        </w:trPr>
        <w:tc>
          <w:tcPr>
            <w:tcW w:w="940" w:type="dxa"/>
            <w:vAlign w:val="bottom"/>
          </w:tcPr>
          <w:p>
            <w:pPr>
              <w:spacing w:after="0"/>
              <w:rPr>
                <w:sz w:val="14"/>
                <w:szCs w:val="14"/>
                <w:color w:val="auto"/>
              </w:rPr>
            </w:pPr>
          </w:p>
        </w:tc>
        <w:tc>
          <w:tcPr>
            <w:tcW w:w="4380" w:type="dxa"/>
            <w:vAlign w:val="bottom"/>
            <w:tcBorders>
              <w:top w:val="single" w:sz="8" w:color="0000FF"/>
            </w:tcBorders>
            <w:gridSpan w:val="3"/>
          </w:tcPr>
          <w:p>
            <w:pPr>
              <w:spacing w:after="0"/>
              <w:rPr>
                <w:sz w:val="20"/>
                <w:szCs w:val="20"/>
                <w:color w:val="auto"/>
              </w:rPr>
            </w:pPr>
            <w:r>
              <w:rPr>
                <w:rFonts w:ascii="Arial" w:cs="Arial" w:eastAsia="Arial" w:hAnsi="Arial"/>
                <w:sz w:val="15"/>
                <w:szCs w:val="15"/>
                <w:color w:val="auto"/>
              </w:rPr>
              <w:t>23, 2005 and incorporated by reference herein.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6"/>
          </w:tcPr>
          <w:p>
            <w:pPr>
              <w:spacing w:after="0"/>
              <w:rPr>
                <w:sz w:val="14"/>
                <w:szCs w:val="14"/>
                <w:color w:val="auto"/>
              </w:rPr>
            </w:pPr>
          </w:p>
        </w:tc>
      </w:tr>
      <w:tr>
        <w:trPr>
          <w:trHeight w:val="158"/>
        </w:trPr>
        <w:tc>
          <w:tcPr>
            <w:tcW w:w="940" w:type="dxa"/>
            <w:vAlign w:val="bottom"/>
          </w:tcPr>
          <w:p>
            <w:pPr>
              <w:ind w:left="40"/>
              <w:spacing w:after="0" w:line="158" w:lineRule="exact"/>
              <w:rPr>
                <w:sz w:val="20"/>
                <w:szCs w:val="20"/>
                <w:color w:val="auto"/>
              </w:rPr>
            </w:pPr>
            <w:r>
              <w:rPr>
                <w:rFonts w:ascii="Arial" w:cs="Arial" w:eastAsia="Arial" w:hAnsi="Arial"/>
                <w:sz w:val="15"/>
                <w:szCs w:val="15"/>
                <w:color w:val="auto"/>
              </w:rPr>
              <w:t>21*</w:t>
            </w:r>
          </w:p>
        </w:tc>
        <w:tc>
          <w:tcPr>
            <w:tcW w:w="8880" w:type="dxa"/>
            <w:vAlign w:val="bottom"/>
            <w:gridSpan w:val="12"/>
          </w:tcPr>
          <w:p>
            <w:pPr>
              <w:spacing w:after="0" w:line="158" w:lineRule="exact"/>
              <w:rPr>
                <w:rFonts w:ascii="Arial" w:cs="Arial" w:eastAsia="Arial" w:hAnsi="Arial"/>
                <w:sz w:val="15"/>
                <w:szCs w:val="15"/>
                <w:color w:val="0000FF"/>
              </w:rPr>
            </w:pPr>
            <w:hyperlink w:anchor="page373">
              <w:r>
                <w:rPr>
                  <w:rFonts w:ascii="Arial" w:cs="Arial" w:eastAsia="Arial" w:hAnsi="Arial"/>
                  <w:sz w:val="15"/>
                  <w:szCs w:val="15"/>
                  <w:color w:val="0000FF"/>
                </w:rPr>
                <w:t>Subsidiaries of MasTec, Inc</w:t>
              </w:r>
            </w:hyperlink>
            <w:r>
              <w:rPr>
                <w:rFonts w:ascii="Arial" w:cs="Arial" w:eastAsia="Arial" w:hAnsi="Arial"/>
                <w:sz w:val="15"/>
                <w:szCs w:val="15"/>
                <w:color w:val="000000"/>
              </w:rPr>
              <w:t>.</w:t>
            </w:r>
          </w:p>
        </w:tc>
      </w:tr>
      <w:tr>
        <w:trPr>
          <w:trHeight w:val="20"/>
        </w:trPr>
        <w:tc>
          <w:tcPr>
            <w:tcW w:w="9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23.1*</w:t>
            </w:r>
          </w:p>
        </w:tc>
        <w:tc>
          <w:tcPr>
            <w:tcW w:w="3640" w:type="dxa"/>
            <w:vAlign w:val="bottom"/>
            <w:tcBorders>
              <w:bottom w:val="single" w:sz="8" w:color="0000FF"/>
            </w:tcBorders>
            <w:gridSpan w:val="2"/>
          </w:tcPr>
          <w:p>
            <w:pPr>
              <w:spacing w:after="0"/>
              <w:rPr>
                <w:rFonts w:ascii="Arial" w:cs="Arial" w:eastAsia="Arial" w:hAnsi="Arial"/>
                <w:sz w:val="15"/>
                <w:szCs w:val="15"/>
                <w:color w:val="0000FF"/>
                <w:w w:val="90"/>
              </w:rPr>
            </w:pPr>
            <w:hyperlink w:anchor="page374">
              <w:r>
                <w:rPr>
                  <w:rFonts w:ascii="Arial" w:cs="Arial" w:eastAsia="Arial" w:hAnsi="Arial"/>
                  <w:sz w:val="15"/>
                  <w:szCs w:val="15"/>
                  <w:color w:val="0000FF"/>
                  <w:w w:val="90"/>
                </w:rPr>
                <w:t>Consent of Independent Registered Public Accounting Firm.</w:t>
              </w:r>
            </w:hyperlink>
          </w:p>
        </w:tc>
        <w:tc>
          <w:tcPr>
            <w:tcW w:w="5240" w:type="dxa"/>
            <w:vAlign w:val="bottom"/>
            <w:gridSpan w:val="10"/>
          </w:tcPr>
          <w:p>
            <w:pPr>
              <w:spacing w:after="0"/>
              <w:rPr>
                <w:sz w:val="15"/>
                <w:szCs w:val="15"/>
                <w:color w:val="auto"/>
              </w:rPr>
            </w:pPr>
          </w:p>
        </w:tc>
      </w:t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31.1*</w:t>
            </w:r>
          </w:p>
        </w:tc>
        <w:tc>
          <w:tcPr>
            <w:tcW w:w="4640" w:type="dxa"/>
            <w:vAlign w:val="bottom"/>
            <w:tcBorders>
              <w:bottom w:val="single" w:sz="8" w:color="0000FF"/>
            </w:tcBorders>
            <w:gridSpan w:val="6"/>
          </w:tcPr>
          <w:p>
            <w:pPr>
              <w:spacing w:after="0"/>
              <w:rPr>
                <w:rFonts w:ascii="Arial" w:cs="Arial" w:eastAsia="Arial" w:hAnsi="Arial"/>
                <w:sz w:val="15"/>
                <w:szCs w:val="15"/>
                <w:color w:val="0000FF"/>
                <w:w w:val="91"/>
              </w:rPr>
            </w:pPr>
            <w:hyperlink w:anchor="page375">
              <w:r>
                <w:rPr>
                  <w:rFonts w:ascii="Arial" w:cs="Arial" w:eastAsia="Arial" w:hAnsi="Arial"/>
                  <w:sz w:val="15"/>
                  <w:szCs w:val="15"/>
                  <w:color w:val="0000FF"/>
                  <w:w w:val="91"/>
                </w:rPr>
                <w:t>Certifications required by Section 302(a) of the Sarbanes-Oxley Act of 2002.</w:t>
              </w:r>
            </w:hyperlink>
          </w:p>
        </w:tc>
        <w:tc>
          <w:tcPr>
            <w:tcW w:w="4240" w:type="dxa"/>
            <w:vAlign w:val="bottom"/>
            <w:gridSpan w:val="6"/>
          </w:tcPr>
          <w:p>
            <w:pPr>
              <w:spacing w:after="0"/>
              <w:rPr>
                <w:sz w:val="15"/>
                <w:szCs w:val="15"/>
                <w:color w:val="auto"/>
              </w:rPr>
            </w:pPr>
          </w:p>
        </w:tc>
      </w:t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31.2*</w:t>
            </w:r>
          </w:p>
        </w:tc>
        <w:tc>
          <w:tcPr>
            <w:tcW w:w="8880" w:type="dxa"/>
            <w:vAlign w:val="bottom"/>
            <w:gridSpan w:val="12"/>
          </w:tcPr>
          <w:p>
            <w:pPr>
              <w:spacing w:after="0"/>
              <w:rPr>
                <w:rFonts w:ascii="Arial" w:cs="Arial" w:eastAsia="Arial" w:hAnsi="Arial"/>
                <w:sz w:val="15"/>
                <w:szCs w:val="15"/>
                <w:color w:val="0000FF"/>
              </w:rPr>
            </w:pPr>
            <w:hyperlink w:anchor="page376">
              <w:r>
                <w:rPr>
                  <w:rFonts w:ascii="Arial" w:cs="Arial" w:eastAsia="Arial" w:hAnsi="Arial"/>
                  <w:sz w:val="15"/>
                  <w:szCs w:val="15"/>
                  <w:color w:val="0000FF"/>
                </w:rPr>
                <w:t>Certifications required by Section 302(a) of the Sarbanes-Oxley Act of 2002.</w:t>
              </w:r>
            </w:hyperlink>
          </w:p>
        </w:tc>
      </w:t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32.1**</w:t>
            </w:r>
          </w:p>
        </w:tc>
        <w:tc>
          <w:tcPr>
            <w:tcW w:w="4620" w:type="dxa"/>
            <w:vAlign w:val="bottom"/>
            <w:tcBorders>
              <w:top w:val="single" w:sz="8" w:color="0000FF"/>
            </w:tcBorders>
            <w:gridSpan w:val="5"/>
          </w:tcPr>
          <w:p>
            <w:pPr>
              <w:spacing w:after="0"/>
              <w:rPr>
                <w:rFonts w:ascii="Arial" w:cs="Arial" w:eastAsia="Arial" w:hAnsi="Arial"/>
                <w:sz w:val="15"/>
                <w:szCs w:val="15"/>
                <w:color w:val="0000FF"/>
                <w:w w:val="94"/>
              </w:rPr>
            </w:pPr>
            <w:hyperlink w:anchor="page377">
              <w:r>
                <w:rPr>
                  <w:rFonts w:ascii="Arial" w:cs="Arial" w:eastAsia="Arial" w:hAnsi="Arial"/>
                  <w:sz w:val="15"/>
                  <w:szCs w:val="15"/>
                  <w:color w:val="0000FF"/>
                  <w:w w:val="94"/>
                </w:rPr>
                <w:t>Certifications required by Section 906 of the Sarbanes-Oxley Act of 2002.</w:t>
              </w:r>
            </w:hyperlink>
          </w:p>
        </w:tc>
        <w:tc>
          <w:tcPr>
            <w:tcW w:w="4260" w:type="dxa"/>
            <w:vAlign w:val="bottom"/>
            <w:gridSpan w:val="7"/>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32.2**</w:t>
            </w:r>
          </w:p>
        </w:tc>
        <w:tc>
          <w:tcPr>
            <w:tcW w:w="8880" w:type="dxa"/>
            <w:vAlign w:val="bottom"/>
            <w:gridSpan w:val="12"/>
          </w:tcPr>
          <w:p>
            <w:pPr>
              <w:spacing w:after="0"/>
              <w:rPr>
                <w:rFonts w:ascii="Arial" w:cs="Arial" w:eastAsia="Arial" w:hAnsi="Arial"/>
                <w:sz w:val="15"/>
                <w:szCs w:val="15"/>
                <w:color w:val="0000FF"/>
              </w:rPr>
            </w:pPr>
            <w:hyperlink w:anchor="page378">
              <w:r>
                <w:rPr>
                  <w:rFonts w:ascii="Arial" w:cs="Arial" w:eastAsia="Arial" w:hAnsi="Arial"/>
                  <w:sz w:val="15"/>
                  <w:szCs w:val="15"/>
                  <w:color w:val="0000FF"/>
                </w:rPr>
                <w:t>Certifications required by Section 906 of the Sarbanes-Oxley Act of 2002.</w:t>
              </w:r>
            </w:hyperlink>
          </w:p>
        </w:tc>
      </w:tr>
      <w:tr>
        <w:trPr>
          <w:trHeight w:val="20"/>
        </w:trPr>
        <w:tc>
          <w:tcPr>
            <w:tcW w:w="94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r>
      <w:tr>
        <w:trPr>
          <w:trHeight w:val="172"/>
        </w:trPr>
        <w:tc>
          <w:tcPr>
            <w:tcW w:w="940" w:type="dxa"/>
            <w:vAlign w:val="bottom"/>
          </w:tcPr>
          <w:p>
            <w:pPr>
              <w:spacing w:after="0"/>
              <w:rPr>
                <w:sz w:val="20"/>
                <w:szCs w:val="20"/>
                <w:color w:val="auto"/>
              </w:rPr>
            </w:pPr>
            <w:r>
              <w:rPr>
                <w:rFonts w:ascii="Arial" w:cs="Arial" w:eastAsia="Arial" w:hAnsi="Arial"/>
                <w:sz w:val="15"/>
                <w:szCs w:val="15"/>
                <w:color w:val="auto"/>
              </w:rPr>
              <w:t>101.INS</w:t>
            </w:r>
          </w:p>
        </w:tc>
        <w:tc>
          <w:tcPr>
            <w:tcW w:w="8880" w:type="dxa"/>
            <w:vAlign w:val="bottom"/>
            <w:gridSpan w:val="12"/>
          </w:tcPr>
          <w:p>
            <w:pPr>
              <w:spacing w:after="0"/>
              <w:rPr>
                <w:sz w:val="20"/>
                <w:szCs w:val="20"/>
                <w:color w:val="auto"/>
              </w:rPr>
            </w:pPr>
            <w:r>
              <w:rPr>
                <w:rFonts w:ascii="Arial" w:cs="Arial" w:eastAsia="Arial" w:hAnsi="Arial"/>
                <w:sz w:val="15"/>
                <w:szCs w:val="15"/>
                <w:color w:val="auto"/>
                <w:w w:val="91"/>
              </w:rPr>
              <w:t>Inline XBRL Instance Document - The instance document does not appear in the interactive data file because its XBRL tags are embedded within</w:t>
            </w:r>
          </w:p>
        </w:tc>
      </w:tr>
      <w:tr>
        <w:trPr>
          <w:trHeight w:val="189"/>
        </w:trPr>
        <w:tc>
          <w:tcPr>
            <w:tcW w:w="940" w:type="dxa"/>
            <w:vAlign w:val="bottom"/>
          </w:tcPr>
          <w:p>
            <w:pPr>
              <w:spacing w:after="0"/>
              <w:rPr>
                <w:sz w:val="16"/>
                <w:szCs w:val="16"/>
                <w:color w:val="auto"/>
              </w:rPr>
            </w:pPr>
          </w:p>
        </w:tc>
        <w:tc>
          <w:tcPr>
            <w:tcW w:w="8880" w:type="dxa"/>
            <w:vAlign w:val="bottom"/>
            <w:gridSpan w:val="12"/>
          </w:tcPr>
          <w:p>
            <w:pPr>
              <w:spacing w:after="0"/>
              <w:rPr>
                <w:sz w:val="20"/>
                <w:szCs w:val="20"/>
                <w:color w:val="auto"/>
              </w:rPr>
            </w:pPr>
            <w:r>
              <w:rPr>
                <w:rFonts w:ascii="Arial" w:cs="Arial" w:eastAsia="Arial" w:hAnsi="Arial"/>
                <w:sz w:val="15"/>
                <w:szCs w:val="15"/>
                <w:color w:val="auto"/>
              </w:rPr>
              <w:t>the Inline XBRL document.</w:t>
            </w:r>
          </w:p>
        </w:tc>
      </w:tr>
      <w:tr>
        <w:trPr>
          <w:trHeight w:val="200"/>
        </w:trPr>
        <w:tc>
          <w:tcPr>
            <w:tcW w:w="940" w:type="dxa"/>
            <w:vAlign w:val="bottom"/>
          </w:tcPr>
          <w:p>
            <w:pPr>
              <w:spacing w:after="0"/>
              <w:rPr>
                <w:sz w:val="20"/>
                <w:szCs w:val="20"/>
                <w:color w:val="auto"/>
              </w:rPr>
            </w:pPr>
            <w:r>
              <w:rPr>
                <w:rFonts w:ascii="Arial" w:cs="Arial" w:eastAsia="Arial" w:hAnsi="Arial"/>
                <w:sz w:val="15"/>
                <w:szCs w:val="15"/>
                <w:color w:val="auto"/>
              </w:rPr>
              <w:t>101.SCH</w:t>
            </w:r>
          </w:p>
        </w:tc>
        <w:tc>
          <w:tcPr>
            <w:tcW w:w="8880" w:type="dxa"/>
            <w:vAlign w:val="bottom"/>
            <w:gridSpan w:val="12"/>
          </w:tcPr>
          <w:p>
            <w:pPr>
              <w:spacing w:after="0"/>
              <w:rPr>
                <w:sz w:val="20"/>
                <w:szCs w:val="20"/>
                <w:color w:val="auto"/>
              </w:rPr>
            </w:pPr>
            <w:r>
              <w:rPr>
                <w:rFonts w:ascii="Arial" w:cs="Arial" w:eastAsia="Arial" w:hAnsi="Arial"/>
                <w:sz w:val="15"/>
                <w:szCs w:val="15"/>
                <w:color w:val="auto"/>
              </w:rPr>
              <w:t>Inline XBRL Taxonomy Extension Schema</w:t>
            </w:r>
          </w:p>
        </w:tc>
      </w:tr>
      <w:tr>
        <w:trPr>
          <w:trHeight w:val="200"/>
        </w:trPr>
        <w:tc>
          <w:tcPr>
            <w:tcW w:w="940" w:type="dxa"/>
            <w:vAlign w:val="bottom"/>
          </w:tcPr>
          <w:p>
            <w:pPr>
              <w:spacing w:after="0"/>
              <w:rPr>
                <w:sz w:val="20"/>
                <w:szCs w:val="20"/>
                <w:color w:val="auto"/>
              </w:rPr>
            </w:pPr>
            <w:r>
              <w:rPr>
                <w:rFonts w:ascii="Arial" w:cs="Arial" w:eastAsia="Arial" w:hAnsi="Arial"/>
                <w:sz w:val="15"/>
                <w:szCs w:val="15"/>
                <w:color w:val="auto"/>
              </w:rPr>
              <w:t>101.CAL</w:t>
            </w:r>
          </w:p>
        </w:tc>
        <w:tc>
          <w:tcPr>
            <w:tcW w:w="8880" w:type="dxa"/>
            <w:vAlign w:val="bottom"/>
            <w:gridSpan w:val="12"/>
          </w:tcPr>
          <w:p>
            <w:pPr>
              <w:spacing w:after="0"/>
              <w:rPr>
                <w:sz w:val="20"/>
                <w:szCs w:val="20"/>
                <w:color w:val="auto"/>
              </w:rPr>
            </w:pPr>
            <w:r>
              <w:rPr>
                <w:rFonts w:ascii="Arial" w:cs="Arial" w:eastAsia="Arial" w:hAnsi="Arial"/>
                <w:sz w:val="15"/>
                <w:szCs w:val="15"/>
                <w:color w:val="auto"/>
              </w:rPr>
              <w:t>Inline XBRL Taxonomy Extension Calculation Linkbase</w:t>
            </w:r>
          </w:p>
        </w:tc>
      </w:tr>
      <w:tr>
        <w:trPr>
          <w:trHeight w:val="225"/>
        </w:trPr>
        <w:tc>
          <w:tcPr>
            <w:tcW w:w="940" w:type="dxa"/>
            <w:vAlign w:val="bottom"/>
          </w:tcPr>
          <w:p>
            <w:pPr>
              <w:spacing w:after="0"/>
              <w:rPr>
                <w:sz w:val="20"/>
                <w:szCs w:val="20"/>
                <w:color w:val="auto"/>
              </w:rPr>
            </w:pPr>
            <w:r>
              <w:rPr>
                <w:rFonts w:ascii="Arial" w:cs="Arial" w:eastAsia="Arial" w:hAnsi="Arial"/>
                <w:sz w:val="15"/>
                <w:szCs w:val="15"/>
                <w:color w:val="auto"/>
              </w:rPr>
              <w:t>101.DEF</w:t>
            </w:r>
          </w:p>
        </w:tc>
        <w:tc>
          <w:tcPr>
            <w:tcW w:w="8880" w:type="dxa"/>
            <w:vAlign w:val="bottom"/>
            <w:gridSpan w:val="12"/>
          </w:tcPr>
          <w:p>
            <w:pPr>
              <w:spacing w:after="0"/>
              <w:rPr>
                <w:sz w:val="20"/>
                <w:szCs w:val="20"/>
                <w:color w:val="auto"/>
              </w:rPr>
            </w:pPr>
            <w:r>
              <w:rPr>
                <w:rFonts w:ascii="Arial" w:cs="Arial" w:eastAsia="Arial" w:hAnsi="Arial"/>
                <w:sz w:val="15"/>
                <w:szCs w:val="15"/>
                <w:color w:val="auto"/>
              </w:rPr>
              <w:t>Inline XBRL Taxonomy Extension Definition Linkbase</w:t>
            </w:r>
          </w:p>
        </w:tc>
      </w:tr>
      <w:tr>
        <w:trPr>
          <w:trHeight w:val="212"/>
        </w:trPr>
        <w:tc>
          <w:tcPr>
            <w:tcW w:w="940" w:type="dxa"/>
            <w:vAlign w:val="bottom"/>
          </w:tcPr>
          <w:p>
            <w:pPr>
              <w:spacing w:after="0"/>
              <w:rPr>
                <w:sz w:val="20"/>
                <w:szCs w:val="20"/>
                <w:color w:val="auto"/>
              </w:rPr>
            </w:pPr>
            <w:r>
              <w:rPr>
                <w:rFonts w:ascii="Arial" w:cs="Arial" w:eastAsia="Arial" w:hAnsi="Arial"/>
                <w:sz w:val="15"/>
                <w:szCs w:val="15"/>
                <w:color w:val="auto"/>
              </w:rPr>
              <w:t>101.LAB</w:t>
            </w:r>
          </w:p>
        </w:tc>
        <w:tc>
          <w:tcPr>
            <w:tcW w:w="8880" w:type="dxa"/>
            <w:vAlign w:val="bottom"/>
            <w:gridSpan w:val="12"/>
          </w:tcPr>
          <w:p>
            <w:pPr>
              <w:spacing w:after="0"/>
              <w:rPr>
                <w:sz w:val="20"/>
                <w:szCs w:val="20"/>
                <w:color w:val="auto"/>
              </w:rPr>
            </w:pPr>
            <w:r>
              <w:rPr>
                <w:rFonts w:ascii="Arial" w:cs="Arial" w:eastAsia="Arial" w:hAnsi="Arial"/>
                <w:sz w:val="15"/>
                <w:szCs w:val="15"/>
                <w:color w:val="auto"/>
              </w:rPr>
              <w:t>Inline XBRL Taxonomy Extension Label Linkbase</w:t>
            </w:r>
          </w:p>
        </w:tc>
      </w:tr>
      <w:tr>
        <w:trPr>
          <w:trHeight w:val="200"/>
        </w:trPr>
        <w:tc>
          <w:tcPr>
            <w:tcW w:w="940" w:type="dxa"/>
            <w:vAlign w:val="bottom"/>
          </w:tcPr>
          <w:p>
            <w:pPr>
              <w:spacing w:after="0"/>
              <w:rPr>
                <w:sz w:val="20"/>
                <w:szCs w:val="20"/>
                <w:color w:val="auto"/>
              </w:rPr>
            </w:pPr>
            <w:r>
              <w:rPr>
                <w:rFonts w:ascii="Arial" w:cs="Arial" w:eastAsia="Arial" w:hAnsi="Arial"/>
                <w:sz w:val="15"/>
                <w:szCs w:val="15"/>
                <w:color w:val="auto"/>
              </w:rPr>
              <w:t>101.PRE</w:t>
            </w:r>
          </w:p>
        </w:tc>
        <w:tc>
          <w:tcPr>
            <w:tcW w:w="8880" w:type="dxa"/>
            <w:vAlign w:val="bottom"/>
            <w:gridSpan w:val="12"/>
          </w:tcPr>
          <w:p>
            <w:pPr>
              <w:spacing w:after="0"/>
              <w:rPr>
                <w:sz w:val="20"/>
                <w:szCs w:val="20"/>
                <w:color w:val="auto"/>
              </w:rPr>
            </w:pPr>
            <w:r>
              <w:rPr>
                <w:rFonts w:ascii="Arial" w:cs="Arial" w:eastAsia="Arial" w:hAnsi="Arial"/>
                <w:sz w:val="15"/>
                <w:szCs w:val="15"/>
                <w:color w:val="auto"/>
              </w:rPr>
              <w:t>Inline XBRL Taxonomy Extension Presentation Linkbase</w:t>
            </w:r>
          </w:p>
        </w:tc>
      </w:tr>
    </w:tbl>
    <w:p>
      <w:pPr>
        <w:spacing w:after="0" w:line="10" w:lineRule="exact"/>
        <w:rPr>
          <w:sz w:val="20"/>
          <w:szCs w:val="20"/>
          <w:color w:val="auto"/>
        </w:rPr>
      </w:pPr>
    </w:p>
    <w:p>
      <w:pPr>
        <w:ind w:left="960" w:right="479" w:hanging="944"/>
        <w:spacing w:after="0" w:line="236" w:lineRule="auto"/>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cover page of MasTec, Inc.’s Annual Report on Form 10-K for the year ended December 31, 2021, formatted in Inline XBRL (included with the Exhibit 101 attachments).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59" w:lineRule="exact"/>
        <w:rPr>
          <w:sz w:val="20"/>
          <w:szCs w:val="20"/>
          <w:color w:val="auto"/>
        </w:rPr>
      </w:pPr>
    </w:p>
    <w:p>
      <w:pPr>
        <w:ind w:right="3799"/>
        <w:spacing w:after="0" w:line="312" w:lineRule="auto"/>
        <w:tabs>
          <w:tab w:leader="none" w:pos="325"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SEC file number for all Securities Exchange Act reports referenced in the exhibit list is 001 - 08106. * Filed herewith.</w:t>
      </w:r>
    </w:p>
    <w:p>
      <w:pPr>
        <w:spacing w:after="0"/>
        <w:rPr>
          <w:rFonts w:ascii="Arial" w:cs="Arial" w:eastAsia="Arial" w:hAnsi="Arial"/>
          <w:sz w:val="15"/>
          <w:szCs w:val="15"/>
          <w:color w:val="auto"/>
        </w:rPr>
      </w:pPr>
      <w:r>
        <w:rPr>
          <w:rFonts w:ascii="Arial" w:cs="Arial" w:eastAsia="Arial" w:hAnsi="Arial"/>
          <w:sz w:val="15"/>
          <w:szCs w:val="15"/>
          <w:color w:val="auto"/>
        </w:rPr>
        <w:t>**  Furnished herewith.</w:t>
      </w:r>
    </w:p>
    <w:p>
      <w:pPr>
        <w:spacing w:after="0" w:line="5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Management contract or compensation plan arrangement.</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16.</w:t>
        <w:tab/>
        <w:t>FORM 10-K SUMMARY</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6788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953" w:right="1440" w:bottom="1440" w:gutter="0" w:footer="0" w:header="0"/>
        </w:sectPr>
      </w:pPr>
    </w:p>
    <w:bookmarkStart w:id="90" w:name="page91"/>
    <w:bookmarkEnd w:id="90"/>
    <w:p>
      <w:pPr>
        <w:jc w:val="center"/>
        <w:ind w:right="80"/>
        <w:spacing w:after="0"/>
        <w:rPr>
          <w:sz w:val="20"/>
          <w:szCs w:val="20"/>
          <w:color w:val="auto"/>
        </w:rPr>
      </w:pPr>
      <w:r>
        <w:rPr>
          <w:rFonts w:ascii="Arial" w:cs="Arial" w:eastAsia="Arial" w:hAnsi="Arial"/>
          <w:sz w:val="15"/>
          <w:szCs w:val="15"/>
          <w:b w:val="1"/>
          <w:bCs w:val="1"/>
          <w:color w:val="auto"/>
        </w:rPr>
        <w:t>MASTEC,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 II – VALUATION AND QUALIFYING ACCOUNTS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Additions</w:t>
            </w: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420"/>
              <w:spacing w:after="0" w:line="136" w:lineRule="exact"/>
              <w:rPr>
                <w:sz w:val="20"/>
                <w:szCs w:val="20"/>
                <w:color w:val="auto"/>
              </w:rPr>
            </w:pPr>
            <w:r>
              <w:rPr>
                <w:rFonts w:ascii="Arial" w:cs="Arial" w:eastAsia="Arial" w:hAnsi="Arial"/>
                <w:sz w:val="15"/>
                <w:szCs w:val="15"/>
                <w:b w:val="1"/>
                <w:bCs w:val="1"/>
                <w:color w:val="auto"/>
                <w:w w:val="87"/>
              </w:rPr>
              <w:t>Balance at</w:t>
            </w:r>
          </w:p>
        </w:tc>
        <w:tc>
          <w:tcPr>
            <w:tcW w:w="11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88"/>
              </w:rPr>
              <w:t>Charges to Cost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2"/>
              </w:rPr>
              <w:t>Balance at End</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20"/>
              <w:spacing w:after="0" w:line="150" w:lineRule="exact"/>
              <w:rPr>
                <w:sz w:val="20"/>
                <w:szCs w:val="20"/>
                <w:color w:val="auto"/>
              </w:rPr>
            </w:pPr>
            <w:r>
              <w:rPr>
                <w:rFonts w:ascii="Arial" w:cs="Arial" w:eastAsia="Arial" w:hAnsi="Arial"/>
                <w:sz w:val="15"/>
                <w:szCs w:val="15"/>
                <w:b w:val="1"/>
                <w:bCs w:val="1"/>
                <w:color w:val="auto"/>
                <w:w w:val="89"/>
              </w:rPr>
              <w:t>Beginning of</w:t>
            </w:r>
          </w:p>
        </w:tc>
        <w:tc>
          <w:tcPr>
            <w:tcW w:w="11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w w:val="93"/>
              </w:rPr>
              <w:t>(Deductions)</w:t>
            </w: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Period</w:t>
            </w:r>
          </w:p>
        </w:tc>
        <w:tc>
          <w:tcPr>
            <w:tcW w:w="100" w:type="dxa"/>
            <w:vAlign w:val="bottom"/>
          </w:tcPr>
          <w:p>
            <w:pPr>
              <w:spacing w:after="0"/>
              <w:rPr>
                <w:sz w:val="16"/>
                <w:szCs w:val="16"/>
                <w:color w:val="auto"/>
              </w:rPr>
            </w:pPr>
          </w:p>
        </w:tc>
        <w:tc>
          <w:tcPr>
            <w:tcW w:w="1000" w:type="dxa"/>
            <w:vAlign w:val="bottom"/>
          </w:tcPr>
          <w:p>
            <w:pPr>
              <w:jc w:val="right"/>
              <w:ind w:right="85"/>
              <w:spacing w:after="0"/>
              <w:rPr>
                <w:sz w:val="20"/>
                <w:szCs w:val="20"/>
                <w:color w:val="auto"/>
              </w:rPr>
            </w:pPr>
            <w:r>
              <w:rPr>
                <w:rFonts w:ascii="Arial" w:cs="Arial" w:eastAsia="Arial" w:hAnsi="Arial"/>
                <w:sz w:val="15"/>
                <w:szCs w:val="15"/>
                <w:b w:val="1"/>
                <w:bCs w:val="1"/>
                <w:color w:val="auto"/>
                <w:w w:val="88"/>
              </w:rPr>
              <w:t>and Expense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5"/>
                <w:szCs w:val="15"/>
                <w:b w:val="1"/>
                <w:bCs w:val="1"/>
                <w:color w:val="auto"/>
              </w:rPr>
              <w:t>Additions</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85"/>
              <w:spacing w:after="0"/>
              <w:rPr>
                <w:sz w:val="20"/>
                <w:szCs w:val="20"/>
                <w:color w:val="auto"/>
              </w:rPr>
            </w:pPr>
            <w:r>
              <w:rPr>
                <w:rFonts w:ascii="Arial" w:cs="Arial" w:eastAsia="Arial" w:hAnsi="Arial"/>
                <w:sz w:val="15"/>
                <w:szCs w:val="15"/>
                <w:b w:val="1"/>
                <w:bCs w:val="1"/>
                <w:color w:val="auto"/>
                <w:w w:val="98"/>
              </w:rPr>
              <w:t>of Period</w:t>
            </w:r>
          </w:p>
        </w:tc>
        <w:tc>
          <w:tcPr>
            <w:tcW w:w="0" w:type="dxa"/>
            <w:vAlign w:val="bottom"/>
          </w:tcPr>
          <w:p>
            <w:pPr>
              <w:spacing w:after="0"/>
              <w:rPr>
                <w:sz w:val="1"/>
                <w:szCs w:val="1"/>
                <w:color w:val="auto"/>
              </w:rPr>
            </w:pPr>
          </w:p>
        </w:tc>
      </w:tr>
      <w:tr>
        <w:trPr>
          <w:trHeight w:val="183"/>
        </w:trPr>
        <w:tc>
          <w:tcPr>
            <w:tcW w:w="4440" w:type="dxa"/>
            <w:vAlign w:val="bottom"/>
          </w:tcPr>
          <w:p>
            <w:pPr>
              <w:ind w:left="200"/>
              <w:spacing w:after="0"/>
              <w:rPr>
                <w:sz w:val="20"/>
                <w:szCs w:val="20"/>
                <w:color w:val="auto"/>
              </w:rPr>
            </w:pPr>
            <w:r>
              <w:rPr>
                <w:rFonts w:ascii="Arial" w:cs="Arial" w:eastAsia="Arial" w:hAnsi="Arial"/>
                <w:sz w:val="15"/>
                <w:szCs w:val="15"/>
                <w:color w:val="auto"/>
              </w:rPr>
              <w:t>Year ended December 31, 2021</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Allowance for credit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81"/>
              </w:rPr>
              <w:t>(a)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(b)</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4"/>
        </w:trPr>
        <w:tc>
          <w:tcPr>
            <w:tcW w:w="4440" w:type="dxa"/>
            <w:vAlign w:val="bottom"/>
          </w:tcPr>
          <w:p>
            <w:pPr>
              <w:ind w:left="520"/>
              <w:spacing w:after="0" w:line="154" w:lineRule="exact"/>
              <w:rPr>
                <w:sz w:val="20"/>
                <w:szCs w:val="20"/>
                <w:color w:val="auto"/>
              </w:rPr>
            </w:pPr>
            <w:r>
              <w:rPr>
                <w:rFonts w:ascii="Arial" w:cs="Arial" w:eastAsia="Arial" w:hAnsi="Arial"/>
                <w:sz w:val="15"/>
                <w:szCs w:val="15"/>
                <w:color w:val="auto"/>
              </w:rPr>
              <w:t>Allowance for unbilled receivables and project close-out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50.4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67.0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(20.6)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92"/>
        </w:trPr>
        <w:tc>
          <w:tcPr>
            <w:tcW w:w="4440" w:type="dxa"/>
            <w:vAlign w:val="bottom"/>
          </w:tcPr>
          <w:p>
            <w:pPr>
              <w:ind w:left="520"/>
              <w:spacing w:after="0"/>
              <w:rPr>
                <w:sz w:val="20"/>
                <w:szCs w:val="20"/>
                <w:color w:val="auto"/>
              </w:rPr>
            </w:pPr>
            <w:r>
              <w:rPr>
                <w:rFonts w:ascii="Arial" w:cs="Arial" w:eastAsia="Arial" w:hAnsi="Arial"/>
                <w:sz w:val="15"/>
                <w:szCs w:val="15"/>
                <w:color w:val="auto"/>
              </w:rPr>
              <w:t>liabilities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0"/>
                <w:szCs w:val="10"/>
                <w:color w:val="auto"/>
                <w:w w:val="81"/>
              </w:rPr>
              <w:t>(a)</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(b)</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Valuation allowance for inventory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85"/>
              </w:rPr>
              <w:t>(c)</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Valuation allowance for deferred tax assets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0"/>
                <w:szCs w:val="10"/>
                <w:color w:val="auto"/>
                <w:w w:val="81"/>
              </w:rPr>
              <w:t>(e)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(f)</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125.2</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169.9</w:t>
            </w:r>
          </w:p>
        </w:tc>
        <w:tc>
          <w:tcPr>
            <w:tcW w:w="0" w:type="dxa"/>
            <w:vAlign w:val="bottom"/>
          </w:tcPr>
          <w:p>
            <w:pPr>
              <w:spacing w:after="0"/>
              <w:rPr>
                <w:sz w:val="1"/>
                <w:szCs w:val="1"/>
                <w:color w:val="auto"/>
              </w:rPr>
            </w:pPr>
          </w:p>
        </w:tc>
      </w:tr>
      <w:tr>
        <w:trPr>
          <w:trHeight w:val="177"/>
        </w:trPr>
        <w:tc>
          <w:tcPr>
            <w:tcW w:w="4440" w:type="dxa"/>
            <w:vAlign w:val="bottom"/>
          </w:tcPr>
          <w:p>
            <w:pPr>
              <w:ind w:left="200"/>
              <w:spacing w:after="0"/>
              <w:rPr>
                <w:sz w:val="20"/>
                <w:szCs w:val="20"/>
                <w:color w:val="auto"/>
              </w:rPr>
            </w:pPr>
            <w:r>
              <w:rPr>
                <w:rFonts w:ascii="Arial" w:cs="Arial" w:eastAsia="Arial" w:hAnsi="Arial"/>
                <w:sz w:val="15"/>
                <w:szCs w:val="15"/>
                <w:color w:val="auto"/>
              </w:rPr>
              <w:t>Year ended December 31, 2020</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Allowance for credit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11"/>
              <w:spacing w:after="0" w:line="203" w:lineRule="exact"/>
              <w:rPr>
                <w:sz w:val="20"/>
                <w:szCs w:val="20"/>
                <w:color w:val="auto"/>
              </w:rPr>
            </w:pPr>
            <w:r>
              <w:rPr>
                <w:rFonts w:ascii="Arial" w:cs="Arial" w:eastAsia="Arial" w:hAnsi="Arial"/>
                <w:sz w:val="15"/>
                <w:szCs w:val="15"/>
                <w:color w:val="auto"/>
              </w:rPr>
              <w:t xml:space="preserve">12.1 </w:t>
            </w:r>
            <w:r>
              <w:rPr>
                <w:rFonts w:ascii="Arial" w:cs="Arial" w:eastAsia="Arial" w:hAnsi="Arial"/>
                <w:sz w:val="19"/>
                <w:szCs w:val="19"/>
                <w:color w:val="auto"/>
                <w:vertAlign w:val="superscript"/>
              </w:rPr>
              <w:t>(a)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(b)</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54"/>
        </w:trPr>
        <w:tc>
          <w:tcPr>
            <w:tcW w:w="4440" w:type="dxa"/>
            <w:vAlign w:val="bottom"/>
          </w:tcPr>
          <w:p>
            <w:pPr>
              <w:ind w:left="520"/>
              <w:spacing w:after="0" w:line="154" w:lineRule="exact"/>
              <w:rPr>
                <w:sz w:val="20"/>
                <w:szCs w:val="20"/>
                <w:color w:val="auto"/>
              </w:rPr>
            </w:pPr>
            <w:r>
              <w:rPr>
                <w:rFonts w:ascii="Arial" w:cs="Arial" w:eastAsia="Arial" w:hAnsi="Arial"/>
                <w:sz w:val="15"/>
                <w:szCs w:val="15"/>
                <w:color w:val="auto"/>
              </w:rPr>
              <w:t>Allowance for unbilled receivables and project close-out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57.3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38.5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(45.4)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92"/>
        </w:trPr>
        <w:tc>
          <w:tcPr>
            <w:tcW w:w="4440" w:type="dxa"/>
            <w:vAlign w:val="bottom"/>
          </w:tcPr>
          <w:p>
            <w:pPr>
              <w:ind w:left="520"/>
              <w:spacing w:after="0"/>
              <w:rPr>
                <w:sz w:val="20"/>
                <w:szCs w:val="20"/>
                <w:color w:val="auto"/>
              </w:rPr>
            </w:pPr>
            <w:r>
              <w:rPr>
                <w:rFonts w:ascii="Arial" w:cs="Arial" w:eastAsia="Arial" w:hAnsi="Arial"/>
                <w:sz w:val="15"/>
                <w:szCs w:val="15"/>
                <w:color w:val="auto"/>
              </w:rPr>
              <w:t>liabilities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0"/>
                <w:szCs w:val="10"/>
                <w:color w:val="auto"/>
                <w:w w:val="81"/>
              </w:rPr>
              <w:t>(a)</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(b)</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Valuation allowance for inventory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85"/>
              </w:rPr>
              <w:t>(c)</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Valuation allowance for deferred tax assets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0"/>
                <w:szCs w:val="10"/>
                <w:color w:val="auto"/>
                <w:w w:val="81"/>
              </w:rPr>
              <w:t>(e)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125.2</w:t>
            </w:r>
          </w:p>
        </w:tc>
        <w:tc>
          <w:tcPr>
            <w:tcW w:w="0" w:type="dxa"/>
            <w:vAlign w:val="bottom"/>
          </w:tcPr>
          <w:p>
            <w:pPr>
              <w:spacing w:after="0"/>
              <w:rPr>
                <w:sz w:val="1"/>
                <w:szCs w:val="1"/>
                <w:color w:val="auto"/>
              </w:rPr>
            </w:pPr>
          </w:p>
        </w:tc>
      </w:tr>
      <w:tr>
        <w:trPr>
          <w:trHeight w:val="177"/>
        </w:trPr>
        <w:tc>
          <w:tcPr>
            <w:tcW w:w="4440" w:type="dxa"/>
            <w:vAlign w:val="bottom"/>
          </w:tcPr>
          <w:p>
            <w:pPr>
              <w:ind w:left="200"/>
              <w:spacing w:after="0"/>
              <w:rPr>
                <w:sz w:val="20"/>
                <w:szCs w:val="20"/>
                <w:color w:val="auto"/>
              </w:rPr>
            </w:pPr>
            <w:r>
              <w:rPr>
                <w:rFonts w:ascii="Arial" w:cs="Arial" w:eastAsia="Arial" w:hAnsi="Arial"/>
                <w:sz w:val="15"/>
                <w:szCs w:val="15"/>
                <w:color w:val="auto"/>
              </w:rPr>
              <w:t>Year ended December 31, 2019</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Allowance for credit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11"/>
              <w:spacing w:after="0" w:line="203" w:lineRule="exact"/>
              <w:rPr>
                <w:sz w:val="20"/>
                <w:szCs w:val="20"/>
                <w:color w:val="auto"/>
              </w:rPr>
            </w:pPr>
            <w:r>
              <w:rPr>
                <w:rFonts w:ascii="Arial" w:cs="Arial" w:eastAsia="Arial" w:hAnsi="Arial"/>
                <w:sz w:val="15"/>
                <w:szCs w:val="15"/>
                <w:color w:val="auto"/>
              </w:rPr>
              <w:t xml:space="preserve">1.7 </w:t>
            </w:r>
            <w:r>
              <w:rPr>
                <w:rFonts w:ascii="Arial" w:cs="Arial" w:eastAsia="Arial" w:hAnsi="Arial"/>
                <w:sz w:val="19"/>
                <w:szCs w:val="19"/>
                <w:color w:val="auto"/>
                <w:vertAlign w:val="superscript"/>
              </w:rPr>
              <w:t>(a)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(b)</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54"/>
        </w:trPr>
        <w:tc>
          <w:tcPr>
            <w:tcW w:w="4440" w:type="dxa"/>
            <w:vAlign w:val="bottom"/>
          </w:tcPr>
          <w:p>
            <w:pPr>
              <w:ind w:left="520"/>
              <w:spacing w:after="0" w:line="154" w:lineRule="exact"/>
              <w:rPr>
                <w:sz w:val="20"/>
                <w:szCs w:val="20"/>
                <w:color w:val="auto"/>
              </w:rPr>
            </w:pPr>
            <w:r>
              <w:rPr>
                <w:rFonts w:ascii="Arial" w:cs="Arial" w:eastAsia="Arial" w:hAnsi="Arial"/>
                <w:sz w:val="15"/>
                <w:szCs w:val="15"/>
                <w:color w:val="auto"/>
              </w:rPr>
              <w:t>Allowance for unbilled receivables and project close-out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48.0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49.7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(40.4)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5"/>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192"/>
        </w:trPr>
        <w:tc>
          <w:tcPr>
            <w:tcW w:w="4440" w:type="dxa"/>
            <w:vAlign w:val="bottom"/>
          </w:tcPr>
          <w:p>
            <w:pPr>
              <w:ind w:left="520"/>
              <w:spacing w:after="0"/>
              <w:rPr>
                <w:sz w:val="20"/>
                <w:szCs w:val="20"/>
                <w:color w:val="auto"/>
              </w:rPr>
            </w:pPr>
            <w:r>
              <w:rPr>
                <w:rFonts w:ascii="Arial" w:cs="Arial" w:eastAsia="Arial" w:hAnsi="Arial"/>
                <w:sz w:val="15"/>
                <w:szCs w:val="15"/>
                <w:color w:val="auto"/>
              </w:rPr>
              <w:t>liabilities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0"/>
                <w:szCs w:val="10"/>
                <w:color w:val="auto"/>
                <w:w w:val="81"/>
              </w:rPr>
              <w:t>(a)</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(b)</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Valuation allowance for inventory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85"/>
              </w:rPr>
              <w:t>(c)</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80" w:type="dxa"/>
            <w:vAlign w:val="bottom"/>
            <w:shd w:val="clear" w:color="auto" w:fill="CCEEFF"/>
          </w:tcPr>
          <w:p>
            <w:pPr>
              <w:spacing w:after="0"/>
              <w:rPr>
                <w:sz w:val="20"/>
                <w:szCs w:val="20"/>
                <w:color w:val="auto"/>
              </w:rPr>
            </w:pPr>
            <w:r>
              <w:rPr>
                <w:rFonts w:ascii="Arial" w:cs="Arial" w:eastAsia="Arial" w:hAnsi="Arial"/>
                <w:sz w:val="10"/>
                <w:szCs w:val="10"/>
                <w:color w:val="auto"/>
              </w:rPr>
              <w:t>(d)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Valuation allowance for deferred tax assets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0"/>
                <w:szCs w:val="10"/>
                <w:color w:val="auto"/>
                <w:w w:val="81"/>
              </w:rPr>
              <w:t>(e)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84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112.7</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123.9</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00" w:hanging="321"/>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Provisions for receivables and project close-out liabilities.</w:t>
      </w:r>
    </w:p>
    <w:p>
      <w:pPr>
        <w:spacing w:after="0" w:line="14" w:lineRule="exact"/>
        <w:rPr>
          <w:rFonts w:ascii="Arial" w:cs="Arial" w:eastAsia="Arial" w:hAnsi="Arial"/>
          <w:sz w:val="15"/>
          <w:szCs w:val="15"/>
          <w:color w:val="auto"/>
        </w:rPr>
      </w:pPr>
    </w:p>
    <w:p>
      <w:pPr>
        <w:ind w:left="600" w:hanging="321"/>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Write-offs of and reversals for receivables and project close-out liabilities.</w:t>
      </w:r>
    </w:p>
    <w:p>
      <w:pPr>
        <w:spacing w:after="0" w:line="2" w:lineRule="exact"/>
        <w:rPr>
          <w:rFonts w:ascii="Arial" w:cs="Arial" w:eastAsia="Arial" w:hAnsi="Arial"/>
          <w:sz w:val="15"/>
          <w:szCs w:val="15"/>
          <w:color w:val="auto"/>
        </w:rPr>
      </w:pPr>
    </w:p>
    <w:p>
      <w:pPr>
        <w:ind w:left="600" w:hanging="321"/>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Provisions for obsolete inventory and other adjustments to net realizable value.</w:t>
      </w:r>
    </w:p>
    <w:p>
      <w:pPr>
        <w:spacing w:after="0" w:line="2" w:lineRule="exact"/>
        <w:rPr>
          <w:rFonts w:ascii="Arial" w:cs="Arial" w:eastAsia="Arial" w:hAnsi="Arial"/>
          <w:sz w:val="15"/>
          <w:szCs w:val="15"/>
          <w:color w:val="auto"/>
        </w:rPr>
      </w:pPr>
    </w:p>
    <w:p>
      <w:pPr>
        <w:ind w:left="600" w:hanging="321"/>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Inventory write-offs.</w:t>
      </w:r>
    </w:p>
    <w:p>
      <w:pPr>
        <w:spacing w:after="0" w:line="2" w:lineRule="exact"/>
        <w:rPr>
          <w:rFonts w:ascii="Arial" w:cs="Arial" w:eastAsia="Arial" w:hAnsi="Arial"/>
          <w:sz w:val="15"/>
          <w:szCs w:val="15"/>
          <w:color w:val="auto"/>
        </w:rPr>
      </w:pPr>
    </w:p>
    <w:p>
      <w:pPr>
        <w:ind w:left="580" w:hanging="301"/>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Additions related to federal, foreign and state attributes.</w:t>
      </w:r>
    </w:p>
    <w:p>
      <w:pPr>
        <w:spacing w:after="0" w:line="2" w:lineRule="exact"/>
        <w:rPr>
          <w:rFonts w:ascii="Arial" w:cs="Arial" w:eastAsia="Arial" w:hAnsi="Arial"/>
          <w:sz w:val="15"/>
          <w:szCs w:val="15"/>
          <w:color w:val="auto"/>
        </w:rPr>
      </w:pPr>
    </w:p>
    <w:p>
      <w:pPr>
        <w:ind w:left="620" w:hanging="341"/>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Deductions related to federal, foreign and state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57150</wp:posOffset>
            </wp:positionV>
            <wp:extent cx="716788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40" w:top="926" w:right="339" w:bottom="1440" w:gutter="0" w:footer="0" w:header="0"/>
        </w:sectPr>
      </w:pPr>
    </w:p>
    <w:bookmarkStart w:id="91" w:name="page92"/>
    <w:bookmarkEnd w:id="91"/>
    <w:p>
      <w:pPr>
        <w:jc w:val="center"/>
        <w:ind w:right="300"/>
        <w:spacing w:after="0"/>
        <w:rPr>
          <w:sz w:val="20"/>
          <w:szCs w:val="20"/>
          <w:color w:val="auto"/>
        </w:rPr>
      </w:pPr>
      <w:r>
        <w:rPr>
          <w:rFonts w:ascii="Arial" w:cs="Arial" w:eastAsia="Arial" w:hAnsi="Arial"/>
          <w:sz w:val="15"/>
          <w:szCs w:val="15"/>
          <w:b w:val="1"/>
          <w:bCs w:val="1"/>
          <w:color w:val="auto"/>
        </w:rPr>
        <w:t>SIGNATURES</w:t>
      </w:r>
    </w:p>
    <w:p>
      <w:pPr>
        <w:spacing w:after="0" w:line="231" w:lineRule="exact"/>
        <w:rPr>
          <w:sz w:val="20"/>
          <w:szCs w:val="20"/>
          <w:color w:val="auto"/>
        </w:rPr>
      </w:pPr>
    </w:p>
    <w:p>
      <w:pPr>
        <w:ind w:firstLine="599"/>
        <w:spacing w:after="0" w:line="266"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in the City of Miami, State of Florida, on March 1, 2022.</w:t>
      </w: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MASTEC, INC.</w:t>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14605</wp:posOffset>
            </wp:positionV>
            <wp:extent cx="286194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5"/>
          <w:szCs w:val="15"/>
          <w:b w:val="1"/>
          <w:bCs w:val="1"/>
          <w:color w:val="auto"/>
        </w:rPr>
        <w:t>José R. Mas</w:t>
      </w:r>
    </w:p>
    <w:p>
      <w:pPr>
        <w:spacing w:after="0" w:line="31" w:lineRule="exact"/>
        <w:rPr>
          <w:sz w:val="20"/>
          <w:szCs w:val="20"/>
          <w:color w:val="auto"/>
        </w:rPr>
      </w:pPr>
    </w:p>
    <w:p>
      <w:pPr>
        <w:ind w:left="6760"/>
        <w:spacing w:after="0"/>
        <w:rPr>
          <w:sz w:val="20"/>
          <w:szCs w:val="20"/>
          <w:color w:val="auto"/>
        </w:rPr>
      </w:pPr>
      <w:r>
        <w:rPr>
          <w:rFonts w:ascii="Arial" w:cs="Arial" w:eastAsia="Arial" w:hAnsi="Arial"/>
          <w:sz w:val="15"/>
          <w:szCs w:val="15"/>
          <w:b w:val="1"/>
          <w:bCs w:val="1"/>
          <w:i w:val="1"/>
          <w:iCs w:val="1"/>
          <w:color w:val="auto"/>
        </w:rPr>
        <w:t>Chief Executive Officer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5"/>
          <w:szCs w:val="15"/>
          <w:b w:val="1"/>
          <w:bCs w:val="1"/>
          <w:i w:val="1"/>
          <w:iCs w:val="1"/>
          <w:color w:val="auto"/>
        </w:rPr>
        <w:t>(Principal Executive Officer)</w:t>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5"/>
          <w:szCs w:val="15"/>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14605</wp:posOffset>
            </wp:positionV>
            <wp:extent cx="286194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5"/>
          <w:szCs w:val="15"/>
          <w:b w:val="1"/>
          <w:bCs w:val="1"/>
          <w:color w:val="auto"/>
        </w:rPr>
        <w:t>George L. Pita</w:t>
      </w:r>
    </w:p>
    <w:p>
      <w:pPr>
        <w:spacing w:after="0" w:line="31" w:lineRule="exact"/>
        <w:rPr>
          <w:sz w:val="20"/>
          <w:szCs w:val="20"/>
          <w:color w:val="auto"/>
        </w:rPr>
      </w:pPr>
    </w:p>
    <w:p>
      <w:pPr>
        <w:ind w:left="6760"/>
        <w:spacing w:after="0"/>
        <w:rPr>
          <w:sz w:val="20"/>
          <w:szCs w:val="20"/>
          <w:color w:val="auto"/>
        </w:rPr>
      </w:pPr>
      <w:r>
        <w:rPr>
          <w:rFonts w:ascii="Arial" w:cs="Arial" w:eastAsia="Arial" w:hAnsi="Arial"/>
          <w:sz w:val="15"/>
          <w:szCs w:val="15"/>
          <w:b w:val="1"/>
          <w:bCs w:val="1"/>
          <w:i w:val="1"/>
          <w:iCs w:val="1"/>
          <w:color w:val="auto"/>
        </w:rPr>
        <w:t>Executive Vice President and Chief Financial Officer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5"/>
          <w:szCs w:val="15"/>
          <w:b w:val="1"/>
          <w:bCs w:val="1"/>
          <w:i w:val="1"/>
          <w:iCs w:val="1"/>
          <w:color w:val="auto"/>
        </w:rPr>
        <w:t>(Principal Financial and Accounting Officer)</w:t>
      </w:r>
    </w:p>
    <w:p>
      <w:pPr>
        <w:spacing w:after="0" w:line="264" w:lineRule="exact"/>
        <w:rPr>
          <w:sz w:val="20"/>
          <w:szCs w:val="20"/>
          <w:color w:val="auto"/>
        </w:rPr>
      </w:pPr>
    </w:p>
    <w:p>
      <w:pPr>
        <w:ind w:firstLine="599"/>
        <w:spacing w:after="0" w:line="266"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indicated on March 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0"/>
              </w:rPr>
              <w:t>/s/ JORGE MAS</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2"/>
              </w:rPr>
              <w:t>Chairman of the Board of Directors</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88"/>
              </w:rPr>
              <w:t>Jorge Mas</w:t>
            </w:r>
          </w:p>
        </w:tc>
        <w:tc>
          <w:tcPr>
            <w:tcW w:w="4400" w:type="dxa"/>
            <w:vAlign w:val="bottom"/>
          </w:tcPr>
          <w:p>
            <w:pPr>
              <w:spacing w:after="0"/>
              <w:rPr>
                <w:sz w:val="16"/>
                <w:szCs w:val="16"/>
                <w:color w:val="auto"/>
              </w:rPr>
            </w:pPr>
          </w:p>
        </w:tc>
      </w:tr>
      <w:tr>
        <w:trPr>
          <w:trHeight w:val="39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8"/>
              </w:rPr>
              <w:t>/s/ JOSÉ R. MAS</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3"/>
              </w:rPr>
              <w:t>Chief Executive Officer and Director</w:t>
            </w:r>
          </w:p>
        </w:tc>
      </w:tr>
      <w:tr>
        <w:trPr>
          <w:trHeight w:val="192"/>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89"/>
              </w:rPr>
              <w:t>José R. Mas</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4"/>
              </w:rPr>
              <w:t>(Principal Executive Officer)</w:t>
            </w:r>
          </w:p>
        </w:tc>
      </w:tr>
      <w:tr>
        <w:trPr>
          <w:trHeight w:val="39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GEORGE L. PITA</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1"/>
              </w:rPr>
              <w:t>Executive Vice President and Chief Financial Officer</w:t>
            </w:r>
          </w:p>
        </w:tc>
      </w:tr>
      <w:tr>
        <w:trPr>
          <w:trHeight w:val="192"/>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92"/>
              </w:rPr>
              <w:t>George L. Pita</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3"/>
              </w:rPr>
              <w:t>(Principal Financial and Accounting Officer)</w:t>
            </w:r>
          </w:p>
        </w:tc>
      </w:tr>
      <w:tr>
        <w:trPr>
          <w:trHeight w:val="40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C. ROBERT CAMPBELL</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5"/>
              </w:rPr>
              <w:t>Director</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93"/>
              </w:rPr>
              <w:t>C. Robert Campbell</w:t>
            </w:r>
          </w:p>
        </w:tc>
        <w:tc>
          <w:tcPr>
            <w:tcW w:w="4400" w:type="dxa"/>
            <w:vAlign w:val="bottom"/>
          </w:tcPr>
          <w:p>
            <w:pPr>
              <w:spacing w:after="0"/>
              <w:rPr>
                <w:sz w:val="16"/>
                <w:szCs w:val="16"/>
                <w:color w:val="auto"/>
              </w:rPr>
            </w:pPr>
          </w:p>
        </w:tc>
      </w:tr>
      <w:tr>
        <w:trPr>
          <w:trHeight w:val="44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7"/>
              </w:rPr>
              <w:t>/s/ ERNST N. CSISZAR</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5"/>
              </w:rPr>
              <w:t>Director</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92"/>
              </w:rPr>
              <w:t>Ernst N. Csiszar</w:t>
            </w:r>
          </w:p>
        </w:tc>
        <w:tc>
          <w:tcPr>
            <w:tcW w:w="4400" w:type="dxa"/>
            <w:vAlign w:val="bottom"/>
          </w:tcPr>
          <w:p>
            <w:pPr>
              <w:spacing w:after="0"/>
              <w:rPr>
                <w:sz w:val="16"/>
                <w:szCs w:val="16"/>
                <w:color w:val="auto"/>
              </w:rPr>
            </w:pPr>
          </w:p>
        </w:tc>
      </w:tr>
      <w:tr>
        <w:trPr>
          <w:trHeight w:val="40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9"/>
              </w:rPr>
              <w:t>/s/ ROBERT J. DWYER</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5"/>
              </w:rPr>
              <w:t>Director</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92"/>
              </w:rPr>
              <w:t>Robert J. Dwyer</w:t>
            </w:r>
          </w:p>
        </w:tc>
        <w:tc>
          <w:tcPr>
            <w:tcW w:w="4400" w:type="dxa"/>
            <w:vAlign w:val="bottom"/>
          </w:tcPr>
          <w:p>
            <w:pPr>
              <w:spacing w:after="0"/>
              <w:rPr>
                <w:sz w:val="16"/>
                <w:szCs w:val="16"/>
                <w:color w:val="auto"/>
              </w:rPr>
            </w:pPr>
          </w:p>
        </w:tc>
      </w:tr>
      <w:tr>
        <w:trPr>
          <w:trHeight w:val="40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2"/>
              </w:rPr>
              <w:t>/s/ JULIA L. JOHNSON</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5"/>
              </w:rPr>
              <w:t>Director</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89"/>
              </w:rPr>
              <w:t>Julia L. Johnson</w:t>
            </w:r>
          </w:p>
        </w:tc>
        <w:tc>
          <w:tcPr>
            <w:tcW w:w="4400" w:type="dxa"/>
            <w:vAlign w:val="bottom"/>
          </w:tcPr>
          <w:p>
            <w:pPr>
              <w:spacing w:after="0"/>
              <w:rPr>
                <w:sz w:val="16"/>
                <w:szCs w:val="16"/>
                <w:color w:val="auto"/>
              </w:rPr>
            </w:pPr>
          </w:p>
        </w:tc>
      </w:tr>
      <w:tr>
        <w:trPr>
          <w:trHeight w:val="40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0"/>
              </w:rPr>
              <w:t>/s/ JAVIER PALOMAREZ</w:t>
            </w:r>
          </w:p>
        </w:tc>
        <w:tc>
          <w:tcPr>
            <w:tcW w:w="4400" w:type="dxa"/>
            <w:vAlign w:val="bottom"/>
          </w:tcPr>
          <w:p>
            <w:pPr>
              <w:jc w:val="center"/>
              <w:ind w:left="1145"/>
              <w:spacing w:after="0"/>
              <w:rPr>
                <w:sz w:val="20"/>
                <w:szCs w:val="20"/>
                <w:color w:val="auto"/>
              </w:rPr>
            </w:pPr>
            <w:r>
              <w:rPr>
                <w:rFonts w:ascii="Arial" w:cs="Arial" w:eastAsia="Arial" w:hAnsi="Arial"/>
                <w:sz w:val="15"/>
                <w:szCs w:val="15"/>
                <w:color w:val="auto"/>
                <w:w w:val="95"/>
              </w:rPr>
              <w:t>Director</w:t>
            </w:r>
          </w:p>
        </w:tc>
      </w:tr>
      <w:tr>
        <w:trPr>
          <w:trHeight w:val="189"/>
        </w:trPr>
        <w:tc>
          <w:tcPr>
            <w:tcW w:w="5620" w:type="dxa"/>
            <w:vAlign w:val="bottom"/>
          </w:tcPr>
          <w:p>
            <w:pPr>
              <w:jc w:val="center"/>
              <w:spacing w:after="0"/>
              <w:rPr>
                <w:sz w:val="20"/>
                <w:szCs w:val="20"/>
                <w:color w:val="auto"/>
              </w:rPr>
            </w:pPr>
            <w:r>
              <w:rPr>
                <w:rFonts w:ascii="Arial" w:cs="Arial" w:eastAsia="Arial" w:hAnsi="Arial"/>
                <w:sz w:val="15"/>
                <w:szCs w:val="15"/>
                <w:b w:val="1"/>
                <w:bCs w:val="1"/>
                <w:color w:val="auto"/>
                <w:w w:val="89"/>
              </w:rPr>
              <w:t>Javier Palomarez</w:t>
            </w:r>
          </w:p>
        </w:tc>
        <w:tc>
          <w:tcPr>
            <w:tcW w:w="44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240"/>
          </w:cols>
          <w:pgMar w:left="320" w:top="83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10.7</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156845</wp:posOffset>
            </wp:positionV>
            <wp:extent cx="7142480" cy="63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42480" cy="635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252095</wp:posOffset>
            </wp:positionV>
            <wp:extent cx="714248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published CUSIP Number: 57632EAR6 Published Committed (USD) Facility</w:t>
      </w:r>
    </w:p>
    <w:p>
      <w:pPr>
        <w:jc w:val="right"/>
        <w:ind w:right="140"/>
        <w:spacing w:after="0" w:line="202" w:lineRule="auto"/>
        <w:rPr>
          <w:sz w:val="20"/>
          <w:szCs w:val="20"/>
          <w:color w:val="auto"/>
        </w:rPr>
      </w:pPr>
      <w:r>
        <w:rPr>
          <w:rFonts w:ascii="Arial" w:cs="Arial" w:eastAsia="Arial" w:hAnsi="Arial"/>
          <w:sz w:val="18"/>
          <w:szCs w:val="18"/>
          <w:color w:val="auto"/>
        </w:rPr>
        <w:t>CUSIP Number: 57632EAT2 Published Committed (MC) Facility CUSIP Number: 57632EAS4 Published</w:t>
      </w:r>
    </w:p>
    <w:p>
      <w:pPr>
        <w:spacing w:after="0" w:line="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Term Loan Facility CUSIP Number: 57632EAU9</w:t>
      </w:r>
    </w:p>
    <w:p>
      <w:pPr>
        <w:spacing w:after="0" w:line="177" w:lineRule="exact"/>
        <w:rPr>
          <w:sz w:val="20"/>
          <w:szCs w:val="20"/>
          <w:color w:val="auto"/>
        </w:rPr>
      </w:pPr>
    </w:p>
    <w:p>
      <w:pPr>
        <w:ind w:left="720" w:right="520"/>
        <w:spacing w:after="0" w:line="236" w:lineRule="auto"/>
        <w:rPr>
          <w:sz w:val="20"/>
          <w:szCs w:val="20"/>
          <w:color w:val="auto"/>
        </w:rPr>
      </w:pPr>
      <w:r>
        <w:rPr>
          <w:rFonts w:ascii="Arial" w:cs="Arial" w:eastAsia="Arial" w:hAnsi="Arial"/>
          <w:sz w:val="18"/>
          <w:szCs w:val="18"/>
          <w:b w:val="1"/>
          <w:bCs w:val="1"/>
          <w:i w:val="1"/>
          <w:iCs w:val="1"/>
          <w:color w:val="auto"/>
        </w:rPr>
        <w:t>Florida documentary stamp tax required by law in the amount of $2,450 has been paid or will be paid directly to the Department of Revenue. Certificate of Registration No. 26-8000694050-8.</w:t>
      </w:r>
    </w:p>
    <w:p>
      <w:pPr>
        <w:spacing w:after="0" w:line="15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CREDIT AGREEMENT</w:t>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Dated as of November 1, 2021 among</w:t>
      </w:r>
    </w:p>
    <w:p>
      <w:pPr>
        <w:spacing w:after="0" w:line="126"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MASTEC, INC.</w:t>
      </w:r>
    </w:p>
    <w:p>
      <w:pPr>
        <w:jc w:val="center"/>
        <w:ind w:right="-79"/>
        <w:spacing w:after="0" w:line="225" w:lineRule="auto"/>
        <w:rPr>
          <w:sz w:val="20"/>
          <w:szCs w:val="20"/>
          <w:color w:val="auto"/>
        </w:rPr>
      </w:pPr>
      <w:r>
        <w:rPr>
          <w:rFonts w:ascii="Arial" w:cs="Arial" w:eastAsia="Arial" w:hAnsi="Arial"/>
          <w:sz w:val="20"/>
          <w:szCs w:val="20"/>
          <w:color w:val="auto"/>
        </w:rPr>
        <w:t>and</w:t>
      </w:r>
    </w:p>
    <w:p>
      <w:pPr>
        <w:jc w:val="center"/>
        <w:ind w:right="-79"/>
        <w:spacing w:after="0" w:line="222" w:lineRule="auto"/>
        <w:rPr>
          <w:sz w:val="20"/>
          <w:szCs w:val="20"/>
          <w:color w:val="auto"/>
        </w:rPr>
      </w:pPr>
      <w:r>
        <w:rPr>
          <w:rFonts w:ascii="Arial" w:cs="Arial" w:eastAsia="Arial" w:hAnsi="Arial"/>
          <w:sz w:val="20"/>
          <w:szCs w:val="20"/>
          <w:b w:val="1"/>
          <w:bCs w:val="1"/>
          <w:color w:val="auto"/>
        </w:rPr>
        <w:t>MASTEC NORTH AMERICA, INC.,</w:t>
      </w:r>
    </w:p>
    <w:p>
      <w:pPr>
        <w:jc w:val="center"/>
        <w:ind w:right="-79"/>
        <w:spacing w:after="0"/>
        <w:rPr>
          <w:sz w:val="20"/>
          <w:szCs w:val="20"/>
          <w:color w:val="auto"/>
        </w:rPr>
      </w:pPr>
      <w:r>
        <w:rPr>
          <w:rFonts w:ascii="Arial" w:cs="Arial" w:eastAsia="Arial" w:hAnsi="Arial"/>
          <w:sz w:val="20"/>
          <w:szCs w:val="20"/>
          <w:color w:val="auto"/>
        </w:rPr>
        <w:t>as Borrowers,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BANK OF AMERICA, N.A.,</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as Administrative Agent, Swing Line Lender and L/C Issuer, and</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THE OTHER LENDERS PARTY HERETO</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BOFA SECURITIES, INC., TRUIST SECURITIES, INC., PNC</w:t>
      </w:r>
    </w:p>
    <w:p>
      <w:pPr>
        <w:jc w:val="center"/>
        <w:ind w:right="-79"/>
        <w:spacing w:after="0" w:line="238" w:lineRule="auto"/>
        <w:rPr>
          <w:sz w:val="20"/>
          <w:szCs w:val="20"/>
          <w:color w:val="auto"/>
        </w:rPr>
      </w:pPr>
      <w:r>
        <w:rPr>
          <w:rFonts w:ascii="Arial" w:cs="Arial" w:eastAsia="Arial" w:hAnsi="Arial"/>
          <w:sz w:val="20"/>
          <w:szCs w:val="20"/>
          <w:b w:val="1"/>
          <w:bCs w:val="1"/>
          <w:color w:val="auto"/>
        </w:rPr>
        <w:t>CAPITAL MARKETS LLC,</w:t>
      </w:r>
    </w:p>
    <w:p>
      <w:pPr>
        <w:jc w:val="center"/>
        <w:ind w:right="-79"/>
        <w:spacing w:after="0" w:line="222" w:lineRule="auto"/>
        <w:rPr>
          <w:sz w:val="20"/>
          <w:szCs w:val="20"/>
          <w:color w:val="auto"/>
        </w:rPr>
      </w:pPr>
      <w:r>
        <w:rPr>
          <w:rFonts w:ascii="Arial" w:cs="Arial" w:eastAsia="Arial" w:hAnsi="Arial"/>
          <w:sz w:val="20"/>
          <w:szCs w:val="20"/>
          <w:b w:val="1"/>
          <w:bCs w:val="1"/>
          <w:color w:val="auto"/>
        </w:rPr>
        <w:t>WELLS FARGO SECURITIES, LLC, BMO CAPITAL MARKETS</w:t>
      </w:r>
    </w:p>
    <w:p>
      <w:pPr>
        <w:jc w:val="center"/>
        <w:ind w:right="-79"/>
        <w:spacing w:after="0" w:line="221" w:lineRule="auto"/>
        <w:rPr>
          <w:sz w:val="20"/>
          <w:szCs w:val="20"/>
          <w:color w:val="auto"/>
        </w:rPr>
      </w:pPr>
      <w:r>
        <w:rPr>
          <w:rFonts w:ascii="Arial" w:cs="Arial" w:eastAsia="Arial" w:hAnsi="Arial"/>
          <w:sz w:val="20"/>
          <w:szCs w:val="20"/>
          <w:b w:val="1"/>
          <w:bCs w:val="1"/>
          <w:color w:val="auto"/>
        </w:rPr>
        <w:t>CORP.,</w:t>
      </w:r>
    </w:p>
    <w:p>
      <w:pPr>
        <w:jc w:val="center"/>
        <w:ind w:right="-79"/>
        <w:spacing w:after="0" w:line="222" w:lineRule="auto"/>
        <w:rPr>
          <w:sz w:val="20"/>
          <w:szCs w:val="20"/>
          <w:color w:val="auto"/>
        </w:rPr>
      </w:pPr>
      <w:r>
        <w:rPr>
          <w:rFonts w:ascii="Arial" w:cs="Arial" w:eastAsia="Arial" w:hAnsi="Arial"/>
          <w:sz w:val="20"/>
          <w:szCs w:val="20"/>
          <w:color w:val="auto"/>
        </w:rPr>
        <w:t>and</w:t>
      </w:r>
    </w:p>
    <w:p>
      <w:pPr>
        <w:jc w:val="center"/>
        <w:ind w:right="-79"/>
        <w:spacing w:after="0" w:line="221" w:lineRule="auto"/>
        <w:rPr>
          <w:sz w:val="20"/>
          <w:szCs w:val="20"/>
          <w:color w:val="auto"/>
        </w:rPr>
      </w:pPr>
      <w:r>
        <w:rPr>
          <w:rFonts w:ascii="Arial" w:cs="Arial" w:eastAsia="Arial" w:hAnsi="Arial"/>
          <w:sz w:val="20"/>
          <w:szCs w:val="20"/>
          <w:b w:val="1"/>
          <w:bCs w:val="1"/>
          <w:color w:val="auto"/>
        </w:rPr>
        <w:t>JPMORGAN CHASE BANK, N.A.,</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as Joint Lead Arrangers and Joint Bookrunners</w:t>
      </w:r>
    </w:p>
    <w:p>
      <w:pPr>
        <w:spacing w:after="0" w:line="18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TRUIST BANK,</w:t>
      </w:r>
    </w:p>
    <w:p>
      <w:pPr>
        <w:ind w:left="2460"/>
        <w:spacing w:after="0" w:line="238" w:lineRule="auto"/>
        <w:rPr>
          <w:sz w:val="20"/>
          <w:szCs w:val="20"/>
          <w:color w:val="auto"/>
        </w:rPr>
      </w:pPr>
      <w:r>
        <w:rPr>
          <w:rFonts w:ascii="Arial" w:cs="Arial" w:eastAsia="Arial" w:hAnsi="Arial"/>
          <w:sz w:val="20"/>
          <w:szCs w:val="20"/>
          <w:b w:val="1"/>
          <w:bCs w:val="1"/>
          <w:color w:val="auto"/>
        </w:rPr>
        <w:t>PNC CAPITAL MARKETS LLC, WELLS FARGO SECURITIES, LLC,</w:t>
      </w:r>
    </w:p>
    <w:p>
      <w:pPr>
        <w:jc w:val="center"/>
        <w:ind w:right="-79"/>
        <w:spacing w:after="0" w:line="222" w:lineRule="auto"/>
        <w:rPr>
          <w:sz w:val="20"/>
          <w:szCs w:val="20"/>
          <w:color w:val="auto"/>
        </w:rPr>
      </w:pPr>
      <w:r>
        <w:rPr>
          <w:rFonts w:ascii="Arial" w:cs="Arial" w:eastAsia="Arial" w:hAnsi="Arial"/>
          <w:sz w:val="20"/>
          <w:szCs w:val="20"/>
          <w:b w:val="1"/>
          <w:bCs w:val="1"/>
          <w:color w:val="auto"/>
        </w:rPr>
        <w:t>BMO CAPITAL MARKETS CORP.,</w:t>
      </w:r>
    </w:p>
    <w:p>
      <w:pPr>
        <w:jc w:val="center"/>
        <w:ind w:right="-79"/>
        <w:spacing w:after="0" w:line="221" w:lineRule="auto"/>
        <w:rPr>
          <w:sz w:val="20"/>
          <w:szCs w:val="20"/>
          <w:color w:val="auto"/>
        </w:rPr>
      </w:pPr>
      <w:r>
        <w:rPr>
          <w:rFonts w:ascii="Arial" w:cs="Arial" w:eastAsia="Arial" w:hAnsi="Arial"/>
          <w:sz w:val="20"/>
          <w:szCs w:val="20"/>
          <w:color w:val="auto"/>
        </w:rPr>
        <w:t>and</w:t>
      </w:r>
    </w:p>
    <w:p>
      <w:pPr>
        <w:jc w:val="center"/>
        <w:ind w:right="-79"/>
        <w:spacing w:after="0" w:line="222" w:lineRule="auto"/>
        <w:rPr>
          <w:sz w:val="20"/>
          <w:szCs w:val="20"/>
          <w:color w:val="auto"/>
        </w:rPr>
      </w:pPr>
      <w:r>
        <w:rPr>
          <w:rFonts w:ascii="Arial" w:cs="Arial" w:eastAsia="Arial" w:hAnsi="Arial"/>
          <w:sz w:val="20"/>
          <w:szCs w:val="20"/>
          <w:b w:val="1"/>
          <w:bCs w:val="1"/>
          <w:color w:val="auto"/>
        </w:rPr>
        <w:t>JPMORGAN CHASE BANK, N.A.,</w:t>
      </w:r>
    </w:p>
    <w:p>
      <w:pPr>
        <w:jc w:val="center"/>
        <w:ind w:right="-79"/>
        <w:spacing w:after="0"/>
        <w:rPr>
          <w:sz w:val="20"/>
          <w:szCs w:val="20"/>
          <w:color w:val="auto"/>
        </w:rPr>
      </w:pPr>
      <w:r>
        <w:rPr>
          <w:rFonts w:ascii="Arial" w:cs="Arial" w:eastAsia="Arial" w:hAnsi="Arial"/>
          <w:sz w:val="20"/>
          <w:szCs w:val="20"/>
          <w:color w:val="auto"/>
        </w:rPr>
        <w:t>as Co-Syndication Agents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CAPITAL ONE, NATIONAL ASSOCIATION, MORGAN STANLEY MUFG LOAN</w:t>
      </w:r>
    </w:p>
    <w:p>
      <w:pPr>
        <w:jc w:val="center"/>
        <w:ind w:right="-79"/>
        <w:spacing w:after="0" w:line="225" w:lineRule="auto"/>
        <w:rPr>
          <w:sz w:val="20"/>
          <w:szCs w:val="20"/>
          <w:color w:val="auto"/>
        </w:rPr>
      </w:pPr>
      <w:r>
        <w:rPr>
          <w:rFonts w:ascii="Arial" w:cs="Arial" w:eastAsia="Arial" w:hAnsi="Arial"/>
          <w:sz w:val="20"/>
          <w:szCs w:val="20"/>
          <w:b w:val="1"/>
          <w:bCs w:val="1"/>
          <w:color w:val="auto"/>
        </w:rPr>
        <w:t>PARTNERS, LLC, HSBC BANK USA, N.A. ,</w:t>
      </w:r>
    </w:p>
    <w:p>
      <w:pPr>
        <w:jc w:val="center"/>
        <w:ind w:right="-79"/>
        <w:spacing w:after="0" w:line="222" w:lineRule="auto"/>
        <w:rPr>
          <w:sz w:val="20"/>
          <w:szCs w:val="20"/>
          <w:color w:val="auto"/>
        </w:rPr>
      </w:pPr>
      <w:r>
        <w:rPr>
          <w:rFonts w:ascii="Arial" w:cs="Arial" w:eastAsia="Arial" w:hAnsi="Arial"/>
          <w:sz w:val="20"/>
          <w:szCs w:val="20"/>
          <w:color w:val="auto"/>
        </w:rPr>
        <w:t>and</w:t>
      </w:r>
    </w:p>
    <w:p>
      <w:pPr>
        <w:jc w:val="center"/>
        <w:ind w:right="-79"/>
        <w:spacing w:after="0" w:line="221" w:lineRule="auto"/>
        <w:rPr>
          <w:sz w:val="20"/>
          <w:szCs w:val="20"/>
          <w:color w:val="auto"/>
        </w:rPr>
      </w:pPr>
      <w:r>
        <w:rPr>
          <w:rFonts w:ascii="Arial" w:cs="Arial" w:eastAsia="Arial" w:hAnsi="Arial"/>
          <w:sz w:val="20"/>
          <w:szCs w:val="20"/>
          <w:b w:val="1"/>
          <w:bCs w:val="1"/>
          <w:color w:val="auto"/>
        </w:rPr>
        <w:t>CITIZENS BANK, N.A.,</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00"/>
          </w:cols>
          <w:pgMar w:left="360" w:top="1355" w:right="439" w:bottom="1440" w:gutter="0" w:footer="0" w:header="0"/>
        </w:sectPr>
      </w:pPr>
    </w:p>
    <w:bookmarkStart w:id="93" w:name="page94"/>
    <w:bookmarkEnd w:id="93"/>
    <w:tbl>
      <w:tblPr>
        <w:tblLayout w:type="fixed"/>
        <w:tblInd w:w="1660" w:type="dxa"/>
        <w:tblCellMar>
          <w:top w:w="0" w:type="dxa"/>
          <w:left w:w="0" w:type="dxa"/>
          <w:bottom w:w="0" w:type="dxa"/>
          <w:right w:w="0" w:type="dxa"/>
        </w:tblCellMar>
      </w:tblPr>
      <w:tr>
        <w:trPr>
          <w:trHeight w:val="260"/>
        </w:trPr>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140" w:type="dxa"/>
            <w:vAlign w:val="bottom"/>
          </w:tcPr>
          <w:p>
            <w:pPr>
              <w:ind w:left="1640"/>
              <w:spacing w:after="0"/>
              <w:rPr>
                <w:sz w:val="20"/>
                <w:szCs w:val="20"/>
                <w:color w:val="auto"/>
              </w:rPr>
            </w:pPr>
            <w:r>
              <w:rPr>
                <w:rFonts w:ascii="Arial" w:cs="Arial" w:eastAsia="Arial" w:hAnsi="Arial"/>
                <w:sz w:val="20"/>
                <w:szCs w:val="20"/>
                <w:b w:val="1"/>
                <w:bCs w:val="1"/>
                <w:color w:val="auto"/>
              </w:rPr>
              <w:t>TABLE OF CONTENTS</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2"/>
        </w:trPr>
        <w:tc>
          <w:tcPr>
            <w:tcW w:w="2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Section</w:t>
            </w:r>
          </w:p>
        </w:tc>
        <w:tc>
          <w:tcPr>
            <w:tcW w:w="3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410"/>
        </w:trPr>
        <w:tc>
          <w:tcPr>
            <w:tcW w:w="1220" w:type="dxa"/>
            <w:vAlign w:val="bottom"/>
            <w:gridSpan w:val="3"/>
          </w:tcPr>
          <w:p>
            <w:pPr>
              <w:jc w:val="center"/>
              <w:ind w:right="100"/>
              <w:spacing w:after="0"/>
              <w:rPr>
                <w:sz w:val="20"/>
                <w:szCs w:val="20"/>
                <w:color w:val="auto"/>
              </w:rPr>
            </w:pPr>
            <w:r>
              <w:rPr>
                <w:rFonts w:ascii="Arial" w:cs="Arial" w:eastAsia="Arial" w:hAnsi="Arial"/>
                <w:sz w:val="20"/>
                <w:szCs w:val="20"/>
                <w:color w:val="auto"/>
                <w:w w:val="98"/>
              </w:rPr>
              <w:t>ARTICLE I.</w:t>
            </w:r>
          </w:p>
        </w:tc>
        <w:tc>
          <w:tcPr>
            <w:tcW w:w="6140" w:type="dxa"/>
            <w:vAlign w:val="bottom"/>
          </w:tcPr>
          <w:p>
            <w:pPr>
              <w:ind w:left="80"/>
              <w:spacing w:after="0"/>
              <w:rPr>
                <w:sz w:val="20"/>
                <w:szCs w:val="20"/>
                <w:color w:val="auto"/>
              </w:rPr>
            </w:pPr>
            <w:r>
              <w:rPr>
                <w:rFonts w:ascii="Arial" w:cs="Arial" w:eastAsia="Arial" w:hAnsi="Arial"/>
                <w:sz w:val="20"/>
                <w:szCs w:val="20"/>
                <w:color w:val="auto"/>
              </w:rPr>
              <w:t>DEFINITIONS AND ACCOUNTING TERMS</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1.01</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Defined Terms</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1.02</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Other Interpretive Provisions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47</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1.03</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Accounting Terms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48</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1.04</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Rounding</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1.05</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Exchange Rates; Currency Equivalents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1.06</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Change of Currency</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1.07</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Times of Day</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1.08</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Letter of Credit Amounts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49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1.09</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Making Calculations on a Pro Forma Basis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1.10</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Interest Rates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1.11</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Currency Equivalents Generally</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1.12</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Limited Condition Transactions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52</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220" w:type="dxa"/>
            <w:vAlign w:val="bottom"/>
            <w:gridSpan w:val="3"/>
          </w:tcPr>
          <w:p>
            <w:pPr>
              <w:jc w:val="center"/>
              <w:ind w:right="100"/>
              <w:spacing w:after="0"/>
              <w:rPr>
                <w:sz w:val="20"/>
                <w:szCs w:val="20"/>
                <w:color w:val="auto"/>
              </w:rPr>
            </w:pPr>
            <w:r>
              <w:rPr>
                <w:rFonts w:ascii="Arial" w:cs="Arial" w:eastAsia="Arial" w:hAnsi="Arial"/>
                <w:sz w:val="20"/>
                <w:szCs w:val="20"/>
                <w:color w:val="auto"/>
              </w:rPr>
              <w:t>ARTICLE II.</w:t>
            </w:r>
          </w:p>
        </w:tc>
        <w:tc>
          <w:tcPr>
            <w:tcW w:w="6140" w:type="dxa"/>
            <w:vAlign w:val="bottom"/>
          </w:tcPr>
          <w:p>
            <w:pPr>
              <w:ind w:left="80"/>
              <w:spacing w:after="0"/>
              <w:rPr>
                <w:sz w:val="20"/>
                <w:szCs w:val="20"/>
                <w:color w:val="auto"/>
              </w:rPr>
            </w:pPr>
            <w:r>
              <w:rPr>
                <w:rFonts w:ascii="Arial" w:cs="Arial" w:eastAsia="Arial" w:hAnsi="Arial"/>
                <w:sz w:val="20"/>
                <w:szCs w:val="20"/>
                <w:color w:val="auto"/>
              </w:rPr>
              <w:t>COMMITMENTS AND CREDIT EXTENSIONS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53</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2.01</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Loans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53</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2.02</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Borrowings, Conversions and Continuations of Loans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53</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2.03</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Letters of Credit and Bankers’ Acceptances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56</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2.04</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Swing Line Loans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69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2.05</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Prepayments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72</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2.06</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Termination or Reduction of Commitments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2.07</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Repayment of Loans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74</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2.08</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Interest</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74</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2.09</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Fees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00"/>
        </w:trPr>
        <w:tc>
          <w:tcPr>
            <w:tcW w:w="880" w:type="dxa"/>
            <w:vAlign w:val="bottom"/>
            <w:gridSpan w:val="2"/>
          </w:tcPr>
          <w:p>
            <w:pPr>
              <w:jc w:val="center"/>
              <w:ind w:left="140"/>
              <w:spacing w:after="0" w:line="200" w:lineRule="exact"/>
              <w:rPr>
                <w:sz w:val="20"/>
                <w:szCs w:val="20"/>
                <w:color w:val="auto"/>
              </w:rPr>
            </w:pPr>
            <w:r>
              <w:rPr>
                <w:rFonts w:ascii="Arial" w:cs="Arial" w:eastAsia="Arial" w:hAnsi="Arial"/>
                <w:sz w:val="20"/>
                <w:szCs w:val="20"/>
                <w:color w:val="auto"/>
                <w:w w:val="92"/>
              </w:rPr>
              <w:t>2.10</w:t>
            </w:r>
          </w:p>
        </w:tc>
        <w:tc>
          <w:tcPr>
            <w:tcW w:w="340" w:type="dxa"/>
            <w:vAlign w:val="bottom"/>
          </w:tcPr>
          <w:p>
            <w:pPr>
              <w:spacing w:after="0"/>
              <w:rPr>
                <w:sz w:val="17"/>
                <w:szCs w:val="17"/>
                <w:color w:val="auto"/>
              </w:rPr>
            </w:pPr>
          </w:p>
        </w:tc>
        <w:tc>
          <w:tcPr>
            <w:tcW w:w="6140" w:type="dxa"/>
            <w:vAlign w:val="bottom"/>
          </w:tcPr>
          <w:p>
            <w:pPr>
              <w:ind w:left="80"/>
              <w:spacing w:after="0" w:line="200" w:lineRule="exact"/>
              <w:rPr>
                <w:sz w:val="20"/>
                <w:szCs w:val="20"/>
                <w:color w:val="auto"/>
              </w:rPr>
            </w:pPr>
            <w:r>
              <w:rPr>
                <w:rFonts w:ascii="Arial" w:cs="Arial" w:eastAsia="Arial" w:hAnsi="Arial"/>
                <w:sz w:val="20"/>
                <w:szCs w:val="20"/>
                <w:color w:val="auto"/>
                <w:w w:val="93"/>
              </w:rPr>
              <w:t>Computation of Interest and Fees; Retroactive Adjustments of Applicable</w:t>
            </w:r>
          </w:p>
        </w:tc>
        <w:tc>
          <w:tcPr>
            <w:tcW w:w="580" w:type="dxa"/>
            <w:vAlign w:val="bottom"/>
            <w:gridSpan w:val="2"/>
            <w:vMerge w:val="restart"/>
          </w:tcPr>
          <w:p>
            <w:pPr>
              <w:jc w:val="center"/>
              <w:ind w:left="80"/>
              <w:spacing w:after="0"/>
              <w:rPr>
                <w:sz w:val="20"/>
                <w:szCs w:val="20"/>
                <w:color w:val="auto"/>
              </w:rPr>
            </w:pPr>
            <w:r>
              <w:rPr>
                <w:rFonts w:ascii="Arial" w:cs="Arial" w:eastAsia="Arial" w:hAnsi="Arial"/>
                <w:sz w:val="20"/>
                <w:szCs w:val="20"/>
                <w:color w:val="auto"/>
                <w:w w:val="89"/>
              </w:rPr>
              <w:t>76</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Rate</w:t>
            </w:r>
          </w:p>
        </w:tc>
        <w:tc>
          <w:tcPr>
            <w:tcW w:w="5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2.11</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Evidence of Debt</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77</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2.12</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Payments Generally; Administrative Agent’s Clawback</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77</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2.13</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Sharing of Payments by Lenders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79</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2.14</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Company as Borrowing Agent; Joint and Several Liability</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80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2.15</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Incremental Increases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84</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2.16</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Cash Collateral</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87</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2.17</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Defaulting Lenders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88</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2.18</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Extensions of Maturity Date</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91</w:t>
            </w:r>
          </w:p>
        </w:tc>
        <w:tc>
          <w:tcPr>
            <w:tcW w:w="0" w:type="dxa"/>
            <w:vAlign w:val="bottom"/>
          </w:tcPr>
          <w:p>
            <w:pPr>
              <w:spacing w:after="0"/>
              <w:rPr>
                <w:sz w:val="1"/>
                <w:szCs w:val="1"/>
                <w:color w:val="auto"/>
              </w:rPr>
            </w:pPr>
          </w:p>
        </w:tc>
      </w:tr>
      <w:tr>
        <w:trPr>
          <w:trHeight w:val="254"/>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2.19</w:t>
            </w:r>
          </w:p>
        </w:tc>
        <w:tc>
          <w:tcPr>
            <w:tcW w:w="340" w:type="dxa"/>
            <w:vAlign w:val="bottom"/>
          </w:tcPr>
          <w:p>
            <w:pPr>
              <w:spacing w:after="0"/>
              <w:rPr>
                <w:sz w:val="22"/>
                <w:szCs w:val="22"/>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ESG Adjustments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94</w:t>
            </w:r>
          </w:p>
        </w:tc>
        <w:tc>
          <w:tcPr>
            <w:tcW w:w="0" w:type="dxa"/>
            <w:vAlign w:val="bottom"/>
          </w:tcPr>
          <w:p>
            <w:pPr>
              <w:spacing w:after="0"/>
              <w:rPr>
                <w:sz w:val="1"/>
                <w:szCs w:val="1"/>
                <w:color w:val="auto"/>
              </w:rPr>
            </w:pPr>
          </w:p>
        </w:tc>
      </w:tr>
      <w:tr>
        <w:trPr>
          <w:trHeight w:val="445"/>
        </w:trPr>
        <w:tc>
          <w:tcPr>
            <w:tcW w:w="1220" w:type="dxa"/>
            <w:vAlign w:val="bottom"/>
            <w:gridSpan w:val="3"/>
          </w:tcPr>
          <w:p>
            <w:pPr>
              <w:jc w:val="center"/>
              <w:ind w:right="100"/>
              <w:spacing w:after="0"/>
              <w:rPr>
                <w:sz w:val="20"/>
                <w:szCs w:val="20"/>
                <w:color w:val="auto"/>
              </w:rPr>
            </w:pPr>
            <w:r>
              <w:rPr>
                <w:rFonts w:ascii="Arial" w:cs="Arial" w:eastAsia="Arial" w:hAnsi="Arial"/>
                <w:sz w:val="20"/>
                <w:szCs w:val="20"/>
                <w:color w:val="auto"/>
                <w:w w:val="99"/>
              </w:rPr>
              <w:t>ARTICLE III.</w:t>
            </w:r>
          </w:p>
        </w:tc>
        <w:tc>
          <w:tcPr>
            <w:tcW w:w="6140" w:type="dxa"/>
            <w:vAlign w:val="bottom"/>
          </w:tcPr>
          <w:p>
            <w:pPr>
              <w:ind w:left="80"/>
              <w:spacing w:after="0"/>
              <w:rPr>
                <w:sz w:val="20"/>
                <w:szCs w:val="20"/>
                <w:color w:val="auto"/>
              </w:rPr>
            </w:pPr>
            <w:r>
              <w:rPr>
                <w:rFonts w:ascii="Arial" w:cs="Arial" w:eastAsia="Arial" w:hAnsi="Arial"/>
                <w:sz w:val="20"/>
                <w:szCs w:val="20"/>
                <w:color w:val="auto"/>
              </w:rPr>
              <w:t>TAXES, YIELD PROTECTION AND ILLEGALITY</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95</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3.01</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Taxes</w:t>
            </w:r>
          </w:p>
        </w:tc>
        <w:tc>
          <w:tcPr>
            <w:tcW w:w="58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95</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3.02</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Illegality</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3.03</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Inability to Determine Rates</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101</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3.04</w:t>
            </w:r>
          </w:p>
        </w:tc>
        <w:tc>
          <w:tcPr>
            <w:tcW w:w="340" w:type="dxa"/>
            <w:vAlign w:val="bottom"/>
          </w:tcPr>
          <w:p>
            <w:pPr>
              <w:spacing w:after="0"/>
              <w:rPr>
                <w:sz w:val="21"/>
                <w:szCs w:val="21"/>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Increased Costs; Reserves on Eurocurrency Rate Loans</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109</w:t>
            </w:r>
          </w:p>
        </w:tc>
        <w:tc>
          <w:tcPr>
            <w:tcW w:w="0" w:type="dxa"/>
            <w:vAlign w:val="bottom"/>
          </w:tcPr>
          <w:p>
            <w:pPr>
              <w:spacing w:after="0"/>
              <w:rPr>
                <w:sz w:val="1"/>
                <w:szCs w:val="1"/>
                <w:color w:val="auto"/>
              </w:rPr>
            </w:pPr>
          </w:p>
        </w:tc>
      </w:tr>
      <w:tr>
        <w:trPr>
          <w:trHeight w:val="254"/>
        </w:trPr>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2"/>
              </w:rPr>
              <w:t>3.05</w:t>
            </w:r>
          </w:p>
        </w:tc>
        <w:tc>
          <w:tcPr>
            <w:tcW w:w="340" w:type="dxa"/>
            <w:vAlign w:val="bottom"/>
          </w:tcPr>
          <w:p>
            <w:pPr>
              <w:spacing w:after="0"/>
              <w:rPr>
                <w:sz w:val="22"/>
                <w:szCs w:val="22"/>
                <w:color w:val="auto"/>
              </w:rPr>
            </w:pPr>
          </w:p>
        </w:tc>
        <w:tc>
          <w:tcPr>
            <w:tcW w:w="6140" w:type="dxa"/>
            <w:vAlign w:val="bottom"/>
          </w:tcPr>
          <w:p>
            <w:pPr>
              <w:ind w:left="80"/>
              <w:spacing w:after="0"/>
              <w:rPr>
                <w:sz w:val="20"/>
                <w:szCs w:val="20"/>
                <w:color w:val="auto"/>
              </w:rPr>
            </w:pPr>
            <w:r>
              <w:rPr>
                <w:rFonts w:ascii="Arial" w:cs="Arial" w:eastAsia="Arial" w:hAnsi="Arial"/>
                <w:sz w:val="20"/>
                <w:szCs w:val="20"/>
                <w:color w:val="auto"/>
              </w:rPr>
              <w:t>Compensation for Losses</w:t>
            </w:r>
          </w:p>
        </w:tc>
        <w:tc>
          <w:tcPr>
            <w:tcW w:w="58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099"/>
          </w:cols>
          <w:pgMar w:left="360" w:top="1363"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150575819</w:t>
      </w:r>
    </w:p>
    <w:p>
      <w:pPr>
        <w:sectPr>
          <w:pgSz w:w="11900" w:h="16838" w:orient="portrait"/>
          <w:cols w:equalWidth="0" w:num="1">
            <w:col w:w="10099"/>
          </w:cols>
          <w:pgMar w:left="360" w:top="1363" w:right="1440" w:bottom="1440" w:gutter="0" w:footer="0" w:header="0"/>
          <w:type w:val="continuous"/>
        </w:sectPr>
      </w:pPr>
    </w:p>
    <w:bookmarkStart w:id="94" w:name="page95"/>
    <w:bookmarkEnd w:id="94"/>
    <w:p>
      <w:pPr>
        <w:spacing w:after="0" w:line="200" w:lineRule="exact"/>
        <w:rPr>
          <w:sz w:val="20"/>
          <w:szCs w:val="20"/>
          <w:color w:val="auto"/>
        </w:rPr>
      </w:pPr>
    </w:p>
    <w:p>
      <w:pPr>
        <w:spacing w:after="0" w:line="210" w:lineRule="exact"/>
        <w:rPr>
          <w:sz w:val="20"/>
          <w:szCs w:val="20"/>
          <w:color w:val="auto"/>
        </w:rPr>
      </w:pPr>
    </w:p>
    <w:tbl>
      <w:tblPr>
        <w:tblLayout w:type="fixed"/>
        <w:tblInd w:w="1640" w:type="dxa"/>
        <w:tblCellMar>
          <w:top w:w="0" w:type="dxa"/>
          <w:left w:w="0" w:type="dxa"/>
          <w:bottom w:w="0" w:type="dxa"/>
          <w:right w:w="0" w:type="dxa"/>
        </w:tblCellMar>
      </w:tblPr>
      <w:tr>
        <w:trPr>
          <w:trHeight w:val="260"/>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720" w:type="dxa"/>
            <w:vAlign w:val="bottom"/>
          </w:tcPr>
          <w:p>
            <w:pPr>
              <w:ind w:left="1640"/>
              <w:spacing w:after="0"/>
              <w:rPr>
                <w:sz w:val="20"/>
                <w:szCs w:val="20"/>
                <w:color w:val="auto"/>
              </w:rPr>
            </w:pPr>
            <w:r>
              <w:rPr>
                <w:rFonts w:ascii="Arial" w:cs="Arial" w:eastAsia="Arial" w:hAnsi="Arial"/>
                <w:sz w:val="20"/>
                <w:szCs w:val="20"/>
                <w:b w:val="1"/>
                <w:bCs w:val="1"/>
                <w:color w:val="auto"/>
              </w:rPr>
              <w:t>TABLE OF CONTENTS</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664"/>
        </w:trPr>
        <w:tc>
          <w:tcPr>
            <w:tcW w:w="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Section</w:t>
            </w:r>
          </w:p>
        </w:tc>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3"/>
              </w:rPr>
              <w:t>Page</w:t>
            </w:r>
          </w:p>
        </w:tc>
      </w:tr>
      <w:tr>
        <w:trPr>
          <w:trHeight w:val="273"/>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3.06</w:t>
            </w:r>
          </w:p>
        </w:tc>
        <w:tc>
          <w:tcPr>
            <w:tcW w:w="340" w:type="dxa"/>
            <w:vAlign w:val="bottom"/>
          </w:tcPr>
          <w:p>
            <w:pPr>
              <w:spacing w:after="0"/>
              <w:rPr>
                <w:sz w:val="23"/>
                <w:szCs w:val="23"/>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Mitigation Obligations; Replacement of Lenders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111</w:t>
            </w:r>
          </w:p>
        </w:tc>
      </w:tr>
      <w:tr>
        <w:trPr>
          <w:trHeight w:val="254"/>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3.07</w:t>
            </w:r>
          </w:p>
        </w:tc>
        <w:tc>
          <w:tcPr>
            <w:tcW w:w="340" w:type="dxa"/>
            <w:vAlign w:val="bottom"/>
          </w:tcPr>
          <w:p>
            <w:pPr>
              <w:spacing w:after="0"/>
              <w:rPr>
                <w:sz w:val="22"/>
                <w:szCs w:val="22"/>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Survival</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112</w:t>
            </w:r>
          </w:p>
        </w:tc>
      </w:tr>
      <w:tr>
        <w:trPr>
          <w:trHeight w:val="445"/>
        </w:trPr>
        <w:tc>
          <w:tcPr>
            <w:tcW w:w="1240" w:type="dxa"/>
            <w:vAlign w:val="bottom"/>
            <w:gridSpan w:val="3"/>
          </w:tcPr>
          <w:p>
            <w:pPr>
              <w:jc w:val="center"/>
              <w:ind w:right="80"/>
              <w:spacing w:after="0"/>
              <w:rPr>
                <w:sz w:val="20"/>
                <w:szCs w:val="20"/>
                <w:color w:val="auto"/>
              </w:rPr>
            </w:pPr>
            <w:r>
              <w:rPr>
                <w:rFonts w:ascii="Arial" w:cs="Arial" w:eastAsia="Arial" w:hAnsi="Arial"/>
                <w:sz w:val="20"/>
                <w:szCs w:val="20"/>
                <w:color w:val="auto"/>
                <w:w w:val="97"/>
              </w:rPr>
              <w:t>ARTICLE IV.</w:t>
            </w:r>
          </w:p>
        </w:tc>
        <w:tc>
          <w:tcPr>
            <w:tcW w:w="5720" w:type="dxa"/>
            <w:vAlign w:val="bottom"/>
          </w:tcPr>
          <w:p>
            <w:pPr>
              <w:ind w:left="80"/>
              <w:spacing w:after="0"/>
              <w:rPr>
                <w:sz w:val="20"/>
                <w:szCs w:val="20"/>
                <w:color w:val="auto"/>
              </w:rPr>
            </w:pPr>
            <w:r>
              <w:rPr>
                <w:rFonts w:ascii="Arial" w:cs="Arial" w:eastAsia="Arial" w:hAnsi="Arial"/>
                <w:sz w:val="20"/>
                <w:szCs w:val="20"/>
                <w:color w:val="auto"/>
              </w:rPr>
              <w:t>CONDITIONS PRECEDENT TO CREDIT EXTENSIONS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4.01</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Conditions of Initial Credit Extension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112</w:t>
            </w:r>
          </w:p>
        </w:tc>
      </w:tr>
      <w:tr>
        <w:trPr>
          <w:trHeight w:val="254"/>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4.02</w:t>
            </w:r>
          </w:p>
        </w:tc>
        <w:tc>
          <w:tcPr>
            <w:tcW w:w="340" w:type="dxa"/>
            <w:vAlign w:val="bottom"/>
          </w:tcPr>
          <w:p>
            <w:pPr>
              <w:spacing w:after="0"/>
              <w:rPr>
                <w:sz w:val="22"/>
                <w:szCs w:val="22"/>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Conditions to all Credit Extensions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114</w:t>
            </w:r>
          </w:p>
        </w:tc>
      </w:tr>
      <w:tr>
        <w:trPr>
          <w:trHeight w:val="445"/>
        </w:trPr>
        <w:tc>
          <w:tcPr>
            <w:tcW w:w="1240" w:type="dxa"/>
            <w:vAlign w:val="bottom"/>
            <w:gridSpan w:val="3"/>
          </w:tcPr>
          <w:p>
            <w:pPr>
              <w:jc w:val="center"/>
              <w:ind w:right="80"/>
              <w:spacing w:after="0"/>
              <w:rPr>
                <w:sz w:val="20"/>
                <w:szCs w:val="20"/>
                <w:color w:val="auto"/>
              </w:rPr>
            </w:pPr>
            <w:r>
              <w:rPr>
                <w:rFonts w:ascii="Arial" w:cs="Arial" w:eastAsia="Arial" w:hAnsi="Arial"/>
                <w:sz w:val="20"/>
                <w:szCs w:val="20"/>
                <w:color w:val="auto"/>
                <w:w w:val="95"/>
              </w:rPr>
              <w:t>ARTICLE V.</w:t>
            </w:r>
          </w:p>
        </w:tc>
        <w:tc>
          <w:tcPr>
            <w:tcW w:w="5720" w:type="dxa"/>
            <w:vAlign w:val="bottom"/>
          </w:tcPr>
          <w:p>
            <w:pPr>
              <w:ind w:left="80"/>
              <w:spacing w:after="0"/>
              <w:rPr>
                <w:sz w:val="20"/>
                <w:szCs w:val="20"/>
                <w:color w:val="auto"/>
              </w:rPr>
            </w:pPr>
            <w:r>
              <w:rPr>
                <w:rFonts w:ascii="Arial" w:cs="Arial" w:eastAsia="Arial" w:hAnsi="Arial"/>
                <w:sz w:val="20"/>
                <w:szCs w:val="20"/>
                <w:color w:val="auto"/>
              </w:rPr>
              <w:t>REPRESENTATIONS AND WARRANTIES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5.01</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Existence, Qualification and Power</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115</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5.02</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Authorization; No Contravention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115</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5.03</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Governmental Authorization; Other Consents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116</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5.04</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Binding Effect</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116</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5.05</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Financial Statements; No Material Adverse Effect</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116</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5.06</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Litigation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117</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5.07</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No Default</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117</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5.08</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Ownership of Property; Liens.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117</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5.09</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Environmental Compliance</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117</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5.10</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Insurance</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118</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5.11</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Taxes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118</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5.12</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ERISA Compliance</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118</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5.13</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Subsidiaries; Equity Interests; Loan Parties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120</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5.14</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Margin Regulations; Investment Company Act</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120</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5.15</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Disclosure</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120</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5.16</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Compliance with Laws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5.17</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Taxpayer Identification Number; Other Identifying Information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5.18</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Intellectual Property; Licenses, Etc</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5.19</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Solvency.</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5.20</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Casualty, Etc</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5.21</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Labor Matters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5.22</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[Reserved]</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5.23</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OFAC; Anti-Corruption Laws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121</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5.24</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Excluded Subsidiaries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122</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5.25</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EEA Financial Institution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122</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5.26</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Beneficial Ownership Certification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122</w:t>
            </w:r>
          </w:p>
        </w:tc>
      </w:tr>
      <w:tr>
        <w:trPr>
          <w:trHeight w:val="254"/>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5.27</w:t>
            </w:r>
          </w:p>
        </w:tc>
        <w:tc>
          <w:tcPr>
            <w:tcW w:w="340" w:type="dxa"/>
            <w:vAlign w:val="bottom"/>
          </w:tcPr>
          <w:p>
            <w:pPr>
              <w:spacing w:after="0"/>
              <w:rPr>
                <w:sz w:val="22"/>
                <w:szCs w:val="22"/>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Covered Entities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122</w:t>
            </w:r>
          </w:p>
        </w:tc>
      </w:tr>
      <w:tr>
        <w:trPr>
          <w:trHeight w:val="445"/>
        </w:trPr>
        <w:tc>
          <w:tcPr>
            <w:tcW w:w="1240" w:type="dxa"/>
            <w:vAlign w:val="bottom"/>
            <w:gridSpan w:val="3"/>
          </w:tcPr>
          <w:p>
            <w:pPr>
              <w:jc w:val="center"/>
              <w:ind w:right="80"/>
              <w:spacing w:after="0"/>
              <w:rPr>
                <w:sz w:val="20"/>
                <w:szCs w:val="20"/>
                <w:color w:val="auto"/>
              </w:rPr>
            </w:pPr>
            <w:r>
              <w:rPr>
                <w:rFonts w:ascii="Arial" w:cs="Arial" w:eastAsia="Arial" w:hAnsi="Arial"/>
                <w:sz w:val="20"/>
                <w:szCs w:val="20"/>
                <w:color w:val="auto"/>
              </w:rPr>
              <w:t>ARTICLE VI.</w:t>
            </w:r>
          </w:p>
        </w:tc>
        <w:tc>
          <w:tcPr>
            <w:tcW w:w="5720" w:type="dxa"/>
            <w:vAlign w:val="bottom"/>
          </w:tcPr>
          <w:p>
            <w:pPr>
              <w:ind w:left="80"/>
              <w:spacing w:after="0"/>
              <w:rPr>
                <w:sz w:val="20"/>
                <w:szCs w:val="20"/>
                <w:color w:val="auto"/>
              </w:rPr>
            </w:pPr>
            <w:r>
              <w:rPr>
                <w:rFonts w:ascii="Arial" w:cs="Arial" w:eastAsia="Arial" w:hAnsi="Arial"/>
                <w:sz w:val="20"/>
                <w:szCs w:val="20"/>
                <w:color w:val="auto"/>
              </w:rPr>
              <w:t>AFFIRMATIVE COVENANTS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6.01</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Financial Statements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122</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6.02</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Certificates; Other Information</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124</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6.03</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Notices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125</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6.04</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Payment of Obligations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126</w:t>
            </w:r>
          </w:p>
        </w:tc>
      </w:tr>
      <w:tr>
        <w:trPr>
          <w:trHeight w:val="250"/>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6.05</w:t>
            </w:r>
          </w:p>
        </w:tc>
        <w:tc>
          <w:tcPr>
            <w:tcW w:w="340" w:type="dxa"/>
            <w:vAlign w:val="bottom"/>
          </w:tcPr>
          <w:p>
            <w:pPr>
              <w:spacing w:after="0"/>
              <w:rPr>
                <w:sz w:val="21"/>
                <w:szCs w:val="21"/>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Preservation of Existence, Etc</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126</w:t>
            </w:r>
          </w:p>
        </w:tc>
      </w:tr>
      <w:tr>
        <w:trPr>
          <w:trHeight w:val="254"/>
        </w:trPr>
        <w:tc>
          <w:tcPr>
            <w:tcW w:w="900" w:type="dxa"/>
            <w:vAlign w:val="bottom"/>
            <w:gridSpan w:val="2"/>
          </w:tcPr>
          <w:p>
            <w:pPr>
              <w:jc w:val="center"/>
              <w:ind w:left="160"/>
              <w:spacing w:after="0"/>
              <w:rPr>
                <w:sz w:val="20"/>
                <w:szCs w:val="20"/>
                <w:color w:val="auto"/>
              </w:rPr>
            </w:pPr>
            <w:r>
              <w:rPr>
                <w:rFonts w:ascii="Arial" w:cs="Arial" w:eastAsia="Arial" w:hAnsi="Arial"/>
                <w:sz w:val="20"/>
                <w:szCs w:val="20"/>
                <w:color w:val="auto"/>
                <w:w w:val="92"/>
              </w:rPr>
              <w:t>6.06</w:t>
            </w:r>
          </w:p>
        </w:tc>
        <w:tc>
          <w:tcPr>
            <w:tcW w:w="340" w:type="dxa"/>
            <w:vAlign w:val="bottom"/>
          </w:tcPr>
          <w:p>
            <w:pPr>
              <w:spacing w:after="0"/>
              <w:rPr>
                <w:sz w:val="22"/>
                <w:szCs w:val="22"/>
                <w:color w:val="auto"/>
              </w:rPr>
            </w:pPr>
          </w:p>
        </w:tc>
        <w:tc>
          <w:tcPr>
            <w:tcW w:w="5720" w:type="dxa"/>
            <w:vAlign w:val="bottom"/>
          </w:tcPr>
          <w:p>
            <w:pPr>
              <w:ind w:left="80"/>
              <w:spacing w:after="0"/>
              <w:rPr>
                <w:sz w:val="20"/>
                <w:szCs w:val="20"/>
                <w:color w:val="auto"/>
              </w:rPr>
            </w:pPr>
            <w:r>
              <w:rPr>
                <w:rFonts w:ascii="Arial" w:cs="Arial" w:eastAsia="Arial" w:hAnsi="Arial"/>
                <w:sz w:val="20"/>
                <w:szCs w:val="20"/>
                <w:color w:val="auto"/>
              </w:rPr>
              <w:t>Maintenance of Properties</w:t>
            </w:r>
          </w:p>
        </w:tc>
        <w:tc>
          <w:tcPr>
            <w:tcW w:w="1000" w:type="dxa"/>
            <w:vAlign w:val="bottom"/>
            <w:gridSpan w:val="2"/>
          </w:tcPr>
          <w:p>
            <w:pPr>
              <w:jc w:val="center"/>
              <w:ind w:left="480"/>
              <w:spacing w:after="0"/>
              <w:rPr>
                <w:sz w:val="20"/>
                <w:szCs w:val="20"/>
                <w:color w:val="auto"/>
              </w:rPr>
            </w:pPr>
            <w:r>
              <w:rPr>
                <w:rFonts w:ascii="Arial" w:cs="Arial" w:eastAsia="Arial" w:hAnsi="Arial"/>
                <w:sz w:val="20"/>
                <w:szCs w:val="20"/>
                <w:color w:val="auto"/>
                <w:w w:val="89"/>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099"/>
          </w:cols>
          <w:pgMar w:left="360" w:top="1440"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150575819</w:t>
      </w:r>
    </w:p>
    <w:p>
      <w:pPr>
        <w:sectPr>
          <w:pgSz w:w="11900" w:h="16838" w:orient="portrait"/>
          <w:cols w:equalWidth="0" w:num="1">
            <w:col w:w="10099"/>
          </w:cols>
          <w:pgMar w:left="360" w:top="1440" w:right="1440" w:bottom="1440" w:gutter="0" w:footer="0" w:header="0"/>
          <w:type w:val="continuous"/>
        </w:sectPr>
      </w:pPr>
    </w:p>
    <w:bookmarkStart w:id="95" w:name="page96"/>
    <w:bookmarkEnd w:id="95"/>
    <w:tbl>
      <w:tblPr>
        <w:tblLayout w:type="fixed"/>
        <w:tblInd w:w="1580" w:type="dxa"/>
        <w:tblCellMar>
          <w:top w:w="0" w:type="dxa"/>
          <w:left w:w="0" w:type="dxa"/>
          <w:bottom w:w="0" w:type="dxa"/>
          <w:right w:w="0" w:type="dxa"/>
        </w:tblCellMar>
      </w:tblPr>
      <w:tr>
        <w:trPr>
          <w:trHeight w:val="260"/>
        </w:trPr>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80" w:type="dxa"/>
            <w:vAlign w:val="bottom"/>
          </w:tcPr>
          <w:p>
            <w:pPr>
              <w:ind w:left="1620"/>
              <w:spacing w:after="0"/>
              <w:rPr>
                <w:sz w:val="20"/>
                <w:szCs w:val="20"/>
                <w:color w:val="auto"/>
              </w:rPr>
            </w:pPr>
            <w:r>
              <w:rPr>
                <w:rFonts w:ascii="Arial" w:cs="Arial" w:eastAsia="Arial" w:hAnsi="Arial"/>
                <w:sz w:val="20"/>
                <w:szCs w:val="20"/>
                <w:b w:val="1"/>
                <w:bCs w:val="1"/>
                <w:color w:val="auto"/>
              </w:rPr>
              <w:t>TABLE OF CONTENTS</w:t>
            </w: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652"/>
        </w:trPr>
        <w:tc>
          <w:tcPr>
            <w:tcW w:w="3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Section</w:t>
            </w:r>
          </w:p>
        </w:tc>
        <w:tc>
          <w:tcPr>
            <w:tcW w:w="3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Page</w:t>
            </w:r>
          </w:p>
        </w:tc>
      </w:tr>
      <w:tr>
        <w:trPr>
          <w:trHeight w:val="273"/>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6.07</w:t>
            </w:r>
          </w:p>
        </w:tc>
        <w:tc>
          <w:tcPr>
            <w:tcW w:w="360" w:type="dxa"/>
            <w:vAlign w:val="bottom"/>
          </w:tcPr>
          <w:p>
            <w:pPr>
              <w:spacing w:after="0"/>
              <w:rPr>
                <w:sz w:val="23"/>
                <w:szCs w:val="23"/>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Maintenance of Insurance</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6.08</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Compliance with Laws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6.09</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Books and Records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6.10</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Inspection Rights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6.11</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Use of Proceeds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6.12</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Covenant to Guarantee Obligations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127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6.13</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Compliance with Environmental Laws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130</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6.14</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Further Assurances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130</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6.15</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Material Contracts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6.16</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Designation as Senior Debt</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6.17</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[Reserved.]</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6.18</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Foreign Finance Company Plan</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254"/>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6.19</w:t>
            </w:r>
          </w:p>
        </w:tc>
        <w:tc>
          <w:tcPr>
            <w:tcW w:w="360" w:type="dxa"/>
            <w:vAlign w:val="bottom"/>
          </w:tcPr>
          <w:p>
            <w:pPr>
              <w:spacing w:after="0"/>
              <w:rPr>
                <w:sz w:val="22"/>
                <w:szCs w:val="22"/>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Anti-Corruption Laws; Anti-Money Laundering Laws; Sanctions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445"/>
        </w:trPr>
        <w:tc>
          <w:tcPr>
            <w:tcW w:w="1320" w:type="dxa"/>
            <w:vAlign w:val="bottom"/>
            <w:gridSpan w:val="3"/>
          </w:tcPr>
          <w:p>
            <w:pPr>
              <w:jc w:val="center"/>
              <w:ind w:right="40"/>
              <w:spacing w:after="0"/>
              <w:rPr>
                <w:sz w:val="20"/>
                <w:szCs w:val="20"/>
                <w:color w:val="auto"/>
              </w:rPr>
            </w:pPr>
            <w:r>
              <w:rPr>
                <w:rFonts w:ascii="Arial" w:cs="Arial" w:eastAsia="Arial" w:hAnsi="Arial"/>
                <w:sz w:val="20"/>
                <w:szCs w:val="20"/>
                <w:color w:val="auto"/>
                <w:w w:val="99"/>
              </w:rPr>
              <w:t>ARTICLE VII.</w:t>
            </w:r>
          </w:p>
        </w:tc>
        <w:tc>
          <w:tcPr>
            <w:tcW w:w="5780" w:type="dxa"/>
            <w:vAlign w:val="bottom"/>
          </w:tcPr>
          <w:p>
            <w:pPr>
              <w:ind w:left="60"/>
              <w:spacing w:after="0"/>
              <w:rPr>
                <w:sz w:val="20"/>
                <w:szCs w:val="20"/>
                <w:color w:val="auto"/>
              </w:rPr>
            </w:pPr>
            <w:r>
              <w:rPr>
                <w:rFonts w:ascii="Arial" w:cs="Arial" w:eastAsia="Arial" w:hAnsi="Arial"/>
                <w:sz w:val="20"/>
                <w:szCs w:val="20"/>
                <w:color w:val="auto"/>
              </w:rPr>
              <w:t>NEGATIVE COVENANTS</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7.01</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Liens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7.02</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134</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7.03</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Indebtedness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135</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7.04</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Fundamental Changes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137</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7.05</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Dispositions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138</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7.06</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Restricted Payments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139</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7.07</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Change in Nature of Business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140</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7.08</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Transactions with Affiliates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140</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7.09</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Burdensome Agreements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140</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7.10</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Use of Proceeds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7.11</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Financial Covenants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141</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7.12</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[Reserved.]</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7.13</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Amendments of Organization Documents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7.14</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Accounting Changes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7.15</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Prepayments, Etc. of Indebtedness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7.16</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Amendment, Etc. of Indebtedness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7.17</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Sale and Leaseback Transactions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142</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7.18</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Designation of Senior Debt</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143</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7.19</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Holding Company</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143</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7.20</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Excluded Subsidiaries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143</w:t>
            </w:r>
          </w:p>
        </w:tc>
      </w:tr>
      <w:tr>
        <w:trPr>
          <w:trHeight w:val="254"/>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7.21</w:t>
            </w:r>
          </w:p>
        </w:tc>
        <w:tc>
          <w:tcPr>
            <w:tcW w:w="360" w:type="dxa"/>
            <w:vAlign w:val="bottom"/>
          </w:tcPr>
          <w:p>
            <w:pPr>
              <w:spacing w:after="0"/>
              <w:rPr>
                <w:sz w:val="22"/>
                <w:szCs w:val="22"/>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Operations of US Holdco and Luxco</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143</w:t>
            </w:r>
          </w:p>
        </w:tc>
      </w:tr>
      <w:tr>
        <w:trPr>
          <w:trHeight w:val="495"/>
        </w:trPr>
        <w:tc>
          <w:tcPr>
            <w:tcW w:w="1320" w:type="dxa"/>
            <w:vAlign w:val="bottom"/>
            <w:gridSpan w:val="3"/>
          </w:tcPr>
          <w:p>
            <w:pPr>
              <w:jc w:val="center"/>
              <w:ind w:right="40"/>
              <w:spacing w:after="0"/>
              <w:rPr>
                <w:sz w:val="20"/>
                <w:szCs w:val="20"/>
                <w:color w:val="auto"/>
              </w:rPr>
            </w:pPr>
            <w:r>
              <w:rPr>
                <w:rFonts w:ascii="Arial" w:cs="Arial" w:eastAsia="Arial" w:hAnsi="Arial"/>
                <w:sz w:val="20"/>
                <w:szCs w:val="20"/>
                <w:color w:val="auto"/>
              </w:rPr>
              <w:t>ARTICLE VIII.</w:t>
            </w:r>
          </w:p>
        </w:tc>
        <w:tc>
          <w:tcPr>
            <w:tcW w:w="5780" w:type="dxa"/>
            <w:vAlign w:val="bottom"/>
          </w:tcPr>
          <w:p>
            <w:pPr>
              <w:ind w:left="60"/>
              <w:spacing w:after="0"/>
              <w:rPr>
                <w:sz w:val="20"/>
                <w:szCs w:val="20"/>
                <w:color w:val="auto"/>
              </w:rPr>
            </w:pPr>
            <w:r>
              <w:rPr>
                <w:rFonts w:ascii="Arial" w:cs="Arial" w:eastAsia="Arial" w:hAnsi="Arial"/>
                <w:sz w:val="20"/>
                <w:szCs w:val="20"/>
                <w:color w:val="auto"/>
              </w:rPr>
              <w:t>EVENTS OF DEFAULT AND REMEDIES</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8.01</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Events of Default</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143</w:t>
            </w:r>
          </w:p>
        </w:tc>
      </w:tr>
      <w:tr>
        <w:trPr>
          <w:trHeight w:val="250"/>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8.02</w:t>
            </w:r>
          </w:p>
        </w:tc>
        <w:tc>
          <w:tcPr>
            <w:tcW w:w="360" w:type="dxa"/>
            <w:vAlign w:val="bottom"/>
          </w:tcPr>
          <w:p>
            <w:pPr>
              <w:spacing w:after="0"/>
              <w:rPr>
                <w:sz w:val="21"/>
                <w:szCs w:val="21"/>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Remedies Upon Event of Default</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145</w:t>
            </w:r>
          </w:p>
        </w:tc>
      </w:tr>
      <w:tr>
        <w:trPr>
          <w:trHeight w:val="254"/>
        </w:trPr>
        <w:tc>
          <w:tcPr>
            <w:tcW w:w="960" w:type="dxa"/>
            <w:vAlign w:val="bottom"/>
            <w:gridSpan w:val="2"/>
          </w:tcPr>
          <w:p>
            <w:pPr>
              <w:jc w:val="center"/>
              <w:ind w:left="220"/>
              <w:spacing w:after="0"/>
              <w:rPr>
                <w:sz w:val="20"/>
                <w:szCs w:val="20"/>
                <w:color w:val="auto"/>
              </w:rPr>
            </w:pPr>
            <w:r>
              <w:rPr>
                <w:rFonts w:ascii="Arial" w:cs="Arial" w:eastAsia="Arial" w:hAnsi="Arial"/>
                <w:sz w:val="20"/>
                <w:szCs w:val="20"/>
                <w:color w:val="auto"/>
                <w:w w:val="92"/>
              </w:rPr>
              <w:t>8.03</w:t>
            </w:r>
          </w:p>
        </w:tc>
        <w:tc>
          <w:tcPr>
            <w:tcW w:w="360" w:type="dxa"/>
            <w:vAlign w:val="bottom"/>
          </w:tcPr>
          <w:p>
            <w:pPr>
              <w:spacing w:after="0"/>
              <w:rPr>
                <w:sz w:val="22"/>
                <w:szCs w:val="22"/>
                <w:color w:val="auto"/>
              </w:rPr>
            </w:pPr>
          </w:p>
        </w:tc>
        <w:tc>
          <w:tcPr>
            <w:tcW w:w="5780" w:type="dxa"/>
            <w:vAlign w:val="bottom"/>
          </w:tcPr>
          <w:p>
            <w:pPr>
              <w:ind w:left="60"/>
              <w:spacing w:after="0"/>
              <w:rPr>
                <w:sz w:val="20"/>
                <w:szCs w:val="20"/>
                <w:color w:val="auto"/>
              </w:rPr>
            </w:pPr>
            <w:r>
              <w:rPr>
                <w:rFonts w:ascii="Arial" w:cs="Arial" w:eastAsia="Arial" w:hAnsi="Arial"/>
                <w:sz w:val="20"/>
                <w:szCs w:val="20"/>
                <w:color w:val="auto"/>
              </w:rPr>
              <w:t>Application of Funds</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146</w:t>
            </w:r>
          </w:p>
        </w:tc>
      </w:tr>
      <w:tr>
        <w:trPr>
          <w:trHeight w:val="449"/>
        </w:trPr>
        <w:tc>
          <w:tcPr>
            <w:tcW w:w="1320" w:type="dxa"/>
            <w:vAlign w:val="bottom"/>
            <w:gridSpan w:val="3"/>
          </w:tcPr>
          <w:p>
            <w:pPr>
              <w:jc w:val="center"/>
              <w:ind w:right="40"/>
              <w:spacing w:after="0"/>
              <w:rPr>
                <w:sz w:val="20"/>
                <w:szCs w:val="20"/>
                <w:color w:val="auto"/>
              </w:rPr>
            </w:pPr>
            <w:r>
              <w:rPr>
                <w:rFonts w:ascii="Arial" w:cs="Arial" w:eastAsia="Arial" w:hAnsi="Arial"/>
                <w:sz w:val="20"/>
                <w:szCs w:val="20"/>
                <w:color w:val="auto"/>
              </w:rPr>
              <w:t>ARTICLE IX.</w:t>
            </w:r>
          </w:p>
        </w:tc>
        <w:tc>
          <w:tcPr>
            <w:tcW w:w="5780" w:type="dxa"/>
            <w:vAlign w:val="bottom"/>
          </w:tcPr>
          <w:p>
            <w:pPr>
              <w:ind w:left="60"/>
              <w:spacing w:after="0"/>
              <w:rPr>
                <w:sz w:val="20"/>
                <w:szCs w:val="20"/>
                <w:color w:val="auto"/>
              </w:rPr>
            </w:pPr>
            <w:r>
              <w:rPr>
                <w:rFonts w:ascii="Arial" w:cs="Arial" w:eastAsia="Arial" w:hAnsi="Arial"/>
                <w:sz w:val="20"/>
                <w:szCs w:val="20"/>
                <w:color w:val="auto"/>
              </w:rPr>
              <w:t>ADMINISTRATIVE AGENT</w:t>
            </w:r>
          </w:p>
        </w:tc>
        <w:tc>
          <w:tcPr>
            <w:tcW w:w="920" w:type="dxa"/>
            <w:vAlign w:val="bottom"/>
            <w:gridSpan w:val="2"/>
          </w:tcPr>
          <w:p>
            <w:pPr>
              <w:jc w:val="center"/>
              <w:ind w:left="400"/>
              <w:spacing w:after="0"/>
              <w:rPr>
                <w:sz w:val="20"/>
                <w:szCs w:val="20"/>
                <w:color w:val="auto"/>
              </w:rPr>
            </w:pPr>
            <w:r>
              <w:rPr>
                <w:rFonts w:ascii="Arial" w:cs="Arial" w:eastAsia="Arial" w:hAnsi="Arial"/>
                <w:sz w:val="20"/>
                <w:szCs w:val="20"/>
                <w:color w:val="auto"/>
                <w:w w:val="89"/>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099"/>
          </w:cols>
          <w:pgMar w:left="360" w:top="1363"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150575819</w:t>
      </w:r>
    </w:p>
    <w:p>
      <w:pPr>
        <w:sectPr>
          <w:pgSz w:w="11900" w:h="16838" w:orient="portrait"/>
          <w:cols w:equalWidth="0" w:num="1">
            <w:col w:w="10099"/>
          </w:cols>
          <w:pgMar w:left="360" w:top="1363" w:right="1440" w:bottom="1440" w:gutter="0" w:footer="0" w:header="0"/>
          <w:type w:val="continuous"/>
        </w:sectPr>
      </w:pPr>
    </w:p>
    <w:bookmarkStart w:id="96" w:name="page97"/>
    <w:bookmarkEnd w:id="96"/>
    <w:p>
      <w:pPr>
        <w:spacing w:after="0" w:line="90"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80" w:type="dxa"/>
            <w:vAlign w:val="bottom"/>
          </w:tcPr>
          <w:p>
            <w:pPr>
              <w:ind w:left="198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2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20"/>
                <w:szCs w:val="20"/>
                <w:b w:val="1"/>
                <w:bCs w:val="1"/>
                <w:color w:val="auto"/>
                <w:w w:val="99"/>
              </w:rPr>
              <w:t>Section</w:t>
            </w:r>
          </w:p>
        </w:tc>
        <w:tc>
          <w:tcPr>
            <w:tcW w:w="588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73"/>
        </w:trPr>
        <w:tc>
          <w:tcPr>
            <w:tcW w:w="220" w:type="dxa"/>
            <w:vAlign w:val="bottom"/>
          </w:tcPr>
          <w:p>
            <w:pPr>
              <w:spacing w:after="0"/>
              <w:rPr>
                <w:sz w:val="23"/>
                <w:szCs w:val="2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9.01</w:t>
            </w:r>
          </w:p>
        </w:tc>
        <w:tc>
          <w:tcPr>
            <w:tcW w:w="120" w:type="dxa"/>
            <w:vAlign w:val="bottom"/>
          </w:tcPr>
          <w:p>
            <w:pPr>
              <w:spacing w:after="0"/>
              <w:rPr>
                <w:sz w:val="23"/>
                <w:szCs w:val="23"/>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Appointment and Authority</w:t>
            </w:r>
          </w:p>
        </w:tc>
        <w:tc>
          <w:tcPr>
            <w:tcW w:w="40" w:type="dxa"/>
            <w:vAlign w:val="bottom"/>
          </w:tcPr>
          <w:p>
            <w:pPr>
              <w:spacing w:after="0"/>
              <w:rPr>
                <w:sz w:val="23"/>
                <w:szCs w:val="23"/>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147</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9.02</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Rights as a Lender</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147</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9.03</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Exculpatory Provisions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148</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9.04</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Reliance by Administrative Agent</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149</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9.05</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Delegation of Duties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149</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9.06</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Resignation of Administrative Agent</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149</w:t>
            </w:r>
          </w:p>
        </w:tc>
        <w:tc>
          <w:tcPr>
            <w:tcW w:w="0" w:type="dxa"/>
            <w:vAlign w:val="bottom"/>
          </w:tcPr>
          <w:p>
            <w:pPr>
              <w:spacing w:after="0"/>
              <w:rPr>
                <w:sz w:val="1"/>
                <w:szCs w:val="1"/>
                <w:color w:val="auto"/>
              </w:rPr>
            </w:pPr>
          </w:p>
        </w:tc>
      </w:tr>
      <w:tr>
        <w:trPr>
          <w:trHeight w:val="200"/>
        </w:trPr>
        <w:tc>
          <w:tcPr>
            <w:tcW w:w="840" w:type="dxa"/>
            <w:vAlign w:val="bottom"/>
            <w:gridSpan w:val="2"/>
            <w:vMerge w:val="restart"/>
          </w:tcPr>
          <w:p>
            <w:pPr>
              <w:jc w:val="center"/>
              <w:ind w:left="120"/>
              <w:spacing w:after="0"/>
              <w:rPr>
                <w:sz w:val="20"/>
                <w:szCs w:val="20"/>
                <w:color w:val="auto"/>
              </w:rPr>
            </w:pPr>
            <w:r>
              <w:rPr>
                <w:rFonts w:ascii="Arial" w:cs="Arial" w:eastAsia="Arial" w:hAnsi="Arial"/>
                <w:sz w:val="20"/>
                <w:szCs w:val="20"/>
                <w:color w:val="auto"/>
                <w:w w:val="87"/>
              </w:rPr>
              <w:t>9.07</w:t>
            </w:r>
          </w:p>
        </w:tc>
        <w:tc>
          <w:tcPr>
            <w:tcW w:w="120" w:type="dxa"/>
            <w:vAlign w:val="bottom"/>
          </w:tcPr>
          <w:p>
            <w:pPr>
              <w:spacing w:after="0"/>
              <w:rPr>
                <w:sz w:val="17"/>
                <w:szCs w:val="17"/>
                <w:color w:val="auto"/>
              </w:rPr>
            </w:pPr>
          </w:p>
        </w:tc>
        <w:tc>
          <w:tcPr>
            <w:tcW w:w="5880" w:type="dxa"/>
            <w:vAlign w:val="bottom"/>
          </w:tcPr>
          <w:p>
            <w:pPr>
              <w:ind w:left="100"/>
              <w:spacing w:after="0" w:line="200" w:lineRule="exact"/>
              <w:rPr>
                <w:sz w:val="20"/>
                <w:szCs w:val="20"/>
                <w:color w:val="auto"/>
              </w:rPr>
            </w:pPr>
            <w:r>
              <w:rPr>
                <w:rFonts w:ascii="Arial" w:cs="Arial" w:eastAsia="Arial" w:hAnsi="Arial"/>
                <w:sz w:val="20"/>
                <w:szCs w:val="20"/>
                <w:color w:val="auto"/>
                <w:w w:val="92"/>
              </w:rPr>
              <w:t>Non-Reliance on the Administrative Agent, any Arranger and the Other</w:t>
            </w:r>
          </w:p>
        </w:tc>
        <w:tc>
          <w:tcPr>
            <w:tcW w:w="440" w:type="dxa"/>
            <w:vAlign w:val="bottom"/>
            <w:gridSpan w:val="2"/>
            <w:vMerge w:val="restart"/>
          </w:tcPr>
          <w:p>
            <w:pPr>
              <w:jc w:val="center"/>
              <w:spacing w:after="0"/>
              <w:rPr>
                <w:sz w:val="20"/>
                <w:szCs w:val="20"/>
                <w:color w:val="auto"/>
              </w:rPr>
            </w:pPr>
            <w:r>
              <w:rPr>
                <w:rFonts w:ascii="Arial" w:cs="Arial" w:eastAsia="Arial" w:hAnsi="Arial"/>
                <w:sz w:val="20"/>
                <w:szCs w:val="20"/>
                <w:color w:val="auto"/>
                <w:w w:val="89"/>
              </w:rPr>
              <w:t>151</w:t>
            </w:r>
          </w:p>
        </w:tc>
        <w:tc>
          <w:tcPr>
            <w:tcW w:w="0" w:type="dxa"/>
            <w:vAlign w:val="bottom"/>
          </w:tcPr>
          <w:p>
            <w:pPr>
              <w:spacing w:after="0"/>
              <w:rPr>
                <w:sz w:val="1"/>
                <w:szCs w:val="1"/>
                <w:color w:val="auto"/>
              </w:rPr>
            </w:pPr>
          </w:p>
        </w:tc>
      </w:tr>
      <w:tr>
        <w:trPr>
          <w:trHeight w:val="250"/>
        </w:trPr>
        <w:tc>
          <w:tcPr>
            <w:tcW w:w="8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5880" w:type="dxa"/>
            <w:vAlign w:val="bottom"/>
          </w:tcPr>
          <w:p>
            <w:pPr>
              <w:ind w:left="400"/>
              <w:spacing w:after="0"/>
              <w:rPr>
                <w:sz w:val="20"/>
                <w:szCs w:val="20"/>
                <w:color w:val="auto"/>
              </w:rPr>
            </w:pPr>
            <w:r>
              <w:rPr>
                <w:rFonts w:ascii="Arial" w:cs="Arial" w:eastAsia="Arial" w:hAnsi="Arial"/>
                <w:sz w:val="20"/>
                <w:szCs w:val="20"/>
                <w:color w:val="auto"/>
              </w:rPr>
              <w:t>Lenders</w:t>
            </w:r>
          </w:p>
        </w:tc>
        <w:tc>
          <w:tcPr>
            <w:tcW w:w="4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9.08</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No Other Duties, Etc</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152</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9.09</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Administrative Agent May File Proofs of Claim</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152</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9.10</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Guaranty Matters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152</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9.11</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Guaranteed Cash Management Agreements, Guaranteed Hedge</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9.12</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w w:val="97"/>
              </w:rPr>
              <w:t>Agreements and Guaranteed Permitted Standalone Letter of Credit</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153</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9.13</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Certain ERISA Matters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153</w:t>
            </w:r>
          </w:p>
        </w:tc>
        <w:tc>
          <w:tcPr>
            <w:tcW w:w="0" w:type="dxa"/>
            <w:vAlign w:val="bottom"/>
          </w:tcPr>
          <w:p>
            <w:pPr>
              <w:spacing w:after="0"/>
              <w:rPr>
                <w:sz w:val="1"/>
                <w:szCs w:val="1"/>
                <w:color w:val="auto"/>
              </w:rPr>
            </w:pPr>
          </w:p>
        </w:tc>
      </w:tr>
      <w:tr>
        <w:trPr>
          <w:trHeight w:val="254"/>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87"/>
              </w:rPr>
              <w:t>9.14</w:t>
            </w:r>
          </w:p>
        </w:tc>
        <w:tc>
          <w:tcPr>
            <w:tcW w:w="120" w:type="dxa"/>
            <w:vAlign w:val="bottom"/>
          </w:tcPr>
          <w:p>
            <w:pPr>
              <w:spacing w:after="0"/>
              <w:rPr>
                <w:sz w:val="22"/>
                <w:szCs w:val="22"/>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Recovery of Erroneous Payments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154</w:t>
            </w:r>
          </w:p>
        </w:tc>
        <w:tc>
          <w:tcPr>
            <w:tcW w:w="0" w:type="dxa"/>
            <w:vAlign w:val="bottom"/>
          </w:tcPr>
          <w:p>
            <w:pPr>
              <w:spacing w:after="0"/>
              <w:rPr>
                <w:sz w:val="1"/>
                <w:szCs w:val="1"/>
                <w:color w:val="auto"/>
              </w:rPr>
            </w:pPr>
          </w:p>
        </w:tc>
      </w:tr>
      <w:tr>
        <w:trPr>
          <w:trHeight w:val="445"/>
        </w:trPr>
        <w:tc>
          <w:tcPr>
            <w:tcW w:w="6840" w:type="dxa"/>
            <w:vAlign w:val="bottom"/>
            <w:gridSpan w:val="4"/>
          </w:tcPr>
          <w:p>
            <w:pPr>
              <w:spacing w:after="0"/>
              <w:rPr>
                <w:sz w:val="20"/>
                <w:szCs w:val="20"/>
                <w:color w:val="auto"/>
              </w:rPr>
            </w:pPr>
            <w:r>
              <w:rPr>
                <w:rFonts w:ascii="Arial" w:cs="Arial" w:eastAsia="Arial" w:hAnsi="Arial"/>
                <w:sz w:val="20"/>
                <w:szCs w:val="20"/>
                <w:color w:val="auto"/>
              </w:rPr>
              <w:t>ARTICLE X.MISCELLANEOUS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10.01</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Amendments, Etc</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155</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10.02</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Notices; Effectiveness; Electronic Communication</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157</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10.03</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No Waiver; Cumulative Remedies; Enforcement</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159</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10.04</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Expenses; Indemnity; Damage Waiver</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160</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10.05</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Payments Set Aside</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162</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10.06</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Successors and Assigns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163</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10.07</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Treatment of Certain Information; Confidentiality</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168</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10.08</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Right of Setoff</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169</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10.09</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Interest Rate Limitation</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169</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10.10</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Integration; Effectiveness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170</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40"/>
              <w:spacing w:after="0"/>
              <w:rPr>
                <w:sz w:val="20"/>
                <w:szCs w:val="20"/>
                <w:color w:val="auto"/>
              </w:rPr>
            </w:pPr>
            <w:r>
              <w:rPr>
                <w:rFonts w:ascii="Arial" w:cs="Arial" w:eastAsia="Arial" w:hAnsi="Arial"/>
                <w:sz w:val="20"/>
                <w:szCs w:val="20"/>
                <w:color w:val="auto"/>
                <w:w w:val="87"/>
              </w:rPr>
              <w:t>10.11</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Survival of Representations and Warranties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170</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10.12</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Severability</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170</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10.13</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Replacement of Lenders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170</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10.14</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Governing Law; Jurisdiction; Etc</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172</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10.15</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Waiver of Jury Trial</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173</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10.16</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No Advisory or Fiduciary Responsibility</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173</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10.17</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Electronic Execution; Electronic Records; Counterparts.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173</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10.18</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USA PATRIOT Act Notice</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175</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10.19</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Judgment Currency</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175</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10.20</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Designation as Senior Debt</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175</w:t>
            </w: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10.21</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Keepwell</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175</w:t>
            </w:r>
          </w:p>
        </w:tc>
        <w:tc>
          <w:tcPr>
            <w:tcW w:w="0" w:type="dxa"/>
            <w:vAlign w:val="bottom"/>
          </w:tcPr>
          <w:p>
            <w:pPr>
              <w:spacing w:after="0"/>
              <w:rPr>
                <w:sz w:val="1"/>
                <w:szCs w:val="1"/>
                <w:color w:val="auto"/>
              </w:rPr>
            </w:pPr>
          </w:p>
        </w:tc>
      </w:tr>
      <w:tr>
        <w:trPr>
          <w:trHeight w:val="200"/>
        </w:trPr>
        <w:tc>
          <w:tcPr>
            <w:tcW w:w="840" w:type="dxa"/>
            <w:vAlign w:val="bottom"/>
            <w:gridSpan w:val="2"/>
            <w:vMerge w:val="restart"/>
          </w:tcPr>
          <w:p>
            <w:pPr>
              <w:jc w:val="center"/>
              <w:ind w:left="120"/>
              <w:spacing w:after="0"/>
              <w:rPr>
                <w:sz w:val="20"/>
                <w:szCs w:val="20"/>
                <w:color w:val="auto"/>
              </w:rPr>
            </w:pPr>
            <w:r>
              <w:rPr>
                <w:rFonts w:ascii="Arial" w:cs="Arial" w:eastAsia="Arial" w:hAnsi="Arial"/>
                <w:sz w:val="20"/>
                <w:szCs w:val="20"/>
                <w:color w:val="auto"/>
                <w:w w:val="91"/>
              </w:rPr>
              <w:t>10.22</w:t>
            </w:r>
          </w:p>
        </w:tc>
        <w:tc>
          <w:tcPr>
            <w:tcW w:w="120" w:type="dxa"/>
            <w:vAlign w:val="bottom"/>
          </w:tcPr>
          <w:p>
            <w:pPr>
              <w:spacing w:after="0"/>
              <w:rPr>
                <w:sz w:val="17"/>
                <w:szCs w:val="17"/>
                <w:color w:val="auto"/>
              </w:rPr>
            </w:pPr>
          </w:p>
        </w:tc>
        <w:tc>
          <w:tcPr>
            <w:tcW w:w="5880" w:type="dxa"/>
            <w:vAlign w:val="bottom"/>
          </w:tcPr>
          <w:p>
            <w:pPr>
              <w:ind w:left="100"/>
              <w:spacing w:after="0" w:line="200" w:lineRule="exact"/>
              <w:rPr>
                <w:sz w:val="20"/>
                <w:szCs w:val="20"/>
                <w:color w:val="auto"/>
              </w:rPr>
            </w:pPr>
            <w:r>
              <w:rPr>
                <w:rFonts w:ascii="Arial" w:cs="Arial" w:eastAsia="Arial" w:hAnsi="Arial"/>
                <w:sz w:val="20"/>
                <w:szCs w:val="20"/>
                <w:color w:val="auto"/>
              </w:rPr>
              <w:t>Acknowledgement and Consent to Bail-In of Affected Financial</w:t>
            </w:r>
          </w:p>
        </w:tc>
        <w:tc>
          <w:tcPr>
            <w:tcW w:w="440" w:type="dxa"/>
            <w:vAlign w:val="bottom"/>
            <w:gridSpan w:val="2"/>
            <w:vMerge w:val="restart"/>
          </w:tcPr>
          <w:p>
            <w:pPr>
              <w:jc w:val="center"/>
              <w:spacing w:after="0"/>
              <w:rPr>
                <w:sz w:val="20"/>
                <w:szCs w:val="20"/>
                <w:color w:val="auto"/>
              </w:rPr>
            </w:pPr>
            <w:r>
              <w:rPr>
                <w:rFonts w:ascii="Arial" w:cs="Arial" w:eastAsia="Arial" w:hAnsi="Arial"/>
                <w:sz w:val="20"/>
                <w:szCs w:val="20"/>
                <w:color w:val="auto"/>
                <w:w w:val="89"/>
              </w:rPr>
              <w:t>176</w:t>
            </w:r>
          </w:p>
        </w:tc>
        <w:tc>
          <w:tcPr>
            <w:tcW w:w="0" w:type="dxa"/>
            <w:vAlign w:val="bottom"/>
          </w:tcPr>
          <w:p>
            <w:pPr>
              <w:spacing w:after="0"/>
              <w:rPr>
                <w:sz w:val="1"/>
                <w:szCs w:val="1"/>
                <w:color w:val="auto"/>
              </w:rPr>
            </w:pPr>
          </w:p>
        </w:tc>
      </w:tr>
      <w:tr>
        <w:trPr>
          <w:trHeight w:val="250"/>
        </w:trPr>
        <w:tc>
          <w:tcPr>
            <w:tcW w:w="8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5880" w:type="dxa"/>
            <w:vAlign w:val="bottom"/>
          </w:tcPr>
          <w:p>
            <w:pPr>
              <w:ind w:left="400"/>
              <w:spacing w:after="0"/>
              <w:rPr>
                <w:sz w:val="20"/>
                <w:szCs w:val="20"/>
                <w:color w:val="auto"/>
              </w:rPr>
            </w:pPr>
            <w:r>
              <w:rPr>
                <w:rFonts w:ascii="Arial" w:cs="Arial" w:eastAsia="Arial" w:hAnsi="Arial"/>
                <w:sz w:val="20"/>
                <w:szCs w:val="20"/>
                <w:color w:val="auto"/>
              </w:rPr>
              <w:t>Institutions</w:t>
            </w:r>
          </w:p>
        </w:tc>
        <w:tc>
          <w:tcPr>
            <w:tcW w:w="4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10.23</w:t>
            </w:r>
          </w:p>
        </w:tc>
        <w:tc>
          <w:tcPr>
            <w:tcW w:w="120" w:type="dxa"/>
            <w:vAlign w:val="bottom"/>
          </w:tcPr>
          <w:p>
            <w:pPr>
              <w:spacing w:after="0"/>
              <w:rPr>
                <w:sz w:val="21"/>
                <w:szCs w:val="21"/>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Acknowledgement Regarding Any Supported QFCs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176</w:t>
            </w:r>
          </w:p>
        </w:tc>
        <w:tc>
          <w:tcPr>
            <w:tcW w:w="0" w:type="dxa"/>
            <w:vAlign w:val="bottom"/>
          </w:tcPr>
          <w:p>
            <w:pPr>
              <w:spacing w:after="0"/>
              <w:rPr>
                <w:sz w:val="1"/>
                <w:szCs w:val="1"/>
                <w:color w:val="auto"/>
              </w:rPr>
            </w:pPr>
          </w:p>
        </w:tc>
      </w:tr>
      <w:tr>
        <w:trPr>
          <w:trHeight w:val="254"/>
        </w:trPr>
        <w:tc>
          <w:tcPr>
            <w:tcW w:w="840" w:type="dxa"/>
            <w:vAlign w:val="bottom"/>
            <w:gridSpan w:val="2"/>
          </w:tcPr>
          <w:p>
            <w:pPr>
              <w:jc w:val="center"/>
              <w:ind w:left="120"/>
              <w:spacing w:after="0"/>
              <w:rPr>
                <w:sz w:val="20"/>
                <w:szCs w:val="20"/>
                <w:color w:val="auto"/>
              </w:rPr>
            </w:pPr>
            <w:r>
              <w:rPr>
                <w:rFonts w:ascii="Arial" w:cs="Arial" w:eastAsia="Arial" w:hAnsi="Arial"/>
                <w:sz w:val="20"/>
                <w:szCs w:val="20"/>
                <w:color w:val="auto"/>
                <w:w w:val="91"/>
              </w:rPr>
              <w:t>10.24</w:t>
            </w:r>
          </w:p>
        </w:tc>
        <w:tc>
          <w:tcPr>
            <w:tcW w:w="120" w:type="dxa"/>
            <w:vAlign w:val="bottom"/>
          </w:tcPr>
          <w:p>
            <w:pPr>
              <w:spacing w:after="0"/>
              <w:rPr>
                <w:sz w:val="22"/>
                <w:szCs w:val="22"/>
                <w:color w:val="auto"/>
              </w:rPr>
            </w:pPr>
          </w:p>
        </w:tc>
        <w:tc>
          <w:tcPr>
            <w:tcW w:w="5880" w:type="dxa"/>
            <w:vAlign w:val="bottom"/>
          </w:tcPr>
          <w:p>
            <w:pPr>
              <w:ind w:left="100"/>
              <w:spacing w:after="0"/>
              <w:rPr>
                <w:sz w:val="20"/>
                <w:szCs w:val="20"/>
                <w:color w:val="auto"/>
              </w:rPr>
            </w:pPr>
            <w:r>
              <w:rPr>
                <w:rFonts w:ascii="Arial" w:cs="Arial" w:eastAsia="Arial" w:hAnsi="Arial"/>
                <w:sz w:val="20"/>
                <w:szCs w:val="20"/>
                <w:color w:val="auto"/>
              </w:rPr>
              <w:t>Acknowledgment as to Satisfactory Arrangements</w:t>
            </w:r>
          </w:p>
        </w:tc>
        <w:tc>
          <w:tcPr>
            <w:tcW w:w="440" w:type="dxa"/>
            <w:vAlign w:val="bottom"/>
            <w:gridSpan w:val="2"/>
          </w:tcPr>
          <w:p>
            <w:pPr>
              <w:jc w:val="center"/>
              <w:spacing w:after="0"/>
              <w:rPr>
                <w:sz w:val="20"/>
                <w:szCs w:val="20"/>
                <w:color w:val="auto"/>
              </w:rPr>
            </w:pPr>
            <w:r>
              <w:rPr>
                <w:rFonts w:ascii="Arial" w:cs="Arial" w:eastAsia="Arial" w:hAnsi="Arial"/>
                <w:sz w:val="20"/>
                <w:szCs w:val="20"/>
                <w:color w:val="auto"/>
                <w:w w:val="89"/>
              </w:rPr>
              <w:t>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099"/>
          </w:cols>
          <w:pgMar w:left="360" w:top="1440"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150575819</w:t>
      </w:r>
    </w:p>
    <w:p>
      <w:pPr>
        <w:sectPr>
          <w:pgSz w:w="11900" w:h="16838" w:orient="portrait"/>
          <w:cols w:equalWidth="0" w:num="1">
            <w:col w:w="10099"/>
          </w:cols>
          <w:pgMar w:left="360" w:top="1440" w:right="1440" w:bottom="1440" w:gutter="0" w:footer="0" w:header="0"/>
          <w:type w:val="continuous"/>
        </w:sectPr>
      </w:pPr>
    </w:p>
    <w:bookmarkStart w:id="97" w:name="page98"/>
    <w:bookmarkEnd w:id="97"/>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ANNEXES</w:t>
      </w:r>
    </w:p>
    <w:p>
      <w:pPr>
        <w:spacing w:after="0" w:line="275" w:lineRule="exact"/>
        <w:rPr>
          <w:sz w:val="20"/>
          <w:szCs w:val="20"/>
          <w:color w:val="auto"/>
        </w:rPr>
      </w:pPr>
    </w:p>
    <w:p>
      <w:pPr>
        <w:ind w:left="2760" w:hanging="1256"/>
        <w:spacing w:after="0"/>
        <w:tabs>
          <w:tab w:leader="none" w:pos="2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Existing Letters of Credit</w:t>
      </w:r>
    </w:p>
    <w:p>
      <w:pPr>
        <w:sectPr>
          <w:pgSz w:w="11900" w:h="16838" w:orient="portrait"/>
          <w:cols w:equalWidth="0" w:num="1">
            <w:col w:w="9879"/>
          </w:cols>
          <w:pgMar w:left="580" w:top="1440" w:right="1440" w:bottom="1440" w:gutter="0" w:footer="0" w:header="0"/>
        </w:sectPr>
      </w:pPr>
    </w:p>
    <w:p>
      <w:pPr>
        <w:spacing w:after="0" w:line="4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II-A</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II-B</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II-C</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Applicable Percentages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Swing Line Commitments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Letter of Credit Commitments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Term Loan Facility Amortization Schedule</w:t>
      </w:r>
    </w:p>
    <w:p>
      <w:pPr>
        <w:spacing w:after="0" w:line="222" w:lineRule="exact"/>
        <w:rPr>
          <w:sz w:val="20"/>
          <w:szCs w:val="20"/>
          <w:color w:val="auto"/>
        </w:rPr>
      </w:pPr>
    </w:p>
    <w:p>
      <w:pPr>
        <w:sectPr>
          <w:pgSz w:w="11900" w:h="16838" w:orient="portrait"/>
          <w:cols w:equalWidth="0" w:num="2">
            <w:col w:w="2040" w:space="720"/>
            <w:col w:w="7119"/>
          </w:cols>
          <w:pgMar w:left="580" w:top="1440" w:right="1440"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75"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5.05</w:t>
            </w:r>
          </w:p>
        </w:tc>
        <w:tc>
          <w:tcPr>
            <w:tcW w:w="5260" w:type="dxa"/>
            <w:vAlign w:val="bottom"/>
          </w:tcPr>
          <w:p>
            <w:pPr>
              <w:ind w:left="340"/>
              <w:spacing w:after="0"/>
              <w:rPr>
                <w:sz w:val="20"/>
                <w:szCs w:val="20"/>
                <w:color w:val="auto"/>
              </w:rPr>
            </w:pPr>
            <w:r>
              <w:rPr>
                <w:rFonts w:ascii="Arial" w:cs="Arial" w:eastAsia="Arial" w:hAnsi="Arial"/>
                <w:sz w:val="20"/>
                <w:szCs w:val="20"/>
                <w:color w:val="auto"/>
              </w:rPr>
              <w:t>Supplement to Interim Financial Statements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5.12(c)</w:t>
            </w:r>
          </w:p>
        </w:tc>
        <w:tc>
          <w:tcPr>
            <w:tcW w:w="5260" w:type="dxa"/>
            <w:vAlign w:val="bottom"/>
          </w:tcPr>
          <w:p>
            <w:pPr>
              <w:ind w:left="340"/>
              <w:spacing w:after="0"/>
              <w:rPr>
                <w:sz w:val="20"/>
                <w:szCs w:val="20"/>
                <w:color w:val="auto"/>
              </w:rPr>
            </w:pPr>
            <w:r>
              <w:rPr>
                <w:rFonts w:ascii="Arial" w:cs="Arial" w:eastAsia="Arial" w:hAnsi="Arial"/>
                <w:sz w:val="20"/>
                <w:szCs w:val="20"/>
                <w:color w:val="auto"/>
              </w:rPr>
              <w:t>Closing Date ERISA Events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5.12(d)</w:t>
            </w:r>
          </w:p>
        </w:tc>
        <w:tc>
          <w:tcPr>
            <w:tcW w:w="5260" w:type="dxa"/>
            <w:vAlign w:val="bottom"/>
          </w:tcPr>
          <w:p>
            <w:pPr>
              <w:ind w:left="340"/>
              <w:spacing w:after="0"/>
              <w:rPr>
                <w:sz w:val="20"/>
                <w:szCs w:val="20"/>
                <w:color w:val="auto"/>
              </w:rPr>
            </w:pPr>
            <w:r>
              <w:rPr>
                <w:rFonts w:ascii="Arial" w:cs="Arial" w:eastAsia="Arial" w:hAnsi="Arial"/>
                <w:sz w:val="20"/>
                <w:szCs w:val="20"/>
                <w:color w:val="auto"/>
              </w:rPr>
              <w:t>Closing Date Pension Plans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5.13</w:t>
            </w:r>
          </w:p>
        </w:tc>
        <w:tc>
          <w:tcPr>
            <w:tcW w:w="5260" w:type="dxa"/>
            <w:vAlign w:val="bottom"/>
          </w:tcPr>
          <w:p>
            <w:pPr>
              <w:ind w:left="340"/>
              <w:spacing w:after="0"/>
              <w:rPr>
                <w:sz w:val="20"/>
                <w:szCs w:val="20"/>
                <w:color w:val="auto"/>
              </w:rPr>
            </w:pPr>
            <w:r>
              <w:rPr>
                <w:rFonts w:ascii="Arial" w:cs="Arial" w:eastAsia="Arial" w:hAnsi="Arial"/>
                <w:sz w:val="20"/>
                <w:szCs w:val="20"/>
                <w:color w:val="auto"/>
              </w:rPr>
              <w:t>Subsidiaries; Other Equity Investments; Loan Parties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5.21</w:t>
            </w:r>
          </w:p>
        </w:tc>
        <w:tc>
          <w:tcPr>
            <w:tcW w:w="5260" w:type="dxa"/>
            <w:vAlign w:val="bottom"/>
          </w:tcPr>
          <w:p>
            <w:pPr>
              <w:ind w:left="340"/>
              <w:spacing w:after="0"/>
              <w:rPr>
                <w:sz w:val="20"/>
                <w:szCs w:val="20"/>
                <w:color w:val="auto"/>
              </w:rPr>
            </w:pPr>
            <w:r>
              <w:rPr>
                <w:rFonts w:ascii="Arial" w:cs="Arial" w:eastAsia="Arial" w:hAnsi="Arial"/>
                <w:sz w:val="20"/>
                <w:szCs w:val="20"/>
                <w:color w:val="auto"/>
              </w:rPr>
              <w:t>Labor Matters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6.12(c)</w:t>
            </w:r>
          </w:p>
        </w:tc>
        <w:tc>
          <w:tcPr>
            <w:tcW w:w="5260" w:type="dxa"/>
            <w:vAlign w:val="bottom"/>
          </w:tcPr>
          <w:p>
            <w:pPr>
              <w:ind w:left="340"/>
              <w:spacing w:after="0"/>
              <w:rPr>
                <w:sz w:val="20"/>
                <w:szCs w:val="20"/>
                <w:color w:val="auto"/>
              </w:rPr>
            </w:pPr>
            <w:r>
              <w:rPr>
                <w:rFonts w:ascii="Arial" w:cs="Arial" w:eastAsia="Arial" w:hAnsi="Arial"/>
                <w:sz w:val="20"/>
                <w:szCs w:val="20"/>
                <w:color w:val="auto"/>
              </w:rPr>
              <w:t>Excluded Liens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7.01(b)</w:t>
            </w:r>
          </w:p>
        </w:tc>
        <w:tc>
          <w:tcPr>
            <w:tcW w:w="5260" w:type="dxa"/>
            <w:vAlign w:val="bottom"/>
          </w:tcPr>
          <w:p>
            <w:pPr>
              <w:ind w:left="340"/>
              <w:spacing w:after="0"/>
              <w:rPr>
                <w:sz w:val="20"/>
                <w:szCs w:val="20"/>
                <w:color w:val="auto"/>
              </w:rPr>
            </w:pPr>
            <w:r>
              <w:rPr>
                <w:rFonts w:ascii="Arial" w:cs="Arial" w:eastAsia="Arial" w:hAnsi="Arial"/>
                <w:sz w:val="20"/>
                <w:szCs w:val="20"/>
                <w:color w:val="auto"/>
              </w:rPr>
              <w:t>Existing Liens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7.03</w:t>
            </w:r>
          </w:p>
        </w:tc>
        <w:tc>
          <w:tcPr>
            <w:tcW w:w="5260" w:type="dxa"/>
            <w:vAlign w:val="bottom"/>
          </w:tcPr>
          <w:p>
            <w:pPr>
              <w:ind w:left="340"/>
              <w:spacing w:after="0"/>
              <w:rPr>
                <w:sz w:val="20"/>
                <w:szCs w:val="20"/>
                <w:color w:val="auto"/>
              </w:rPr>
            </w:pPr>
            <w:r>
              <w:rPr>
                <w:rFonts w:ascii="Arial" w:cs="Arial" w:eastAsia="Arial" w:hAnsi="Arial"/>
                <w:sz w:val="20"/>
                <w:szCs w:val="20"/>
                <w:color w:val="auto"/>
              </w:rPr>
              <w:t>Existing Indebtedness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7.08</w:t>
            </w:r>
          </w:p>
        </w:tc>
        <w:tc>
          <w:tcPr>
            <w:tcW w:w="5260" w:type="dxa"/>
            <w:vAlign w:val="bottom"/>
          </w:tcPr>
          <w:p>
            <w:pPr>
              <w:ind w:left="340"/>
              <w:spacing w:after="0"/>
              <w:rPr>
                <w:sz w:val="20"/>
                <w:szCs w:val="20"/>
                <w:color w:val="auto"/>
              </w:rPr>
            </w:pPr>
            <w:r>
              <w:rPr>
                <w:rFonts w:ascii="Arial" w:cs="Arial" w:eastAsia="Arial" w:hAnsi="Arial"/>
                <w:sz w:val="20"/>
                <w:szCs w:val="20"/>
                <w:color w:val="auto"/>
              </w:rPr>
              <w:t>Existing Transactions with Affiliates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7.09</w:t>
            </w:r>
          </w:p>
        </w:tc>
        <w:tc>
          <w:tcPr>
            <w:tcW w:w="5260" w:type="dxa"/>
            <w:vAlign w:val="bottom"/>
          </w:tcPr>
          <w:p>
            <w:pPr>
              <w:ind w:left="340"/>
              <w:spacing w:after="0"/>
              <w:rPr>
                <w:sz w:val="20"/>
                <w:szCs w:val="20"/>
                <w:color w:val="auto"/>
              </w:rPr>
            </w:pPr>
            <w:r>
              <w:rPr>
                <w:rFonts w:ascii="Arial" w:cs="Arial" w:eastAsia="Arial" w:hAnsi="Arial"/>
                <w:sz w:val="20"/>
                <w:szCs w:val="20"/>
                <w:color w:val="auto"/>
              </w:rPr>
              <w:t>Existing Burdensome Agreements</w:t>
            </w:r>
          </w:p>
        </w:tc>
      </w:tr>
      <w:tr>
        <w:trPr>
          <w:trHeight w:val="254"/>
        </w:trPr>
        <w:tc>
          <w:tcPr>
            <w:tcW w:w="920" w:type="dxa"/>
            <w:vAlign w:val="bottom"/>
          </w:tcPr>
          <w:p>
            <w:pPr>
              <w:spacing w:after="0"/>
              <w:rPr>
                <w:sz w:val="20"/>
                <w:szCs w:val="20"/>
                <w:color w:val="auto"/>
              </w:rPr>
            </w:pPr>
            <w:r>
              <w:rPr>
                <w:rFonts w:ascii="Arial" w:cs="Arial" w:eastAsia="Arial" w:hAnsi="Arial"/>
                <w:sz w:val="20"/>
                <w:szCs w:val="20"/>
                <w:color w:val="auto"/>
              </w:rPr>
              <w:t>10.02</w:t>
            </w:r>
          </w:p>
        </w:tc>
        <w:tc>
          <w:tcPr>
            <w:tcW w:w="5260" w:type="dxa"/>
            <w:vAlign w:val="bottom"/>
          </w:tcPr>
          <w:p>
            <w:pPr>
              <w:ind w:left="340"/>
              <w:spacing w:after="0"/>
              <w:rPr>
                <w:sz w:val="20"/>
                <w:szCs w:val="20"/>
                <w:color w:val="auto"/>
              </w:rPr>
            </w:pPr>
            <w:r>
              <w:rPr>
                <w:rFonts w:ascii="Arial" w:cs="Arial" w:eastAsia="Arial" w:hAnsi="Arial"/>
                <w:sz w:val="20"/>
                <w:szCs w:val="20"/>
                <w:color w:val="auto"/>
                <w:w w:val="92"/>
              </w:rPr>
              <w:t>Administrative Agent's Office; Certain Addresses for Notices</w:t>
            </w:r>
          </w:p>
        </w:tc>
      </w:tr>
    </w:tbl>
    <w:p>
      <w:pPr>
        <w:spacing w:after="0" w:line="23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EXHIBITS</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20"/>
          <w:szCs w:val="20"/>
          <w:b w:val="1"/>
          <w:bCs w:val="1"/>
          <w:i w:val="1"/>
          <w:iCs w:val="1"/>
          <w:color w:val="auto"/>
        </w:rPr>
        <w:t>Form of</w:t>
      </w:r>
    </w:p>
    <w:p>
      <w:pPr>
        <w:spacing w:after="0" w:line="257" w:lineRule="exact"/>
        <w:rPr>
          <w:sz w:val="20"/>
          <w:szCs w:val="20"/>
          <w:color w:val="auto"/>
        </w:rPr>
      </w:pPr>
    </w:p>
    <w:p>
      <w:pPr>
        <w:ind w:left="2760" w:hanging="1256"/>
        <w:spacing w:after="0"/>
        <w:tabs>
          <w:tab w:leader="none" w:pos="2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Loan Notice</w:t>
      </w:r>
    </w:p>
    <w:p>
      <w:pPr>
        <w:spacing w:after="0" w:line="24" w:lineRule="exact"/>
        <w:rPr>
          <w:sz w:val="20"/>
          <w:szCs w:val="20"/>
          <w:color w:val="auto"/>
        </w:rPr>
      </w:pPr>
    </w:p>
    <w:p>
      <w:pPr>
        <w:ind w:left="2760" w:hanging="1256"/>
        <w:spacing w:after="0"/>
        <w:tabs>
          <w:tab w:leader="none" w:pos="2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Swing Line Loan Notice</w:t>
      </w:r>
    </w:p>
    <w:p>
      <w:pPr>
        <w:spacing w:after="0" w:line="20" w:lineRule="exact"/>
        <w:rPr>
          <w:sz w:val="20"/>
          <w:szCs w:val="20"/>
          <w:color w:val="auto"/>
        </w:rPr>
      </w:pPr>
    </w:p>
    <w:p>
      <w:pPr>
        <w:ind w:left="2760" w:hanging="1256"/>
        <w:spacing w:after="0"/>
        <w:tabs>
          <w:tab w:leader="none" w:pos="27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Note</w:t>
      </w:r>
    </w:p>
    <w:p>
      <w:pPr>
        <w:spacing w:after="0" w:line="20" w:lineRule="exact"/>
        <w:rPr>
          <w:sz w:val="20"/>
          <w:szCs w:val="20"/>
          <w:color w:val="auto"/>
        </w:rPr>
      </w:pPr>
    </w:p>
    <w:p>
      <w:pPr>
        <w:ind w:left="2760" w:hanging="1256"/>
        <w:spacing w:after="0"/>
        <w:tabs>
          <w:tab w:leader="none" w:pos="27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Compliance Certificate</w:t>
      </w:r>
    </w:p>
    <w:p>
      <w:pPr>
        <w:spacing w:after="0" w:line="20" w:lineRule="exact"/>
        <w:rPr>
          <w:sz w:val="20"/>
          <w:szCs w:val="20"/>
          <w:color w:val="auto"/>
        </w:rPr>
      </w:pPr>
    </w:p>
    <w:p>
      <w:pPr>
        <w:ind w:left="2760" w:hanging="1256"/>
        <w:spacing w:after="0"/>
        <w:tabs>
          <w:tab w:leader="none" w:pos="27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Assignment and Assumption</w:t>
      </w:r>
    </w:p>
    <w:p>
      <w:pPr>
        <w:spacing w:after="0" w:line="265" w:lineRule="exact"/>
        <w:rPr>
          <w:sz w:val="20"/>
          <w:szCs w:val="20"/>
          <w:color w:val="auto"/>
        </w:rPr>
      </w:pPr>
    </w:p>
    <w:p>
      <w:pPr>
        <w:ind w:left="2760" w:hanging="1256"/>
        <w:spacing w:after="0"/>
        <w:tabs>
          <w:tab w:leader="none" w:pos="27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Bankers’ Acceptance Request</w:t>
      </w:r>
    </w:p>
    <w:p>
      <w:pPr>
        <w:spacing w:after="0" w:line="24" w:lineRule="exact"/>
        <w:rPr>
          <w:sz w:val="20"/>
          <w:szCs w:val="20"/>
          <w:color w:val="auto"/>
        </w:rPr>
      </w:pPr>
    </w:p>
    <w:p>
      <w:pPr>
        <w:ind w:left="2760" w:hanging="1256"/>
        <w:spacing w:after="0"/>
        <w:tabs>
          <w:tab w:leader="none" w:pos="2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Letter of Credit Report</w:t>
      </w:r>
    </w:p>
    <w:p>
      <w:pPr>
        <w:spacing w:after="0" w:line="20" w:lineRule="exact"/>
        <w:rPr>
          <w:sz w:val="20"/>
          <w:szCs w:val="20"/>
          <w:color w:val="auto"/>
        </w:rPr>
      </w:pPr>
    </w:p>
    <w:p>
      <w:pPr>
        <w:ind w:left="2760" w:hanging="1256"/>
        <w:spacing w:after="0"/>
        <w:tabs>
          <w:tab w:leader="none" w:pos="27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Notice of Loan Prepayment</w:t>
      </w:r>
    </w:p>
    <w:p>
      <w:pPr>
        <w:sectPr>
          <w:pgSz w:w="11900" w:h="16838" w:orient="portrait"/>
          <w:cols w:equalWidth="0" w:num="1">
            <w:col w:w="9879"/>
          </w:cols>
          <w:pgMar w:left="580" w:top="1440" w:right="1440" w:bottom="1440" w:gutter="0" w:footer="0" w:header="0"/>
          <w:type w:val="continuous"/>
        </w:sectPr>
      </w:pPr>
    </w:p>
    <w:bookmarkStart w:id="98" w:name="page99"/>
    <w:bookmarkEnd w:id="98"/>
    <w:p>
      <w:pPr>
        <w:jc w:val="center"/>
        <w:ind w:right="-199"/>
        <w:spacing w:after="0"/>
        <w:rPr>
          <w:sz w:val="20"/>
          <w:szCs w:val="20"/>
          <w:color w:val="auto"/>
        </w:rPr>
      </w:pPr>
      <w:r>
        <w:rPr>
          <w:rFonts w:ascii="Arial" w:cs="Arial" w:eastAsia="Arial" w:hAnsi="Arial"/>
          <w:sz w:val="20"/>
          <w:szCs w:val="20"/>
          <w:b w:val="1"/>
          <w:bCs w:val="1"/>
          <w:color w:val="auto"/>
        </w:rPr>
        <w:t>CREDIT AGREEMENT</w:t>
      </w:r>
    </w:p>
    <w:p>
      <w:pPr>
        <w:spacing w:after="0" w:line="207"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entered into as of November 1, 2021, among </w:t>
      </w:r>
      <w:r>
        <w:rPr>
          <w:rFonts w:ascii="Arial" w:cs="Arial" w:eastAsia="Arial" w:hAnsi="Arial"/>
          <w:sz w:val="19"/>
          <w:szCs w:val="19"/>
          <w:b w:val="1"/>
          <w:bCs w:val="1"/>
          <w:color w:val="auto"/>
        </w:rPr>
        <w:t>MASTEC, INC</w:t>
      </w:r>
      <w:r>
        <w:rPr>
          <w:rFonts w:ascii="Arial" w:cs="Arial" w:eastAsia="Arial" w:hAnsi="Arial"/>
          <w:sz w:val="19"/>
          <w:szCs w:val="19"/>
          <w:color w:val="auto"/>
        </w:rPr>
        <w:t>., a Florida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MASTEC NORTH AMERICA, INC.</w:t>
      </w:r>
      <w:r>
        <w:rPr>
          <w:rFonts w:ascii="Arial" w:cs="Arial" w:eastAsia="Arial" w:hAnsi="Arial"/>
          <w:sz w:val="19"/>
          <w:szCs w:val="19"/>
          <w:color w:val="auto"/>
        </w:rPr>
        <w:t>, a Florida corporation (together with the Company,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Borrower</w:t>
      </w:r>
      <w:r>
        <w:rPr>
          <w:rFonts w:ascii="Arial" w:cs="Arial" w:eastAsia="Arial" w:hAnsi="Arial"/>
          <w:sz w:val="19"/>
          <w:szCs w:val="19"/>
          <w:color w:val="auto"/>
        </w:rPr>
        <w:t>”),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and </w:t>
      </w: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 Swing Line Lender and L/C Issuer.</w:t>
      </w:r>
    </w:p>
    <w:p>
      <w:pPr>
        <w:spacing w:after="0" w:line="186"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WHEREAS, the Borrowers have requested that the Lenders provide a revolving credit facility and term loan credit facility, and the Lenders are willing to do so on the terms and conditions set forth herein;</w:t>
      </w:r>
    </w:p>
    <w:p>
      <w:pPr>
        <w:spacing w:after="0" w:line="172"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3" w:right="579" w:bottom="1440" w:gutter="0" w:footer="0" w:header="0"/>
        </w:sectPr>
      </w:pPr>
    </w:p>
    <w:bookmarkStart w:id="99" w:name="page100"/>
    <w:bookmarkEnd w:id="99"/>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ARTICLE I.</w:t>
      </w:r>
    </w:p>
    <w:p>
      <w:pPr>
        <w:jc w:val="center"/>
        <w:ind w:right="-159"/>
        <w:spacing w:after="0"/>
        <w:rPr>
          <w:sz w:val="20"/>
          <w:szCs w:val="20"/>
          <w:color w:val="auto"/>
        </w:rPr>
      </w:pPr>
      <w:r>
        <w:rPr>
          <w:rFonts w:ascii="Arial" w:cs="Arial" w:eastAsia="Arial" w:hAnsi="Arial"/>
          <w:sz w:val="20"/>
          <w:szCs w:val="20"/>
          <w:b w:val="1"/>
          <w:bCs w:val="1"/>
          <w:color w:val="auto"/>
        </w:rPr>
        <w:t>DEFINITIONS AND ACCOUNTING TERMS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1.01 Defined Terms. </w:t>
      </w:r>
      <w:r>
        <w:rPr>
          <w:rFonts w:ascii="Arial" w:cs="Arial" w:eastAsia="Arial" w:hAnsi="Arial"/>
          <w:sz w:val="20"/>
          <w:szCs w:val="20"/>
          <w:color w:val="auto"/>
        </w:rPr>
        <w:t>As used in this Agreement, the following terms shall have the meanings set forth below:</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70% Guaranty Threshold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6.12(b)</w:t>
      </w:r>
      <w:r>
        <w:rPr>
          <w:rFonts w:ascii="Arial" w:cs="Arial" w:eastAsia="Arial" w:hAnsi="Arial"/>
          <w:sz w:val="20"/>
          <w:szCs w:val="20"/>
          <w:color w:val="auto"/>
        </w:rPr>
        <w:t>.</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80% Guaranty Threshold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6.12(b)</w:t>
      </w:r>
      <w:r>
        <w:rPr>
          <w:rFonts w:ascii="Arial" w:cs="Arial" w:eastAsia="Arial" w:hAnsi="Arial"/>
          <w:sz w:val="20"/>
          <w:szCs w:val="20"/>
          <w:color w:val="auto"/>
        </w:rPr>
        <w:t>.</w:t>
      </w:r>
    </w:p>
    <w:p>
      <w:pPr>
        <w:spacing w:after="0" w:line="219" w:lineRule="exact"/>
        <w:rPr>
          <w:sz w:val="20"/>
          <w:szCs w:val="20"/>
          <w:color w:val="auto"/>
        </w:rPr>
      </w:pPr>
    </w:p>
    <w:p>
      <w:pPr>
        <w:ind w:left="120" w:firstLine="59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Credit</w:t>
      </w:r>
      <w:r>
        <w:rPr>
          <w:rFonts w:ascii="Arial" w:cs="Arial" w:eastAsia="Arial" w:hAnsi="Arial"/>
          <w:sz w:val="20"/>
          <w:szCs w:val="20"/>
          <w:color w:val="auto"/>
        </w:rPr>
        <w:t>” means a commercial Letter of Credit in which the L/C Issuer engages with the beneficiary of such Letter of Credit to accept a time draft.</w:t>
      </w:r>
    </w:p>
    <w:p>
      <w:pPr>
        <w:spacing w:after="0" w:line="128" w:lineRule="exact"/>
        <w:rPr>
          <w:sz w:val="20"/>
          <w:szCs w:val="20"/>
          <w:color w:val="auto"/>
        </w:rPr>
      </w:pPr>
    </w:p>
    <w:p>
      <w:pPr>
        <w:jc w:val="both"/>
        <w:ind w:left="120" w:right="4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Documents</w:t>
      </w:r>
      <w:r>
        <w:rPr>
          <w:rFonts w:ascii="Arial" w:cs="Arial" w:eastAsia="Arial" w:hAnsi="Arial"/>
          <w:sz w:val="20"/>
          <w:szCs w:val="20"/>
          <w:color w:val="auto"/>
        </w:rPr>
        <w:t>” means such general acceptance agreements, drafts, applications, certificates and other documents as the L/C Issuer may require in connection with the creation of L/C Issued BAs.</w:t>
      </w:r>
    </w:p>
    <w:p>
      <w:pPr>
        <w:spacing w:after="0" w:line="109" w:lineRule="exact"/>
        <w:rPr>
          <w:sz w:val="20"/>
          <w:szCs w:val="20"/>
          <w:color w:val="auto"/>
        </w:rPr>
      </w:pPr>
    </w:p>
    <w:p>
      <w:pPr>
        <w:jc w:val="both"/>
        <w:ind w:left="120" w:right="40" w:firstLine="59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w:t>
      </w:r>
    </w:p>
    <w:p>
      <w:pPr>
        <w:spacing w:after="0" w:line="1" w:lineRule="exact"/>
        <w:rPr>
          <w:sz w:val="20"/>
          <w:szCs w:val="20"/>
          <w:color w:val="auto"/>
        </w:rPr>
      </w:pPr>
    </w:p>
    <w:p>
      <w:pPr>
        <w:ind w:left="120" w:right="40" w:firstLine="6"/>
        <w:spacing w:after="0" w:line="228" w:lineRule="auto"/>
        <w:tabs>
          <w:tab w:leader="none" w:pos="411"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assets of another Person which constitute all or substantially all of the assets of such Person, a division of such Person or a line or lines of business conducted by such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132" w:lineRule="exact"/>
        <w:rPr>
          <w:sz w:val="20"/>
          <w:szCs w:val="20"/>
          <w:color w:val="auto"/>
        </w:rPr>
      </w:pPr>
    </w:p>
    <w:p>
      <w:pPr>
        <w:jc w:val="both"/>
        <w:ind w:left="120" w:right="4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EBITDA</w:t>
      </w:r>
      <w:r>
        <w:rPr>
          <w:rFonts w:ascii="Arial" w:cs="Arial" w:eastAsia="Arial" w:hAnsi="Arial"/>
          <w:sz w:val="20"/>
          <w:szCs w:val="20"/>
          <w:color w:val="auto"/>
        </w:rPr>
        <w:t>” means, for any period, the consolidated EBITDA (measured (i) on the same basis as “Consolidated EBITDA” provided herein, but for the Company and all of its Subsidiaries and (ii) after allocating corporate expenses to all Subsidiaries of the Company on a pro rata basis) of the Company and all its Subsidiaries.</w:t>
      </w:r>
    </w:p>
    <w:p>
      <w:pPr>
        <w:spacing w:after="0" w:line="234" w:lineRule="exact"/>
        <w:rPr>
          <w:sz w:val="20"/>
          <w:szCs w:val="20"/>
          <w:color w:val="auto"/>
        </w:rPr>
      </w:pPr>
    </w:p>
    <w:p>
      <w:pPr>
        <w:jc w:val="both"/>
        <w:ind w:left="120" w:right="4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(or any of its designated branch offices or affiliates) in its capacity as administrative agent under any of the Loan Documents, or any successor administrative agent.</w:t>
      </w:r>
    </w:p>
    <w:p>
      <w:pPr>
        <w:spacing w:after="0" w:line="122" w:lineRule="exact"/>
        <w:rPr>
          <w:sz w:val="20"/>
          <w:szCs w:val="20"/>
          <w:color w:val="auto"/>
        </w:rPr>
      </w:pPr>
    </w:p>
    <w:p>
      <w:pPr>
        <w:jc w:val="both"/>
        <w:ind w:left="120" w:right="4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the Company and the Lenders.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or approved by the Administrative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Agent.</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32" w:lineRule="exact"/>
        <w:rPr>
          <w:sz w:val="20"/>
          <w:szCs w:val="20"/>
          <w:color w:val="auto"/>
        </w:rPr>
      </w:pPr>
    </w:p>
    <w:p>
      <w:pPr>
        <w:jc w:val="both"/>
        <w:ind w:left="120" w:right="4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22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00"/>
          </w:cols>
          <w:pgMar w:left="360" w:top="1440" w:right="539" w:bottom="1440" w:gutter="0" w:footer="0" w:header="0"/>
        </w:sectPr>
      </w:pPr>
    </w:p>
    <w:bookmarkStart w:id="100" w:name="page101"/>
    <w:bookmarkEnd w:id="100"/>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(MC) Commitments</w:t>
      </w:r>
      <w:r>
        <w:rPr>
          <w:rFonts w:ascii="Arial" w:cs="Arial" w:eastAsia="Arial" w:hAnsi="Arial"/>
          <w:sz w:val="20"/>
          <w:szCs w:val="20"/>
          <w:color w:val="auto"/>
        </w:rPr>
        <w:t>” means the MC Commitments of all the Lenders.</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(USD) Commitments</w:t>
      </w:r>
      <w:r>
        <w:rPr>
          <w:rFonts w:ascii="Arial" w:cs="Arial" w:eastAsia="Arial" w:hAnsi="Arial"/>
          <w:sz w:val="20"/>
          <w:szCs w:val="20"/>
          <w:color w:val="auto"/>
        </w:rPr>
        <w:t>” means the USD Commitments of all the Lenders.</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Currency</w:t>
      </w:r>
      <w:r>
        <w:rPr>
          <w:rFonts w:ascii="Arial" w:cs="Arial" w:eastAsia="Arial" w:hAnsi="Arial"/>
          <w:sz w:val="20"/>
          <w:szCs w:val="20"/>
          <w:color w:val="auto"/>
        </w:rPr>
        <w:t>” means Dollars or any Alternative Currency, as applicable.</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each of the following currencies: Canadian Dollars and Mexican Pesos.</w:t>
      </w:r>
    </w:p>
    <w:p>
      <w:pPr>
        <w:spacing w:after="0" w:line="145"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such rate is available, the “Alternative Currency Equivalent” shall be determined by the Administrative Agent or the L/C Issuer, as the case may be, using any reasonable method of determination its deems appropriate in its sole discretion (and such determination shall be conclusive absent manifest error).</w:t>
      </w:r>
    </w:p>
    <w:p>
      <w:pPr>
        <w:spacing w:after="0" w:line="174" w:lineRule="exact"/>
        <w:rPr>
          <w:sz w:val="20"/>
          <w:szCs w:val="20"/>
          <w:color w:val="auto"/>
        </w:rPr>
      </w:pPr>
    </w:p>
    <w:p>
      <w:pPr>
        <w:jc w:val="both"/>
        <w:ind w:left="120" w:right="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Letter of Credit Sublimit</w:t>
      </w:r>
      <w:r>
        <w:rPr>
          <w:rFonts w:ascii="Arial" w:cs="Arial" w:eastAsia="Arial" w:hAnsi="Arial"/>
          <w:sz w:val="19"/>
          <w:szCs w:val="19"/>
          <w:color w:val="auto"/>
        </w:rPr>
        <w:t>” means an amount equal to the lesser of the Letter of Credit Sublimit and $200,000,000. The Alternative Currency Letter of Credit Sublimit is part of, and not in addition to, the Letter of Credit Sublimit.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Term Rate</w:t>
      </w:r>
      <w:r>
        <w:rPr>
          <w:rFonts w:ascii="Arial" w:cs="Arial" w:eastAsia="Arial" w:hAnsi="Arial"/>
          <w:sz w:val="20"/>
          <w:szCs w:val="20"/>
          <w:color w:val="auto"/>
        </w:rPr>
        <w:t>” means, for any Interest Period, with respect to any Credit Extension:</w:t>
      </w:r>
    </w:p>
    <w:p>
      <w:pPr>
        <w:spacing w:after="0" w:line="132" w:lineRule="exact"/>
        <w:rPr>
          <w:sz w:val="20"/>
          <w:szCs w:val="20"/>
          <w:color w:val="auto"/>
        </w:rPr>
      </w:pPr>
    </w:p>
    <w:p>
      <w:pPr>
        <w:jc w:val="both"/>
        <w:ind w:left="120" w:firstLine="605"/>
        <w:spacing w:after="0" w:line="222" w:lineRule="auto"/>
        <w:tabs>
          <w:tab w:leader="none" w:pos="1152"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denominated in Canadian Dollars, the rate per annum equal to the Canadian Dollar Offered Rate (“</w:t>
      </w:r>
      <w:r>
        <w:rPr>
          <w:rFonts w:ascii="Arial" w:cs="Arial" w:eastAsia="Arial" w:hAnsi="Arial"/>
          <w:sz w:val="20"/>
          <w:szCs w:val="20"/>
          <w:u w:val="single" w:color="auto"/>
          <w:color w:val="auto"/>
        </w:rPr>
        <w:t>CDOR</w:t>
      </w:r>
      <w:r>
        <w:rPr>
          <w:rFonts w:ascii="Arial" w:cs="Arial" w:eastAsia="Arial" w:hAnsi="Arial"/>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auto"/>
        </w:rPr>
        <w:t>CDOR Rate</w:t>
      </w:r>
      <w:r>
        <w:rPr>
          <w:rFonts w:ascii="Arial" w:cs="Arial" w:eastAsia="Arial" w:hAnsi="Arial"/>
          <w:sz w:val="20"/>
          <w:szCs w:val="20"/>
          <w:color w:val="auto"/>
        </w:rPr>
        <w:t>”) on the Rate Determination Date with a term equivalent to such Interest Period; and</w:t>
      </w:r>
    </w:p>
    <w:p>
      <w:pPr>
        <w:spacing w:after="0" w:line="110" w:lineRule="exact"/>
        <w:rPr>
          <w:rFonts w:ascii="Arial" w:cs="Arial" w:eastAsia="Arial" w:hAnsi="Arial"/>
          <w:sz w:val="20"/>
          <w:szCs w:val="20"/>
          <w:color w:val="auto"/>
        </w:rPr>
      </w:pPr>
    </w:p>
    <w:p>
      <w:pPr>
        <w:jc w:val="both"/>
        <w:ind w:left="120" w:firstLine="605"/>
        <w:spacing w:after="0" w:line="222" w:lineRule="auto"/>
        <w:tabs>
          <w:tab w:leader="none" w:pos="1151"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denominated in Mexican Pesos, the rate per annum equal to the Interbanking Equilibrium Interest Rate (“</w:t>
      </w:r>
      <w:r>
        <w:rPr>
          <w:rFonts w:ascii="Arial" w:cs="Arial" w:eastAsia="Arial" w:hAnsi="Arial"/>
          <w:sz w:val="20"/>
          <w:szCs w:val="20"/>
          <w:u w:val="single" w:color="auto"/>
          <w:color w:val="auto"/>
        </w:rPr>
        <w:t>TIIE</w:t>
      </w:r>
      <w:r>
        <w:rPr>
          <w:rFonts w:ascii="Arial" w:cs="Arial" w:eastAsia="Arial" w:hAnsi="Arial"/>
          <w:sz w:val="20"/>
          <w:szCs w:val="20"/>
          <w:color w:val="auto"/>
        </w:rPr>
        <w:t>”), as published by Banco de Mexico in the Federation’s Official Gazette (or such other commercially available source providing such quotations as may be designated by the Administrative Agent from time to time) on the Rate Determination Date with a term equivalent to such Interest Period;</w:t>
      </w:r>
    </w:p>
    <w:p>
      <w:pPr>
        <w:spacing w:after="0" w:line="123" w:lineRule="exact"/>
        <w:rPr>
          <w:sz w:val="20"/>
          <w:szCs w:val="20"/>
          <w:color w:val="auto"/>
        </w:rPr>
      </w:pPr>
    </w:p>
    <w:p>
      <w:pPr>
        <w:ind w:left="120" w:firstLine="598"/>
        <w:spacing w:after="0" w:line="23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Term Rate shall be less than zero, such rate shall be deemed zero for purposes of this Agreement.</w:t>
      </w:r>
    </w:p>
    <w:p>
      <w:pPr>
        <w:spacing w:after="0" w:line="109" w:lineRule="exact"/>
        <w:rPr>
          <w:sz w:val="20"/>
          <w:szCs w:val="20"/>
          <w:color w:val="auto"/>
        </w:rPr>
      </w:pPr>
    </w:p>
    <w:p>
      <w:pPr>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Committed (MC) Loan that bears interest at a rate based on the definition of “Alternative Currency Term Rate.” All Alternative Currency Term Rate Loans must be denominated in an Alternative Currency.</w:t>
      </w:r>
    </w:p>
    <w:p>
      <w:pPr>
        <w:spacing w:after="0" w:line="143" w:lineRule="exact"/>
        <w:rPr>
          <w:sz w:val="20"/>
          <w:szCs w:val="20"/>
          <w:color w:val="auto"/>
        </w:rPr>
      </w:pPr>
    </w:p>
    <w:p>
      <w:pPr>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the United States Foreign Corrupt Practices Act of 1977, the UK Bribery Act of 2010, and all other similar applicable anti-corruption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01" w:name="page102"/>
    <w:bookmarkEnd w:id="101"/>
    <w:p>
      <w:pPr>
        <w:spacing w:after="0" w:line="29"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any and all laws, statutes, regulations or obligatory government orders, decrees, ordinances or rules related to terrorism financing, money laundering, any predicate crime to money laundering or any financial record keeping, including any applicable provision of the Act and The Currency and Foreign Transactions Reporting Act (also known as the “Bank Secrecy Act,” 31 U.S.C. §§ 5311-5330 and 12 U.S.C. §§ 1818(s), 1820(b) and 1951- 1959).</w:t>
      </w:r>
    </w:p>
    <w:p>
      <w:pPr>
        <w:spacing w:after="0" w:line="259" w:lineRule="exact"/>
        <w:rPr>
          <w:sz w:val="20"/>
          <w:szCs w:val="20"/>
          <w:color w:val="auto"/>
        </w:rPr>
      </w:pPr>
    </w:p>
    <w:p>
      <w:pPr>
        <w:jc w:val="both"/>
        <w:ind w:left="120" w:right="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Authority</w:t>
      </w:r>
      <w:r>
        <w:rPr>
          <w:rFonts w:ascii="Arial" w:cs="Arial" w:eastAsia="Arial" w:hAnsi="Arial"/>
          <w:sz w:val="18"/>
          <w:szCs w:val="18"/>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68"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 in respect of the Term Loan Facility, with respect to any Lender at any time, the percentage (carried out to the ninth decimal place) of the sum of the aggregate unused Term Loan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outstanding principal amount of the Term Loans represented by the sum of such Lender’s unused Term Loan Commitment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outstanding principal amount of such Lender’s Term Loan(s) at such time, (b) in respect of the Committed (USD) Facility, with respect to any Lender at any time, the percentage (carried out to the ninth decimal place) of the Aggregate (USD) Commitments represented by such Lender’s USD Commitment at such time, 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(c) in respect of the Committed (MC) Facility, with respect to any Lender at any time, the percentage (carried out to the ninth decimal place) of the Aggregate (MC) Commitments represented by such Lender’s MC Commitment at such time. If the commitment of each Lender to make Committed (USD) Loans and the obligation of the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(USD) Commitments have expired, then the Applicable Percentage of each Lender in respect of the Committed (USD) Facility shall be determined based on the Applicable Percentage of such Lender in respect of the Committed (USD) Facility most recently in effect, giving effect to any subsequent assignments. If the commitment of each Lender to make Committed (MC) Loans has been terminated, or if the Aggregate (MC) Commitments have expired, then the Applicable Percentage of each Lender in respect of the Committed (MC) Facility shall be determined based on the Applicable Percentage of such Lender in respect of the Committed (MC)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in the Assignment and Assumption pursuant to which such Lender becomes a party hereto, as applicable.</w:t>
      </w:r>
    </w:p>
    <w:p>
      <w:pPr>
        <w:spacing w:after="0" w:line="125"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(USD) Percentage</w:t>
      </w:r>
      <w:r>
        <w:rPr>
          <w:rFonts w:ascii="Arial" w:cs="Arial" w:eastAsia="Arial" w:hAnsi="Arial"/>
          <w:sz w:val="20"/>
          <w:szCs w:val="20"/>
          <w:color w:val="auto"/>
        </w:rPr>
        <w:t>” means, with respect to any Lender at any time, such Lender’s Applicable Percentage in respect of the Committed (USD) Facility at such time.</w:t>
      </w:r>
    </w:p>
    <w:p>
      <w:pPr>
        <w:spacing w:after="0" w:line="109"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 from the Closing Date to the first Business Day immediately following the date on which the Administrative Agent receives a Compliance Certificate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for the fiscal quarter ending March 31, 2022 (such period, the “</w:t>
      </w:r>
      <w:r>
        <w:rPr>
          <w:rFonts w:ascii="Arial" w:cs="Arial" w:eastAsia="Arial" w:hAnsi="Arial"/>
          <w:sz w:val="18"/>
          <w:szCs w:val="18"/>
          <w:u w:val="single" w:color="auto"/>
          <w:color w:val="auto"/>
        </w:rPr>
        <w:t>Initial Pricing Period</w:t>
      </w:r>
      <w:r>
        <w:rPr>
          <w:rFonts w:ascii="Arial" w:cs="Arial" w:eastAsia="Arial" w:hAnsi="Arial"/>
          <w:sz w:val="18"/>
          <w:szCs w:val="18"/>
          <w:color w:val="auto"/>
        </w:rPr>
        <w:t xml:space="preserve">”), the applicable percentage per annum set forth below in Pricing Level 2 (or, if any Compliance Certificate delivered during the Initial Pricing Period reveals that either Pricing Level 3 or Pricing Level 4 should apply, then such Pricing Level shall apply as of the first Business Day immediately following the date such Compliance Certificate is delivered) and (b) 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02" w:name="page103"/>
    <w:bookmarkEnd w:id="102"/>
    <w:tbl>
      <w:tblPr>
        <w:tblLayout w:type="fixed"/>
        <w:tblInd w:w="10" w:type="dxa"/>
        <w:tblCellMar>
          <w:top w:w="0" w:type="dxa"/>
          <w:left w:w="0" w:type="dxa"/>
          <w:bottom w:w="0" w:type="dxa"/>
          <w:right w:w="0" w:type="dxa"/>
        </w:tblCellMar>
      </w:tblPr>
      <w:tr>
        <w:trPr>
          <w:trHeight w:val="187"/>
        </w:trPr>
        <w:tc>
          <w:tcPr>
            <w:tcW w:w="1500" w:type="dxa"/>
            <w:vAlign w:val="bottom"/>
            <w:tcBorders>
              <w:top w:val="single" w:sz="8" w:color="auto"/>
              <w:left w:val="single" w:sz="8" w:color="auto"/>
              <w:right w:val="single" w:sz="8" w:color="auto"/>
            </w:tcBorders>
            <w:shd w:val="clear" w:color="auto" w:fill="DBDBDB"/>
          </w:tcPr>
          <w:p>
            <w:pPr>
              <w:spacing w:after="0"/>
              <w:rPr>
                <w:sz w:val="16"/>
                <w:szCs w:val="16"/>
                <w:color w:val="auto"/>
              </w:rPr>
            </w:pPr>
          </w:p>
        </w:tc>
        <w:tc>
          <w:tcPr>
            <w:tcW w:w="2160" w:type="dxa"/>
            <w:vAlign w:val="bottom"/>
            <w:tcBorders>
              <w:top w:val="single" w:sz="8" w:color="auto"/>
              <w:right w:val="single" w:sz="8" w:color="auto"/>
            </w:tcBorders>
            <w:shd w:val="clear" w:color="auto" w:fill="DBDBDB"/>
          </w:tcPr>
          <w:p>
            <w:pPr>
              <w:spacing w:after="0"/>
              <w:rPr>
                <w:sz w:val="16"/>
                <w:szCs w:val="16"/>
                <w:color w:val="auto"/>
              </w:rPr>
            </w:pPr>
          </w:p>
        </w:tc>
        <w:tc>
          <w:tcPr>
            <w:tcW w:w="1420" w:type="dxa"/>
            <w:vAlign w:val="bottom"/>
            <w:tcBorders>
              <w:top w:val="single" w:sz="8" w:color="auto"/>
              <w:right w:val="single" w:sz="8" w:color="auto"/>
            </w:tcBorders>
            <w:shd w:val="clear" w:color="auto" w:fill="DBDBDB"/>
          </w:tcPr>
          <w:p>
            <w:pPr>
              <w:spacing w:after="0"/>
              <w:rPr>
                <w:sz w:val="16"/>
                <w:szCs w:val="16"/>
                <w:color w:val="auto"/>
              </w:rPr>
            </w:pPr>
          </w:p>
        </w:tc>
        <w:tc>
          <w:tcPr>
            <w:tcW w:w="2280" w:type="dxa"/>
            <w:vAlign w:val="bottom"/>
            <w:tcBorders>
              <w:top w:val="single" w:sz="8" w:color="auto"/>
              <w:right w:val="single" w:sz="8" w:color="auto"/>
            </w:tcBorders>
            <w:gridSpan w:val="2"/>
            <w:shd w:val="clear" w:color="auto" w:fill="DBDBDB"/>
          </w:tcPr>
          <w:p>
            <w:pPr>
              <w:jc w:val="center"/>
              <w:ind w:right="20"/>
              <w:spacing w:after="0" w:line="187" w:lineRule="exact"/>
              <w:rPr>
                <w:sz w:val="20"/>
                <w:szCs w:val="20"/>
                <w:color w:val="auto"/>
              </w:rPr>
            </w:pPr>
            <w:r>
              <w:rPr>
                <w:rFonts w:ascii="Arial" w:cs="Arial" w:eastAsia="Arial" w:hAnsi="Arial"/>
                <w:sz w:val="17"/>
                <w:szCs w:val="17"/>
                <w:color w:val="auto"/>
                <w:highlight w:val="lightGray"/>
                <w:w w:val="88"/>
              </w:rPr>
              <w:t>Eurocurrency Rate Loans,</w:t>
            </w:r>
          </w:p>
        </w:tc>
        <w:tc>
          <w:tcPr>
            <w:tcW w:w="980" w:type="dxa"/>
            <w:vAlign w:val="bottom"/>
            <w:tcBorders>
              <w:top w:val="single" w:sz="8" w:color="auto"/>
              <w:right w:val="single" w:sz="8" w:color="auto"/>
            </w:tcBorders>
            <w:shd w:val="clear" w:color="auto" w:fill="DBDBDB"/>
          </w:tcPr>
          <w:p>
            <w:pPr>
              <w:spacing w:after="0"/>
              <w:rPr>
                <w:sz w:val="16"/>
                <w:szCs w:val="16"/>
                <w:color w:val="auto"/>
              </w:rPr>
            </w:pPr>
          </w:p>
        </w:tc>
        <w:tc>
          <w:tcPr>
            <w:tcW w:w="1640" w:type="dxa"/>
            <w:vAlign w:val="bottom"/>
            <w:tcBorders>
              <w:top w:val="single" w:sz="8" w:color="auto"/>
              <w:right w:val="single" w:sz="8" w:color="auto"/>
            </w:tcBorders>
            <w:shd w:val="clear" w:color="auto" w:fill="DBDBDB"/>
          </w:tcPr>
          <w:p>
            <w:pPr>
              <w:spacing w:after="0"/>
              <w:rPr>
                <w:sz w:val="16"/>
                <w:szCs w:val="16"/>
                <w:color w:val="auto"/>
              </w:rPr>
            </w:pPr>
          </w:p>
        </w:tc>
        <w:tc>
          <w:tcPr>
            <w:tcW w:w="1180" w:type="dxa"/>
            <w:vAlign w:val="bottom"/>
            <w:tcBorders>
              <w:top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2160" w:type="dxa"/>
            <w:vAlign w:val="bottom"/>
            <w:tcBorders>
              <w:right w:val="single" w:sz="8" w:color="auto"/>
            </w:tcBorders>
            <w:shd w:val="clear" w:color="auto" w:fill="DBDBDB"/>
          </w:tcPr>
          <w:p>
            <w:pPr>
              <w:spacing w:after="0"/>
              <w:rPr>
                <w:sz w:val="14"/>
                <w:szCs w:val="14"/>
                <w:color w:val="auto"/>
              </w:rPr>
            </w:pPr>
          </w:p>
        </w:tc>
        <w:tc>
          <w:tcPr>
            <w:tcW w:w="1420" w:type="dxa"/>
            <w:vAlign w:val="bottom"/>
            <w:tcBorders>
              <w:right w:val="single" w:sz="8" w:color="auto"/>
            </w:tcBorders>
            <w:shd w:val="clear" w:color="auto" w:fill="DBDBDB"/>
          </w:tcPr>
          <w:p>
            <w:pPr>
              <w:spacing w:after="0"/>
              <w:rPr>
                <w:sz w:val="14"/>
                <w:szCs w:val="14"/>
                <w:color w:val="auto"/>
              </w:rPr>
            </w:pPr>
          </w:p>
        </w:tc>
        <w:tc>
          <w:tcPr>
            <w:tcW w:w="2280" w:type="dxa"/>
            <w:vAlign w:val="bottom"/>
            <w:tcBorders>
              <w:right w:val="single" w:sz="8" w:color="auto"/>
            </w:tcBorders>
            <w:gridSpan w:val="2"/>
            <w:shd w:val="clear" w:color="auto" w:fill="DBDBDB"/>
          </w:tcPr>
          <w:p>
            <w:pPr>
              <w:jc w:val="center"/>
              <w:ind w:right="20"/>
              <w:spacing w:after="0" w:line="163" w:lineRule="exact"/>
              <w:rPr>
                <w:sz w:val="20"/>
                <w:szCs w:val="20"/>
                <w:color w:val="auto"/>
              </w:rPr>
            </w:pPr>
            <w:r>
              <w:rPr>
                <w:rFonts w:ascii="Arial" w:cs="Arial" w:eastAsia="Arial" w:hAnsi="Arial"/>
                <w:sz w:val="17"/>
                <w:szCs w:val="17"/>
                <w:color w:val="auto"/>
                <w:highlight w:val="lightGray"/>
                <w:w w:val="89"/>
              </w:rPr>
              <w:t>Alternative Currency Term Rate</w:t>
            </w:r>
          </w:p>
        </w:tc>
        <w:tc>
          <w:tcPr>
            <w:tcW w:w="980" w:type="dxa"/>
            <w:vAlign w:val="bottom"/>
            <w:tcBorders>
              <w:right w:val="single" w:sz="8" w:color="auto"/>
            </w:tcBorders>
            <w:shd w:val="clear" w:color="auto" w:fill="DBDBDB"/>
          </w:tcPr>
          <w:p>
            <w:pPr>
              <w:spacing w:after="0"/>
              <w:rPr>
                <w:sz w:val="14"/>
                <w:szCs w:val="14"/>
                <w:color w:val="auto"/>
              </w:rPr>
            </w:pPr>
          </w:p>
        </w:tc>
        <w:tc>
          <w:tcPr>
            <w:tcW w:w="1640" w:type="dxa"/>
            <w:vAlign w:val="bottom"/>
            <w:tcBorders>
              <w:right w:val="single" w:sz="8" w:color="auto"/>
            </w:tcBorders>
            <w:shd w:val="clear" w:color="auto" w:fill="DBDBDB"/>
          </w:tcPr>
          <w:p>
            <w:pPr>
              <w:spacing w:after="0"/>
              <w:rPr>
                <w:sz w:val="14"/>
                <w:szCs w:val="14"/>
                <w:color w:val="auto"/>
              </w:rPr>
            </w:pPr>
          </w:p>
        </w:tc>
        <w:tc>
          <w:tcPr>
            <w:tcW w:w="118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2160" w:type="dxa"/>
            <w:vAlign w:val="bottom"/>
            <w:tcBorders>
              <w:right w:val="single" w:sz="8" w:color="auto"/>
            </w:tcBorders>
            <w:shd w:val="clear" w:color="auto" w:fill="DBDBDB"/>
          </w:tcPr>
          <w:p>
            <w:pPr>
              <w:spacing w:after="0"/>
              <w:rPr>
                <w:sz w:val="14"/>
                <w:szCs w:val="14"/>
                <w:color w:val="auto"/>
              </w:rPr>
            </w:pPr>
          </w:p>
        </w:tc>
        <w:tc>
          <w:tcPr>
            <w:tcW w:w="1420" w:type="dxa"/>
            <w:vAlign w:val="bottom"/>
            <w:tcBorders>
              <w:right w:val="single" w:sz="8" w:color="auto"/>
            </w:tcBorders>
            <w:shd w:val="clear" w:color="auto" w:fill="DBDBDB"/>
          </w:tcPr>
          <w:p>
            <w:pPr>
              <w:spacing w:after="0"/>
              <w:rPr>
                <w:sz w:val="14"/>
                <w:szCs w:val="14"/>
                <w:color w:val="auto"/>
              </w:rPr>
            </w:pPr>
          </w:p>
        </w:tc>
        <w:tc>
          <w:tcPr>
            <w:tcW w:w="2280" w:type="dxa"/>
            <w:vAlign w:val="bottom"/>
            <w:tcBorders>
              <w:right w:val="single" w:sz="8" w:color="auto"/>
            </w:tcBorders>
            <w:gridSpan w:val="2"/>
            <w:shd w:val="clear" w:color="auto" w:fill="DBDBDB"/>
          </w:tcPr>
          <w:p>
            <w:pPr>
              <w:jc w:val="center"/>
              <w:ind w:right="40"/>
              <w:spacing w:after="0" w:line="163" w:lineRule="exact"/>
              <w:rPr>
                <w:sz w:val="20"/>
                <w:szCs w:val="20"/>
                <w:color w:val="auto"/>
              </w:rPr>
            </w:pPr>
            <w:r>
              <w:rPr>
                <w:rFonts w:ascii="Arial" w:cs="Arial" w:eastAsia="Arial" w:hAnsi="Arial"/>
                <w:sz w:val="17"/>
                <w:szCs w:val="17"/>
                <w:color w:val="auto"/>
                <w:highlight w:val="lightGray"/>
                <w:w w:val="88"/>
              </w:rPr>
              <w:t>Loans and Letter of Credit Fees</w:t>
            </w:r>
          </w:p>
        </w:tc>
        <w:tc>
          <w:tcPr>
            <w:tcW w:w="980" w:type="dxa"/>
            <w:vAlign w:val="bottom"/>
            <w:tcBorders>
              <w:right w:val="single" w:sz="8" w:color="auto"/>
            </w:tcBorders>
            <w:shd w:val="clear" w:color="auto" w:fill="DBDBDB"/>
          </w:tcPr>
          <w:p>
            <w:pPr>
              <w:spacing w:after="0"/>
              <w:rPr>
                <w:sz w:val="14"/>
                <w:szCs w:val="14"/>
                <w:color w:val="auto"/>
              </w:rPr>
            </w:pPr>
          </w:p>
        </w:tc>
        <w:tc>
          <w:tcPr>
            <w:tcW w:w="1640" w:type="dxa"/>
            <w:vAlign w:val="bottom"/>
            <w:tcBorders>
              <w:right w:val="single" w:sz="8" w:color="auto"/>
            </w:tcBorders>
            <w:shd w:val="clear" w:color="auto" w:fill="DBDBDB"/>
          </w:tcPr>
          <w:p>
            <w:pPr>
              <w:jc w:val="center"/>
              <w:spacing w:after="0" w:line="163" w:lineRule="exact"/>
              <w:rPr>
                <w:sz w:val="20"/>
                <w:szCs w:val="20"/>
                <w:color w:val="auto"/>
              </w:rPr>
            </w:pPr>
            <w:r>
              <w:rPr>
                <w:rFonts w:ascii="Arial" w:cs="Arial" w:eastAsia="Arial" w:hAnsi="Arial"/>
                <w:sz w:val="17"/>
                <w:szCs w:val="17"/>
                <w:color w:val="auto"/>
                <w:w w:val="89"/>
              </w:rPr>
              <w:t>Letter of Credit Fees</w:t>
            </w:r>
          </w:p>
        </w:tc>
        <w:tc>
          <w:tcPr>
            <w:tcW w:w="118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2160" w:type="dxa"/>
            <w:vAlign w:val="bottom"/>
            <w:tcBorders>
              <w:right w:val="single" w:sz="8" w:color="auto"/>
            </w:tcBorders>
            <w:shd w:val="clear" w:color="auto" w:fill="DBDBDB"/>
          </w:tcPr>
          <w:p>
            <w:pPr>
              <w:spacing w:after="0"/>
              <w:rPr>
                <w:sz w:val="14"/>
                <w:szCs w:val="14"/>
                <w:color w:val="auto"/>
              </w:rPr>
            </w:pPr>
          </w:p>
        </w:tc>
        <w:tc>
          <w:tcPr>
            <w:tcW w:w="1420" w:type="dxa"/>
            <w:vAlign w:val="bottom"/>
            <w:tcBorders>
              <w:right w:val="single" w:sz="8" w:color="auto"/>
            </w:tcBorders>
            <w:shd w:val="clear" w:color="auto" w:fill="DBDBDB"/>
          </w:tcPr>
          <w:p>
            <w:pPr>
              <w:spacing w:after="0"/>
              <w:rPr>
                <w:sz w:val="14"/>
                <w:szCs w:val="14"/>
                <w:color w:val="auto"/>
              </w:rPr>
            </w:pPr>
          </w:p>
        </w:tc>
        <w:tc>
          <w:tcPr>
            <w:tcW w:w="2280" w:type="dxa"/>
            <w:vAlign w:val="bottom"/>
            <w:tcBorders>
              <w:right w:val="single" w:sz="8" w:color="auto"/>
            </w:tcBorders>
            <w:gridSpan w:val="2"/>
            <w:shd w:val="clear" w:color="auto" w:fill="DBDBDB"/>
          </w:tcPr>
          <w:p>
            <w:pPr>
              <w:jc w:val="center"/>
              <w:ind w:right="20"/>
              <w:spacing w:after="0" w:line="163" w:lineRule="exact"/>
              <w:rPr>
                <w:sz w:val="20"/>
                <w:szCs w:val="20"/>
                <w:color w:val="auto"/>
              </w:rPr>
            </w:pPr>
            <w:r>
              <w:rPr>
                <w:rFonts w:ascii="Arial" w:cs="Arial" w:eastAsia="Arial" w:hAnsi="Arial"/>
                <w:sz w:val="17"/>
                <w:szCs w:val="17"/>
                <w:color w:val="auto"/>
                <w:highlight w:val="lightGray"/>
                <w:w w:val="88"/>
              </w:rPr>
              <w:t>(Financial Standby and</w:t>
            </w:r>
          </w:p>
        </w:tc>
        <w:tc>
          <w:tcPr>
            <w:tcW w:w="980" w:type="dxa"/>
            <w:vAlign w:val="bottom"/>
            <w:tcBorders>
              <w:right w:val="single" w:sz="8" w:color="auto"/>
            </w:tcBorders>
            <w:shd w:val="clear" w:color="auto" w:fill="DBDBDB"/>
          </w:tcPr>
          <w:p>
            <w:pPr>
              <w:spacing w:after="0"/>
              <w:rPr>
                <w:sz w:val="14"/>
                <w:szCs w:val="14"/>
                <w:color w:val="auto"/>
              </w:rPr>
            </w:pPr>
          </w:p>
        </w:tc>
        <w:tc>
          <w:tcPr>
            <w:tcW w:w="1640" w:type="dxa"/>
            <w:vAlign w:val="bottom"/>
            <w:tcBorders>
              <w:right w:val="single" w:sz="8" w:color="auto"/>
            </w:tcBorders>
            <w:shd w:val="clear" w:color="auto" w:fill="DBDBDB"/>
          </w:tcPr>
          <w:p>
            <w:pPr>
              <w:jc w:val="center"/>
              <w:spacing w:after="0" w:line="163" w:lineRule="exact"/>
              <w:rPr>
                <w:sz w:val="20"/>
                <w:szCs w:val="20"/>
                <w:color w:val="auto"/>
              </w:rPr>
            </w:pPr>
            <w:r>
              <w:rPr>
                <w:rFonts w:ascii="Arial" w:cs="Arial" w:eastAsia="Arial" w:hAnsi="Arial"/>
                <w:sz w:val="17"/>
                <w:szCs w:val="17"/>
                <w:color w:val="auto"/>
                <w:w w:val="87"/>
              </w:rPr>
              <w:t>(Performance</w:t>
            </w:r>
          </w:p>
        </w:tc>
        <w:tc>
          <w:tcPr>
            <w:tcW w:w="1180" w:type="dxa"/>
            <w:vAlign w:val="bottom"/>
            <w:tcBorders>
              <w:right w:val="single" w:sz="8" w:color="auto"/>
            </w:tcBorders>
            <w:shd w:val="clear" w:color="auto" w:fill="DBDBDB"/>
          </w:tcPr>
          <w:p>
            <w:pPr>
              <w:jc w:val="center"/>
              <w:spacing w:after="0" w:line="163" w:lineRule="exact"/>
              <w:rPr>
                <w:sz w:val="20"/>
                <w:szCs w:val="20"/>
                <w:color w:val="auto"/>
              </w:rPr>
            </w:pPr>
            <w:r>
              <w:rPr>
                <w:rFonts w:ascii="Arial" w:cs="Arial" w:eastAsia="Arial" w:hAnsi="Arial"/>
                <w:sz w:val="17"/>
                <w:szCs w:val="17"/>
                <w:color w:val="auto"/>
                <w:w w:val="85"/>
              </w:rPr>
              <w:t>Base Rate</w:t>
            </w:r>
          </w:p>
        </w:tc>
        <w:tc>
          <w:tcPr>
            <w:tcW w:w="0" w:type="dxa"/>
            <w:vAlign w:val="bottom"/>
          </w:tcPr>
          <w:p>
            <w:pPr>
              <w:spacing w:after="0"/>
              <w:rPr>
                <w:sz w:val="1"/>
                <w:szCs w:val="1"/>
                <w:color w:val="auto"/>
              </w:rPr>
            </w:pPr>
          </w:p>
        </w:tc>
      </w:tr>
      <w:tr>
        <w:trPr>
          <w:trHeight w:val="194"/>
        </w:trPr>
        <w:tc>
          <w:tcPr>
            <w:tcW w:w="1500" w:type="dxa"/>
            <w:vAlign w:val="bottom"/>
            <w:tcBorders>
              <w:left w:val="single" w:sz="8" w:color="auto"/>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92"/>
              </w:rPr>
              <w:t>Pricing Level</w:t>
            </w:r>
          </w:p>
        </w:tc>
        <w:tc>
          <w:tcPr>
            <w:tcW w:w="2160" w:type="dxa"/>
            <w:vAlign w:val="bottom"/>
            <w:tcBorders>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88"/>
              </w:rPr>
              <w:t>Consolidated Leverage Ratio</w:t>
            </w:r>
          </w:p>
        </w:tc>
        <w:tc>
          <w:tcPr>
            <w:tcW w:w="1420" w:type="dxa"/>
            <w:vAlign w:val="bottom"/>
            <w:tcBorders>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88"/>
              </w:rPr>
              <w:t>Commitment Fee</w:t>
            </w:r>
          </w:p>
        </w:tc>
        <w:tc>
          <w:tcPr>
            <w:tcW w:w="1560" w:type="dxa"/>
            <w:vAlign w:val="bottom"/>
            <w:tcBorders>
              <w:bottom w:val="single" w:sz="8" w:color="auto"/>
            </w:tcBorders>
            <w:shd w:val="clear" w:color="auto" w:fill="DBDBDB"/>
          </w:tcPr>
          <w:p>
            <w:pPr>
              <w:jc w:val="center"/>
              <w:ind w:left="597"/>
              <w:spacing w:after="0" w:line="187" w:lineRule="exact"/>
              <w:rPr>
                <w:sz w:val="20"/>
                <w:szCs w:val="20"/>
                <w:color w:val="auto"/>
              </w:rPr>
            </w:pPr>
            <w:r>
              <w:rPr>
                <w:rFonts w:ascii="Arial" w:cs="Arial" w:eastAsia="Arial" w:hAnsi="Arial"/>
                <w:sz w:val="17"/>
                <w:szCs w:val="17"/>
                <w:color w:val="auto"/>
                <w:highlight w:val="lightGray"/>
                <w:w w:val="91"/>
              </w:rPr>
              <w:t>Commercial)</w:t>
            </w:r>
          </w:p>
        </w:tc>
        <w:tc>
          <w:tcPr>
            <w:tcW w:w="720" w:type="dxa"/>
            <w:vAlign w:val="bottom"/>
            <w:tcBorders>
              <w:bottom w:val="single" w:sz="8" w:color="auto"/>
              <w:right w:val="single" w:sz="8" w:color="auto"/>
            </w:tcBorders>
            <w:shd w:val="clear" w:color="auto" w:fill="DBDBDB"/>
          </w:tcPr>
          <w:p>
            <w:pPr>
              <w:spacing w:after="0"/>
              <w:rPr>
                <w:sz w:val="16"/>
                <w:szCs w:val="16"/>
                <w:color w:val="auto"/>
              </w:rPr>
            </w:pPr>
          </w:p>
        </w:tc>
        <w:tc>
          <w:tcPr>
            <w:tcW w:w="980" w:type="dxa"/>
            <w:vAlign w:val="bottom"/>
            <w:tcBorders>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88"/>
              </w:rPr>
              <w:t>BA Fees</w:t>
            </w:r>
          </w:p>
        </w:tc>
        <w:tc>
          <w:tcPr>
            <w:tcW w:w="1640" w:type="dxa"/>
            <w:vAlign w:val="bottom"/>
            <w:tcBorders>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88"/>
              </w:rPr>
              <w:t>Standby)</w:t>
            </w:r>
          </w:p>
        </w:tc>
        <w:tc>
          <w:tcPr>
            <w:tcW w:w="1180" w:type="dxa"/>
            <w:vAlign w:val="bottom"/>
            <w:tcBorders>
              <w:bottom w:val="single" w:sz="8" w:color="auto"/>
              <w:right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w w:val="86"/>
              </w:rPr>
              <w:t>Loans</w:t>
            </w:r>
          </w:p>
        </w:tc>
        <w:tc>
          <w:tcPr>
            <w:tcW w:w="0" w:type="dxa"/>
            <w:vAlign w:val="bottom"/>
          </w:tcPr>
          <w:p>
            <w:pPr>
              <w:spacing w:after="0"/>
              <w:rPr>
                <w:sz w:val="1"/>
                <w:szCs w:val="1"/>
                <w:color w:val="auto"/>
              </w:rPr>
            </w:pPr>
          </w:p>
        </w:tc>
      </w:tr>
      <w:tr>
        <w:trPr>
          <w:trHeight w:val="211"/>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&lt; 0.75 to 1.00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0.150%</w:t>
            </w:r>
          </w:p>
        </w:tc>
        <w:tc>
          <w:tcPr>
            <w:tcW w:w="1560" w:type="dxa"/>
            <w:vAlign w:val="bottom"/>
            <w:tcBorders>
              <w:bottom w:val="single" w:sz="8" w:color="auto"/>
            </w:tcBorders>
          </w:tcPr>
          <w:p>
            <w:pPr>
              <w:jc w:val="center"/>
              <w:ind w:left="597"/>
              <w:spacing w:after="0"/>
              <w:rPr>
                <w:sz w:val="20"/>
                <w:szCs w:val="20"/>
                <w:color w:val="auto"/>
              </w:rPr>
            </w:pPr>
            <w:r>
              <w:rPr>
                <w:rFonts w:ascii="Arial" w:cs="Arial" w:eastAsia="Arial" w:hAnsi="Arial"/>
                <w:sz w:val="17"/>
                <w:szCs w:val="17"/>
                <w:color w:val="auto"/>
                <w:w w:val="90"/>
              </w:rPr>
              <w:t>1.125%</w:t>
            </w:r>
          </w:p>
        </w:tc>
        <w:tc>
          <w:tcPr>
            <w:tcW w:w="7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0.625%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0.3125%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0.125%</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4"/>
              </w:rPr>
              <w:t>2</w:t>
            </w:r>
          </w:p>
        </w:tc>
        <w:tc>
          <w:tcPr>
            <w:tcW w:w="21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7"/>
                <w:szCs w:val="17"/>
                <w:color w:val="auto"/>
                <w:w w:val="89"/>
              </w:rPr>
              <w:t>≥ 0.75 to 1.00 but &lt;</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0.175%</w:t>
            </w:r>
          </w:p>
        </w:tc>
        <w:tc>
          <w:tcPr>
            <w:tcW w:w="1560" w:type="dxa"/>
            <w:vAlign w:val="bottom"/>
            <w:vMerge w:val="restart"/>
          </w:tcPr>
          <w:p>
            <w:pPr>
              <w:jc w:val="center"/>
              <w:ind w:left="597"/>
              <w:spacing w:after="0"/>
              <w:rPr>
                <w:sz w:val="20"/>
                <w:szCs w:val="20"/>
                <w:color w:val="auto"/>
              </w:rPr>
            </w:pPr>
            <w:r>
              <w:rPr>
                <w:rFonts w:ascii="Arial" w:cs="Arial" w:eastAsia="Arial" w:hAnsi="Arial"/>
                <w:sz w:val="17"/>
                <w:szCs w:val="17"/>
                <w:color w:val="auto"/>
                <w:w w:val="90"/>
              </w:rPr>
              <w:t>1.250%</w:t>
            </w:r>
          </w:p>
        </w:tc>
        <w:tc>
          <w:tcPr>
            <w:tcW w:w="7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0.875%</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0.4375%</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0.250%</w:t>
            </w: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2.00 to 1.00</w:t>
            </w:r>
          </w:p>
        </w:tc>
        <w:tc>
          <w:tcPr>
            <w:tcW w:w="1420" w:type="dxa"/>
            <w:vAlign w:val="bottom"/>
            <w:tcBorders>
              <w:bottom w:val="single" w:sz="8" w:color="auto"/>
              <w:right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640" w:type="dxa"/>
            <w:vAlign w:val="bottom"/>
            <w:tcBorders>
              <w:bottom w:val="single" w:sz="8" w:color="auto"/>
              <w:right w:val="single" w:sz="8" w:color="auto"/>
            </w:tcBorders>
            <w:vMerge w:val="continue"/>
          </w:tcPr>
          <w:p>
            <w:pPr>
              <w:spacing w:after="0"/>
              <w:rPr>
                <w:sz w:val="18"/>
                <w:szCs w:val="18"/>
                <w:color w:val="auto"/>
              </w:rPr>
            </w:pPr>
          </w:p>
        </w:tc>
        <w:tc>
          <w:tcPr>
            <w:tcW w:w="11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4"/>
              </w:rPr>
              <w:t>3</w:t>
            </w:r>
          </w:p>
        </w:tc>
        <w:tc>
          <w:tcPr>
            <w:tcW w:w="21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7"/>
                <w:szCs w:val="17"/>
                <w:color w:val="auto"/>
                <w:w w:val="89"/>
              </w:rPr>
              <w:t>≥ 2.00 to 1.00 but</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0.200%</w:t>
            </w:r>
          </w:p>
        </w:tc>
        <w:tc>
          <w:tcPr>
            <w:tcW w:w="1560" w:type="dxa"/>
            <w:vAlign w:val="bottom"/>
            <w:vMerge w:val="restart"/>
          </w:tcPr>
          <w:p>
            <w:pPr>
              <w:jc w:val="center"/>
              <w:ind w:left="597"/>
              <w:spacing w:after="0"/>
              <w:rPr>
                <w:sz w:val="20"/>
                <w:szCs w:val="20"/>
                <w:color w:val="auto"/>
              </w:rPr>
            </w:pPr>
            <w:r>
              <w:rPr>
                <w:rFonts w:ascii="Arial" w:cs="Arial" w:eastAsia="Arial" w:hAnsi="Arial"/>
                <w:sz w:val="17"/>
                <w:szCs w:val="17"/>
                <w:color w:val="auto"/>
                <w:w w:val="90"/>
              </w:rPr>
              <w:t>1.375%</w:t>
            </w:r>
          </w:p>
        </w:tc>
        <w:tc>
          <w:tcPr>
            <w:tcW w:w="7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1.125%</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0.5625%</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0.375%</w:t>
            </w: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&lt; 3.25 to 1.00</w:t>
            </w:r>
          </w:p>
        </w:tc>
        <w:tc>
          <w:tcPr>
            <w:tcW w:w="1420" w:type="dxa"/>
            <w:vAlign w:val="bottom"/>
            <w:tcBorders>
              <w:bottom w:val="single" w:sz="8" w:color="auto"/>
              <w:right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640" w:type="dxa"/>
            <w:vAlign w:val="bottom"/>
            <w:tcBorders>
              <w:bottom w:val="single" w:sz="8" w:color="auto"/>
              <w:right w:val="single" w:sz="8" w:color="auto"/>
            </w:tcBorders>
            <w:vMerge w:val="continue"/>
          </w:tcPr>
          <w:p>
            <w:pPr>
              <w:spacing w:after="0"/>
              <w:rPr>
                <w:sz w:val="18"/>
                <w:szCs w:val="18"/>
                <w:color w:val="auto"/>
              </w:rPr>
            </w:pPr>
          </w:p>
        </w:tc>
        <w:tc>
          <w:tcPr>
            <w:tcW w:w="11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 3.25 to 1.00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0.225%</w:t>
            </w:r>
          </w:p>
        </w:tc>
        <w:tc>
          <w:tcPr>
            <w:tcW w:w="1560" w:type="dxa"/>
            <w:vAlign w:val="bottom"/>
            <w:tcBorders>
              <w:bottom w:val="single" w:sz="8" w:color="auto"/>
            </w:tcBorders>
          </w:tcPr>
          <w:p>
            <w:pPr>
              <w:jc w:val="center"/>
              <w:ind w:left="597"/>
              <w:spacing w:after="0"/>
              <w:rPr>
                <w:sz w:val="20"/>
                <w:szCs w:val="20"/>
                <w:color w:val="auto"/>
              </w:rPr>
            </w:pPr>
            <w:r>
              <w:rPr>
                <w:rFonts w:ascii="Arial" w:cs="Arial" w:eastAsia="Arial" w:hAnsi="Arial"/>
                <w:sz w:val="17"/>
                <w:szCs w:val="17"/>
                <w:color w:val="auto"/>
                <w:w w:val="90"/>
              </w:rPr>
              <w:t>1.625%</w:t>
            </w:r>
          </w:p>
        </w:tc>
        <w:tc>
          <w:tcPr>
            <w:tcW w:w="7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1.375%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0.6875%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0.625%</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left="160" w:right="140" w:firstLine="598"/>
        <w:spacing w:after="0" w:line="245" w:lineRule="auto"/>
        <w:rPr>
          <w:sz w:val="20"/>
          <w:szCs w:val="20"/>
          <w:color w:val="auto"/>
        </w:rPr>
      </w:pPr>
      <w:r>
        <w:rPr>
          <w:rFonts w:ascii="Arial" w:cs="Arial" w:eastAsia="Arial" w:hAnsi="Arial"/>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w:t>
      </w:r>
    </w:p>
    <w:p>
      <w:pPr>
        <w:spacing w:after="0" w:line="179" w:lineRule="exact"/>
        <w:rPr>
          <w:sz w:val="20"/>
          <w:szCs w:val="20"/>
          <w:color w:val="auto"/>
        </w:rPr>
      </w:pPr>
    </w:p>
    <w:p>
      <w:pPr>
        <w:jc w:val="both"/>
        <w:ind w:left="160" w:right="140" w:firstLine="598"/>
        <w:spacing w:after="0" w:line="236" w:lineRule="auto"/>
        <w:rPr>
          <w:sz w:val="20"/>
          <w:szCs w:val="20"/>
          <w:color w:val="auto"/>
        </w:rPr>
      </w:pPr>
      <w:r>
        <w:rPr>
          <w:rFonts w:ascii="Arial" w:cs="Arial" w:eastAsia="Arial" w:hAnsi="Arial"/>
          <w:sz w:val="20"/>
          <w:szCs w:val="20"/>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84" w:lineRule="exact"/>
        <w:rPr>
          <w:sz w:val="20"/>
          <w:szCs w:val="20"/>
          <w:color w:val="auto"/>
        </w:rPr>
      </w:pPr>
    </w:p>
    <w:p>
      <w:pPr>
        <w:jc w:val="both"/>
        <w:ind w:left="160" w:right="140" w:firstLine="5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56" w:lineRule="exact"/>
        <w:rPr>
          <w:sz w:val="20"/>
          <w:szCs w:val="20"/>
          <w:color w:val="auto"/>
        </w:rPr>
      </w:pPr>
    </w:p>
    <w:p>
      <w:pPr>
        <w:jc w:val="both"/>
        <w:ind w:left="160" w:right="16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left="160" w:right="14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BAS, Truist Securities, Inc., PNC Capital Markets LLC, Wells Fargo Securities, LLC, BMO Capital Markets Corp., and JPMorgan Chase Bank, N.A., in each case, in their capacities as joint lead arrangers and joint bookrunners.</w:t>
      </w:r>
    </w:p>
    <w:p>
      <w:pPr>
        <w:spacing w:after="0" w:line="143" w:lineRule="exact"/>
        <w:rPr>
          <w:sz w:val="20"/>
          <w:szCs w:val="20"/>
          <w:color w:val="auto"/>
        </w:rPr>
      </w:pPr>
    </w:p>
    <w:p>
      <w:pPr>
        <w:jc w:val="both"/>
        <w:ind w:left="160" w:right="14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73" w:lineRule="exact"/>
        <w:rPr>
          <w:sz w:val="20"/>
          <w:szCs w:val="20"/>
          <w:color w:val="auto"/>
        </w:rPr>
      </w:pPr>
    </w:p>
    <w:p>
      <w:pPr>
        <w:jc w:val="both"/>
        <w:ind w:left="160" w:right="140" w:firstLine="59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40"/>
          </w:cols>
          <w:pgMar w:left="320" w:top="1343" w:right="439" w:bottom="1440" w:gutter="0" w:footer="0" w:header="0"/>
        </w:sectPr>
      </w:pPr>
    </w:p>
    <w:bookmarkStart w:id="103" w:name="page104"/>
    <w:bookmarkEnd w:id="103"/>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for the fiscal year ended December 31, 2020, and the related consolidated statements of income or operations, shareholders’ equity and cash flows for such fiscal year of the Company and its Subsidiaries, including the notes thereto.</w:t>
      </w:r>
    </w:p>
    <w:p>
      <w:pPr>
        <w:spacing w:after="0" w:line="184" w:lineRule="exact"/>
        <w:rPr>
          <w:sz w:val="20"/>
          <w:szCs w:val="20"/>
          <w:color w:val="auto"/>
        </w:rPr>
      </w:pPr>
    </w:p>
    <w:p>
      <w:pPr>
        <w:jc w:val="both"/>
        <w:ind w:left="120" w:firstLine="598"/>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Liquidity</w:t>
      </w:r>
      <w:r>
        <w:rPr>
          <w:rFonts w:ascii="Arial" w:cs="Arial" w:eastAsia="Arial" w:hAnsi="Arial"/>
          <w:sz w:val="20"/>
          <w:szCs w:val="20"/>
          <w:color w:val="auto"/>
        </w:rPr>
        <w:t xml:space="preserve">” means, at any date of measurement thereof, the sum of (without duplication) (a) cash, Cash Equivalents (Available Liquidity) and readily marketable securities, in each case not subject to any Lien (including any Lien on Cash Collateral, but excluding Liens permitted by </w:t>
      </w:r>
      <w:r>
        <w:rPr>
          <w:rFonts w:ascii="Arial" w:cs="Arial" w:eastAsia="Arial" w:hAnsi="Arial"/>
          <w:sz w:val="20"/>
          <w:szCs w:val="20"/>
          <w:u w:val="single" w:color="auto"/>
          <w:color w:val="auto"/>
        </w:rPr>
        <w:t>Section 7.01(j)</w:t>
      </w:r>
      <w:r>
        <w:rPr>
          <w:rFonts w:ascii="Arial" w:cs="Arial" w:eastAsia="Arial" w:hAnsi="Arial"/>
          <w:sz w:val="20"/>
          <w:szCs w:val="20"/>
          <w:color w:val="auto"/>
        </w:rPr>
        <w:t xml:space="preserve">), then owned by the Company or Restricted Subsidiaries that would be reflected on a consolidated balance sheet of such Persons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amount by which the sum of the Aggregate (USD) Commitments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(MC) Commitments (in each case, other than any USD Commitment or MC Commitment of any Defaulting Lender) in effect on such date exceeds the aggregate Outstanding Amount of all Loans (other than Term Loans) and all L/C Obligations.</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(a) in respect of the Committed (USD) Facility, the period from the Closing Date to the earliest of</w:t>
      </w:r>
    </w:p>
    <w:p>
      <w:pPr>
        <w:spacing w:after="0" w:line="9" w:lineRule="exact"/>
        <w:rPr>
          <w:sz w:val="20"/>
          <w:szCs w:val="20"/>
          <w:color w:val="auto"/>
        </w:rPr>
      </w:pPr>
    </w:p>
    <w:p>
      <w:pPr>
        <w:jc w:val="both"/>
        <w:ind w:left="120" w:firstLine="6"/>
        <w:spacing w:after="0" w:line="215" w:lineRule="auto"/>
        <w:tabs>
          <w:tab w:leader="none" w:pos="387"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the Maturity Date with respect to such Facility, (ii) the date of termination of the Aggregate (USD)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(iii) the date of termination of the commitment of each Lender to make Committed (USD) Loans and of the obligation of the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(b) in respect of the Committed (MC) Facility, the period from the Closing Date to the earliest of (i) the Maturity Date with respect to such Facility, (ii) the date of termination of the Aggregate (MC)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(iii) the date of termination of the commitment of each Lender to make Committed (MC) Loans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2.03(j)</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84"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 Fee Letter</w:t>
      </w:r>
      <w:r>
        <w:rPr>
          <w:rFonts w:ascii="Arial" w:cs="Arial" w:eastAsia="Arial" w:hAnsi="Arial"/>
          <w:sz w:val="18"/>
          <w:szCs w:val="18"/>
          <w:color w:val="auto"/>
        </w:rPr>
        <w:t>” means the letter agreement dated October 8, 2021, among the Borrowers, Bank of America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BAS.</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Bankers’ Acceptance</w:t>
      </w:r>
      <w:r>
        <w:rPr>
          <w:rFonts w:ascii="Arial" w:cs="Arial" w:eastAsia="Arial" w:hAnsi="Arial"/>
          <w:sz w:val="20"/>
          <w:szCs w:val="20"/>
          <w:color w:val="auto"/>
        </w:rPr>
        <w:t>” or “</w:t>
      </w:r>
      <w:r>
        <w:rPr>
          <w:rFonts w:ascii="Arial" w:cs="Arial" w:eastAsia="Arial" w:hAnsi="Arial"/>
          <w:sz w:val="20"/>
          <w:szCs w:val="20"/>
          <w:u w:val="single" w:color="auto"/>
          <w:color w:val="auto"/>
        </w:rPr>
        <w:t>BA</w:t>
      </w:r>
      <w:r>
        <w:rPr>
          <w:rFonts w:ascii="Arial" w:cs="Arial" w:eastAsia="Arial" w:hAnsi="Arial"/>
          <w:sz w:val="20"/>
          <w:szCs w:val="20"/>
          <w:color w:val="auto"/>
        </w:rPr>
        <w:t>” means a Clean BA or an L/C Issued BA.</w:t>
      </w:r>
    </w:p>
    <w:p>
      <w:pPr>
        <w:spacing w:after="0" w:line="20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Bankers’ Acceptance Rate</w:t>
      </w:r>
      <w:r>
        <w:rPr>
          <w:rFonts w:ascii="Arial" w:cs="Arial" w:eastAsia="Arial" w:hAnsi="Arial"/>
          <w:sz w:val="20"/>
          <w:szCs w:val="20"/>
          <w:color w:val="auto"/>
        </w:rPr>
        <w:t>” means for any day a fluctuating rate per annum equal to the rate of interest in effect for such day as publicly announced from time to time by Bank of America as its “bankers’ acceptance rate”. Any change in such rate announced by Bank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04" w:name="page105"/>
    <w:bookmarkEnd w:id="104"/>
    <w:p>
      <w:pPr>
        <w:ind w:left="120"/>
        <w:spacing w:after="0"/>
        <w:rPr>
          <w:sz w:val="20"/>
          <w:szCs w:val="20"/>
          <w:color w:val="auto"/>
        </w:rPr>
      </w:pPr>
      <w:r>
        <w:rPr>
          <w:rFonts w:ascii="Arial" w:cs="Arial" w:eastAsia="Arial" w:hAnsi="Arial"/>
          <w:sz w:val="20"/>
          <w:szCs w:val="20"/>
          <w:color w:val="auto"/>
        </w:rPr>
        <w:t>America shall take effect at the opening of business on the day specified in the public announcement of such change.</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 Request</w:t>
      </w:r>
      <w:r>
        <w:rPr>
          <w:rFonts w:ascii="Arial" w:cs="Arial" w:eastAsia="Arial" w:hAnsi="Arial"/>
          <w:sz w:val="18"/>
          <w:szCs w:val="18"/>
          <w:color w:val="auto"/>
        </w:rPr>
        <w:t xml:space="preserve">” means the written request for the issuance of Clean BAs in the form attached hereto as </w:t>
      </w:r>
      <w:r>
        <w:rPr>
          <w:rFonts w:ascii="Arial" w:cs="Arial" w:eastAsia="Arial" w:hAnsi="Arial"/>
          <w:sz w:val="18"/>
          <w:szCs w:val="18"/>
          <w:u w:val="single" w:color="auto"/>
          <w:color w:val="auto"/>
        </w:rPr>
        <w:t>Exhibit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w:t>
      </w:r>
      <w:r>
        <w:rPr>
          <w:rFonts w:ascii="Arial" w:cs="Arial" w:eastAsia="Arial" w:hAnsi="Arial"/>
          <w:sz w:val="20"/>
          <w:szCs w:val="20"/>
          <w:color w:val="auto"/>
        </w:rPr>
        <w:t>” means BofA Securities, Inc. and its successors.</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per annum equal to the highest of (a) the Federal Funds Rate plus 1/2 of 1%,</w:t>
      </w:r>
    </w:p>
    <w:p>
      <w:pPr>
        <w:spacing w:after="0" w:line="9" w:lineRule="exact"/>
        <w:rPr>
          <w:sz w:val="20"/>
          <w:szCs w:val="20"/>
          <w:color w:val="auto"/>
        </w:rPr>
      </w:pPr>
    </w:p>
    <w:p>
      <w:pPr>
        <w:jc w:val="both"/>
        <w:ind w:left="120" w:right="100" w:firstLine="6"/>
        <w:spacing w:after="0" w:line="225" w:lineRule="auto"/>
        <w:tabs>
          <w:tab w:leader="none" w:pos="412"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rate of interest in effect for such day as publicly announced from time to time by Bank of America as its “prime rate,” and (c) the Eurocurrency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hereof, then the Base Rate shall be the greater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Committed (USD) Loan</w:t>
      </w:r>
      <w:r>
        <w:rPr>
          <w:rFonts w:ascii="Arial" w:cs="Arial" w:eastAsia="Arial" w:hAnsi="Arial"/>
          <w:sz w:val="20"/>
          <w:szCs w:val="20"/>
          <w:color w:val="auto"/>
        </w:rPr>
        <w:t>” means a Committed (USD) Loan that is a Base Rate Loan.</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Loan that bears interest based on the Base Rate. All Base Rate Loans shall be denominated in Dollars.</w:t>
      </w:r>
    </w:p>
    <w:p>
      <w:pPr>
        <w:spacing w:after="0" w:line="241" w:lineRule="exact"/>
        <w:rPr>
          <w:sz w:val="20"/>
          <w:szCs w:val="20"/>
          <w:color w:val="auto"/>
        </w:rPr>
      </w:pPr>
    </w:p>
    <w:p>
      <w:pPr>
        <w:jc w:val="both"/>
        <w:ind w:left="100" w:right="10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94" w:lineRule="exact"/>
        <w:rPr>
          <w:sz w:val="20"/>
          <w:szCs w:val="20"/>
          <w:color w:val="auto"/>
        </w:rPr>
      </w:pPr>
    </w:p>
    <w:p>
      <w:pPr>
        <w:jc w:val="both"/>
        <w:ind w:left="100" w:right="100" w:firstLine="524"/>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each has the meaning specified in the introductory paragraph hereto.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specified in Section 6.02.</w:t>
      </w:r>
    </w:p>
    <w:p>
      <w:pPr>
        <w:spacing w:after="0" w:line="170" w:lineRule="exact"/>
        <w:rPr>
          <w:sz w:val="20"/>
          <w:szCs w:val="20"/>
          <w:color w:val="auto"/>
        </w:rPr>
      </w:pPr>
    </w:p>
    <w:p>
      <w:pPr>
        <w:ind w:left="100" w:right="26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Committed (USD) Borrowing, a Committed (MC) Borrowing, a Swing Line Borrowing or a Term Loan Borrowing, as the hereto.</w:t>
      </w:r>
    </w:p>
    <w:p>
      <w:pPr>
        <w:spacing w:after="0" w:line="147" w:lineRule="exact"/>
        <w:rPr>
          <w:sz w:val="20"/>
          <w:szCs w:val="20"/>
          <w:color w:val="auto"/>
        </w:rPr>
      </w:pPr>
    </w:p>
    <w:p>
      <w:pPr>
        <w:ind w:left="100" w:right="10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w:t>
      </w:r>
    </w:p>
    <w:p>
      <w:pPr>
        <w:spacing w:after="0" w:line="167" w:lineRule="exact"/>
        <w:rPr>
          <w:sz w:val="20"/>
          <w:szCs w:val="20"/>
          <w:color w:val="auto"/>
        </w:rPr>
      </w:pPr>
    </w:p>
    <w:p>
      <w:pPr>
        <w:jc w:val="both"/>
        <w:ind w:left="720" w:right="100" w:firstLine="605"/>
        <w:spacing w:after="0" w:line="227" w:lineRule="auto"/>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60"/>
          </w:cols>
          <w:pgMar w:left="360" w:top="1306" w:right="479" w:bottom="1440" w:gutter="0" w:footer="0" w:header="0"/>
        </w:sectPr>
      </w:pPr>
    </w:p>
    <w:bookmarkStart w:id="105" w:name="page106"/>
    <w:bookmarkEnd w:id="105"/>
    <w:p>
      <w:pPr>
        <w:ind w:left="720"/>
        <w:spacing w:after="0"/>
        <w:rPr>
          <w:sz w:val="20"/>
          <w:szCs w:val="20"/>
          <w:color w:val="auto"/>
        </w:rPr>
      </w:pPr>
      <w:r>
        <w:rPr>
          <w:rFonts w:ascii="Arial" w:cs="Arial" w:eastAsia="Arial" w:hAnsi="Arial"/>
          <w:sz w:val="20"/>
          <w:szCs w:val="20"/>
          <w:color w:val="auto"/>
        </w:rPr>
        <w:t>such Eurocurrency Rate Loan, means any such day that is also a London Banking Day; and</w:t>
      </w:r>
    </w:p>
    <w:p>
      <w:pPr>
        <w:spacing w:after="0" w:line="207" w:lineRule="exact"/>
        <w:rPr>
          <w:sz w:val="20"/>
          <w:szCs w:val="20"/>
          <w:color w:val="auto"/>
        </w:rPr>
      </w:pPr>
    </w:p>
    <w:p>
      <w:pPr>
        <w:jc w:val="both"/>
        <w:ind w:left="720" w:firstLine="605"/>
        <w:spacing w:after="0" w:line="234" w:lineRule="auto"/>
        <w:tabs>
          <w:tab w:leader="none" w:pos="1752"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such day relates to any fundings, disbursements, settlements and payments in respect of an Alternative Currency Term Rate Loan, or any other dealings to be carried out pursuant to this Agreement in an Alternative Currency in respect of any such Alternative Currency Loan (other than any interest rate settings), means any such day on which banks are open for foreign exchange business in the principal financial center of the country of such currency.</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and “</w:t>
      </w:r>
      <w:r>
        <w:rPr>
          <w:rFonts w:ascii="Arial" w:cs="Arial" w:eastAsia="Arial" w:hAnsi="Arial"/>
          <w:sz w:val="20"/>
          <w:szCs w:val="20"/>
          <w:u w:val="single" w:color="auto"/>
          <w:color w:val="auto"/>
        </w:rPr>
        <w:t>C$</w:t>
      </w:r>
      <w:r>
        <w:rPr>
          <w:rFonts w:ascii="Arial" w:cs="Arial" w:eastAsia="Arial" w:hAnsi="Arial"/>
          <w:sz w:val="20"/>
          <w:szCs w:val="20"/>
          <w:color w:val="auto"/>
        </w:rPr>
        <w:t>” mean the lawful currency of Canada.</w:t>
      </w:r>
    </w:p>
    <w:p>
      <w:pPr>
        <w:spacing w:after="0" w:line="194"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means, with respect to any Person for any period, any expenditure in respect of the purchase or other acquisition of any fixed or capital asset (excluding normal replacements and maintenance which are properly charged to current operations);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Capital Expenditures shall not include expenditures for Capital Leases, purchase money obligations or Synthetic Lease Obligations, in each case permitted pursuant to </w:t>
      </w:r>
      <w:r>
        <w:rPr>
          <w:rFonts w:ascii="Arial" w:cs="Arial" w:eastAsia="Arial" w:hAnsi="Arial"/>
          <w:sz w:val="18"/>
          <w:szCs w:val="18"/>
          <w:u w:val="single" w:color="auto"/>
          <w:color w:val="auto"/>
        </w:rPr>
        <w:t>Section 7.03(g)</w:t>
      </w:r>
      <w:r>
        <w:rPr>
          <w:rFonts w:ascii="Arial" w:cs="Arial" w:eastAsia="Arial" w:hAnsi="Arial"/>
          <w:sz w:val="18"/>
          <w:szCs w:val="18"/>
          <w:color w:val="auto"/>
        </w:rPr>
        <w:t xml:space="preserve">, for Permitted Acquisitions permitted pursuant to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or expenditures to the extent made solely with (i) the net cash proceeds of a common equity contribution to, or issuance of common Equity Interests by, the Company (other than any portion of such net cash proceeds used for Restricted Payments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or (ii) net cash proceeds received from any Disposition pursuant to </w:t>
      </w:r>
      <w:r>
        <w:rPr>
          <w:rFonts w:ascii="Arial" w:cs="Arial" w:eastAsia="Arial" w:hAnsi="Arial"/>
          <w:sz w:val="18"/>
          <w:szCs w:val="18"/>
          <w:u w:val="single" w:color="auto"/>
          <w:color w:val="auto"/>
        </w:rPr>
        <w:t>Sections 7.05(a)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8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each lease that has been or is required to be, in accordance with GAAP, classified and accounted for as a capital lease or financing lease.</w:t>
      </w:r>
    </w:p>
    <w:p>
      <w:pPr>
        <w:spacing w:after="0" w:line="172"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xml:space="preserve">” means any Subsidiary of the Company operating a regulated captive insurance program established in accordance with customary industry practice and permitted by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for the benefit of one or more of the Company and its Restricted Subsidiaries.</w:t>
      </w:r>
    </w:p>
    <w:p>
      <w:pPr>
        <w:spacing w:after="0" w:line="184" w:lineRule="exact"/>
        <w:rPr>
          <w:sz w:val="20"/>
          <w:szCs w:val="20"/>
          <w:color w:val="auto"/>
        </w:rPr>
      </w:pPr>
    </w:p>
    <w:p>
      <w:pPr>
        <w:jc w:val="both"/>
        <w:ind w:left="120" w:firstLine="598"/>
        <w:spacing w:after="0" w:line="21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one or more of the L/C Issuer and the Committed (USD) Lenders, as collateral for L/C Obligations or obligations of Committed (USD)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(i) the Administrative Agent and</w:t>
      </w:r>
    </w:p>
    <w:p>
      <w:pPr>
        <w:spacing w:after="0" w:line="4" w:lineRule="exact"/>
        <w:rPr>
          <w:sz w:val="20"/>
          <w:szCs w:val="20"/>
          <w:color w:val="auto"/>
        </w:rPr>
      </w:pPr>
    </w:p>
    <w:p>
      <w:pPr>
        <w:ind w:left="120" w:hanging="160"/>
        <w:spacing w:after="0" w:line="228" w:lineRule="auto"/>
        <w:rPr>
          <w:sz w:val="20"/>
          <w:szCs w:val="20"/>
          <w:color w:val="auto"/>
        </w:rPr>
      </w:pPr>
      <w:r>
        <w:rPr>
          <w:rFonts w:ascii="Arial" w:cs="Arial" w:eastAsia="Arial" w:hAnsi="Arial"/>
          <w:sz w:val="20"/>
          <w:szCs w:val="20"/>
          <w:color w:val="auto"/>
        </w:rPr>
        <w:t>ii.the L/C Issuer.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any of the following types of Investments, to the extent owned by the Company or any of its</w:t>
      </w:r>
    </w:p>
    <w:p>
      <w:pPr>
        <w:ind w:left="120"/>
        <w:spacing w:after="0"/>
        <w:rPr>
          <w:sz w:val="20"/>
          <w:szCs w:val="20"/>
          <w:color w:val="auto"/>
        </w:rPr>
      </w:pPr>
      <w:r>
        <w:rPr>
          <w:rFonts w:ascii="Arial" w:cs="Arial" w:eastAsia="Arial" w:hAnsi="Arial"/>
          <w:sz w:val="20"/>
          <w:szCs w:val="20"/>
          <w:color w:val="auto"/>
        </w:rPr>
        <w:t>Restricted Subsidiaries free and clear of all Liens (other than Liens permitted hereunder):</w:t>
      </w:r>
    </w:p>
    <w:p>
      <w:pPr>
        <w:spacing w:after="0" w:line="178" w:lineRule="exact"/>
        <w:rPr>
          <w:sz w:val="20"/>
          <w:szCs w:val="20"/>
          <w:color w:val="auto"/>
        </w:rPr>
      </w:pPr>
    </w:p>
    <w:p>
      <w:pPr>
        <w:jc w:val="both"/>
        <w:ind w:left="720" w:firstLine="605"/>
        <w:spacing w:after="0" w:line="217" w:lineRule="auto"/>
        <w:tabs>
          <w:tab w:leader="none" w:pos="17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Dollars, Canadian Dollars, Colombian Pesos, Mexican Pesos, Pound Sterling, Euros, the national currency of any participating member state of the European Union or, in the case of any Cash Equivalents of a Foreign Subsidiary, such local currencies held by it from time to time in the ordinary course of business (including such Dollars, Canadian Dollars, Columbian Pesos, Mexican Pesos, Pound Sterling, Euros or other currency, as applicable, as are held as overnight bank deposits and demand deposits with any commercial bank that (i) (A) is a Lender or (B) is organized under the laws of the United States of America, any state thereof 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06" w:name="page107"/>
    <w:bookmarkEnd w:id="106"/>
    <w:p>
      <w:pPr>
        <w:jc w:val="both"/>
        <w:ind w:left="720"/>
        <w:spacing w:after="0" w:line="216" w:lineRule="auto"/>
        <w:rPr>
          <w:sz w:val="20"/>
          <w:szCs w:val="20"/>
          <w:color w:val="auto"/>
        </w:rPr>
      </w:pPr>
      <w:r>
        <w:rPr>
          <w:rFonts w:ascii="Arial" w:cs="Arial" w:eastAsia="Arial" w:hAnsi="Arial"/>
          <w:sz w:val="20"/>
          <w:szCs w:val="20"/>
          <w:color w:val="auto"/>
        </w:rPr>
        <w:t xml:space="preserve">the District of Columbia or is the principal banking subsidiary of a bank holding company organized under the laws of the United States of America, any state thereof or the District of Columbia, and is a member of the Federal Reserve System or is organized under the laws of a country that is a member of the Organization for Economic Cooperation and Development, (ii) issues (or the parent of which issues) commercial paper rated as described in clause (e) of this definition and (iii) has combined capital and surplus of at least $1,000,000,000);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country credit rating of any country issuing such currency shall be BBB- or higher by S&amp;P or an equivalent rating or higher by another generally recognized rating agency providing country credit ratings;</w:t>
      </w:r>
    </w:p>
    <w:p>
      <w:pPr>
        <w:spacing w:after="0" w:line="187" w:lineRule="exact"/>
        <w:rPr>
          <w:sz w:val="20"/>
          <w:szCs w:val="20"/>
          <w:color w:val="auto"/>
        </w:rPr>
      </w:pPr>
    </w:p>
    <w:p>
      <w:pPr>
        <w:jc w:val="both"/>
        <w:ind w:left="720" w:firstLine="605"/>
        <w:spacing w:after="0" w:line="224" w:lineRule="auto"/>
        <w:tabs>
          <w:tab w:leader="none" w:pos="17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 readily marketable obligations issued or directly and fully guaranteed or insured by the United States of America or any agency or instrumentality thereof having maturities of not more than 24 months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 or (ii) readily marketable obligations issued or directly and fully guaranteed or insured by Canada or any country that is a member of the European Union or any agency or instrumentality thereof having maturities of not more than 24 months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full faith and credit of Canada or such member of the European Union, as the case may be, is pledged in support thereof, (B) all obligations of the type specified in this clause (ii) shall have a minimum rating of A-1 or AAA by S&amp;P or P-1 or Aaa by Moody’s, in each case at the time of acquisition thereof and (C) the country credit rating of any country issuing or guaranteeing (or whose governmental agency issues or guarantees) any obligation of the type specified in this clause (ii) shall be AA or higher by S&amp;P or an equivalent rating or higher by another generally recognized rating agency providing country credit ratings;</w:t>
      </w:r>
    </w:p>
    <w:p>
      <w:pPr>
        <w:spacing w:after="0" w:line="178" w:lineRule="exact"/>
        <w:rPr>
          <w:rFonts w:ascii="Arial" w:cs="Arial" w:eastAsia="Arial" w:hAnsi="Arial"/>
          <w:sz w:val="19"/>
          <w:szCs w:val="19"/>
          <w:color w:val="auto"/>
        </w:rPr>
      </w:pPr>
    </w:p>
    <w:p>
      <w:pPr>
        <w:jc w:val="both"/>
        <w:ind w:left="720" w:firstLine="605"/>
        <w:spacing w:after="0" w:line="226" w:lineRule="auto"/>
        <w:tabs>
          <w:tab w:leader="none" w:pos="17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Canada or any country that is a member of the European Union or is the principal banking subsidiary of a bank holding company organized under the laws of Canada or any country that is a member of the European Union and a member of the Organization for Economic Cooperation and Development, (ii) issues (or the parent of which issues) commercial paper rated as described in clause (e) of this definition and (iii) has combined capital and surplus of at least $1,000,000,000, in each case with maturities of not more than 360 days from the date of acquisition thereof;</w:t>
      </w:r>
    </w:p>
    <w:p>
      <w:pPr>
        <w:spacing w:after="0" w:line="170" w:lineRule="exact"/>
        <w:rPr>
          <w:rFonts w:ascii="Arial" w:cs="Arial" w:eastAsia="Arial" w:hAnsi="Arial"/>
          <w:sz w:val="19"/>
          <w:szCs w:val="19"/>
          <w:color w:val="auto"/>
        </w:rPr>
      </w:pPr>
    </w:p>
    <w:p>
      <w:pPr>
        <w:ind w:left="720" w:firstLine="605"/>
        <w:spacing w:after="0" w:line="258" w:lineRule="auto"/>
        <w:tabs>
          <w:tab w:leader="none" w:pos="17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repurchase obligations with a term of not more than 30 days for underlying securities of the types described in clause (b) above entered into with any commercial bank meeting the qualifications specified in clause (c) above;</w:t>
      </w:r>
    </w:p>
    <w:p>
      <w:pPr>
        <w:spacing w:after="0" w:line="166" w:lineRule="exact"/>
        <w:rPr>
          <w:rFonts w:ascii="Arial" w:cs="Arial" w:eastAsia="Arial" w:hAnsi="Arial"/>
          <w:sz w:val="19"/>
          <w:szCs w:val="19"/>
          <w:color w:val="auto"/>
        </w:rPr>
      </w:pPr>
    </w:p>
    <w:p>
      <w:pPr>
        <w:jc w:val="both"/>
        <w:ind w:left="720" w:firstLine="605"/>
        <w:spacing w:after="0" w:line="239" w:lineRule="auto"/>
        <w:tabs>
          <w:tab w:leader="none" w:pos="17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07" w:name="page108"/>
    <w:bookmarkEnd w:id="107"/>
    <w:p>
      <w:pPr>
        <w:ind w:left="720" w:right="20" w:firstLine="605"/>
        <w:spacing w:after="0" w:line="236" w:lineRule="auto"/>
        <w:tabs>
          <w:tab w:leader="none" w:pos="1743"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securities with maturities of one year or less from the date of acquisition backed by standby letters of credit issued by any commercial bank meeting the qualifications specified in clause (c) above;</w:t>
      </w:r>
    </w:p>
    <w:p>
      <w:pPr>
        <w:spacing w:after="0" w:line="234" w:lineRule="exact"/>
        <w:rPr>
          <w:rFonts w:ascii="Arial" w:cs="Arial" w:eastAsia="Arial" w:hAnsi="Arial"/>
          <w:sz w:val="20"/>
          <w:szCs w:val="20"/>
          <w:color w:val="auto"/>
        </w:rPr>
      </w:pPr>
    </w:p>
    <w:p>
      <w:pPr>
        <w:ind w:left="1920" w:hanging="596"/>
        <w:spacing w:after="0"/>
        <w:tabs>
          <w:tab w:leader="none" w:pos="19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94" w:lineRule="exact"/>
        <w:rPr>
          <w:rFonts w:ascii="Arial" w:cs="Arial" w:eastAsia="Arial" w:hAnsi="Arial"/>
          <w:sz w:val="20"/>
          <w:szCs w:val="20"/>
          <w:color w:val="auto"/>
        </w:rPr>
      </w:pPr>
    </w:p>
    <w:p>
      <w:pPr>
        <w:jc w:val="both"/>
        <w:ind w:left="720" w:firstLine="605"/>
        <w:spacing w:after="0" w:line="219" w:lineRule="auto"/>
        <w:tabs>
          <w:tab w:leader="none" w:pos="1752"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 (Available Liquidity)</w:t>
      </w:r>
      <w:r>
        <w:rPr>
          <w:rFonts w:ascii="Arial" w:cs="Arial" w:eastAsia="Arial" w:hAnsi="Arial"/>
          <w:sz w:val="19"/>
          <w:szCs w:val="19"/>
          <w:color w:val="auto"/>
        </w:rPr>
        <w:t>” means any of the following types of Investments, to the extent owned by the</w:t>
      </w:r>
    </w:p>
    <w:p>
      <w:pPr>
        <w:ind w:left="120"/>
        <w:spacing w:after="0"/>
        <w:rPr>
          <w:sz w:val="20"/>
          <w:szCs w:val="20"/>
          <w:color w:val="auto"/>
        </w:rPr>
      </w:pPr>
      <w:r>
        <w:rPr>
          <w:rFonts w:ascii="Arial" w:cs="Arial" w:eastAsia="Arial" w:hAnsi="Arial"/>
          <w:sz w:val="20"/>
          <w:szCs w:val="20"/>
          <w:color w:val="auto"/>
        </w:rPr>
        <w:t>Company or any of its Restricted Subsidiaries free and clear of all Liens (other than Liens permitted hereunder):</w:t>
      </w:r>
    </w:p>
    <w:p>
      <w:pPr>
        <w:spacing w:after="0" w:line="19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(a.) Dollars (including such Dollars as are held as overnight bank deposits and demand deposits with U.S. banks);</w:t>
      </w:r>
    </w:p>
    <w:p>
      <w:pPr>
        <w:spacing w:after="0" w:line="218" w:lineRule="exact"/>
        <w:rPr>
          <w:sz w:val="20"/>
          <w:szCs w:val="20"/>
          <w:color w:val="auto"/>
        </w:rPr>
      </w:pPr>
    </w:p>
    <w:p>
      <w:pPr>
        <w:jc w:val="both"/>
        <w:ind w:left="780" w:firstLine="599"/>
        <w:spacing w:after="0" w:line="239" w:lineRule="auto"/>
        <w:rPr>
          <w:sz w:val="20"/>
          <w:szCs w:val="20"/>
          <w:color w:val="auto"/>
        </w:rPr>
      </w:pPr>
      <w:r>
        <w:rPr>
          <w:rFonts w:ascii="Arial" w:cs="Arial" w:eastAsia="Arial" w:hAnsi="Arial"/>
          <w:sz w:val="19"/>
          <w:szCs w:val="19"/>
          <w:color w:val="auto"/>
        </w:rPr>
        <w:t xml:space="preserve">(b.) readily marketable obligations issued or directly and fully guaranteed or insured by the United States of America or any agency or instrumentality thereof having maturities of not more than 24 months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w:t>
      </w:r>
    </w:p>
    <w:p>
      <w:pPr>
        <w:spacing w:after="0" w:line="171" w:lineRule="exact"/>
        <w:rPr>
          <w:sz w:val="20"/>
          <w:szCs w:val="20"/>
          <w:color w:val="auto"/>
        </w:rPr>
      </w:pPr>
    </w:p>
    <w:p>
      <w:pPr>
        <w:jc w:val="both"/>
        <w:ind w:left="780" w:firstLine="599"/>
        <w:spacing w:after="0" w:line="242" w:lineRule="auto"/>
        <w:rPr>
          <w:sz w:val="20"/>
          <w:szCs w:val="20"/>
          <w:color w:val="auto"/>
        </w:rPr>
      </w:pPr>
      <w:r>
        <w:rPr>
          <w:rFonts w:ascii="Arial" w:cs="Arial" w:eastAsia="Arial" w:hAnsi="Arial"/>
          <w:sz w:val="18"/>
          <w:szCs w:val="18"/>
          <w:color w:val="auto"/>
        </w:rPr>
        <w:t>(c.) 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(e) of this definition and (iii) has combined capital and surplus of at least $1,000,000,000, in each case with maturities of not more than 360 days from the date of acquisition thereof;</w:t>
      </w:r>
    </w:p>
    <w:p>
      <w:pPr>
        <w:spacing w:after="0" w:line="183" w:lineRule="exact"/>
        <w:rPr>
          <w:sz w:val="20"/>
          <w:szCs w:val="20"/>
          <w:color w:val="auto"/>
        </w:rPr>
      </w:pPr>
    </w:p>
    <w:p>
      <w:pPr>
        <w:jc w:val="both"/>
        <w:ind w:left="780" w:firstLine="599"/>
        <w:spacing w:after="0" w:line="258" w:lineRule="auto"/>
        <w:rPr>
          <w:sz w:val="20"/>
          <w:szCs w:val="20"/>
          <w:color w:val="auto"/>
        </w:rPr>
      </w:pPr>
      <w:r>
        <w:rPr>
          <w:rFonts w:ascii="Arial" w:cs="Arial" w:eastAsia="Arial" w:hAnsi="Arial"/>
          <w:sz w:val="19"/>
          <w:szCs w:val="19"/>
          <w:color w:val="auto"/>
        </w:rPr>
        <w:t>(d.) repurchase obligations with a term of not more than 30 days for underlying securities of the types described in clause (b) above entered into with any commercial bank meeting the qualifications specified in clause (c) above;</w:t>
      </w:r>
    </w:p>
    <w:p>
      <w:pPr>
        <w:spacing w:after="0" w:line="167" w:lineRule="exact"/>
        <w:rPr>
          <w:sz w:val="20"/>
          <w:szCs w:val="20"/>
          <w:color w:val="auto"/>
        </w:rPr>
      </w:pPr>
    </w:p>
    <w:p>
      <w:pPr>
        <w:jc w:val="both"/>
        <w:ind w:left="780" w:firstLine="599"/>
        <w:spacing w:after="0" w:line="239" w:lineRule="auto"/>
        <w:rPr>
          <w:sz w:val="20"/>
          <w:szCs w:val="20"/>
          <w:color w:val="auto"/>
        </w:rPr>
      </w:pPr>
      <w:r>
        <w:rPr>
          <w:rFonts w:ascii="Arial" w:cs="Arial" w:eastAsia="Arial" w:hAnsi="Arial"/>
          <w:sz w:val="19"/>
          <w:szCs w:val="19"/>
          <w:color w:val="auto"/>
        </w:rPr>
        <w:t>(e.) 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71" w:lineRule="exact"/>
        <w:rPr>
          <w:sz w:val="20"/>
          <w:szCs w:val="20"/>
          <w:color w:val="auto"/>
        </w:rPr>
      </w:pPr>
    </w:p>
    <w:p>
      <w:pPr>
        <w:jc w:val="both"/>
        <w:ind w:left="780" w:firstLine="599"/>
        <w:spacing w:after="0" w:line="236" w:lineRule="auto"/>
        <w:rPr>
          <w:sz w:val="20"/>
          <w:szCs w:val="20"/>
          <w:color w:val="auto"/>
        </w:rPr>
      </w:pPr>
      <w:r>
        <w:rPr>
          <w:rFonts w:ascii="Arial" w:cs="Arial" w:eastAsia="Arial" w:hAnsi="Arial"/>
          <w:sz w:val="20"/>
          <w:szCs w:val="20"/>
          <w:color w:val="auto"/>
        </w:rPr>
        <w:t>(f.) securities with maturities of one year or less from the date of acquisition backed by standby letters of credit issued by any commercial bank meeting the qualifications specified in clause (c) above;</w:t>
      </w:r>
    </w:p>
    <w:p>
      <w:pPr>
        <w:spacing w:after="0" w:line="184"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(g.) [Reserved];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08" w:name="page109"/>
    <w:bookmarkEnd w:id="108"/>
    <w:p>
      <w:pPr>
        <w:jc w:val="both"/>
        <w:ind w:left="820" w:firstLine="599"/>
        <w:spacing w:after="0" w:line="219" w:lineRule="auto"/>
        <w:rPr>
          <w:sz w:val="20"/>
          <w:szCs w:val="20"/>
          <w:color w:val="auto"/>
        </w:rPr>
      </w:pPr>
      <w:r>
        <w:rPr>
          <w:rFonts w:ascii="Arial" w:cs="Arial" w:eastAsia="Arial" w:hAnsi="Arial"/>
          <w:sz w:val="20"/>
          <w:szCs w:val="20"/>
          <w:color w:val="auto"/>
        </w:rPr>
        <w:t>(h.) 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w:t>
      </w:r>
    </w:p>
    <w:p>
      <w:pPr>
        <w:spacing w:after="0" w:line="187" w:lineRule="exact"/>
        <w:rPr>
          <w:sz w:val="20"/>
          <w:szCs w:val="20"/>
          <w:color w:val="auto"/>
        </w:rPr>
      </w:pPr>
    </w:p>
    <w:p>
      <w:pPr>
        <w:jc w:val="both"/>
        <w:ind w:firstLine="749"/>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that is not prohibited by the terms hereof to provide cash management services, including treasury, depository, overdraft, credit or debit card, electronic funds transfer and other cash management arrangements.</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w:t>
      </w:r>
      <w:r>
        <w:rPr>
          <w:rFonts w:ascii="Arial" w:cs="Arial" w:eastAsia="Arial" w:hAnsi="Arial"/>
          <w:sz w:val="20"/>
          <w:szCs w:val="20"/>
          <w:color w:val="auto"/>
        </w:rPr>
        <w:t>” has the meaning specified in the definition of Alternative Currency Term Rate.</w:t>
      </w:r>
    </w:p>
    <w:p>
      <w:pPr>
        <w:spacing w:after="0" w:line="18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Rate</w:t>
      </w:r>
      <w:r>
        <w:rPr>
          <w:rFonts w:ascii="Arial" w:cs="Arial" w:eastAsia="Arial" w:hAnsi="Arial"/>
          <w:sz w:val="20"/>
          <w:szCs w:val="20"/>
          <w:color w:val="auto"/>
        </w:rPr>
        <w:t xml:space="preserve">” has the meaning specified in the definition of Alternative Currency Term </w:t>
      </w:r>
      <w:r>
        <w:rPr>
          <w:rFonts w:ascii="Arial" w:cs="Arial" w:eastAsia="Arial" w:hAnsi="Arial"/>
          <w:sz w:val="18"/>
          <w:szCs w:val="18"/>
          <w:color w:val="auto"/>
        </w:rPr>
        <w:t>Rate.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under Section 957 of the</w:t>
      </w:r>
    </w:p>
    <w:p>
      <w:pPr>
        <w:spacing w:after="0" w:line="205" w:lineRule="exact"/>
        <w:rPr>
          <w:sz w:val="20"/>
          <w:szCs w:val="20"/>
          <w:color w:val="auto"/>
        </w:rPr>
      </w:pPr>
    </w:p>
    <w:p>
      <w:pPr>
        <w:ind w:right="400" w:firstLine="824"/>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”means any Person substantially all of the assets of which consist directly or indirectly of the Equity Interests of, and/or Indebtedness owing from, one or more CFCs.</w:t>
      </w:r>
    </w:p>
    <w:p>
      <w:pPr>
        <w:spacing w:after="0" w:line="133" w:lineRule="exact"/>
        <w:rPr>
          <w:sz w:val="20"/>
          <w:szCs w:val="20"/>
          <w:color w:val="auto"/>
        </w:rPr>
      </w:pPr>
    </w:p>
    <w:p>
      <w:pPr>
        <w:jc w:val="both"/>
        <w:ind w:firstLine="824"/>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07" w:lineRule="exact"/>
        <w:rPr>
          <w:sz w:val="20"/>
          <w:szCs w:val="20"/>
          <w:color w:val="auto"/>
        </w:rPr>
      </w:pPr>
    </w:p>
    <w:p>
      <w:pPr>
        <w:jc w:val="both"/>
        <w:ind w:left="760" w:firstLine="605"/>
        <w:spacing w:after="0" w:line="216" w:lineRule="auto"/>
        <w:tabs>
          <w:tab w:leader="none" w:pos="17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any Existing Shareholder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0"/>
          <w:szCs w:val="20"/>
          <w:u w:val="single" w:color="auto"/>
          <w:color w:val="auto"/>
        </w:rPr>
        <w:t>option right</w:t>
      </w:r>
      <w:r>
        <w:rPr>
          <w:rFonts w:ascii="Arial" w:cs="Arial" w:eastAsia="Arial" w:hAnsi="Arial"/>
          <w:sz w:val="20"/>
          <w:szCs w:val="20"/>
          <w:color w:val="auto"/>
        </w:rPr>
        <w:t>”)), directly or indirectly, of 35%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00"/>
          </w:cols>
          <w:pgMar w:left="320" w:top="1306" w:right="579" w:bottom="1440" w:gutter="0" w:footer="0" w:header="0"/>
        </w:sectPr>
      </w:pPr>
    </w:p>
    <w:bookmarkStart w:id="109" w:name="page110"/>
    <w:bookmarkEnd w:id="109"/>
    <w:p>
      <w:pPr>
        <w:jc w:val="both"/>
        <w:ind w:left="720"/>
        <w:spacing w:after="0" w:line="227" w:lineRule="auto"/>
        <w:rPr>
          <w:sz w:val="20"/>
          <w:szCs w:val="20"/>
          <w:color w:val="auto"/>
        </w:rPr>
      </w:pPr>
      <w:r>
        <w:rPr>
          <w:rFonts w:ascii="Arial" w:cs="Arial" w:eastAsia="Arial" w:hAnsi="Arial"/>
          <w:sz w:val="20"/>
          <w:szCs w:val="20"/>
          <w:color w:val="auto"/>
        </w:rPr>
        <w:t>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71" w:lineRule="exact"/>
        <w:rPr>
          <w:sz w:val="20"/>
          <w:szCs w:val="20"/>
          <w:color w:val="auto"/>
        </w:rPr>
      </w:pPr>
    </w:p>
    <w:p>
      <w:pPr>
        <w:jc w:val="both"/>
        <w:ind w:left="720" w:firstLine="605"/>
        <w:spacing w:after="0" w:line="227" w:lineRule="auto"/>
        <w:tabs>
          <w:tab w:leader="none" w:pos="1752" w:val="left"/>
        </w:tabs>
        <w:numPr>
          <w:ilvl w:val="0"/>
          <w:numId w:val="50"/>
        </w:numPr>
        <w:rPr>
          <w:rFonts w:ascii="Arial" w:cs="Arial" w:eastAsia="Arial" w:hAnsi="Arial"/>
          <w:sz w:val="19"/>
          <w:szCs w:val="19"/>
          <w:color w:val="auto"/>
        </w:rPr>
      </w:pPr>
      <w:r>
        <w:rPr>
          <w:rFonts w:ascii="Arial" w:cs="Arial" w:eastAsia="Arial" w:hAnsi="Arial"/>
          <w:sz w:val="19"/>
          <w:szCs w:val="19"/>
          <w:color w:val="auto"/>
        </w:rPr>
        <w:t>during any period of 18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76"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Clean Bankers’ Acceptance</w:t>
      </w:r>
      <w:r>
        <w:rPr>
          <w:rFonts w:ascii="Arial" w:cs="Arial" w:eastAsia="Arial" w:hAnsi="Arial"/>
          <w:sz w:val="20"/>
          <w:szCs w:val="20"/>
          <w:color w:val="auto"/>
        </w:rPr>
        <w:t>” or “</w:t>
      </w:r>
      <w:r>
        <w:rPr>
          <w:rFonts w:ascii="Arial" w:cs="Arial" w:eastAsia="Arial" w:hAnsi="Arial"/>
          <w:sz w:val="20"/>
          <w:szCs w:val="20"/>
          <w:u w:val="single" w:color="auto"/>
          <w:color w:val="auto"/>
        </w:rPr>
        <w:t>Clean BA</w:t>
      </w:r>
      <w:r>
        <w:rPr>
          <w:rFonts w:ascii="Arial" w:cs="Arial" w:eastAsia="Arial" w:hAnsi="Arial"/>
          <w:sz w:val="20"/>
          <w:szCs w:val="20"/>
          <w:color w:val="auto"/>
        </w:rPr>
        <w:t xml:space="preserve">” means a negotiable time draft drawn on and accepted by the L/C Issuer pursuant to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to finance the purchase of inventory.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November 1, 2021.</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 MC Commitment, a USD Commitment or a Term Loan Commitment, as the context may require.</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Borrowing</w:t>
      </w:r>
      <w:r>
        <w:rPr>
          <w:rFonts w:ascii="Arial" w:cs="Arial" w:eastAsia="Arial" w:hAnsi="Arial"/>
          <w:sz w:val="20"/>
          <w:szCs w:val="20"/>
          <w:color w:val="auto"/>
        </w:rPr>
        <w:t>” means a Committed (USD) Borrowing or a Committed (MC) Borrowing.</w:t>
      </w:r>
    </w:p>
    <w:p>
      <w:pPr>
        <w:spacing w:after="0" w:line="19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(MC) Borrowing</w:t>
      </w:r>
      <w:r>
        <w:rPr>
          <w:rFonts w:ascii="Arial" w:cs="Arial" w:eastAsia="Arial" w:hAnsi="Arial"/>
          <w:sz w:val="20"/>
          <w:szCs w:val="20"/>
          <w:color w:val="auto"/>
        </w:rPr>
        <w:t xml:space="preserve">” means a borrowing consisting of simultaneous Committed (MC) Loans of the same Type and, in the case of Eurocurrency Rate Loans, having the same Interest Period made by each of the Committed (MC) Lenders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(USD) Borrowing</w:t>
      </w:r>
      <w:r>
        <w:rPr>
          <w:rFonts w:ascii="Arial" w:cs="Arial" w:eastAsia="Arial" w:hAnsi="Arial"/>
          <w:sz w:val="20"/>
          <w:szCs w:val="20"/>
          <w:color w:val="auto"/>
        </w:rPr>
        <w:t xml:space="preserve">” means a borrowing consisting of simultaneous Committed (USD) Loans of the same Type and, in the case of Eurocurrency Rate Loans, having the same Interest Period made by each of the Committed (USD)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84"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(MC) Facility</w:t>
      </w:r>
      <w:r>
        <w:rPr>
          <w:rFonts w:ascii="Arial" w:cs="Arial" w:eastAsia="Arial" w:hAnsi="Arial"/>
          <w:sz w:val="20"/>
          <w:szCs w:val="20"/>
          <w:color w:val="auto"/>
        </w:rPr>
        <w:t>” means, at any time, the revolving credit facility provided in this Agreement pursuant to the Aggregate (MC) Commitments.</w:t>
      </w:r>
    </w:p>
    <w:p>
      <w:pPr>
        <w:spacing w:after="0" w:line="172"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(USD) Facility</w:t>
      </w:r>
      <w:r>
        <w:rPr>
          <w:rFonts w:ascii="Arial" w:cs="Arial" w:eastAsia="Arial" w:hAnsi="Arial"/>
          <w:sz w:val="20"/>
          <w:szCs w:val="20"/>
          <w:color w:val="auto"/>
        </w:rPr>
        <w:t>” means, at any time, the revolving credit facility provided in this Agreement pursuant to the Aggregate (USD) Commitments.</w:t>
      </w:r>
    </w:p>
    <w:p>
      <w:pPr>
        <w:spacing w:after="0" w:line="18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(MC) Lender</w:t>
      </w:r>
      <w:r>
        <w:rPr>
          <w:rFonts w:ascii="Arial" w:cs="Arial" w:eastAsia="Arial" w:hAnsi="Arial"/>
          <w:sz w:val="20"/>
          <w:szCs w:val="20"/>
          <w:color w:val="auto"/>
        </w:rPr>
        <w:t>” means, at any time, any Lender that has an MC Commitment or outstanding Committed (MC) Loans at such time.</w:t>
      </w:r>
    </w:p>
    <w:p>
      <w:pPr>
        <w:spacing w:after="0" w:line="234"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(USD) Lender</w:t>
      </w:r>
      <w:r>
        <w:rPr>
          <w:rFonts w:ascii="Arial" w:cs="Arial" w:eastAsia="Arial" w:hAnsi="Arial"/>
          <w:sz w:val="20"/>
          <w:szCs w:val="20"/>
          <w:color w:val="auto"/>
        </w:rPr>
        <w:t>” means, at any time, any Lender that has a USD Commitment or outstanding Committed (USD) Loans or participations in L/C Obligations and Swing Line Loans at such time.</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Loans</w:t>
      </w:r>
      <w:r>
        <w:rPr>
          <w:rFonts w:ascii="Arial" w:cs="Arial" w:eastAsia="Arial" w:hAnsi="Arial"/>
          <w:sz w:val="20"/>
          <w:szCs w:val="20"/>
          <w:color w:val="auto"/>
        </w:rPr>
        <w:t>” means a Committed (USD) Loan or a Committed MC) Loan.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0" w:name="page111"/>
    <w:bookmarkEnd w:id="110"/>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(MC)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(USD)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94" w:lineRule="exact"/>
        <w:rPr>
          <w:sz w:val="20"/>
          <w:szCs w:val="20"/>
          <w:color w:val="auto"/>
        </w:rPr>
      </w:pPr>
    </w:p>
    <w:p>
      <w:pPr>
        <w:ind w:left="120" w:right="28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84" w:lineRule="exact"/>
        <w:rPr>
          <w:sz w:val="20"/>
          <w:szCs w:val="20"/>
          <w:color w:val="auto"/>
        </w:rPr>
      </w:pPr>
    </w:p>
    <w:p>
      <w:pPr>
        <w:jc w:val="both"/>
        <w:ind w:left="12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means this Agreement, any Loan Document and any document, amendment, approval, consent, information, notice, certificate, request, statement, disclosure or authorization related to any Loan Document.</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13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20" w:lineRule="exact"/>
        <w:rPr>
          <w:sz w:val="20"/>
          <w:szCs w:val="20"/>
          <w:color w:val="auto"/>
        </w:rPr>
      </w:pPr>
    </w:p>
    <w:p>
      <w:pPr>
        <w:ind w:left="40" w:right="800" w:firstLine="67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97"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for any period, for the Company and its Restricted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in calculating such Consolidated Net Income: (i) interest expense for such period, (ii) the provision for Federal, state, local and foreign income Taxes payable by the Company and its Restricted Subsidiaries for such period, (iii) depreciation and amortization expense, (iv) charges included in Consolidated Net Income related to purchase accounting adjustments that are as required by FASB ASC Topic 805,</w:t>
      </w:r>
    </w:p>
    <w:p>
      <w:pPr>
        <w:spacing w:after="0" w:line="1" w:lineRule="exact"/>
        <w:rPr>
          <w:sz w:val="20"/>
          <w:szCs w:val="20"/>
          <w:color w:val="auto"/>
        </w:rPr>
      </w:pPr>
    </w:p>
    <w:p>
      <w:pPr>
        <w:jc w:val="both"/>
        <w:ind w:left="120" w:firstLine="6"/>
        <w:spacing w:after="0" w:line="233" w:lineRule="auto"/>
        <w:tabs>
          <w:tab w:leader="none" w:pos="4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charges relating to stock based compensation which do not represent a cash item in such period or any future period, (vi) other charges which do not represent a cash item in such period or any future period; (vii) expenses incurred in connection with the prepayment, amendment, modification or refinancing of Indebtedness (whether or not consummated) during such period, (viii) any non-capitalized transaction costs incurred during such period in connection with an incurrence of Indebtedness, during a refinancing thereof, issuance of Equity Interests, Investment, Acquisition, Disposition or recapitalization, in each case, to the extent permitted hereunder (whether or not consummated), (ix) tender premiums, redemption premiums, fees, and other amounts and expenses incurred in connection with the tender for and/or redemption of Indebtedness incurred under </w:t>
      </w:r>
      <w:r>
        <w:rPr>
          <w:rFonts w:ascii="Arial" w:cs="Arial" w:eastAsia="Arial" w:hAnsi="Arial"/>
          <w:sz w:val="18"/>
          <w:szCs w:val="18"/>
          <w:u w:val="single" w:color="auto"/>
          <w:color w:val="auto"/>
        </w:rPr>
        <w:t>Section 7.03(r)</w:t>
      </w:r>
      <w:r>
        <w:rPr>
          <w:rFonts w:ascii="Arial" w:cs="Arial" w:eastAsia="Arial" w:hAnsi="Arial"/>
          <w:sz w:val="18"/>
          <w:szCs w:val="18"/>
          <w:color w:val="auto"/>
        </w:rPr>
        <w:t xml:space="preserve">, (x) earn-out expenses resulting from Permitted Acquisitions in which the Company and/or any Restricted Subsidiary is required to treat such earn- out expenses as compensation costs, (xi) expenses arising from the impact of FASB ASC 470-50- 40 on certain capitalized fees and costs, (xii) any net loss incurred in such period from Swap Contracts and the application of FASB ASC Topic 815, (xiii) any net loss incurred in such period from currency translation losses, (xiv) any loss from the early extinguishment of Indebtedness or Swap Contracts or other derivative instruments and (xv) (A) other non-recurring or unusual charges, (B) cash charges paid in connection with corporate restructurings (including severance costs in connection with any reduction in the workforce of the Company and its Restricted Subsidiaries) and (C) 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of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charges described in this clause (xv) together with any adjustments made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shall only be permitted to be added back for such period to the extent such charges collectively do not increase Consolidated EBITDA by more than 20%;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1" w:name="page112"/>
    <w:bookmarkEnd w:id="111"/>
    <w:p>
      <w:pPr>
        <w:jc w:val="both"/>
        <w:ind w:left="120"/>
        <w:spacing w:after="0" w:line="219" w:lineRule="auto"/>
        <w:rPr>
          <w:sz w:val="20"/>
          <w:szCs w:val="20"/>
          <w:color w:val="auto"/>
        </w:rPr>
      </w:pPr>
      <w:r>
        <w:rPr>
          <w:rFonts w:ascii="Arial" w:cs="Arial" w:eastAsia="Arial" w:hAnsi="Arial"/>
          <w:sz w:val="20"/>
          <w:szCs w:val="20"/>
          <w:color w:val="auto"/>
        </w:rPr>
        <w:t>included in calculating such Consolidated Net Income: (i) Federal, state, local and foreign income Tax credits of the Company and its Subsidiaries for such period, (ii) any net gain incurred in such period from Swap Contracts and the application of FASB ASC Topic 815, (iii) any net gain incurred in such period from currency translation gains, (iv) any gain from the early extinguishment of Indebtedness or Swap Contracts or other derivative instruments and (v) all non-cash items increasing Consolidated Net Income for such period.</w:t>
      </w:r>
    </w:p>
    <w:p>
      <w:pPr>
        <w:spacing w:after="0" w:line="17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(other than surety bonds), debentures, notes, loan agreements or other similar instruments, (b) all purchase money Indebtedness, (c) all direct obligations arising under letters of credit (including standby and commercial), bankers’ acceptances, bank guaranties, and similar instruments (including, for the avoidance of doubt, the due and payable penal sum under any surety bond called upon by the obligee thereof but excluding the penal sum of any surety bond not then due and payable),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all as determined in accordance with GAAP.</w:t>
      </w:r>
    </w:p>
    <w:p>
      <w:pPr>
        <w:spacing w:after="0" w:line="188" w:lineRule="exact"/>
        <w:rPr>
          <w:sz w:val="20"/>
          <w:szCs w:val="20"/>
          <w:color w:val="auto"/>
        </w:rPr>
      </w:pPr>
    </w:p>
    <w:p>
      <w:pPr>
        <w:jc w:val="both"/>
        <w:ind w:left="120" w:firstLine="598"/>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period, for the Company and its Restricted Subsidiaries on a consolidated basis, the sum of (a) all cash interest, premium payments, debt discount, fees, charges and related expenses of the Company and its Restricted Subsidiaries in connection with borrowed money or in connection with the deferred purchase price of assets, in each case to the extent treated as interest in accordance with GAAP, and (b) the portion of cash rent expense of the Company and its Restricted Subsidiaries with respect to such period under Capital Leases that is treated as interest in accordance with GAAP.</w:t>
      </w:r>
    </w:p>
    <w:p>
      <w:pPr>
        <w:spacing w:after="0" w:line="229"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as of any date of determination, the ratio of (a) Consolidated EBITDA for the period of the four prior fiscal quarters ending on such date </w:t>
      </w:r>
      <w:r>
        <w:rPr>
          <w:rFonts w:ascii="Arial" w:cs="Arial" w:eastAsia="Arial" w:hAnsi="Arial"/>
          <w:sz w:val="20"/>
          <w:szCs w:val="20"/>
          <w:i w:val="1"/>
          <w:iCs w:val="1"/>
          <w:color w:val="auto"/>
        </w:rPr>
        <w:t>to</w:t>
      </w:r>
      <w:r>
        <w:rPr>
          <w:rFonts w:ascii="Arial" w:cs="Arial" w:eastAsia="Arial" w:hAnsi="Arial"/>
          <w:sz w:val="20"/>
          <w:szCs w:val="20"/>
          <w:color w:val="auto"/>
        </w:rPr>
        <w:t xml:space="preserve"> (b) Consolidated Interest Charges for such period.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1.10</w:t>
      </w:r>
      <w:r>
        <w:rPr>
          <w:rFonts w:ascii="Arial" w:cs="Arial" w:eastAsia="Arial" w:hAnsi="Arial"/>
          <w:sz w:val="18"/>
          <w:szCs w:val="18"/>
          <w:color w:val="auto"/>
        </w:rPr>
        <w:t>, as of any date of determination, the ratio of (a) the difference of</w:t>
      </w:r>
    </w:p>
    <w:p>
      <w:pPr>
        <w:spacing w:after="0" w:line="9" w:lineRule="exact"/>
        <w:rPr>
          <w:sz w:val="20"/>
          <w:szCs w:val="20"/>
          <w:color w:val="auto"/>
        </w:rPr>
      </w:pPr>
    </w:p>
    <w:p>
      <w:pPr>
        <w:jc w:val="both"/>
        <w:ind w:left="120" w:firstLine="6"/>
        <w:spacing w:after="0" w:line="231" w:lineRule="auto"/>
        <w:tabs>
          <w:tab w:leader="none" w:pos="3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Consolidated Funded Indebtedness as of such date (but excluding, to the extent outstanding and undrawn and included in the calculation of Consolidated Funded Indebtedness, the stated amount of all standby performance letters of credit as of such date) </w:t>
      </w:r>
      <w:r>
        <w:rPr>
          <w:rFonts w:ascii="Arial" w:cs="Arial" w:eastAsia="Arial" w:hAnsi="Arial"/>
          <w:sz w:val="18"/>
          <w:szCs w:val="18"/>
          <w:u w:val="single" w:color="auto"/>
          <w:color w:val="auto"/>
        </w:rPr>
        <w:t>minus</w:t>
      </w:r>
    </w:p>
    <w:p>
      <w:pPr>
        <w:spacing w:after="0" w:line="1" w:lineRule="exact"/>
        <w:rPr>
          <w:rFonts w:ascii="Arial" w:cs="Arial" w:eastAsia="Arial" w:hAnsi="Arial"/>
          <w:sz w:val="18"/>
          <w:szCs w:val="18"/>
          <w:color w:val="auto"/>
        </w:rPr>
      </w:pPr>
    </w:p>
    <w:p>
      <w:pPr>
        <w:ind w:left="120" w:firstLine="6"/>
        <w:spacing w:after="0" w:line="228" w:lineRule="auto"/>
        <w:tabs>
          <w:tab w:leader="none" w:pos="428"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Unrestricted Domestic Cash as of such date, </w:t>
      </w:r>
      <w:r>
        <w:rPr>
          <w:rFonts w:ascii="Arial" w:cs="Arial" w:eastAsia="Arial" w:hAnsi="Arial"/>
          <w:sz w:val="20"/>
          <w:szCs w:val="20"/>
          <w:i w:val="1"/>
          <w:iCs w:val="1"/>
          <w:color w:val="auto"/>
        </w:rPr>
        <w:t>to</w:t>
      </w:r>
      <w:r>
        <w:rPr>
          <w:rFonts w:ascii="Arial" w:cs="Arial" w:eastAsia="Arial" w:hAnsi="Arial"/>
          <w:sz w:val="20"/>
          <w:szCs w:val="20"/>
          <w:color w:val="auto"/>
        </w:rPr>
        <w:t xml:space="preserve"> (b) Consolidated EBITDA for the period of the four fiscal quarters most recently ended.</w:t>
      </w:r>
    </w:p>
    <w:p>
      <w:pPr>
        <w:spacing w:after="0" w:line="171"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Assets</w:t>
      </w:r>
      <w:r>
        <w:rPr>
          <w:rFonts w:ascii="Arial" w:cs="Arial" w:eastAsia="Arial" w:hAnsi="Arial"/>
          <w:sz w:val="19"/>
          <w:szCs w:val="19"/>
          <w:color w:val="auto"/>
        </w:rPr>
        <w:t xml:space="preserve">” means, as of any date of determination, the amount which in accordance with GAAP would be set forth under the caption “Total Assets” (or any like caption) on a consolidated balance sheet of the Company and its Restricted Subsidiaries less current liabilities, as of the most recently ended fiscal quarter or fiscal year, as applicable, for which financial statements have been delivered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1" w:right="579" w:bottom="1440" w:gutter="0" w:footer="0" w:header="0"/>
        </w:sectPr>
      </w:pPr>
    </w:p>
    <w:bookmarkStart w:id="112" w:name="page113"/>
    <w:bookmarkEnd w:id="112"/>
    <w:p>
      <w:pPr>
        <w:spacing w:after="0" w:line="166"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Tangible Assets</w:t>
      </w:r>
      <w:r>
        <w:rPr>
          <w:rFonts w:ascii="Arial" w:cs="Arial" w:eastAsia="Arial" w:hAnsi="Arial"/>
          <w:sz w:val="20"/>
          <w:szCs w:val="20"/>
          <w:color w:val="auto"/>
        </w:rPr>
        <w:t xml:space="preserve">” means, as of any date of determination, the amount which in accordance with GAAP would be set forth under the caption “Total Assets” (or any like caption) on a consolidated balance sheet of the Company and its Restricted Subsidiaries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Intangible Assets of the Company and its Restricted Subsidiaries, as of the most recently ended fiscal quarter or fiscal year, as applicable, for which financial statements have been delivered to the Administrative Agent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87" w:lineRule="exact"/>
        <w:rPr>
          <w:sz w:val="20"/>
          <w:szCs w:val="20"/>
          <w:color w:val="auto"/>
        </w:rPr>
      </w:pPr>
    </w:p>
    <w:p>
      <w:pPr>
        <w:jc w:val="both"/>
        <w:ind w:left="120" w:firstLine="598"/>
        <w:spacing w:after="0" w:line="22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for the Company and its Restricted Subsidiaries on a consolidated basis, the net income of the Company and its Restricted Subsidiaries for that period, but excluding: (a) any gain or loss arising from the sale of capital assets; (b) any gain or loss arising from any write-up or write-down of assets or liabilities during such period; (c) any portion of the net earnings of any Subsidiary which for any reason is unavailable for payment of distributions to a Borrower; (d) any gain or loss arising from the acquisition of any Equity Interests of a Borrower; and (e) any income (or loss) for such period of any Person if such Person is not a Restricted Subsidiary, except that the Company’s equity in the net income of any such Person for such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 Subsidiary, such Restricted Subsidiary is not precluded from further distributing such amount to a Borrower as described in the preceding </w:t>
      </w:r>
      <w:r>
        <w:rPr>
          <w:rFonts w:ascii="Arial" w:cs="Arial" w:eastAsia="Arial" w:hAnsi="Arial"/>
          <w:sz w:val="19"/>
          <w:szCs w:val="19"/>
          <w:u w:val="single" w:color="auto"/>
          <w:color w:val="auto"/>
        </w:rPr>
        <w:t>clause (c)</w:t>
      </w:r>
      <w:r>
        <w:rPr>
          <w:rFonts w:ascii="Arial" w:cs="Arial" w:eastAsia="Arial" w:hAnsi="Arial"/>
          <w:sz w:val="19"/>
          <w:szCs w:val="19"/>
          <w:color w:val="auto"/>
        </w:rPr>
        <w:t>), all as determined in accordance with GAAP.</w:t>
      </w:r>
    </w:p>
    <w:p>
      <w:pPr>
        <w:spacing w:after="0" w:line="174" w:lineRule="exact"/>
        <w:rPr>
          <w:sz w:val="20"/>
          <w:szCs w:val="20"/>
          <w:color w:val="auto"/>
        </w:rPr>
      </w:pPr>
    </w:p>
    <w:p>
      <w:pPr>
        <w:jc w:val="both"/>
        <w:ind w:left="100" w:firstLine="59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xml:space="preserve">” means, as of any date of determination, the amount which in accordance with GAAP would be set forth under the caption “Total Assets” (or any like caption) on a consolidated balance sheet of the Company and its Restricted Subsidiaries, as of the most recently ended fiscal quarter or fiscal year, as applicable, for which financial statements have been delivered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35"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10.23(b)</w:t>
      </w:r>
      <w:r>
        <w:rPr>
          <w:rFonts w:ascii="Arial" w:cs="Arial" w:eastAsia="Arial" w:hAnsi="Arial"/>
          <w:sz w:val="20"/>
          <w:szCs w:val="20"/>
          <w:color w:val="auto"/>
        </w:rPr>
        <w:t>.</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0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13" w:name="page114"/>
    <w:bookmarkEnd w:id="113"/>
    <w:p>
      <w:pPr>
        <w:jc w:val="both"/>
        <w:ind w:left="120" w:firstLine="598"/>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and BA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or an Alternative Currency Term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(b) when used with respect to Letter of Credit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(c) when used with respect to BA Fees, a rate equal to (i) the Bankers’ Acceptance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183"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Bankers’ Acceptances or Swing Line Loans) within two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29"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itself is the subject of any Sanction.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4" w:name="page115"/>
    <w:bookmarkEnd w:id="114"/>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94"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Arial" w:cs="Arial" w:eastAsia="Arial" w:hAnsi="Arial"/>
          <w:sz w:val="19"/>
          <w:szCs w:val="19"/>
          <w:u w:val="single" w:color="auto"/>
          <w:color w:val="auto"/>
        </w:rPr>
        <w:t>clauses (b</w:t>
      </w:r>
      <w:r>
        <w:rPr>
          <w:rFonts w:ascii="Arial" w:cs="Arial" w:eastAsia="Arial" w:hAnsi="Arial"/>
          <w:sz w:val="19"/>
          <w:szCs w:val="19"/>
          <w:color w:val="auto"/>
        </w:rPr>
        <w:t>) or (</w:t>
      </w:r>
      <w:r>
        <w:rPr>
          <w:rFonts w:ascii="Arial" w:cs="Arial" w:eastAsia="Arial" w:hAnsi="Arial"/>
          <w:sz w:val="19"/>
          <w:szCs w:val="19"/>
          <w:u w:val="single" w:color="auto"/>
          <w:color w:val="auto"/>
        </w:rPr>
        <w:t>c</w:t>
      </w:r>
      <w:r>
        <w:rPr>
          <w:rFonts w:ascii="Arial" w:cs="Arial" w:eastAsia="Arial" w:hAnsi="Arial"/>
          <w:sz w:val="19"/>
          <w:szCs w:val="19"/>
          <w:color w:val="auto"/>
        </w:rPr>
        <w:t>) above shall be conclusive absent manifest error.</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1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Earnout Obligation</w:t>
      </w:r>
      <w:r>
        <w:rPr>
          <w:rFonts w:ascii="Arial" w:cs="Arial" w:eastAsia="Arial" w:hAnsi="Arial"/>
          <w:sz w:val="20"/>
          <w:szCs w:val="20"/>
          <w:color w:val="auto"/>
        </w:rPr>
        <w:t>” means those contingent obligations of a Restricted Subsidiary incurred in favor of a seller (or other third party entitled thereto) under or with respect to any Permitted Acquisition.</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entity.</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6" w:lineRule="exact"/>
        <w:rPr>
          <w:sz w:val="20"/>
          <w:szCs w:val="20"/>
          <w:color w:val="auto"/>
        </w:rPr>
      </w:pPr>
    </w:p>
    <w:p>
      <w:pPr>
        <w:jc w:val="both"/>
        <w:ind w:left="120" w:right="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0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Elevated Ratio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7.11(b)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5" w:name="page116"/>
    <w:bookmarkEnd w:id="115"/>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common law, regulations, ordinances, rules, judgments, orders, decrees, permits, concessions, grants, franchises, licenses, written and binding agreements with Governmental Authorities or governmental restrictions relating to pollution, the protection of the environment, human health, safety or natural resources or the release of any materials into the environment, including those related to hazardous substances or wastes, air emissions and discharges to waste or public systems.</w:t>
      </w:r>
    </w:p>
    <w:p>
      <w:pPr>
        <w:spacing w:after="0" w:line="174"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4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72"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debt securities that are or by their terms may be convertible or exchangeable into or for Equity Interests shall not constitute Equity Interests prior to conversion or exchange thereof).</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0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246" w:lineRule="exact"/>
        <w:rPr>
          <w:sz w:val="20"/>
          <w:szCs w:val="20"/>
          <w:color w:val="auto"/>
        </w:rPr>
      </w:pPr>
    </w:p>
    <w:p>
      <w:pPr>
        <w:jc w:val="both"/>
        <w:ind w:left="120" w:firstLine="598"/>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the filing of a notice of intent to terminate, the treatment of a Pension Plan amendment as a termination under Section 4041 or 4041A of ERISA; (e) the institution by the PBGC of proceedings to terminate a Pension Plan; (f) 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6" w:name="page117"/>
    <w:bookmarkEnd w:id="116"/>
    <w:p>
      <w:pPr>
        <w:jc w:val="both"/>
        <w:ind w:left="120"/>
        <w:spacing w:after="0" w:line="219" w:lineRule="auto"/>
        <w:rPr>
          <w:sz w:val="20"/>
          <w:szCs w:val="20"/>
          <w:color w:val="auto"/>
        </w:rPr>
      </w:pPr>
      <w:r>
        <w:rPr>
          <w:rFonts w:ascii="Arial" w:cs="Arial" w:eastAsia="Arial" w:hAnsi="Arial"/>
          <w:sz w:val="20"/>
          <w:szCs w:val="20"/>
          <w:color w:val="auto"/>
        </w:rPr>
        <w:t>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Applicable Rate Adjustments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Pricing Provisions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94" w:lineRule="exact"/>
        <w:rPr>
          <w:sz w:val="20"/>
          <w:szCs w:val="20"/>
          <w:color w:val="auto"/>
        </w:rPr>
      </w:pPr>
    </w:p>
    <w:p>
      <w:pPr>
        <w:ind w:left="100" w:right="140" w:firstLine="67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 mean the single currency of the Participating Member States.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194" w:lineRule="exact"/>
        <w:rPr>
          <w:sz w:val="20"/>
          <w:szCs w:val="20"/>
          <w:color w:val="auto"/>
        </w:rPr>
      </w:pPr>
    </w:p>
    <w:p>
      <w:pPr>
        <w:jc w:val="both"/>
        <w:ind w:left="720" w:firstLine="605"/>
        <w:spacing w:after="0" w:line="229" w:lineRule="auto"/>
        <w:tabs>
          <w:tab w:leader="none" w:pos="17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With respect to any Credit Extension denominated in Dollars, the rate per annum equal to the London Interbank Offered Rate as administered by ICE Benchmark Administration (or any other Person that takes over the administration of such rate for such currency for a period equal in length to such Interest Period (“</w:t>
      </w:r>
      <w:r>
        <w:rPr>
          <w:rFonts w:ascii="Arial" w:cs="Arial" w:eastAsia="Arial" w:hAnsi="Arial"/>
          <w:sz w:val="19"/>
          <w:szCs w:val="19"/>
          <w:u w:val="single" w:color="auto"/>
          <w:color w:val="auto"/>
        </w:rPr>
        <w:t>LIBOR</w:t>
      </w:r>
      <w:r>
        <w:rPr>
          <w:rFonts w:ascii="Arial" w:cs="Arial" w:eastAsia="Arial" w:hAnsi="Arial"/>
          <w:sz w:val="19"/>
          <w:szCs w:val="19"/>
          <w:color w:val="auto"/>
        </w:rPr>
        <w:t>”), as published on the applicable Bloomberg screen page (or such other commercially available source providing such quotations as may be designated by the Administrative Agent from time to time) at or about 11:00 a.m. (London time) on the Rate Determination Date, for deposits in Dollars, with a term equivalent to the applicable Interest Period; and</w:t>
      </w:r>
    </w:p>
    <w:p>
      <w:pPr>
        <w:spacing w:after="0" w:line="184" w:lineRule="exact"/>
        <w:rPr>
          <w:rFonts w:ascii="Arial" w:cs="Arial" w:eastAsia="Arial" w:hAnsi="Arial"/>
          <w:sz w:val="19"/>
          <w:szCs w:val="19"/>
          <w:color w:val="auto"/>
        </w:rPr>
      </w:pPr>
    </w:p>
    <w:p>
      <w:pPr>
        <w:jc w:val="both"/>
        <w:ind w:left="720" w:firstLine="605"/>
        <w:spacing w:after="0" w:line="227" w:lineRule="auto"/>
        <w:tabs>
          <w:tab w:leader="none" w:pos="1752" w:val="left"/>
        </w:tabs>
        <w:numPr>
          <w:ilvl w:val="0"/>
          <w:numId w:val="53"/>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LIBOR, at or about 11:00 a.m., London time determined two London Banking Days prior to such date for Dollar deposits with a term of one month commencing that day; and</w:t>
      </w:r>
    </w:p>
    <w:p>
      <w:pPr>
        <w:spacing w:after="0" w:line="184" w:lineRule="exact"/>
        <w:rPr>
          <w:sz w:val="20"/>
          <w:szCs w:val="20"/>
          <w:color w:val="auto"/>
        </w:rPr>
      </w:pPr>
    </w:p>
    <w:p>
      <w:pPr>
        <w:ind w:left="720" w:right="560" w:firstLine="599"/>
        <w:spacing w:after="0" w:line="23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Eurocurrency Rate shall be less than zero, such rate shall be deemed zero for purposes of this Agreement.</w:t>
      </w:r>
    </w:p>
    <w:p>
      <w:pPr>
        <w:spacing w:after="0" w:line="172"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means a Committed Loan or a Term Loan that bears interest at a rate based on clause (a) of the definition of “Eurocurrency Rate.” All Eurocurrency Rate Loans must be denominated in Dollars.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xml:space="preserve">” means, for any fiscal year of the Company, for the Company and its Restricted Subsidiaries on a consolidated basis, an amount equal to (a) Consolidated EBITDA for such fiscal year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Capital Expenditures (other than Capital Expenditures financed with the proceeds of Indebtedness permitted hereunder (other than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1" w:right="579" w:bottom="1440" w:gutter="0" w:footer="0" w:header="0"/>
        </w:sectPr>
      </w:pPr>
    </w:p>
    <w:bookmarkStart w:id="117" w:name="page118"/>
    <w:bookmarkEnd w:id="117"/>
    <w:p>
      <w:pPr>
        <w:jc w:val="both"/>
        <w:ind w:left="120"/>
        <w:spacing w:after="0" w:line="217" w:lineRule="auto"/>
        <w:rPr>
          <w:sz w:val="20"/>
          <w:szCs w:val="20"/>
          <w:color w:val="auto"/>
        </w:rPr>
      </w:pPr>
      <w:r>
        <w:rPr>
          <w:rFonts w:ascii="Arial" w:cs="Arial" w:eastAsia="Arial" w:hAnsi="Arial"/>
          <w:sz w:val="20"/>
          <w:szCs w:val="20"/>
          <w:color w:val="auto"/>
        </w:rPr>
        <w:t xml:space="preserve">Loans)) made in such fiscal year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 Consolidated Interest Charges actually paid in cash during such fiscal year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(d) all income Taxes actually paid in cash during such fiscal year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(e) scheduled principal payments of Consolidated Funded Indebtedness during such fiscal year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(f) permanent principal prepayments of Consolidated Funded Indebtedness during such fiscal year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as applicable) (g) net changes in Working Capital between the first day and last day of such fiscal year, in each case as reflected on the financial statements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and the related Compliance Certificate delivered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for such fiscal year.</w:t>
      </w:r>
    </w:p>
    <w:p>
      <w:pPr>
        <w:spacing w:after="0" w:line="188"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 Basket</w:t>
      </w:r>
      <w:r>
        <w:rPr>
          <w:rFonts w:ascii="Arial" w:cs="Arial" w:eastAsia="Arial" w:hAnsi="Arial"/>
          <w:sz w:val="20"/>
          <w:szCs w:val="20"/>
          <w:color w:val="auto"/>
        </w:rPr>
        <w:t>” means, for any fiscal year, an amount equal to 75% of the Excess Cash Flow for the preceding fiscal year.</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6.12(c)</w:t>
      </w:r>
      <w:r>
        <w:rPr>
          <w:rFonts w:ascii="Arial" w:cs="Arial" w:eastAsia="Arial" w:hAnsi="Arial"/>
          <w:sz w:val="20"/>
          <w:szCs w:val="20"/>
          <w:color w:val="auto"/>
        </w:rPr>
        <w:t>.</w:t>
      </w:r>
    </w:p>
    <w:p>
      <w:pPr>
        <w:spacing w:after="0" w:line="207" w:lineRule="exact"/>
        <w:rPr>
          <w:sz w:val="20"/>
          <w:szCs w:val="20"/>
          <w:color w:val="auto"/>
        </w:rPr>
      </w:pPr>
    </w:p>
    <w:p>
      <w:pPr>
        <w:jc w:val="both"/>
        <w:ind w:left="120" w:firstLine="59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xml:space="preserve">” means, with respect to any Guarantor, any Swap Obligation if, and to the extent that, all or a portion of the Guarantee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10.21</w:t>
      </w:r>
      <w:r>
        <w:rPr>
          <w:rFonts w:ascii="Arial" w:cs="Arial" w:eastAsia="Arial" w:hAnsi="Arial"/>
          <w:sz w:val="20"/>
          <w:szCs w:val="20"/>
          <w:color w:val="auto"/>
        </w:rPr>
        <w:t>, Section 28 of the Subsidiary Guaranty and any other “keepwell, support or other agreement” for the benefit of such Guarantor and any and all guarantees of such Guarantor’s Swap Obligations by other Loan Parties) at the time the Guarantee of such Guarantor, or a grant by such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89"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or required to be withheld or deducted from a payment to, the Administrative Agent, any Lender, the L/C Issuer or any other recipient of any payment to be made by or on account of any obligation of any Borrower hereunder, (a) Taxes imposed on or measured by net income (however denominated), net worth, franchise Taxes and branch profits (or similar) Taxes, in each case, (i) imposed by the jurisdiction (or any political subdivision thereof) under the Laws of which such recipient is organized or in which its principal office is located or, in the case of any Lender or the L/C Issuer, in which its applicable Lending Office is located or (ii) that are Other Connection Taxes, (b) in the case of a Foreign Lender (other than an assignee pursuant to a request by the Company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any United States withholding Tax that (i) is required to be imposed on amounts payable to such Foreign Lender pursuant to the Laws in force at the time such Foreign Lender becomes a party hereto (or designates a new Lending Office), except to the extent that such Foreign Lender’s assignor immediately before such Foreign Lender became a party hereto (or such Foreign Lender immediately before the time of designation of the new Lending Office) was entitled to receive additional amounts from the relevant Borrower with respect to such United States withholding Tax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or (ii) is attributable to such Foreign Lender’s failure or inability to comply with clause (B) of </w:t>
      </w:r>
      <w:r>
        <w:rPr>
          <w:rFonts w:ascii="Arial" w:cs="Arial" w:eastAsia="Arial" w:hAnsi="Arial"/>
          <w:sz w:val="18"/>
          <w:szCs w:val="18"/>
          <w:u w:val="single" w:color="auto"/>
          <w:color w:val="auto"/>
        </w:rPr>
        <w:t>Section 3.01(e)(ii)</w:t>
      </w:r>
      <w:r>
        <w:rPr>
          <w:rFonts w:ascii="Arial" w:cs="Arial" w:eastAsia="Arial" w:hAnsi="Arial"/>
          <w:sz w:val="18"/>
          <w:szCs w:val="18"/>
          <w:color w:val="auto"/>
        </w:rPr>
        <w:t xml:space="preserve"> (other than as a result of a Change in Law occurring after the date on which such Foreign Lender became a party to this Agreement), (c) in the case of a Foreign Lender, any increase in the United States withholding Taxes required to be imposed on amounts payable to such Foreign Lender occurring after the date on which such Foreign Lender became a party hereto (or designated a new Lending Office), other than as a result of a Change in Law occurring after the date on which such Foreign Lender became a party hereto (or designated a new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18" w:name="page119"/>
    <w:bookmarkEnd w:id="118"/>
    <w:p>
      <w:pPr>
        <w:jc w:val="both"/>
        <w:ind w:left="160"/>
        <w:spacing w:after="0" w:line="236" w:lineRule="auto"/>
        <w:rPr>
          <w:sz w:val="20"/>
          <w:szCs w:val="20"/>
          <w:color w:val="auto"/>
        </w:rPr>
      </w:pPr>
      <w:r>
        <w:rPr>
          <w:rFonts w:ascii="Arial" w:cs="Arial" w:eastAsia="Arial" w:hAnsi="Arial"/>
          <w:sz w:val="20"/>
          <w:szCs w:val="20"/>
          <w:color w:val="auto"/>
        </w:rPr>
        <w:t>Lending Office) (d) any United States Federal withholding Taxes imposed under FATCA, and (e) any United States Federal backup withholding Tax.</w:t>
      </w:r>
    </w:p>
    <w:p>
      <w:pPr>
        <w:spacing w:after="0" w:line="184" w:lineRule="exact"/>
        <w:rPr>
          <w:sz w:val="20"/>
          <w:szCs w:val="20"/>
          <w:color w:val="auto"/>
        </w:rPr>
      </w:pPr>
    </w:p>
    <w:p>
      <w:pPr>
        <w:jc w:val="both"/>
        <w:ind w:left="16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Fifth Amended and Restated Credit Agreement, dated as of September 19, 2019, by and among the Borrowers, each lender from time to time party thereto and Bank of America, N.A., as administrative agent.</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means those letters of credit described on</w:t>
      </w:r>
    </w:p>
    <w:p>
      <w:pPr>
        <w:spacing w:after="0"/>
        <w:rPr>
          <w:sz w:val="20"/>
          <w:szCs w:val="20"/>
          <w:color w:val="auto"/>
        </w:rPr>
      </w:pP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Shareholders</w:t>
      </w:r>
      <w:r>
        <w:rPr>
          <w:rFonts w:ascii="Arial" w:cs="Arial" w:eastAsia="Arial" w:hAnsi="Arial"/>
          <w:sz w:val="20"/>
          <w:szCs w:val="20"/>
          <w:color w:val="auto"/>
        </w:rPr>
        <w:t>” means Jorge L. Mas and the Family Related Parties.</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MC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2.18(a)(ii)</w:t>
      </w:r>
      <w:r>
        <w:rPr>
          <w:rFonts w:ascii="Arial" w:cs="Arial" w:eastAsia="Arial" w:hAnsi="Arial"/>
          <w:sz w:val="20"/>
          <w:szCs w:val="20"/>
          <w:color w:val="auto"/>
        </w:rPr>
        <w:t>.</w:t>
      </w:r>
    </w:p>
    <w:p>
      <w:pPr>
        <w:spacing w:after="0" w:line="29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USD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2.18(a)(ii)</w:t>
      </w:r>
      <w:r>
        <w:rPr>
          <w:rFonts w:ascii="Arial" w:cs="Arial" w:eastAsia="Arial" w:hAnsi="Arial"/>
          <w:sz w:val="20"/>
          <w:szCs w:val="20"/>
          <w:color w:val="auto"/>
        </w:rPr>
        <w:t>.</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2.18(a)(ii)</w:t>
      </w:r>
      <w:r>
        <w:rPr>
          <w:rFonts w:ascii="Arial" w:cs="Arial" w:eastAsia="Arial" w:hAnsi="Arial"/>
          <w:sz w:val="20"/>
          <w:szCs w:val="20"/>
          <w:color w:val="auto"/>
        </w:rPr>
        <w:t>.</w:t>
      </w:r>
    </w:p>
    <w:p>
      <w:pPr>
        <w:spacing w:after="0" w:line="30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w:t>
      </w:r>
      <w:r>
        <w:rPr>
          <w:rFonts w:ascii="Arial" w:cs="Arial" w:eastAsia="Arial" w:hAnsi="Arial"/>
          <w:sz w:val="20"/>
          <w:szCs w:val="20"/>
          <w:color w:val="auto"/>
        </w:rPr>
        <w:t>.</w:t>
      </w:r>
    </w:p>
    <w:p>
      <w:pPr>
        <w:spacing w:after="0" w:line="9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2.18(a)</w:t>
      </w:r>
      <w:r>
        <w:rPr>
          <w:rFonts w:ascii="Arial" w:cs="Arial" w:eastAsia="Arial" w:hAnsi="Arial"/>
          <w:sz w:val="20"/>
          <w:szCs w:val="20"/>
          <w:color w:val="auto"/>
        </w:rPr>
        <w:t>.</w:t>
      </w:r>
    </w:p>
    <w:p>
      <w:pPr>
        <w:spacing w:after="0" w:line="207" w:lineRule="exact"/>
        <w:rPr>
          <w:sz w:val="20"/>
          <w:szCs w:val="20"/>
          <w:color w:val="auto"/>
        </w:rPr>
      </w:pPr>
    </w:p>
    <w:p>
      <w:pPr>
        <w:jc w:val="both"/>
        <w:ind w:left="16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Committed (USD) Facility, the Committed (MC) Facility or the Term Loan Facility, as the context may require.</w:t>
      </w:r>
    </w:p>
    <w:p>
      <w:pPr>
        <w:spacing w:after="0" w:line="184" w:lineRule="exact"/>
        <w:rPr>
          <w:sz w:val="20"/>
          <w:szCs w:val="20"/>
          <w:color w:val="auto"/>
        </w:rPr>
      </w:pPr>
    </w:p>
    <w:p>
      <w:pPr>
        <w:jc w:val="both"/>
        <w:ind w:left="160" w:firstLine="59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the date as of which all of the following shall have occurred: (a) the Aggregate Commitments have terminated, (b) all Obligations have been paid in full (other than (x) contingent indemnification obligations and (y) obligations and liabilities under Guaranteed Cash Management Agreements, Guaranteed Hedge Agreements and Guaranteed Permitted Standalone Letters of Credit as to which arrangements reasonably satisfactory to the applicable Cash Management Bank, Hedge Bank or PSLOC Bank have been made), and (c) all Letters of Credit, Bankers’ Acceptances and Guaranteed Permitted Standalone Letters of Credit have terminated or expired (other than Letters of Credit, Bankers’ Acceptances or Guaranteed Permitted Standalone Letters of Credit as to which other arrangements with respect thereto reasonably satisfactory to the Administrative Agent and the L/C Issuer or the applicable PSLOC Bank, as applicable, shall have been made).</w:t>
      </w:r>
    </w:p>
    <w:p>
      <w:pPr>
        <w:spacing w:after="0" w:line="174" w:lineRule="exact"/>
        <w:rPr>
          <w:sz w:val="20"/>
          <w:szCs w:val="20"/>
          <w:color w:val="auto"/>
        </w:rPr>
      </w:pPr>
    </w:p>
    <w:p>
      <w:pPr>
        <w:jc w:val="both"/>
        <w:ind w:left="160" w:firstLine="598"/>
        <w:spacing w:after="0" w:line="21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Family Related Parties</w:t>
      </w:r>
      <w:r>
        <w:rPr>
          <w:rFonts w:ascii="Arial" w:cs="Arial" w:eastAsia="Arial" w:hAnsi="Arial"/>
          <w:sz w:val="20"/>
          <w:szCs w:val="20"/>
          <w:color w:val="auto"/>
        </w:rPr>
        <w:t>” means, collectively, (a) any spouse of Jorge L. Mas, Jorge Mas or Jose R. Mas and any child, stepchild, sibling or descendant of Jorge L. Mas, Jorge Mas or Jose R. Mas, (b) the estate of Jorge L. Mas, Jorge Mas and Jose R. Mas and the estate of any other person under preceding clause (a), (c) any person who receives a direct or indirect beneficial interest in the Company from any estate under preceding clause (b) to the extent of such interest, (d) any executor, personal administrator or trustee who holds such direct or indirect beneficial interest in the Company for the benefit of, or as fiduciary for, any person under preceding clause (a), (b) or (c) to the extent of such interest and (e) any corporation, partnership, limited liability company, trust, or similar entity, directly or indirectly owned or controlled by Jorge L. Mas, Jorge Mas, Jose R. Mas or any other person or persons identified in preceding clause (a), (b) or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21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00"/>
          </w:cols>
          <w:pgMar w:left="320" w:top="1306" w:right="579" w:bottom="1440" w:gutter="0" w:footer="0" w:header="0"/>
        </w:sectPr>
      </w:pPr>
    </w:p>
    <w:bookmarkStart w:id="119" w:name="page120"/>
    <w:bookmarkEnd w:id="119"/>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07"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thereunder or any official interpretations thereof, and any agreements entered into pursuant to Section 1471(b)(1) of the Code, and any fiscal or regulatory legislation, rules or official practices adopted pursuant to any published intergovernmental agreement entered into in connection with the implementation of such sections of the Code.</w:t>
      </w:r>
    </w:p>
    <w:p>
      <w:pPr>
        <w:spacing w:after="0" w:line="174" w:lineRule="exact"/>
        <w:rPr>
          <w:sz w:val="20"/>
          <w:szCs w:val="20"/>
          <w:color w:val="auto"/>
        </w:rPr>
      </w:pPr>
    </w:p>
    <w:p>
      <w:pPr>
        <w:jc w:val="both"/>
        <w:ind w:left="120" w:firstLine="59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as so determined would be less than zero, such rate shall be deemed to be zero for purposes of this Agreement.</w:t>
      </w:r>
    </w:p>
    <w:p>
      <w:pPr>
        <w:spacing w:after="0" w:line="172"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collectively, the Bank of America Fee Letter and each other fee letter between the Company (or the Borrowers) and an Arranger and/or an Affiliate of such Arranger entered into in connection with this Agreement.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FFC Notes</w:t>
      </w:r>
      <w:r>
        <w:rPr>
          <w:rFonts w:ascii="Arial" w:cs="Arial" w:eastAsia="Arial" w:hAnsi="Arial"/>
          <w:sz w:val="20"/>
          <w:szCs w:val="20"/>
          <w:color w:val="auto"/>
        </w:rPr>
        <w:t>” has the meaning specified in the definition of Foreign Finance Company Plan.</w:t>
      </w:r>
    </w:p>
    <w:p>
      <w:pPr>
        <w:spacing w:after="0" w:line="207"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Finance Company Plan</w:t>
      </w:r>
      <w:r>
        <w:rPr>
          <w:rFonts w:ascii="Arial" w:cs="Arial" w:eastAsia="Arial" w:hAnsi="Arial"/>
          <w:sz w:val="18"/>
          <w:szCs w:val="18"/>
          <w:color w:val="auto"/>
        </w:rPr>
        <w:t>” means a series of transactions pursuant to which (a) the Company will create a new Wholly-Owned Domestic Subsidiary (the “</w:t>
      </w:r>
      <w:r>
        <w:rPr>
          <w:rFonts w:ascii="Arial" w:cs="Arial" w:eastAsia="Arial" w:hAnsi="Arial"/>
          <w:sz w:val="18"/>
          <w:szCs w:val="18"/>
          <w:u w:val="single" w:color="auto"/>
          <w:color w:val="auto"/>
        </w:rPr>
        <w:t>US Holdco</w:t>
      </w:r>
      <w:r>
        <w:rPr>
          <w:rFonts w:ascii="Arial" w:cs="Arial" w:eastAsia="Arial" w:hAnsi="Arial"/>
          <w:sz w:val="18"/>
          <w:szCs w:val="18"/>
          <w:color w:val="auto"/>
        </w:rPr>
        <w:t>”) which will create and own a Wholly-Owned Subsidiary organized under the laws of Luxembourg (“</w:t>
      </w:r>
      <w:r>
        <w:rPr>
          <w:rFonts w:ascii="Arial" w:cs="Arial" w:eastAsia="Arial" w:hAnsi="Arial"/>
          <w:sz w:val="18"/>
          <w:szCs w:val="18"/>
          <w:u w:val="single" w:color="auto"/>
          <w:color w:val="auto"/>
        </w:rPr>
        <w:t>Luxco</w:t>
      </w:r>
      <w:r>
        <w:rPr>
          <w:rFonts w:ascii="Arial" w:cs="Arial" w:eastAsia="Arial" w:hAnsi="Arial"/>
          <w:sz w:val="18"/>
          <w:szCs w:val="18"/>
          <w:color w:val="auto"/>
        </w:rPr>
        <w:t>”), (b) certain Domestic Subsidiaries of the Company will issue to the Company a dividend in the form of intercompany notes having a maturity not prior to the first anniversary of the latest Maturity Date and no amortization prior to the first anniversary of the latest Maturity Date and bearing interest at a fixed rate per annum, payable annually (the “</w:t>
      </w:r>
      <w:r>
        <w:rPr>
          <w:rFonts w:ascii="Arial" w:cs="Arial" w:eastAsia="Arial" w:hAnsi="Arial"/>
          <w:sz w:val="18"/>
          <w:szCs w:val="18"/>
          <w:u w:val="single" w:color="auto"/>
          <w:color w:val="auto"/>
        </w:rPr>
        <w:t>FFC Notes</w:t>
      </w:r>
      <w:r>
        <w:rPr>
          <w:rFonts w:ascii="Arial" w:cs="Arial" w:eastAsia="Arial" w:hAnsi="Arial"/>
          <w:sz w:val="18"/>
          <w:szCs w:val="18"/>
          <w:color w:val="auto"/>
        </w:rPr>
        <w:t>”), (c) the Company will contribute the FFC Notes to the US Holdco and the US Holdco will thereafter contribute the FFC Notes to Luxco and</w:t>
      </w:r>
    </w:p>
    <w:p>
      <w:pPr>
        <w:spacing w:after="0" w:line="4" w:lineRule="exact"/>
        <w:rPr>
          <w:sz w:val="20"/>
          <w:szCs w:val="20"/>
          <w:color w:val="auto"/>
        </w:rPr>
      </w:pPr>
    </w:p>
    <w:p>
      <w:pPr>
        <w:jc w:val="both"/>
        <w:ind w:left="120" w:firstLine="6"/>
        <w:spacing w:after="0" w:line="212" w:lineRule="auto"/>
        <w:tabs>
          <w:tab w:leader="none" w:pos="415" w:val="left"/>
        </w:tabs>
        <w:numPr>
          <w:ilvl w:val="0"/>
          <w:numId w:val="54"/>
        </w:numPr>
        <w:rPr>
          <w:rFonts w:ascii="Arial" w:cs="Arial" w:eastAsia="Arial" w:hAnsi="Arial"/>
          <w:sz w:val="20"/>
          <w:szCs w:val="20"/>
          <w:color w:val="auto"/>
        </w:rPr>
      </w:pPr>
      <w:r>
        <w:rPr>
          <w:rFonts w:ascii="Arial" w:cs="Arial" w:eastAsia="Arial" w:hAnsi="Arial"/>
          <w:sz w:val="20"/>
          <w:szCs w:val="20"/>
          <w:color w:val="auto"/>
        </w:rPr>
        <w:t>US Holdco and Luxco will enter into a hybrid debt instrument in the form of a tracking preferred equity certificate (the “</w:t>
      </w:r>
      <w:r>
        <w:rPr>
          <w:rFonts w:ascii="Arial" w:cs="Arial" w:eastAsia="Arial" w:hAnsi="Arial"/>
          <w:sz w:val="20"/>
          <w:szCs w:val="20"/>
          <w:u w:val="single" w:color="auto"/>
          <w:color w:val="auto"/>
        </w:rPr>
        <w:t>TPEC</w:t>
      </w:r>
      <w:r>
        <w:rPr>
          <w:rFonts w:ascii="Arial" w:cs="Arial" w:eastAsia="Arial" w:hAnsi="Arial"/>
          <w:sz w:val="20"/>
          <w:szCs w:val="20"/>
          <w:color w:val="auto"/>
        </w:rPr>
        <w:t xml:space="preserve">”) providing for periodic transfers of cash in the form of a dividend from Luxco to US Holdco;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US Holdco and Luxco will each act solely as special purpose vehicles with operations limited to activities customary for special purpose vehicles engaging in transactions of the type contemplated by the Foreign Finance Company Plan and (y) all payments on the FFC Notes to Luxco and periodic transfers of cash to US Holdco and then to the Company in connection with the Foreign Finance Company Plan will be made on a same-day basis to the extent commercially feasible;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Administrative Agent shall be entitled to consent to modifications of the Foreign Finance Company Plan (and this definition and any provisions hereof relating thereto including, without limitation, </w:t>
      </w:r>
      <w:r>
        <w:rPr>
          <w:rFonts w:ascii="Arial" w:cs="Arial" w:eastAsia="Arial" w:hAnsi="Arial"/>
          <w:sz w:val="20"/>
          <w:szCs w:val="20"/>
          <w:u w:val="single" w:color="auto"/>
          <w:color w:val="auto"/>
        </w:rPr>
        <w:t>Sections 6.18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7.21</w:t>
      </w:r>
      <w:r>
        <w:rPr>
          <w:rFonts w:ascii="Arial" w:cs="Arial" w:eastAsia="Arial" w:hAnsi="Arial"/>
          <w:sz w:val="20"/>
          <w:szCs w:val="20"/>
          <w:color w:val="auto"/>
        </w:rPr>
        <w:t>) that, taken as a whole, do not substantially alter the intended purpose thereof or materially and adversely affect the Lenders.</w:t>
      </w:r>
    </w:p>
    <w:p>
      <w:pPr>
        <w:spacing w:after="0" w:line="191" w:lineRule="exact"/>
        <w:rPr>
          <w:sz w:val="20"/>
          <w:szCs w:val="20"/>
          <w:color w:val="auto"/>
        </w:rPr>
      </w:pPr>
    </w:p>
    <w:p>
      <w:pPr>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not a “United States person” within the meaning of Section 7701(a)(30) of the Code (including such a Lender when acting in the capacity of the L/C Issuer).</w:t>
      </w:r>
    </w:p>
    <w:p>
      <w:pPr>
        <w:spacing w:after="0" w:line="172" w:lineRule="exact"/>
        <w:rPr>
          <w:sz w:val="20"/>
          <w:szCs w:val="20"/>
          <w:color w:val="auto"/>
        </w:rPr>
      </w:pPr>
    </w:p>
    <w:p>
      <w:pPr>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organized under the laws of a jurisdiction other than the United States, a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20" w:name="page121"/>
    <w:bookmarkEnd w:id="120"/>
    <w:p>
      <w:pPr>
        <w:spacing w:after="0" w:line="1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07" w:lineRule="exact"/>
        <w:rPr>
          <w:sz w:val="20"/>
          <w:szCs w:val="20"/>
          <w:color w:val="auto"/>
        </w:rPr>
      </w:pPr>
    </w:p>
    <w:p>
      <w:pPr>
        <w:jc w:val="both"/>
        <w:ind w:left="100" w:firstLine="59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the L/C Issuer, such Defaulting Lender’s Applicable (USD) Percentage of the outstanding L/C Obligations other than L/C Obligations as to which such Defaulting Lender’s participation obligation has been reallocated to other Committed (USD) Lenders or Cash Collateralized in accordance with the terms hereof, and (b) with respect to the Swing Line Lender, such Defaulting Lender’s Applicable (USD) Percentage of Swing Line Loans other than Swing Line Loans as to which such Defaulting Lender’s participation obligation has been reallocated to other Committed (USD) Lenders in accordance with the terms hereof.</w:t>
      </w:r>
    </w:p>
    <w:p>
      <w:pPr>
        <w:spacing w:after="0" w:line="185"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w:t>
      </w:r>
      <w:r>
        <w:rPr>
          <w:rFonts w:ascii="Arial" w:cs="Arial" w:eastAsia="Arial" w:hAnsi="Arial"/>
          <w:sz w:val="20"/>
          <w:szCs w:val="20"/>
          <w:u w:val="single" w:color="auto"/>
          <w:color w:val="auto"/>
        </w:rPr>
        <w:t>Section 1.04(b)</w:t>
      </w:r>
      <w:r>
        <w:rPr>
          <w:rFonts w:ascii="Arial" w:cs="Arial" w:eastAsia="Arial" w:hAnsi="Arial"/>
          <w:sz w:val="20"/>
          <w:szCs w:val="20"/>
          <w:color w:val="auto"/>
        </w:rPr>
        <w:t>.</w:t>
      </w:r>
    </w:p>
    <w:p>
      <w:pPr>
        <w:spacing w:after="0" w:line="17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4" w:lineRule="exact"/>
        <w:rPr>
          <w:sz w:val="20"/>
          <w:szCs w:val="20"/>
          <w:color w:val="auto"/>
        </w:rPr>
      </w:pPr>
    </w:p>
    <w:p>
      <w:pPr>
        <w:jc w:val="both"/>
        <w:ind w:left="120" w:firstLine="59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payable or performable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21" w:name="page122"/>
    <w:bookmarkEnd w:id="121"/>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Cash Management Agreement</w:t>
      </w:r>
      <w:r>
        <w:rPr>
          <w:rFonts w:ascii="Arial" w:cs="Arial" w:eastAsia="Arial" w:hAnsi="Arial"/>
          <w:sz w:val="20"/>
          <w:szCs w:val="20"/>
          <w:color w:val="auto"/>
        </w:rPr>
        <w:t>” means any Cash Management Agreement that is entered into by and between any Loan Party and any Cash Management Bank.</w:t>
      </w:r>
    </w:p>
    <w:p>
      <w:pPr>
        <w:spacing w:after="0" w:line="18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Hedge Agreement</w:t>
      </w:r>
      <w:r>
        <w:rPr>
          <w:rFonts w:ascii="Arial" w:cs="Arial" w:eastAsia="Arial" w:hAnsi="Arial"/>
          <w:sz w:val="20"/>
          <w:szCs w:val="20"/>
          <w:color w:val="auto"/>
        </w:rPr>
        <w:t xml:space="preserve">” means any Swap Contract permitted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entered into by and between any Loan Party and any Hedge Bank.</w:t>
      </w:r>
    </w:p>
    <w:p>
      <w:pPr>
        <w:spacing w:after="0" w:line="23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Parties</w:t>
      </w:r>
      <w:r>
        <w:rPr>
          <w:rFonts w:ascii="Arial" w:cs="Arial" w:eastAsia="Arial" w:hAnsi="Arial"/>
          <w:sz w:val="20"/>
          <w:szCs w:val="20"/>
          <w:color w:val="auto"/>
        </w:rPr>
        <w:t xml:space="preserve">” means, collectively, the Administrative Agent, the Lenders, the L/C Issuer, the Hedge Banks, the Cash Management Banks, the PSLOC Banks, each co-agent or sub- 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 and the other Persons the Obligations owing to which are or are purported to be guaranteed under the terms of this Agreement and the Subsidiary Guaranty.</w:t>
      </w:r>
    </w:p>
    <w:p>
      <w:pPr>
        <w:spacing w:after="0" w:line="185"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Permitted Standalone Letter of Credit</w:t>
      </w:r>
      <w:r>
        <w:rPr>
          <w:rFonts w:ascii="Arial" w:cs="Arial" w:eastAsia="Arial" w:hAnsi="Arial"/>
          <w:sz w:val="20"/>
          <w:szCs w:val="20"/>
          <w:color w:val="auto"/>
        </w:rPr>
        <w:t>” means any Permitted Standalone Letter of Credit specifically designated as such to the Administrative Agent in writing by the Company and the relevant PSLOC Bank as a “Guaranteed Permitted Standalone Letter of Credit”.</w:t>
      </w:r>
    </w:p>
    <w:p>
      <w:pPr>
        <w:spacing w:after="0" w:line="171" w:lineRule="exact"/>
        <w:rPr>
          <w:sz w:val="20"/>
          <w:szCs w:val="20"/>
          <w:color w:val="auto"/>
        </w:rPr>
      </w:pPr>
    </w:p>
    <w:p>
      <w:pPr>
        <w:jc w:val="both"/>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(a) the Subsidiary Guarantors and (b) with respect to the payment and performance by each Specified Loan Party of its obligations hereunder or the Subsidiary Guaranty with respect to all Swap Obligations, each Borrower.</w:t>
      </w:r>
    </w:p>
    <w:p>
      <w:pPr>
        <w:spacing w:after="0" w:line="143"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or subject to liability pursuant to any Environmental Law.</w:t>
      </w:r>
    </w:p>
    <w:p>
      <w:pPr>
        <w:spacing w:after="0" w:line="185"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any Person that, (a) at the time it enters into a Swap Contract not prohibited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is a Lender or an Affiliate of a Lender, or (b) at the time it (or its Affiliate) becomes a Lender, is a party to a Swap Contract not prohibited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in each case, in its capacity as a party to such Swap Contract.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2.03(d)(i)</w:t>
      </w:r>
      <w:r>
        <w:rPr>
          <w:rFonts w:ascii="Arial" w:cs="Arial" w:eastAsia="Arial" w:hAnsi="Arial"/>
          <w:sz w:val="20"/>
          <w:szCs w:val="20"/>
          <w:color w:val="auto"/>
        </w:rPr>
        <w:t>.</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any Subsidiary that is not a Material Subsidiary.</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2.15(e)</w:t>
      </w:r>
      <w:r>
        <w:rPr>
          <w:rFonts w:ascii="Arial" w:cs="Arial" w:eastAsia="Arial" w:hAnsi="Arial"/>
          <w:sz w:val="20"/>
          <w:szCs w:val="20"/>
          <w:color w:val="auto"/>
        </w:rPr>
        <w: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2.15(d)</w:t>
      </w:r>
      <w:r>
        <w:rPr>
          <w:rFonts w:ascii="Arial" w:cs="Arial" w:eastAsia="Arial" w:hAnsi="Arial"/>
          <w:sz w:val="20"/>
          <w:szCs w:val="20"/>
          <w:color w:val="auto"/>
        </w:rPr>
        <w: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Committed (USD) Facility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22" w:name="page123"/>
    <w:bookmarkEnd w:id="122"/>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57" w:lineRule="exact"/>
        <w:rPr>
          <w:sz w:val="20"/>
          <w:szCs w:val="20"/>
          <w:color w:val="auto"/>
        </w:rPr>
      </w:pPr>
    </w:p>
    <w:p>
      <w:pPr>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84" w:lineRule="exact"/>
        <w:rPr>
          <w:sz w:val="20"/>
          <w:szCs w:val="20"/>
          <w:color w:val="auto"/>
        </w:rPr>
      </w:pPr>
    </w:p>
    <w:p>
      <w:pPr>
        <w:ind w:left="720" w:firstLine="605"/>
        <w:spacing w:after="0" w:line="236" w:lineRule="auto"/>
        <w:tabs>
          <w:tab w:leader="none" w:pos="17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84" w:lineRule="exact"/>
        <w:rPr>
          <w:rFonts w:ascii="Arial" w:cs="Arial" w:eastAsia="Arial" w:hAnsi="Arial"/>
          <w:sz w:val="20"/>
          <w:szCs w:val="20"/>
          <w:color w:val="auto"/>
        </w:rPr>
      </w:pPr>
    </w:p>
    <w:p>
      <w:pPr>
        <w:ind w:left="720" w:right="20" w:firstLine="605"/>
        <w:spacing w:after="0" w:line="236" w:lineRule="auto"/>
        <w:tabs>
          <w:tab w:leader="none" w:pos="17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w:t>
      </w:r>
    </w:p>
    <w:p>
      <w:pPr>
        <w:spacing w:after="0" w:line="171" w:lineRule="exact"/>
        <w:rPr>
          <w:rFonts w:ascii="Arial" w:cs="Arial" w:eastAsia="Arial" w:hAnsi="Arial"/>
          <w:sz w:val="20"/>
          <w:szCs w:val="20"/>
          <w:color w:val="auto"/>
        </w:rPr>
      </w:pPr>
    </w:p>
    <w:p>
      <w:pPr>
        <w:ind w:left="1920" w:hanging="596"/>
        <w:spacing w:after="0"/>
        <w:tabs>
          <w:tab w:leader="none" w:pos="19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06" w:lineRule="exact"/>
        <w:rPr>
          <w:rFonts w:ascii="Arial" w:cs="Arial" w:eastAsia="Arial" w:hAnsi="Arial"/>
          <w:sz w:val="20"/>
          <w:szCs w:val="20"/>
          <w:color w:val="auto"/>
        </w:rPr>
      </w:pPr>
    </w:p>
    <w:p>
      <w:pPr>
        <w:jc w:val="both"/>
        <w:ind w:left="720" w:firstLine="605"/>
        <w:spacing w:after="0" w:line="222" w:lineRule="auto"/>
        <w:tabs>
          <w:tab w:leader="none" w:pos="17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 and, in each case, not past due for more than 90 days after the date on which such trade account payable was created or which are being contested in good faith and for which adequate reserves have been established and reported in accordance with GAAP);</w:t>
      </w:r>
    </w:p>
    <w:p>
      <w:pPr>
        <w:spacing w:after="0" w:line="185" w:lineRule="exact"/>
        <w:rPr>
          <w:rFonts w:ascii="Arial" w:cs="Arial" w:eastAsia="Arial" w:hAnsi="Arial"/>
          <w:sz w:val="20"/>
          <w:szCs w:val="20"/>
          <w:color w:val="auto"/>
        </w:rPr>
      </w:pPr>
    </w:p>
    <w:p>
      <w:pPr>
        <w:jc w:val="both"/>
        <w:ind w:left="720" w:firstLine="605"/>
        <w:spacing w:after="0" w:line="227" w:lineRule="auto"/>
        <w:tabs>
          <w:tab w:leader="none" w:pos="17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1" w:lineRule="exact"/>
        <w:rPr>
          <w:rFonts w:ascii="Arial" w:cs="Arial" w:eastAsia="Arial" w:hAnsi="Arial"/>
          <w:sz w:val="20"/>
          <w:szCs w:val="20"/>
          <w:color w:val="auto"/>
        </w:rPr>
      </w:pPr>
    </w:p>
    <w:p>
      <w:pPr>
        <w:ind w:left="1920" w:hanging="596"/>
        <w:spacing w:after="0"/>
        <w:tabs>
          <w:tab w:leader="none" w:pos="19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06" w:lineRule="exact"/>
        <w:rPr>
          <w:rFonts w:ascii="Arial" w:cs="Arial" w:eastAsia="Arial" w:hAnsi="Arial"/>
          <w:sz w:val="20"/>
          <w:szCs w:val="20"/>
          <w:color w:val="auto"/>
        </w:rPr>
      </w:pPr>
    </w:p>
    <w:p>
      <w:pPr>
        <w:jc w:val="both"/>
        <w:ind w:left="720" w:firstLine="605"/>
        <w:spacing w:after="0" w:line="227" w:lineRule="auto"/>
        <w:tabs>
          <w:tab w:leader="none" w:pos="17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83" w:lineRule="exact"/>
        <w:rPr>
          <w:rFonts w:ascii="Arial" w:cs="Arial" w:eastAsia="Arial" w:hAnsi="Arial"/>
          <w:sz w:val="20"/>
          <w:szCs w:val="20"/>
          <w:color w:val="auto"/>
        </w:rPr>
      </w:pPr>
    </w:p>
    <w:p>
      <w:pPr>
        <w:ind w:left="1920" w:hanging="596"/>
        <w:spacing w:after="0"/>
        <w:tabs>
          <w:tab w:leader="none" w:pos="19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194"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31" w:right="579" w:bottom="1440" w:gutter="0" w:footer="0" w:header="0"/>
        </w:sectPr>
      </w:pPr>
    </w:p>
    <w:bookmarkStart w:id="123" w:name="page124"/>
    <w:bookmarkEnd w:id="123"/>
    <w:p>
      <w:pPr>
        <w:ind w:left="120"/>
        <w:spacing w:after="0"/>
        <w:rPr>
          <w:sz w:val="20"/>
          <w:szCs w:val="20"/>
          <w:color w:val="auto"/>
        </w:rPr>
      </w:pPr>
      <w:r>
        <w:rPr>
          <w:rFonts w:ascii="Arial" w:cs="Arial" w:eastAsia="Arial" w:hAnsi="Arial"/>
          <w:sz w:val="20"/>
          <w:szCs w:val="20"/>
          <w:color w:val="auto"/>
        </w:rPr>
        <w:t>under any Loan Document and (b) to the extent not otherwise described in clause (a), Other Taxes.</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57" w:lineRule="exact"/>
        <w:rPr>
          <w:sz w:val="20"/>
          <w:szCs w:val="20"/>
          <w:color w:val="auto"/>
        </w:rPr>
      </w:pPr>
    </w:p>
    <w:p>
      <w:pPr>
        <w:jc w:val="both"/>
        <w:ind w:left="120" w:firstLine="598"/>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Indemnity Agreement</w:t>
      </w:r>
      <w:r>
        <w:rPr>
          <w:rFonts w:ascii="Arial" w:cs="Arial" w:eastAsia="Arial" w:hAnsi="Arial"/>
          <w:sz w:val="20"/>
          <w:szCs w:val="20"/>
          <w:color w:val="auto"/>
        </w:rPr>
        <w:t>” means (i) that certain General Agreement of Indemnity dated as of August 19, 2010 by and among Travelers Casualty and Surety Company of America, the Company and certain Subsidiaries thereof, (ii) that certain General Agreement of Indemnity dated as of July 31, 2008 by and among Travelers Casualty and Surety Company of America, the Company and certain Subsidiaries thereof or (iii) any additional or replacement General Agreement of Indemnity or other indemnity agreement by and among the Company or any of its Restricted Subsidiaries and the applicable Surety containing terms satisfactory to the Administrative Agent in the reasonable discretion of the Administrative Agent, as amended or modified from time to time in accordance with the terms hereof and thereof.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Intangible Assets</w:t>
      </w:r>
      <w:r>
        <w:rPr>
          <w:rFonts w:ascii="Arial" w:cs="Arial" w:eastAsia="Arial" w:hAnsi="Arial"/>
          <w:sz w:val="20"/>
          <w:szCs w:val="20"/>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84" w:lineRule="exact"/>
        <w:rPr>
          <w:sz w:val="20"/>
          <w:szCs w:val="20"/>
          <w:color w:val="auto"/>
        </w:rPr>
      </w:pPr>
    </w:p>
    <w:p>
      <w:pPr>
        <w:jc w:val="both"/>
        <w:ind w:left="120" w:firstLine="598"/>
        <w:spacing w:after="0" w:line="21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Eurocurrency Rate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any Interest Period for a Eurocurrency Rate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of the Facility under which such Loan was made and (c) as to any Alternative Currency Term Rate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89"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Eurocurrency Rate Loan or Alternative Currency Term Rate Loan, the period commencing on the date such Eurocurrency Rate Loan or Alternative Currency Term Rate Loan is disbursed or converted to or continued as a Eurocurrency Rate Loan or Alternative Currency Term Rate Loan and ending (a) in the case of a Eurocurrency Rate Loan denominated in Dollars or an Alternative Currency Term Rate Loan denominated in Canadian Dollars, on the date that is one, three or six months thereafter (in each case, subject to availability for the interest rate applicable to the relevant currency), as selected by the Company in its Loan Notice or such other period that is twelve months or less requested by the Company and consented to by all the applicable Lenders and (b) in the case of Alternative Currency Term Rate Loans denominated in Mexican Pesos, on the date that is 28, 91 or 182 days thereafter (in each case, subject to availability for the interest rate applicable to the relevant currency), as selected by the Company in its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1" w:lineRule="exact"/>
        <w:rPr>
          <w:sz w:val="20"/>
          <w:szCs w:val="20"/>
          <w:color w:val="auto"/>
        </w:rPr>
      </w:pPr>
    </w:p>
    <w:p>
      <w:pPr>
        <w:ind w:left="720" w:firstLine="605"/>
        <w:spacing w:after="0" w:line="286" w:lineRule="auto"/>
        <w:tabs>
          <w:tab w:leader="none" w:pos="17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or an Alternative Currency Term Rate Loan, such</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24" w:name="page125"/>
    <w:bookmarkEnd w:id="124"/>
    <w:p>
      <w:pPr>
        <w:ind w:left="720"/>
        <w:spacing w:after="0"/>
        <w:rPr>
          <w:sz w:val="20"/>
          <w:szCs w:val="20"/>
          <w:color w:val="auto"/>
        </w:rPr>
      </w:pPr>
      <w:r>
        <w:rPr>
          <w:rFonts w:ascii="Arial" w:cs="Arial" w:eastAsia="Arial" w:hAnsi="Arial"/>
          <w:sz w:val="18"/>
          <w:szCs w:val="18"/>
          <w:color w:val="auto"/>
        </w:rPr>
        <w:t>Business Day falls in another calendar month, in which case such Interest Period shall end on the next preceding Business Day;</w:t>
      </w:r>
    </w:p>
    <w:p>
      <w:pPr>
        <w:spacing w:after="0" w:line="230" w:lineRule="exact"/>
        <w:rPr>
          <w:sz w:val="20"/>
          <w:szCs w:val="20"/>
          <w:color w:val="auto"/>
        </w:rPr>
      </w:pPr>
    </w:p>
    <w:p>
      <w:pPr>
        <w:jc w:val="both"/>
        <w:ind w:left="720" w:firstLine="605"/>
        <w:spacing w:after="0" w:line="222" w:lineRule="auto"/>
        <w:tabs>
          <w:tab w:leader="none" w:pos="175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Interest Period pertaining to a Eurocurrency Rate Loan or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2" w:lineRule="exact"/>
        <w:rPr>
          <w:rFonts w:ascii="Arial" w:cs="Arial" w:eastAsia="Arial" w:hAnsi="Arial"/>
          <w:sz w:val="20"/>
          <w:szCs w:val="20"/>
          <w:color w:val="auto"/>
        </w:rPr>
      </w:pPr>
    </w:p>
    <w:p>
      <w:pPr>
        <w:ind w:left="1740" w:hanging="415"/>
        <w:spacing w:after="0"/>
        <w:tabs>
          <w:tab w:leader="none" w:pos="17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 of the Facility under which such Loan was made.</w:t>
      </w:r>
    </w:p>
    <w:p>
      <w:pPr>
        <w:spacing w:after="0" w:line="218"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5.18</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(i) with respect to any Letter of Credit or Acceptance Credit, the Letter of Credit Application, and any other document, agreement and instrument entered into by the L/C Issuer and the Company (or any Subsidiary) or in favor of the L/C Issuer and relating to such Letter of Credit or Acceptance Credit, and (ii) with respect to any Clean BA, the Bankers’ Acceptance Request made by the Company to the L/C Issuer relating to such Clean BA.</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49"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Committed (USD) Lender, such Lender’s funding of its participation in any L/C Borrowing in accordance with its Applicable (USD) Percentage. All L/C Advances shall be denominated in Dollars.</w:t>
      </w:r>
    </w:p>
    <w:p>
      <w:pPr>
        <w:spacing w:after="0" w:line="24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(i) a drawing under any Letter of Credit (other than an Acceptance Credit) or (ii) a payment of a Bankers’ Acceptance upon presentation, in each case which has not been reimbursed on the date when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25" w:name="page126"/>
    <w:bookmarkEnd w:id="125"/>
    <w:p>
      <w:pPr>
        <w:ind w:left="120"/>
        <w:spacing w:after="0"/>
        <w:rPr>
          <w:sz w:val="20"/>
          <w:szCs w:val="20"/>
          <w:color w:val="auto"/>
        </w:rPr>
      </w:pPr>
      <w:r>
        <w:rPr>
          <w:rFonts w:ascii="Arial" w:cs="Arial" w:eastAsia="Arial" w:hAnsi="Arial"/>
          <w:sz w:val="20"/>
          <w:szCs w:val="20"/>
          <w:color w:val="auto"/>
        </w:rPr>
        <w:t>made or refinanced as a Committed (USD) Borrowing. All L/C Borrowings shall be denominated in Dollars.</w:t>
      </w:r>
    </w:p>
    <w:p>
      <w:pPr>
        <w:spacing w:after="0" w:line="207"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xml:space="preserve">” means, with respect to the L/C Issuer, the commitment of the L/C Issuer to issue Letters of Credit hereunder. The initial amount of the L/C Issuer’s Letter of Credit Commitment is set forth on </w:t>
      </w:r>
      <w:r>
        <w:rPr>
          <w:rFonts w:ascii="Arial" w:cs="Arial" w:eastAsia="Arial" w:hAnsi="Arial"/>
          <w:sz w:val="20"/>
          <w:szCs w:val="20"/>
          <w:u w:val="single" w:color="auto"/>
          <w:color w:val="auto"/>
        </w:rPr>
        <w:t>Annex II-C</w:t>
      </w:r>
      <w:r>
        <w:rPr>
          <w:rFonts w:ascii="Arial" w:cs="Arial" w:eastAsia="Arial" w:hAnsi="Arial"/>
          <w:sz w:val="20"/>
          <w:szCs w:val="20"/>
          <w:color w:val="auto"/>
        </w:rPr>
        <w:t>, or if an L/C Issuer has entered into an Assignment and Assumption or has otherwise assumed a Letter of Credit Commitment after the Closing Date, the amount set forth for such L/C Issuer as its Letter of Credit Commitment in the Register maintained by the Administrative Agent. The Letter of Credit Commitment of the L/C Issuer may be modified from time to time by agreement between the L/C Issuer and the Company, and notified to the Administrative Agent.</w:t>
      </w:r>
    </w:p>
    <w:p>
      <w:pPr>
        <w:spacing w:after="0" w:line="188"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or Bankers’ Acceptance, the issuance thereof or extension of the expiry date thereof, or the increase of the amount thereof.</w:t>
      </w:r>
    </w:p>
    <w:p>
      <w:pPr>
        <w:spacing w:after="0" w:line="172"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Issued BA</w:t>
      </w:r>
      <w:r>
        <w:rPr>
          <w:rFonts w:ascii="Arial" w:cs="Arial" w:eastAsia="Arial" w:hAnsi="Arial"/>
          <w:sz w:val="20"/>
          <w:szCs w:val="20"/>
          <w:color w:val="auto"/>
        </w:rPr>
        <w:t xml:space="preserve">” means a negotiable time draft, drawn by the beneficiary under an Acceptance Credit and accepted by the L/C Issuer under presentation of documents by the beneficiary of an Acceptance Credit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in the standard form for bankers’ acceptances of the L/C Issuer.</w:t>
      </w:r>
    </w:p>
    <w:p>
      <w:pPr>
        <w:spacing w:after="0" w:line="184"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xml:space="preserve">” means, individually or collectively as the context may indicate, (a) Bank of America in its capacity as issuer of Letters of Credit and Bankers’ Acceptances hereunder, or any successor to Bank of America in its capacity as an issuer of Letters of Credit and Bankers’ Acceptances hereunder and (b) any other Lender, selected by the Company in consultation with the Administrative Agent, which consents to its appointment by the Company as an issuer of Letters of Credit and Bankers’ Acceptances hereunder in its capacity as an issuer of Letters of Credit and Bankers’ Acceptances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there be more than three L/C Issuers without the consent of the Administrative Agent.</w:t>
      </w:r>
    </w:p>
    <w:p>
      <w:pPr>
        <w:spacing w:after="0" w:line="185"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sum of the maximum aggregate amount which is, or at any time thereafter may become, payable by the L/C Issuer under all then outstanding Bankers’ Acceptances,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4"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 and, unless the context requires otherwise, includes the Swing Line Lender.</w:t>
      </w:r>
    </w:p>
    <w:p>
      <w:pPr>
        <w:spacing w:after="0" w:line="2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and “</w:t>
      </w:r>
      <w:r>
        <w:rPr>
          <w:rFonts w:ascii="Arial" w:cs="Arial" w:eastAsia="Arial" w:hAnsi="Arial"/>
          <w:sz w:val="18"/>
          <w:szCs w:val="18"/>
          <w:u w:val="single" w:color="auto"/>
          <w:color w:val="auto"/>
        </w:rPr>
        <w:t>Lender Recipient Parties</w:t>
      </w:r>
      <w:r>
        <w:rPr>
          <w:rFonts w:ascii="Arial" w:cs="Arial" w:eastAsia="Arial" w:hAnsi="Arial"/>
          <w:sz w:val="18"/>
          <w:szCs w:val="18"/>
          <w:color w:val="auto"/>
        </w:rPr>
        <w:t>” mean, collectively, the Lenders, the Swing Line Lender and the L/C Issuer.</w:t>
      </w:r>
    </w:p>
    <w:p>
      <w:pPr>
        <w:spacing w:after="0" w:line="217"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126" w:name="page127"/>
    <w:bookmarkEnd w:id="126"/>
    <w:p>
      <w:pPr>
        <w:spacing w:after="0" w:line="10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and shall include the Existing Letters of Credit. A Letter of Credit may be a commercial letter of credit (including an Acceptance Credit) or a standby letter of credit. Letters of Credit may be issued in Dollars or in an Alternative Currency.</w:t>
      </w:r>
    </w:p>
    <w:p>
      <w:pPr>
        <w:spacing w:after="0" w:line="171"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L/C Issuer and, in the case of any Acceptance Credit, shall include the related Acceptance Documents.</w:t>
      </w:r>
    </w:p>
    <w:p>
      <w:pPr>
        <w:spacing w:after="0" w:line="18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of the Committed (USD) Facility then in effect (or, if such day is not a Business Day, the next preceding Business Day).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2.03(i)</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an amount equal to the lesser of (a) $650,000,000, as such amount may be adjusted from time to time in accordance with this Agreement, and (b) the Aggregate (USD) Commitments. The Letter of Credit Sublimit is part of, and not in addition to, the Aggregate (USD) Commitments.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Rate.</w:t>
      </w:r>
    </w:p>
    <w:p>
      <w:pPr>
        <w:spacing w:after="0" w:line="207" w:lineRule="exact"/>
        <w:rPr>
          <w:sz w:val="20"/>
          <w:szCs w:val="20"/>
          <w:color w:val="auto"/>
        </w:rPr>
      </w:pPr>
    </w:p>
    <w:p>
      <w:pPr>
        <w:jc w:val="both"/>
        <w:ind w:left="120" w:firstLine="598"/>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65" w:lineRule="exact"/>
        <w:rPr>
          <w:sz w:val="20"/>
          <w:szCs w:val="20"/>
          <w:color w:val="auto"/>
        </w:rPr>
      </w:pPr>
    </w:p>
    <w:p>
      <w:pPr>
        <w:jc w:val="both"/>
        <w:ind w:left="120" w:firstLine="598"/>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xml:space="preserve">” means any Permitted Acquisition or other Investment permitted hereunder the consummation of which is not conditioned (under the applicable purchase agreement or other applicable agreement) on the availability of, or on obtaining, third-party financing (as notified by the Company to the Administrative Agent on or prior to the time at which the applicable Loan Party enters into such purchase agreement or other applicable agreement), which is financed in whole or in part with the proceeds of a substantially concurrent incurrence of Indebtedness under an Incremental Term Loan and/or Indebtedness under </w:t>
      </w:r>
      <w:r>
        <w:rPr>
          <w:rFonts w:ascii="Arial" w:cs="Arial" w:eastAsia="Arial" w:hAnsi="Arial"/>
          <w:sz w:val="18"/>
          <w:szCs w:val="18"/>
          <w:u w:val="single" w:color="auto"/>
          <w:color w:val="auto"/>
        </w:rPr>
        <w:t>Section 7.03(r)</w:t>
      </w:r>
      <w:r>
        <w:rPr>
          <w:rFonts w:ascii="Arial" w:cs="Arial" w:eastAsia="Arial" w:hAnsi="Arial"/>
          <w:sz w:val="18"/>
          <w:szCs w:val="18"/>
          <w:color w:val="auto"/>
        </w:rPr>
        <w:t>.</w:t>
      </w:r>
    </w:p>
    <w:p>
      <w:pPr>
        <w:spacing w:after="0" w:line="242"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Committed Loan, a Swing Line Loan, a Term Loan, an Incremental Term Loan or a loan made under an Incremental Revolving Tranche.</w:t>
      </w:r>
    </w:p>
    <w:p>
      <w:pPr>
        <w:spacing w:after="0" w:line="172"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each Note, each Issuer Document, any agreement creating or perfecting rights in Cash Collateral pursuant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of this Agreement, the Fee Letters, the Subsidiary Guaranty, each ESG Amendment, each Subsidiary Guaranty Joinder Agreement and each Incremental Amendment and any amendments, modifications or supplements hereto or to any other Loan Document or waivers hereof or to any other Loan Document.</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 EBITDA</w:t>
      </w:r>
      <w:r>
        <w:rPr>
          <w:rFonts w:ascii="Arial" w:cs="Arial" w:eastAsia="Arial" w:hAnsi="Arial"/>
          <w:sz w:val="20"/>
          <w:szCs w:val="20"/>
          <w:color w:val="auto"/>
        </w:rPr>
        <w:t>” means, for any period, the consolidated EBITDA (measured (i) on the same basis as “Consolidated EBITDA” but only for those entities that constituting Loan Parties and only on the basis of their own operations and not those of their Subsidiaries and (ii) after allocating corporate expenses to all Subsidiaries of the Company on a pro rata basis) of all entities that constituted Loan Parties at all times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27" w:name="page128"/>
    <w:bookmarkEnd w:id="127"/>
    <w:p>
      <w:pPr>
        <w:jc w:val="both"/>
        <w:ind w:left="120" w:firstLine="598"/>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a Term Loan Borrowing, (b) a Committed (MC) Borrowing, (c) a Committed (USD) Borrowing, (d) a conversion of Loans from one Type to the other, or (e) a continuation of Eurocurrency Rate Loans or Alternative Currency Term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Company, each other Borrower and each Subsidiary Guarantor.</w:t>
      </w:r>
    </w:p>
    <w:p>
      <w:pPr>
        <w:spacing w:after="0" w:line="19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Luxco</w:t>
      </w:r>
      <w:r>
        <w:rPr>
          <w:rFonts w:ascii="Arial" w:cs="Arial" w:eastAsia="Arial" w:hAnsi="Arial"/>
          <w:sz w:val="20"/>
          <w:szCs w:val="20"/>
          <w:color w:val="auto"/>
        </w:rPr>
        <w:t>” has the meaning specified in the definition of Foreign Finance Company Plan.</w:t>
      </w:r>
    </w:p>
    <w:p>
      <w:pPr>
        <w:spacing w:after="0" w:line="182" w:lineRule="exact"/>
        <w:rPr>
          <w:sz w:val="20"/>
          <w:szCs w:val="20"/>
          <w:color w:val="auto"/>
        </w:rPr>
      </w:pPr>
    </w:p>
    <w:p>
      <w:pPr>
        <w:jc w:val="both"/>
        <w:ind w:left="120" w:firstLine="59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upon, the operations, business, properties, liabilities (actual or contingent) or condition (financial or otherwise) of the Company and its Restricted Subsidiaries taken as a whole or the Loan Parties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72"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an agreement to which such Person is a party (other than the Loan Documents) (a) which is deemed to be a material contract as provided in Regulation S-K promulgated by the SEC under the Securities Act of 1933 or (b) for which breach, termination, cancellation, nonperformance or failure to renew could reasonably be expected to have a Material Adverse Effect.</w:t>
      </w:r>
    </w:p>
    <w:p>
      <w:pPr>
        <w:spacing w:after="0" w:line="248"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any Domestic Subsidiary that, or each Domestic Subsidiary that together with its Subsidiaries on a consolidated basis, contributed 15% or more of the consolidated EBITDA of the Company and all Subsidiaries (measured on the same basis as “Consolidated EBITDA” provided herein) for the most recently ended period of four consecutive fiscal quarters of the Company with respect to which the Administrative Agent shall have received financial statements required to be delivered pursuant to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7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 with respect to the Term Loan Facility, November 1, 2026, (b) with respect to the Committed (USD) Facility, November 1, 2026 and (c) with respect to the Committed (MC) Facility, November 1, 2026.</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MC Commitment</w:t>
      </w:r>
      <w:r>
        <w:rPr>
          <w:rFonts w:ascii="Arial" w:cs="Arial" w:eastAsia="Arial" w:hAnsi="Arial"/>
          <w:sz w:val="20"/>
          <w:szCs w:val="20"/>
          <w:color w:val="auto"/>
        </w:rPr>
        <w:t xml:space="preserve">” means, as to each Lender, its obligation to make Committed (MC) Loans to the Borrowers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in an aggregate principal amount at any one time outstanding not to exceed the Dollar amount set forth opposite such Lender’s name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caption “MC Commitment” or opposite such caption in the Assignment and Assumption pursuant to which such Lender becomes a party hereto, as applicable, as such amount may be adjusted from time to time in accordance with this Agreement.</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Mexican Pesos</w:t>
      </w:r>
      <w:r>
        <w:rPr>
          <w:rFonts w:ascii="Arial" w:cs="Arial" w:eastAsia="Arial" w:hAnsi="Arial"/>
          <w:sz w:val="20"/>
          <w:szCs w:val="20"/>
          <w:color w:val="auto"/>
        </w:rPr>
        <w:t>” means the lawful currency of the United Mexican States (Mexico).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28" w:name="page129"/>
    <w:bookmarkEnd w:id="128"/>
    <w:p>
      <w:pPr>
        <w:spacing w:after="0" w:line="29" w:lineRule="exact"/>
        <w:rPr>
          <w:sz w:val="20"/>
          <w:szCs w:val="20"/>
          <w:color w:val="auto"/>
        </w:rPr>
      </w:pPr>
    </w:p>
    <w:p>
      <w:pPr>
        <w:jc w:val="both"/>
        <w:ind w:left="120" w:right="20" w:firstLine="5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 and has or would reasonably be expected to have any liability, contingent or otherwise.</w:t>
      </w:r>
    </w:p>
    <w:p>
      <w:pPr>
        <w:spacing w:after="0" w:line="169"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the Company or any ERISA Affiliate) at least two of whom are not under common control, as such a plan is described in Section 4064 of ERISA.</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any Lender that is not a Defaulting Lender at such time.</w:t>
      </w:r>
    </w:p>
    <w:p>
      <w:pPr>
        <w:spacing w:after="0" w:line="19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made by a Borrower in favor of a Lender evidencing Loans made by such Lender to such Borrower,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xml:space="preserve">” means a notice of prepayment with respect to a Eurocurrency Rate Loan or Alternative Currency Term Rate Loan, which shall be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such other form as may be approved by the Administrative Agent (including any reasonable or customary form on an electronic platform or electronic transmission system as shall be approved by the Administrative Agent), and as to which the Company shall have been previously informed in writing, appropriately completed and signed by a Responsible Officer of the Company.</w:t>
      </w:r>
    </w:p>
    <w:p>
      <w:pPr>
        <w:spacing w:after="0" w:line="187"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Bankers’ Acceptances, Guaranteed Cash Management Agreement, Guaranteed Hedge Agreement or Guaranteed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“Obligations” of a Guarantor shall exclude any Excluded Swap Obligations with respect to such Guarantor.</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07" w:lineRule="exact"/>
        <w:rPr>
          <w:sz w:val="20"/>
          <w:szCs w:val="20"/>
          <w:color w:val="auto"/>
        </w:rPr>
      </w:pPr>
    </w:p>
    <w:p>
      <w:pPr>
        <w:jc w:val="both"/>
        <w:ind w:left="120" w:firstLine="598"/>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4"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29" w:name="page130"/>
    <w:bookmarkEnd w:id="129"/>
    <w:p>
      <w:pPr>
        <w:jc w:val="both"/>
        <w:ind w:left="120"/>
        <w:spacing w:after="0" w:line="236" w:lineRule="auto"/>
        <w:rPr>
          <w:sz w:val="20"/>
          <w:szCs w:val="20"/>
          <w:color w:val="auto"/>
        </w:rPr>
      </w:pPr>
      <w:r>
        <w:rPr>
          <w:rFonts w:ascii="Arial" w:cs="Arial" w:eastAsia="Arial" w:hAnsi="Arial"/>
          <w:sz w:val="20"/>
          <w:szCs w:val="20"/>
          <w:color w:val="auto"/>
        </w:rPr>
        <w:t>perfected a security interest under, engaged in any other transaction pursuant to or enforced any Loan Document, or sold or assigned an interest in any Loan or Loan Document).</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or enforcement of, or otherwise with respect to, this Agreement or any other Loan Document, other than Excluded Taxes.</w:t>
      </w:r>
    </w:p>
    <w:p>
      <w:pPr>
        <w:spacing w:after="0" w:line="173"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(i) with respect to Committed Loans or Term Loans on any date, the Dollar Equivalent amount of the aggregate outstanding principal amount thereof after giving effect to any borrowings and prepayments or repayments of such Committed Loans or Term Loans, as the case may be,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77"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7" w:lineRule="exact"/>
        <w:rPr>
          <w:sz w:val="20"/>
          <w:szCs w:val="20"/>
          <w:color w:val="auto"/>
        </w:rPr>
      </w:pPr>
    </w:p>
    <w:p>
      <w:pPr>
        <w:jc w:val="both"/>
        <w:ind w:left="120" w:firstLine="59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07" w:lineRule="exact"/>
        <w:rPr>
          <w:sz w:val="20"/>
          <w:szCs w:val="20"/>
          <w:color w:val="auto"/>
        </w:rPr>
      </w:pPr>
    </w:p>
    <w:p>
      <w:pPr>
        <w:jc w:val="both"/>
        <w:ind w:left="120" w:firstLine="59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29" w:lineRule="exact"/>
        <w:rPr>
          <w:sz w:val="20"/>
          <w:szCs w:val="20"/>
          <w:color w:val="auto"/>
        </w:rPr>
      </w:pPr>
    </w:p>
    <w:p>
      <w:pPr>
        <w:jc w:val="both"/>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0" w:name="page131"/>
    <w:bookmarkEnd w:id="130"/>
    <w:p>
      <w:pPr>
        <w:ind w:left="120"/>
        <w:spacing w:after="0" w:line="236" w:lineRule="auto"/>
        <w:rPr>
          <w:sz w:val="20"/>
          <w:szCs w:val="20"/>
          <w:color w:val="auto"/>
        </w:rPr>
      </w:pPr>
      <w:r>
        <w:rPr>
          <w:rFonts w:ascii="Arial" w:cs="Arial" w:eastAsia="Arial" w:hAnsi="Arial"/>
          <w:sz w:val="20"/>
          <w:szCs w:val="20"/>
          <w:color w:val="auto"/>
        </w:rPr>
        <w:t>to the minimum funding standards under Section 412 of the Code, or with respect to which the Company or any ERISA Affiliate could reasonably be expected to have any liability, contingent or otherwise.</w:t>
      </w:r>
    </w:p>
    <w:p>
      <w:pPr>
        <w:spacing w:after="0" w:line="184" w:lineRule="exact"/>
        <w:rPr>
          <w:sz w:val="20"/>
          <w:szCs w:val="20"/>
          <w:color w:val="auto"/>
        </w:rPr>
      </w:pPr>
    </w:p>
    <w:p>
      <w:pPr>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1.12</w:t>
      </w:r>
      <w:r>
        <w:rPr>
          <w:rFonts w:ascii="Arial" w:cs="Arial" w:eastAsia="Arial" w:hAnsi="Arial"/>
          <w:sz w:val="20"/>
          <w:szCs w:val="20"/>
          <w:color w:val="auto"/>
        </w:rPr>
        <w:t>, any Acquisition by the Company or any Restricted Subsidiary as to which the following conditions are satisfied:</w:t>
      </w:r>
    </w:p>
    <w:p>
      <w:pPr>
        <w:spacing w:after="0" w:line="172" w:lineRule="exact"/>
        <w:rPr>
          <w:sz w:val="20"/>
          <w:szCs w:val="20"/>
          <w:color w:val="auto"/>
        </w:rPr>
      </w:pPr>
    </w:p>
    <w:p>
      <w:pPr>
        <w:ind w:left="720" w:right="20" w:firstLine="605"/>
        <w:spacing w:after="0" w:line="258" w:lineRule="auto"/>
        <w:tabs>
          <w:tab w:leader="none" w:pos="17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immediately before and immediately after giving pro forma effect to any such Acquisition (including any assumption or incurrence of Indebtedness in connection therewith), no Default shall have occurred and be continuing;</w:t>
      </w:r>
    </w:p>
    <w:p>
      <w:pPr>
        <w:spacing w:after="0" w:line="166" w:lineRule="exact"/>
        <w:rPr>
          <w:rFonts w:ascii="Arial" w:cs="Arial" w:eastAsia="Arial" w:hAnsi="Arial"/>
          <w:sz w:val="19"/>
          <w:szCs w:val="19"/>
          <w:color w:val="auto"/>
        </w:rPr>
      </w:pPr>
    </w:p>
    <w:p>
      <w:pPr>
        <w:jc w:val="both"/>
        <w:ind w:left="720" w:firstLine="605"/>
        <w:spacing w:after="0" w:line="227" w:lineRule="auto"/>
        <w:tabs>
          <w:tab w:leader="none" w:pos="1752"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Company is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(giving effect to any Elevated Ratio Period, if applicable), calculated on a Pro Forma Basis pursuant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immediately after giving effect to such Acquisition and any assumption or incurrence of Indebtedness in connection therewith;</w:t>
      </w:r>
    </w:p>
    <w:p>
      <w:pPr>
        <w:spacing w:after="0" w:line="183" w:lineRule="exact"/>
        <w:rPr>
          <w:rFonts w:ascii="Arial" w:cs="Arial" w:eastAsia="Arial" w:hAnsi="Arial"/>
          <w:sz w:val="20"/>
          <w:szCs w:val="20"/>
          <w:color w:val="auto"/>
        </w:rPr>
      </w:pPr>
    </w:p>
    <w:p>
      <w:pPr>
        <w:jc w:val="both"/>
        <w:ind w:left="720" w:firstLine="605"/>
        <w:spacing w:after="0" w:line="216" w:lineRule="auto"/>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Company shall have determined whether any such newly-created or acquired Subsidiary is a Material Subsidiary (to be determined on the basis of the financial information most recently delivered to the Administrative Agent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though such Acquisition had been consummated as of the first day of the fiscal period covered thereby), and any such newly-created or acquired Subsidiary that is a Material Subsidiary shall comply with the requirements of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including, for the avoidance of doubt, the 80% Guaranty Threshold and, if applicable, the 70% Guaranty Threshold and the other provisions of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as if such Subsidiary became a Loan Party immediately upon such creation or acquisition;</w:t>
      </w:r>
    </w:p>
    <w:p>
      <w:pPr>
        <w:spacing w:after="0" w:line="174" w:lineRule="exact"/>
        <w:rPr>
          <w:rFonts w:ascii="Arial" w:cs="Arial" w:eastAsia="Arial" w:hAnsi="Arial"/>
          <w:sz w:val="20"/>
          <w:szCs w:val="20"/>
          <w:color w:val="auto"/>
        </w:rPr>
      </w:pPr>
    </w:p>
    <w:p>
      <w:pPr>
        <w:ind w:left="1920" w:hanging="596"/>
        <w:spacing w:after="0"/>
        <w:tabs>
          <w:tab w:leader="none" w:pos="19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such Acquisition is not “hostile” or contested;</w:t>
      </w:r>
    </w:p>
    <w:p>
      <w:pPr>
        <w:spacing w:after="0" w:line="206" w:lineRule="exact"/>
        <w:rPr>
          <w:rFonts w:ascii="Arial" w:cs="Arial" w:eastAsia="Arial" w:hAnsi="Arial"/>
          <w:sz w:val="20"/>
          <w:szCs w:val="20"/>
          <w:color w:val="auto"/>
        </w:rPr>
      </w:pPr>
    </w:p>
    <w:p>
      <w:pPr>
        <w:jc w:val="both"/>
        <w:ind w:left="720" w:firstLine="605"/>
        <w:spacing w:after="0" w:line="227" w:lineRule="auto"/>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representations and warranties made by the Loan Parties (including any newly-acquired or formed entities required to be Loan Parties) in any Loan Document shall be true and correct in all material respects at and as if made as of the date of such Acquisition (after giving pro forma effect thereto);</w:t>
      </w:r>
    </w:p>
    <w:p>
      <w:pPr>
        <w:spacing w:after="0" w:line="183" w:lineRule="exact"/>
        <w:rPr>
          <w:rFonts w:ascii="Arial" w:cs="Arial" w:eastAsia="Arial" w:hAnsi="Arial"/>
          <w:sz w:val="20"/>
          <w:szCs w:val="20"/>
          <w:color w:val="auto"/>
        </w:rPr>
      </w:pPr>
    </w:p>
    <w:p>
      <w:pPr>
        <w:ind w:left="720" w:firstLine="605"/>
        <w:spacing w:after="0" w:line="286" w:lineRule="auto"/>
        <w:tabs>
          <w:tab w:leader="none" w:pos="17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material lines of business of the Person to be (or the property of which is to be) so purchased or otherwise acquired shall be similar, related or incidental to one or more of the businesses of the Company and its Restricted Subsidiaries;</w:t>
      </w:r>
    </w:p>
    <w:p>
      <w:pPr>
        <w:spacing w:after="0" w:line="130" w:lineRule="exact"/>
        <w:rPr>
          <w:rFonts w:ascii="Arial" w:cs="Arial" w:eastAsia="Arial" w:hAnsi="Arial"/>
          <w:sz w:val="18"/>
          <w:szCs w:val="18"/>
          <w:color w:val="auto"/>
        </w:rPr>
      </w:pPr>
    </w:p>
    <w:p>
      <w:pPr>
        <w:jc w:val="both"/>
        <w:ind w:left="720" w:firstLine="605"/>
        <w:spacing w:after="0" w:line="237" w:lineRule="auto"/>
        <w:tabs>
          <w:tab w:leader="none" w:pos="17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any Acquisition or series of related transactions for which the total cash and noncash consideration (including the fair market value of all Equity Interests issued or transferred to the sellers thereof, the aggregate amounts paid or to be paid under noncompete, consulting and other affiliated agreements with, the sellers thereof, all write- downs of property and reserves for liabilities with respect thereto and all assumptions of debt, liabilities and other obligations in connection therewith, but excluding all indemnities, earnouts and other contingent payment obligations (based on projected earnings) to the sellers thereof) paid by or on behalf of the Company and its Restricted Subsidiaries is equal to or greater than $250,000,000 (each a “</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the Company or such Restricted Subsidiary shall have delivered or caused to be delivered or otherwise made available to the Administrative Agent, not later than the closing date of such Acquisition, in each case to the extent already available to the Company or such Restricted Subsidiary, the results of any due diligence investigation of the target performed by or on behalf of the Company or such Restricted Subsidiary, any environmental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1" w:name="page132"/>
    <w:bookmarkEnd w:id="131"/>
    <w:p>
      <w:pPr>
        <w:jc w:val="both"/>
        <w:ind w:left="720"/>
        <w:spacing w:after="0" w:line="227" w:lineRule="auto"/>
        <w:rPr>
          <w:sz w:val="20"/>
          <w:szCs w:val="20"/>
          <w:color w:val="auto"/>
        </w:rPr>
      </w:pPr>
      <w:r>
        <w:rPr>
          <w:rFonts w:ascii="Arial" w:cs="Arial" w:eastAsia="Arial" w:hAnsi="Arial"/>
          <w:sz w:val="20"/>
          <w:szCs w:val="20"/>
          <w:color w:val="auto"/>
        </w:rPr>
        <w:t>assessment reports performed by or on behalf of the Company or such Restricted Subsidiary if any real property is to be acquired, copies of the Acquisition documents, and historical financial statements of the target since inception but no longer than the 3 previous years; and</w:t>
      </w:r>
    </w:p>
    <w:p>
      <w:pPr>
        <w:spacing w:after="0" w:line="184" w:lineRule="exact"/>
        <w:rPr>
          <w:sz w:val="20"/>
          <w:szCs w:val="20"/>
          <w:color w:val="auto"/>
        </w:rPr>
      </w:pPr>
    </w:p>
    <w:p>
      <w:pPr>
        <w:jc w:val="both"/>
        <w:ind w:left="720" w:firstLine="605"/>
        <w:spacing w:after="0" w:line="222" w:lineRule="auto"/>
        <w:tabs>
          <w:tab w:leader="none" w:pos="1752"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in the case of any Material Acquisition, the Company shall have delivered to the Administrative Agent a certificate of the Company signed by a Responsible Officer certifying to the Administrative Agent compliance with the conditions specified in clauses (a) through (f) above, together with all relevant financial information for the Person or assets to be acquired reasonably requested by the Administrative Agent prior to such </w:t>
      </w:r>
      <w:r>
        <w:rPr>
          <w:rFonts w:ascii="Arial" w:cs="Arial" w:eastAsia="Arial" w:hAnsi="Arial"/>
          <w:sz w:val="20"/>
          <w:szCs w:val="20"/>
          <w:color w:val="181818"/>
        </w:rPr>
        <w:t>Acquisition.</w:t>
      </w:r>
    </w:p>
    <w:p>
      <w:pPr>
        <w:spacing w:after="0" w:line="173"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xml:space="preserve">” means a trade or accounts receivable financing transaction (excluding for the avoidance of doubt any securitization transaction) whereby the Company and/or one or more of its Subsidiaries sells, assigns, conveys or otherwise transfers Receivables to or for the benefit of one or more third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transaction is made non-recourse to the Company and its Subsidiaries (subject to customary indemnification and repurchase obligations, including, but not limited to, those based on a breach of obligations under the relevant receivables purchase agreement or the agreement underlying any Receivables, incorrect or misleading representations and warranties, Receivables failing to meet any eligibility criteria, any failure by an insurer of Receivables to honor claims, title defects, illegality, false misleading or incomplete information, exclusion of cover under any insurance in respect of any Receivables, dilution, third party claims, or Receivables becoming subject to any asserted defense, dispute, off-set or counterclaim) and otherwise on terms customary for comparable “non-recourse” or “limited recourse” receivables purchase transactions in the good faith judgment of the Company, (b) such transaction does not provide for the sale, transfer, disposition or pledge of, or otherwise create any interest in, any asset other than the Receivables, and (c) the aggregate amount of Receivables sold, assigned, conveyed or otherwise transferred in any fiscal quarter shall not exceed (i) with respect to Receivables owing from AT&amp;T Services Inc. and/or one or more of its Subsidiaries or affiliates, the greatest of (A) $500,000,000, (B) the highest quarterly revenue resulting from AT&amp;T Services Inc. and its Subsidiaries and affiliates in any fiscal quarter occurring during the period of four consecutive fiscal quarters ending immediately prior to such fiscal quarter (adjusted on a pro forma basis for acquired businesses, it being understood that, for purposes of this calculation, any Person that becomes a Subsidiary or affiliate of AT&amp;T Services Inc. during the fiscal quarter in which such calculation is made or during the period of four consecutive fiscal quarters ending immediately prior to such fiscal quarter shall be considered to have been a Subsidiary or affiliate of AT&amp;T Services Inc. during the entire immediately preceding four fiscal quarter period) and (C) the quarterly revenue expected to result from AT&amp;T Services Inc. and its Subsidiaries and affiliates during the then-current fiscal quarter as determined by the Company in good faith (adjusted on a pro forma basis for acquired businesses, it being understood that, for purposes of this determination, any Person that becomes or is reasonably expected to become a Subsidiary of affiliate of AT&amp;T Services Inc. during the then-current fiscal quarter shall be considered to have been a Subsidiary or affiliate of AT&amp;T Services Inc. since the commencement of such fiscal quarter) and (ii) with respect to all other Receivables, the greater of (i) $200,000,000 and (ii) an amount equal to 4% of Consolidated Total Assets at the time of such sale, assignment, conveyance or other transfer.</w:t>
      </w:r>
    </w:p>
    <w:p>
      <w:pPr>
        <w:spacing w:after="0" w:line="173"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Refinancing</w:t>
      </w:r>
      <w:r>
        <w:rPr>
          <w:rFonts w:ascii="Arial" w:cs="Arial" w:eastAsia="Arial" w:hAnsi="Arial"/>
          <w:sz w:val="20"/>
          <w:szCs w:val="20"/>
          <w:color w:val="auto"/>
        </w:rPr>
        <w:t xml:space="preserve">” means, with respect to any Indebtedness, any refinancings, refundings,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amount of such Indebtedness is not increased at the time of such refinancing, refunding, renewal or extension except by an amount equal to a reasonable premium paid, and fees and expenses reasonably incurred, in connection with such refinancing and by an amount equal to 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2" w:name="page133"/>
    <w:bookmarkEnd w:id="132"/>
    <w:p>
      <w:pPr>
        <w:jc w:val="both"/>
        <w:ind w:left="120"/>
        <w:spacing w:after="0" w:line="219" w:lineRule="auto"/>
        <w:rPr>
          <w:sz w:val="20"/>
          <w:szCs w:val="20"/>
          <w:color w:val="auto"/>
        </w:rPr>
      </w:pPr>
      <w:r>
        <w:rPr>
          <w:rFonts w:ascii="Arial" w:cs="Arial" w:eastAsia="Arial" w:hAnsi="Arial"/>
          <w:sz w:val="20"/>
          <w:szCs w:val="20"/>
          <w:color w:val="auto"/>
        </w:rPr>
        <w:t>existing commitments unutilized thereunder, (ii) such refinancing, refunding, renewing or extending Indebtedness shall have a weighted average life to maturity that is no earlier than the Indebtedness being refinanced, refunded, renewed or extended, (iii) such refinancing, refunding, renewing or extending Indebtedness shall not be subject to any financial covenant which is more restrictive than the financial covenants in the Loan Documents and (iv) at the time of and after giving effect to such refinancing, refunding, renewal or extension, no Default shall exist.</w:t>
      </w:r>
    </w:p>
    <w:p>
      <w:pPr>
        <w:spacing w:after="0" w:line="174"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Standalone Letter of Credit</w:t>
      </w:r>
      <w:r>
        <w:rPr>
          <w:rFonts w:ascii="Arial" w:cs="Arial" w:eastAsia="Arial" w:hAnsi="Arial"/>
          <w:sz w:val="19"/>
          <w:szCs w:val="19"/>
          <w:color w:val="auto"/>
        </w:rPr>
        <w:t xml:space="preserve">” means any commercial letter of credit, standby letter of credit or bankers’ acceptance issued by a PSLOC Bank for the account of any Loan Party or any Restricted Subsidiary thereof pursuant to a credit facility that is not part of the facilities provided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w:t>
      </w:r>
      <w:r>
        <w:rPr>
          <w:rFonts w:ascii="Arial" w:cs="Arial" w:eastAsia="Arial" w:hAnsi="Arial"/>
          <w:sz w:val="19"/>
          <w:szCs w:val="19"/>
          <w:color w:val="181818"/>
        </w:rPr>
        <w:t>of letters of credit or bankers</w:t>
      </w:r>
      <w:r>
        <w:rPr>
          <w:rFonts w:ascii="Arial" w:cs="Arial" w:eastAsia="Arial" w:hAnsi="Arial"/>
          <w:sz w:val="19"/>
          <w:szCs w:val="19"/>
          <w:color w:val="auto"/>
        </w:rPr>
        <w:t xml:space="preserve"> </w:t>
      </w:r>
      <w:r>
        <w:rPr>
          <w:rFonts w:ascii="Arial" w:cs="Arial" w:eastAsia="Arial" w:hAnsi="Arial"/>
          <w:sz w:val="19"/>
          <w:szCs w:val="19"/>
          <w:color w:val="181818"/>
        </w:rPr>
        <w:t xml:space="preserve">acceptances available to be issued under all such </w:t>
      </w:r>
      <w:r>
        <w:rPr>
          <w:rFonts w:ascii="Arial" w:cs="Arial" w:eastAsia="Arial" w:hAnsi="Arial"/>
          <w:sz w:val="19"/>
          <w:szCs w:val="19"/>
          <w:color w:val="000000"/>
        </w:rPr>
        <w:t>facilities</w:t>
      </w:r>
      <w:r>
        <w:rPr>
          <w:rFonts w:ascii="Arial" w:cs="Arial" w:eastAsia="Arial" w:hAnsi="Arial"/>
          <w:sz w:val="19"/>
          <w:szCs w:val="19"/>
          <w:color w:val="181818"/>
        </w:rPr>
        <w:t xml:space="preserve"> shall not exceed $200,000,000 at any time.</w:t>
      </w:r>
    </w:p>
    <w:p>
      <w:pPr>
        <w:spacing w:after="0" w:line="23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maintained for employees of the Company or any ERISA Affiliate or any such Plan to which the Company or any ERISA Affiliate is required to contribute on behalf of any of its employees, other than a Multiple Employer Plan or a Multiemployer Plan, and for which the Company or any ERISA Affiliate has or would reasonably be expected to have any liability, contingent or otherwise.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Priority Indebtedness</w:t>
      </w:r>
      <w:r>
        <w:rPr>
          <w:rFonts w:ascii="Arial" w:cs="Arial" w:eastAsia="Arial" w:hAnsi="Arial"/>
          <w:sz w:val="19"/>
          <w:szCs w:val="19"/>
          <w:color w:val="auto"/>
        </w:rPr>
        <w:t xml:space="preserve">” means, as of any date of determination, on a consolidated basis, the sum of (without duplication) (a) the aggregate outstanding principal amount of all Indebtedness of the Company and its Restricted Subsidiaries secured by Liens permitted under </w:t>
      </w:r>
      <w:r>
        <w:rPr>
          <w:rFonts w:ascii="Arial" w:cs="Arial" w:eastAsia="Arial" w:hAnsi="Arial"/>
          <w:sz w:val="19"/>
          <w:szCs w:val="19"/>
          <w:u w:val="single" w:color="auto"/>
          <w:color w:val="auto"/>
        </w:rPr>
        <w:t>Section 7.01(aa)</w:t>
      </w:r>
      <w:r>
        <w:rPr>
          <w:rFonts w:ascii="Arial" w:cs="Arial" w:eastAsia="Arial" w:hAnsi="Arial"/>
          <w:sz w:val="19"/>
          <w:szCs w:val="19"/>
          <w:color w:val="auto"/>
        </w:rPr>
        <w:t xml:space="preserv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outstanding principal amount of all Indebtedness of the Restricted Subsidiaries of the Company (other than any Loan Party) permitted under </w:t>
      </w:r>
      <w:r>
        <w:rPr>
          <w:rFonts w:ascii="Arial" w:cs="Arial" w:eastAsia="Arial" w:hAnsi="Arial"/>
          <w:sz w:val="19"/>
          <w:szCs w:val="19"/>
          <w:u w:val="single" w:color="auto"/>
          <w:color w:val="auto"/>
        </w:rPr>
        <w:t>Section 7.03(r)</w:t>
      </w:r>
      <w:r>
        <w:rPr>
          <w:rFonts w:ascii="Arial" w:cs="Arial" w:eastAsia="Arial" w:hAnsi="Arial"/>
          <w:sz w:val="19"/>
          <w:szCs w:val="19"/>
          <w:color w:val="auto"/>
        </w:rPr>
        <w:t xml:space="preserve"> as of such date.</w:t>
      </w:r>
    </w:p>
    <w:p>
      <w:pPr>
        <w:spacing w:after="0" w:line="172"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means, for purposes of giving effect to any Specified Transaction (actual or proposed) for any period, that such Specified Transaction shall be deemed to have occurred as of the first day of such period and:</w:t>
      </w:r>
    </w:p>
    <w:p>
      <w:pPr>
        <w:spacing w:after="0" w:line="184" w:lineRule="exact"/>
        <w:rPr>
          <w:sz w:val="20"/>
          <w:szCs w:val="20"/>
          <w:color w:val="auto"/>
        </w:rPr>
      </w:pPr>
    </w:p>
    <w:p>
      <w:pPr>
        <w:jc w:val="both"/>
        <w:ind w:left="120" w:firstLine="605"/>
        <w:spacing w:after="0" w:line="219" w:lineRule="auto"/>
        <w:tabs>
          <w:tab w:leader="none" w:pos="1152"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all income statement items (whether positive or negative) attributable to the property or Person disposed of in a Specified Disposition shall be excluded and all income statement items (whether positive or negative) attributable to the property or Person acquired in a Specified Acquisition shall be included;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w:t>
      </w:r>
    </w:p>
    <w:p>
      <w:pPr>
        <w:spacing w:after="0" w:line="186" w:lineRule="exact"/>
        <w:rPr>
          <w:rFonts w:ascii="Arial" w:cs="Arial" w:eastAsia="Arial" w:hAnsi="Arial"/>
          <w:sz w:val="20"/>
          <w:szCs w:val="20"/>
          <w:color w:val="auto"/>
        </w:rPr>
      </w:pPr>
    </w:p>
    <w:p>
      <w:pPr>
        <w:ind w:left="120" w:right="20" w:firstLine="605"/>
        <w:spacing w:after="0" w:line="236" w:lineRule="auto"/>
        <w:tabs>
          <w:tab w:leader="none" w:pos="1151"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interest accrued during such period on, and the principal of, any Indebtedness repaid in connection with such Specified Transaction shall be excluded;</w:t>
      </w:r>
    </w:p>
    <w:p>
      <w:pPr>
        <w:spacing w:after="0" w:line="171" w:lineRule="exact"/>
        <w:rPr>
          <w:rFonts w:ascii="Arial" w:cs="Arial" w:eastAsia="Arial" w:hAnsi="Arial"/>
          <w:sz w:val="20"/>
          <w:szCs w:val="20"/>
          <w:color w:val="auto"/>
        </w:rPr>
      </w:pPr>
    </w:p>
    <w:p>
      <w:pPr>
        <w:jc w:val="both"/>
        <w:ind w:left="120" w:firstLine="605"/>
        <w:spacing w:after="0" w:line="227" w:lineRule="auto"/>
        <w:tabs>
          <w:tab w:leader="none" w:pos="1152"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Indebtedness incurred or assumed in connection with such Specified Transaction shall be deemed to have been incurred as of the first day of such period, and interest thereon shall be deemed to have accrued from such day on such Indebtedness at the applicable rates provided therefor (and in the case of interest that does or would accrue at 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3" w:name="page134"/>
    <w:bookmarkEnd w:id="133"/>
    <w:p>
      <w:pPr>
        <w:ind w:left="120"/>
        <w:spacing w:after="0"/>
        <w:rPr>
          <w:sz w:val="20"/>
          <w:szCs w:val="20"/>
          <w:color w:val="auto"/>
        </w:rPr>
      </w:pPr>
      <w:r>
        <w:rPr>
          <w:rFonts w:ascii="Arial" w:cs="Arial" w:eastAsia="Arial" w:hAnsi="Arial"/>
          <w:sz w:val="19"/>
          <w:szCs w:val="19"/>
          <w:color w:val="auto"/>
        </w:rPr>
        <w:t>formula or floating rate, at the rate in effect at the time of determination) and shall be included in the results for such period; and</w:t>
      </w:r>
    </w:p>
    <w:p>
      <w:pPr>
        <w:spacing w:after="0" w:line="206" w:lineRule="exact"/>
        <w:rPr>
          <w:sz w:val="20"/>
          <w:szCs w:val="20"/>
          <w:color w:val="auto"/>
        </w:rPr>
      </w:pPr>
    </w:p>
    <w:p>
      <w:pPr>
        <w:jc w:val="both"/>
        <w:ind w:left="120" w:firstLine="605"/>
        <w:spacing w:after="0" w:line="214" w:lineRule="auto"/>
        <w:tabs>
          <w:tab w:leader="none" w:pos="1151"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after such transaction may be included by the Company to the extent attributable to such Specified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cost savings, operating expense reductions, restructuring charges and expenses and cost-savings synergies, together with any amounts included in the calculation of Consolidated EBITDA pursuant to clause (xv) thereof, may only be included to the extent such charges collectively do not increase Consolidated EBITDA by more than 20% and shall be without duplication of any costs, expenses or adjustments that are already included in the calculation of Consolidated EBITDA or clause (a) above.</w:t>
      </w:r>
    </w:p>
    <w:p>
      <w:pPr>
        <w:spacing w:after="0" w:line="189" w:lineRule="exact"/>
        <w:rPr>
          <w:sz w:val="20"/>
          <w:szCs w:val="20"/>
          <w:color w:val="auto"/>
        </w:rPr>
      </w:pPr>
    </w:p>
    <w:p>
      <w:pPr>
        <w:jc w:val="both"/>
        <w:ind w:left="120" w:firstLine="598"/>
        <w:spacing w:after="0" w:line="245" w:lineRule="auto"/>
        <w:rPr>
          <w:sz w:val="20"/>
          <w:szCs w:val="20"/>
          <w:color w:val="auto"/>
        </w:rPr>
      </w:pPr>
      <w:r>
        <w:rPr>
          <w:rFonts w:ascii="Arial" w:cs="Arial" w:eastAsia="Arial" w:hAnsi="Arial"/>
          <w:sz w:val="18"/>
          <w:szCs w:val="18"/>
          <w:color w:val="181818"/>
        </w:rPr>
        <w:t>“</w:t>
      </w:r>
      <w:r>
        <w:rPr>
          <w:rFonts w:ascii="Arial" w:cs="Arial" w:eastAsia="Arial" w:hAnsi="Arial"/>
          <w:sz w:val="18"/>
          <w:szCs w:val="18"/>
          <w:u w:val="single" w:color="auto"/>
          <w:color w:val="181818"/>
        </w:rPr>
        <w:t>Prohibited Subsidiary</w:t>
      </w:r>
      <w:r>
        <w:rPr>
          <w:rFonts w:ascii="Arial" w:cs="Arial" w:eastAsia="Arial" w:hAnsi="Arial"/>
          <w:sz w:val="18"/>
          <w:szCs w:val="18"/>
          <w:color w:val="181818"/>
        </w:rPr>
        <w:t xml:space="preserve">” means (a) MasTec Pipeline Holdings, LLC, MasTec Comanche, LLC and MasTec TPP, LLC, (b) any Captive Insurance Subsidiary, (c) any Subsidiary that, upon providing a Guarantee in respect to the Obligations, could be required as a result of such Guarantee to register as an “investment company” under the Investment Company Act of 1940 and (d) any Subsidiary that is prohibited by applicable Laws from providing a Guarantee in respect to the Obligations; </w:t>
      </w:r>
      <w:r>
        <w:rPr>
          <w:rFonts w:ascii="Arial" w:cs="Arial" w:eastAsia="Arial" w:hAnsi="Arial"/>
          <w:sz w:val="18"/>
          <w:szCs w:val="18"/>
          <w:u w:val="single" w:color="auto"/>
          <w:color w:val="181818"/>
        </w:rPr>
        <w:t>provided</w:t>
      </w:r>
      <w:r>
        <w:rPr>
          <w:rFonts w:ascii="Arial" w:cs="Arial" w:eastAsia="Arial" w:hAnsi="Arial"/>
          <w:sz w:val="18"/>
          <w:szCs w:val="18"/>
          <w:color w:val="181818"/>
        </w:rPr>
        <w:t xml:space="preserve">, </w:t>
      </w:r>
      <w:r>
        <w:rPr>
          <w:rFonts w:ascii="Arial" w:cs="Arial" w:eastAsia="Arial" w:hAnsi="Arial"/>
          <w:sz w:val="18"/>
          <w:szCs w:val="18"/>
          <w:u w:val="single" w:color="auto"/>
          <w:color w:val="181818"/>
        </w:rPr>
        <w:t>however</w:t>
      </w:r>
      <w:r>
        <w:rPr>
          <w:rFonts w:ascii="Arial" w:cs="Arial" w:eastAsia="Arial" w:hAnsi="Arial"/>
          <w:sz w:val="18"/>
          <w:szCs w:val="18"/>
          <w:color w:val="181818"/>
        </w:rPr>
        <w:t>, that no such Subsidiary shall constitute a Prohibited Subsidiary with respect to any of the foregoing for which no such prohibition exists.</w:t>
      </w:r>
    </w:p>
    <w:p>
      <w:pPr>
        <w:spacing w:after="0" w:line="167"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PSLOC Bank</w:t>
      </w:r>
      <w:r>
        <w:rPr>
          <w:rFonts w:ascii="Arial" w:cs="Arial" w:eastAsia="Arial" w:hAnsi="Arial"/>
          <w:sz w:val="19"/>
          <w:szCs w:val="19"/>
          <w:color w:val="auto"/>
        </w:rPr>
        <w:t>” means any Person that, (a) at the time it issues a Permitted Standalone Letter of Credit for the account of any Loan Party, is a Lender or an Affiliate of a Lender, or (b) at the time it (or its Affiliate) becomes a Lender, is party to a Permitted Standalone Letter of Credit, in each case, in its capacity as the issuer of such Permitted Standalone Letter of Credit.</w:t>
      </w:r>
    </w:p>
    <w:p>
      <w:pPr>
        <w:spacing w:after="0" w:line="18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at any time, each Loan Party with total assets exceeding</w:t>
      </w:r>
    </w:p>
    <w:p>
      <w:pPr>
        <w:jc w:val="both"/>
        <w:ind w:left="120" w:right="20"/>
        <w:spacing w:after="0" w:line="267" w:lineRule="auto"/>
        <w:rPr>
          <w:sz w:val="20"/>
          <w:szCs w:val="20"/>
          <w:color w:val="auto"/>
        </w:rPr>
      </w:pPr>
      <w:r>
        <w:rPr>
          <w:rFonts w:ascii="Arial" w:cs="Arial" w:eastAsia="Arial" w:hAnsi="Arial"/>
          <w:sz w:val="18"/>
          <w:szCs w:val="18"/>
          <w:color w:val="auto"/>
        </w:rPr>
        <w:t>$10,000,000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60"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Determination Date</w:t>
      </w:r>
      <w:r>
        <w:rPr>
          <w:rFonts w:ascii="Arial" w:cs="Arial" w:eastAsia="Arial" w:hAnsi="Arial"/>
          <w:sz w:val="19"/>
          <w:szCs w:val="19"/>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means actual trade or accounts receivable or anticipated trade or accounts receivable in the form of work-in-progress of the Company or any of its Subsidiaries arising in the ordinary course of business, any proceeds thereof and any general intangibles, documents, instruments, records or other assets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4" w:name="page135"/>
    <w:bookmarkEnd w:id="134"/>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Reconciliation</w:t>
      </w:r>
      <w:r>
        <w:rPr>
          <w:rFonts w:ascii="Arial" w:cs="Arial" w:eastAsia="Arial" w:hAnsi="Arial"/>
          <w:sz w:val="20"/>
          <w:szCs w:val="20"/>
          <w:color w:val="auto"/>
        </w:rPr>
        <w:t xml:space="preserve">” means, with respect to any financial statement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Base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Financials</w:t>
      </w:r>
      <w:r>
        <w:rPr>
          <w:rFonts w:ascii="Arial" w:cs="Arial" w:eastAsia="Arial" w:hAnsi="Arial"/>
          <w:sz w:val="20"/>
          <w:szCs w:val="20"/>
          <w:color w:val="auto"/>
        </w:rPr>
        <w:t>”), the comparable financial statement prepared by the chief financial officer of the Company presenting on a consolidated basis the financial condition and results of operations of the Company and its Restricted Subsidiaries as derived from the Base Financials.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57" w:lineRule="exact"/>
        <w:rPr>
          <w:sz w:val="20"/>
          <w:szCs w:val="20"/>
          <w:color w:val="auto"/>
        </w:rPr>
      </w:pPr>
    </w:p>
    <w:p>
      <w:pPr>
        <w:jc w:val="both"/>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43"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181818"/>
        </w:rPr>
        <w:t>“</w:t>
      </w:r>
      <w:r>
        <w:rPr>
          <w:rFonts w:ascii="Arial" w:cs="Arial" w:eastAsia="Arial" w:hAnsi="Arial"/>
          <w:sz w:val="20"/>
          <w:szCs w:val="20"/>
          <w:u w:val="single" w:color="auto"/>
          <w:color w:val="181818"/>
        </w:rPr>
        <w:t>Relevant Rate</w:t>
      </w:r>
      <w:r>
        <w:rPr>
          <w:rFonts w:ascii="Arial" w:cs="Arial" w:eastAsia="Arial" w:hAnsi="Arial"/>
          <w:sz w:val="20"/>
          <w:szCs w:val="20"/>
          <w:color w:val="181818"/>
        </w:rPr>
        <w:t>” means with respect to any Credit Extension denominated in (a) Dollars, LIBOR, (b) Canadian Dollars, the CDOR Rate, and (c) Mexican Pesos, TIIE, as applicable</w:t>
      </w:r>
      <w:r>
        <w:rPr>
          <w:rFonts w:ascii="Arial" w:cs="Arial" w:eastAsia="Arial" w:hAnsi="Arial"/>
          <w:sz w:val="20"/>
          <w:szCs w:val="20"/>
          <w:b w:val="1"/>
          <w:bCs w:val="1"/>
          <w:color w:val="000000"/>
        </w:rPr>
        <w:t>.</w:t>
      </w:r>
    </w:p>
    <w:p>
      <w:pPr>
        <w:spacing w:after="0" w:line="172"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Committed Loans or Term Loans, a Loan Notice, (b) with respect to an L/C Credit Extension, a Letter of Credit Application, and (c) with respect to a Swing Line Loan, a Swing Line Loan Notice.</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(MC) Lenders</w:t>
      </w:r>
      <w:r>
        <w:rPr>
          <w:rFonts w:ascii="Arial" w:cs="Arial" w:eastAsia="Arial" w:hAnsi="Arial"/>
          <w:sz w:val="20"/>
          <w:szCs w:val="20"/>
          <w:color w:val="auto"/>
        </w:rPr>
        <w:t xml:space="preserve">” means, as of any date of determination, Lenders having more than 50% of the sum of the Outstanding Amount of Committed (MC)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unused MC Commitments. The aggregate Outstanding Amount of Committed (MC) Loans and unused MC Commitment of any Defaulting Lender shall be disregarded in determining Required (MC) Lenders at any time.</w:t>
      </w:r>
    </w:p>
    <w:p>
      <w:pPr>
        <w:spacing w:after="0" w:line="173" w:lineRule="exact"/>
        <w:rPr>
          <w:sz w:val="20"/>
          <w:szCs w:val="20"/>
          <w:color w:val="auto"/>
        </w:rPr>
      </w:pPr>
    </w:p>
    <w:p>
      <w:pPr>
        <w:jc w:val="both"/>
        <w:ind w:left="120" w:firstLine="598"/>
        <w:spacing w:after="0" w:line="21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(USD) Lenders</w:t>
      </w:r>
      <w:r>
        <w:rPr>
          <w:rFonts w:ascii="Arial" w:cs="Arial" w:eastAsia="Arial" w:hAnsi="Arial"/>
          <w:sz w:val="20"/>
          <w:szCs w:val="20"/>
          <w:color w:val="auto"/>
        </w:rPr>
        <w:t xml:space="preserve">” means, as of any date of determination, Lenders having more than 50% of the aggregate outstanding principal amount of Committed (USD)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outstanding amount of participations in L/C Obligations and Swing Line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unused USD Commitments. The Committed (USD) Loans, the participations in L/C Obligations and Swing Line Loans and unused USD Commitment of any Defaulting Lender shall be disregarded in determining Required (USD) Lenders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 Line Loan and Unreimbursed Amounts that such Defaulting Lender has failed to fund that have not been reallocated to and funded by another Committed (USD) Lender shall be deemed to be held by the Lender that is the Swing Line Lender or L/C Issuer, as the case may be, in making such determination.</w:t>
      </w:r>
    </w:p>
    <w:p>
      <w:pPr>
        <w:spacing w:after="0" w:line="187"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as of any date of determination,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 Line Loan and Unreimbursed Amounts that any Defaulting Lender which is a Committed (USD) Lender has failed to fund that have not been reallocated to and funded by another Committed (USD) Lender shall be deemed to be held by the Lender that is the Swing Line Lender or L/C Issuer, as the case may be, in making such determination.</w:t>
      </w:r>
    </w:p>
    <w:p>
      <w:pPr>
        <w:spacing w:after="0" w:line="188" w:lineRule="exact"/>
        <w:rPr>
          <w:sz w:val="20"/>
          <w:szCs w:val="20"/>
          <w:color w:val="auto"/>
        </w:rPr>
      </w:pPr>
    </w:p>
    <w:p>
      <w:pPr>
        <w:jc w:val="both"/>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Loan Lenders</w:t>
      </w:r>
      <w:r>
        <w:rPr>
          <w:rFonts w:ascii="Arial" w:cs="Arial" w:eastAsia="Arial" w:hAnsi="Arial"/>
          <w:sz w:val="18"/>
          <w:szCs w:val="18"/>
          <w:color w:val="auto"/>
        </w:rPr>
        <w:t xml:space="preserve">” means, as of any date of determination, Lenders having more than 50% of the sum of the Outstanding Amount of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unused Term Loan Commitments. The aggregate Outstanding Amount of Term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5" w:name="page136"/>
    <w:bookmarkEnd w:id="135"/>
    <w:p>
      <w:pPr>
        <w:jc w:val="both"/>
        <w:ind w:left="120"/>
        <w:spacing w:after="0" w:line="236" w:lineRule="auto"/>
        <w:rPr>
          <w:sz w:val="20"/>
          <w:szCs w:val="20"/>
          <w:color w:val="auto"/>
        </w:rPr>
      </w:pPr>
      <w:r>
        <w:rPr>
          <w:rFonts w:ascii="Arial" w:cs="Arial" w:eastAsia="Arial" w:hAnsi="Arial"/>
          <w:sz w:val="20"/>
          <w:szCs w:val="20"/>
          <w:color w:val="auto"/>
        </w:rPr>
        <w:t>Loans and unused Term Loan Commitment of any Defaulting Lender shall be disregarded in determining Required Term Loan Lenders at any time.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181818"/>
        </w:rPr>
        <w:t>“</w:t>
      </w:r>
      <w:r>
        <w:rPr>
          <w:rFonts w:ascii="Arial" w:cs="Arial" w:eastAsia="Arial" w:hAnsi="Arial"/>
          <w:sz w:val="20"/>
          <w:szCs w:val="20"/>
          <w:u w:val="single" w:color="auto"/>
          <w:color w:val="181818"/>
        </w:rPr>
        <w:t>Rescindable Amount</w:t>
      </w:r>
      <w:r>
        <w:rPr>
          <w:rFonts w:ascii="Arial" w:cs="Arial" w:eastAsia="Arial" w:hAnsi="Arial"/>
          <w:sz w:val="20"/>
          <w:szCs w:val="20"/>
          <w:color w:val="181818"/>
        </w:rPr>
        <w:t xml:space="preserve">” has the meaning as defined in </w:t>
      </w:r>
      <w:r>
        <w:rPr>
          <w:rFonts w:ascii="Arial" w:cs="Arial" w:eastAsia="Arial" w:hAnsi="Arial"/>
          <w:sz w:val="20"/>
          <w:szCs w:val="20"/>
          <w:u w:val="single" w:color="auto"/>
          <w:color w:val="181818"/>
        </w:rPr>
        <w:t>Section 2.12(b)(ii)</w:t>
      </w:r>
      <w:r>
        <w:rPr>
          <w:rFonts w:ascii="Arial" w:cs="Arial" w:eastAsia="Arial" w:hAnsi="Arial"/>
          <w:sz w:val="20"/>
          <w:szCs w:val="20"/>
          <w:color w:val="181818"/>
        </w:rPr>
        <w:t>.</w:t>
      </w:r>
    </w:p>
    <w:p>
      <w:pPr>
        <w:spacing w:after="0" w:line="25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181818"/>
        </w:rPr>
        <w:t>“</w:t>
      </w:r>
      <w:r>
        <w:rPr>
          <w:rFonts w:ascii="Arial" w:cs="Arial" w:eastAsia="Arial" w:hAnsi="Arial"/>
          <w:sz w:val="20"/>
          <w:szCs w:val="20"/>
          <w:u w:val="single" w:color="auto"/>
          <w:color w:val="181818"/>
        </w:rPr>
        <w:t>Resolution Authority</w:t>
      </w:r>
      <w:r>
        <w:rPr>
          <w:rFonts w:ascii="Arial" w:cs="Arial" w:eastAsia="Arial" w:hAnsi="Arial"/>
          <w:sz w:val="20"/>
          <w:szCs w:val="20"/>
          <w:color w:val="181818"/>
        </w:rPr>
        <w:t>” means an EEA Resolution Authority or, with respect to any UK Financial Institution, a UK Resolution Authority</w:t>
      </w:r>
      <w:r>
        <w:rPr>
          <w:rFonts w:ascii="Arial" w:cs="Arial" w:eastAsia="Arial" w:hAnsi="Arial"/>
          <w:sz w:val="20"/>
          <w:szCs w:val="20"/>
          <w:color w:val="000000"/>
        </w:rPr>
        <w:t>.</w:t>
      </w:r>
    </w:p>
    <w:p>
      <w:pPr>
        <w:spacing w:after="0" w:line="184" w:lineRule="exact"/>
        <w:rPr>
          <w:sz w:val="20"/>
          <w:szCs w:val="20"/>
          <w:color w:val="auto"/>
        </w:rPr>
      </w:pPr>
    </w:p>
    <w:p>
      <w:pPr>
        <w:jc w:val="both"/>
        <w:ind w:left="120" w:firstLine="59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chairman of the board of directors, the president, the chief executive officer, the chief financial officer, the chief operating officer, the corporate controller, the treasurer or the cash manager of, or in-house legal counsel to, a Loan Party, any other officer of a Loan Party so designated by any of the foregoing officers in a written notice to the Administrative Agent,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any other officer or employee of a Loan Party designated in or pursuant to an agreement between such Loan Party and the Administrative Agent, and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reasonably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7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7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xml:space="preserve">” means any Subsidiary of the Company that is not listed on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as an Unrestricted Subsidiary or has not been designated an Unrestricted Subsidiary in accordance with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hereof.</w:t>
      </w:r>
    </w:p>
    <w:p>
      <w:pPr>
        <w:spacing w:after="0" w:line="184"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Committed (MC) Loan denominated in an Alternative Currency, each of the following: (i) each date of a Borrowing of an Alternative Currency Term Rate Loan denominated in such Alternative Currency, (ii) each date of a continuation of an Alternative Currency Term Rate Loan denominated in such Alternative Currency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 and (iii) such additional dates as the Administrative Agent shall determine or the Required (MC) Lenders shall require; and (b) with respect to any Letter of Credit or Bankers’ Acceptance denominated in an Alternative Currency, each of the following: (i) each date of issuance, amendment and/or extension of a Letter of Credit or Bankers’ Acceptance denominated in such Alternative Currency,</w:t>
      </w:r>
    </w:p>
    <w:p>
      <w:pPr>
        <w:spacing w:after="0" w:line="4" w:lineRule="exact"/>
        <w:rPr>
          <w:sz w:val="20"/>
          <w:szCs w:val="20"/>
          <w:color w:val="auto"/>
        </w:rPr>
      </w:pPr>
    </w:p>
    <w:p>
      <w:pPr>
        <w:ind w:left="120" w:firstLine="6"/>
        <w:spacing w:after="0" w:line="219" w:lineRule="auto"/>
        <w:tabs>
          <w:tab w:leader="none" w:pos="429"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date of any payment by the L/C Issuer under any Letter of Credit or Bankers’ Acceptance denominated in such Alternative Currency</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color w:val="181818"/>
        </w:rPr>
        <w:t>(iii) in the case of all Existing Letters of Credit denominated in Alternative Currencies, the Closing Date</w:t>
      </w:r>
      <w:r>
        <w:rPr>
          <w:rFonts w:ascii="Arial" w:cs="Arial" w:eastAsia="Arial" w:hAnsi="Arial"/>
          <w:sz w:val="19"/>
          <w:szCs w:val="19"/>
          <w:color w:val="auto"/>
        </w:rPr>
        <w:t xml:space="preserve"> and</w:t>
      </w:r>
    </w:p>
    <w:p>
      <w:pPr>
        <w:ind w:left="560" w:hanging="434"/>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additional dates as the Administrative Agent or the L/C Issuer shall determine or the Required (USD) Lenders shall require.</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Leaseback Transaction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6" w:name="page137"/>
    <w:bookmarkEnd w:id="136"/>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such Alternative Currency.</w:t>
      </w:r>
    </w:p>
    <w:p>
      <w:pPr>
        <w:spacing w:after="0" w:line="185"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international economic or financial sanction or trade embargo imposed, administered or enforced by the United States Government (including without limitation, OFAC), the United Nations Security Council, the European Union, any European Union member state, Her Majesty’s Treasury or other relevant sanctions authority.</w:t>
      </w:r>
    </w:p>
    <w:p>
      <w:pPr>
        <w:spacing w:after="0" w:line="184"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72" w:lineRule="exact"/>
        <w:rPr>
          <w:sz w:val="20"/>
          <w:szCs w:val="20"/>
          <w:color w:val="auto"/>
        </w:rPr>
      </w:pPr>
    </w:p>
    <w:p>
      <w:pPr>
        <w:jc w:val="both"/>
        <w:ind w:left="120" w:firstLine="598"/>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w:t>
      </w:r>
      <w:r>
        <w:rPr>
          <w:rFonts w:ascii="Arial" w:cs="Arial" w:eastAsia="Arial" w:hAnsi="Arial"/>
          <w:sz w:val="20"/>
          <w:szCs w:val="20"/>
          <w:color w:val="auto"/>
        </w:rPr>
        <w:t>” means those certain 4.50% unsecured notes of the Company due 2028 and issued pursuant to the Senior Notes Indenture in the initial aggregate principal amount of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$600,000,000 and, as of the Closing Date, in an aggregate principal amount of $600,000,000.</w:t>
      </w:r>
    </w:p>
    <w:p>
      <w:pPr>
        <w:spacing w:after="0" w:line="191"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Documents</w:t>
      </w:r>
      <w:r>
        <w:rPr>
          <w:rFonts w:ascii="Arial" w:cs="Arial" w:eastAsia="Arial" w:hAnsi="Arial"/>
          <w:sz w:val="20"/>
          <w:szCs w:val="20"/>
          <w:color w:val="auto"/>
        </w:rPr>
        <w:t>” means, collectively, the Senior Notes Indenture, all supplemental indentures thereto, the Senior Notes and all other material agreements executed in connection therewith.</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Indebtedness</w:t>
      </w:r>
      <w:r>
        <w:rPr>
          <w:rFonts w:ascii="Arial" w:cs="Arial" w:eastAsia="Arial" w:hAnsi="Arial"/>
          <w:sz w:val="18"/>
          <w:szCs w:val="18"/>
          <w:color w:val="auto"/>
        </w:rPr>
        <w:t>” means the Indebtedness evidenced by the Senior Notes and any Permitted Refinancings thereof.</w:t>
      </w:r>
    </w:p>
    <w:p>
      <w:pPr>
        <w:spacing w:after="0" w:line="217"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Indenture</w:t>
      </w:r>
      <w:r>
        <w:rPr>
          <w:rFonts w:ascii="Arial" w:cs="Arial" w:eastAsia="Arial" w:hAnsi="Arial"/>
          <w:sz w:val="20"/>
          <w:szCs w:val="20"/>
          <w:color w:val="auto"/>
        </w:rPr>
        <w:t>” means that certain Indenture by and among the Company, the guarantors party thereto and U.S. Bank National Association, as trustee, dated as of August 4, 2020.</w:t>
      </w:r>
    </w:p>
    <w:p>
      <w:pPr>
        <w:spacing w:after="0" w:line="24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Pension Plan</w:t>
      </w:r>
      <w:r>
        <w:rPr>
          <w:rFonts w:ascii="Arial" w:cs="Arial" w:eastAsia="Arial" w:hAnsi="Arial"/>
          <w:sz w:val="20"/>
          <w:szCs w:val="20"/>
          <w:color w:val="auto"/>
        </w:rPr>
        <w:t>” means any employee pension benefit plan (excluding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84" w:lineRule="exact"/>
        <w:rPr>
          <w:sz w:val="20"/>
          <w:szCs w:val="20"/>
          <w:color w:val="auto"/>
        </w:rPr>
      </w:pPr>
    </w:p>
    <w:p>
      <w:pPr>
        <w:jc w:val="both"/>
        <w:ind w:left="120" w:firstLine="598"/>
        <w:spacing w:after="0" w:line="22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Acquisition</w:t>
      </w:r>
      <w:r>
        <w:rPr>
          <w:rFonts w:ascii="Arial" w:cs="Arial" w:eastAsia="Arial" w:hAnsi="Arial"/>
          <w:sz w:val="20"/>
          <w:szCs w:val="20"/>
          <w:color w:val="auto"/>
        </w:rPr>
        <w:t xml:space="preserve">” means any Permitted Acquisition or any other Acquisition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137" w:name="page138"/>
    <w:bookmarkEnd w:id="137"/>
    <w:p>
      <w:pPr>
        <w:jc w:val="both"/>
        <w:ind w:left="1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Disposition</w:t>
      </w:r>
      <w:r>
        <w:rPr>
          <w:rFonts w:ascii="Arial" w:cs="Arial" w:eastAsia="Arial" w:hAnsi="Arial"/>
          <w:sz w:val="19"/>
          <w:szCs w:val="19"/>
          <w:color w:val="auto"/>
        </w:rPr>
        <w:t>” means any Disposition by the Company or any Restricted Subsidiary of (a) all or substantially all of its assets or any of its divisions, business units, or lines of business or (b) the Equity Interests of any Subsidiary.</w:t>
      </w:r>
    </w:p>
    <w:p>
      <w:pPr>
        <w:spacing w:after="0" w:line="167"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Loan Party</w:t>
      </w:r>
      <w:r>
        <w:rPr>
          <w:rFonts w:ascii="Arial" w:cs="Arial" w:eastAsia="Arial" w:hAnsi="Arial"/>
          <w:sz w:val="19"/>
          <w:szCs w:val="19"/>
          <w:color w:val="auto"/>
        </w:rPr>
        <w:t xml:space="preserve">” means any Loan Party that is not an “eligible contract participant” under the Commodity Exchange Act (determined prior to giving effect to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of this Agreement or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the Subsidiary Guaranty, as applicable).</w:t>
      </w:r>
    </w:p>
    <w:p>
      <w:pPr>
        <w:spacing w:after="0" w:line="15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xml:space="preserve">” means (a) any Specified Disposition, (b) any Specified Acquisition, (c) any designation of a Subsidiary as a Restricted Subsidiary or an Unrestricted Subsidiary, (d) any Restricted Payment made pursuant to </w:t>
      </w:r>
      <w:r>
        <w:rPr>
          <w:rFonts w:ascii="Arial" w:cs="Arial" w:eastAsia="Arial" w:hAnsi="Arial"/>
          <w:sz w:val="20"/>
          <w:szCs w:val="20"/>
          <w:u w:val="single" w:color="auto"/>
          <w:color w:val="auto"/>
        </w:rPr>
        <w:t>Section 7.06(d)</w:t>
      </w:r>
      <w:r>
        <w:rPr>
          <w:rFonts w:ascii="Arial" w:cs="Arial" w:eastAsia="Arial" w:hAnsi="Arial"/>
          <w:sz w:val="20"/>
          <w:szCs w:val="20"/>
          <w:color w:val="auto"/>
        </w:rPr>
        <w:t xml:space="preserve"> and (e) the incurrence of any Indebtedness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7.03(r)</w:t>
      </w:r>
      <w:r>
        <w:rPr>
          <w:rFonts w:ascii="Arial" w:cs="Arial" w:eastAsia="Arial" w:hAnsi="Arial"/>
          <w:sz w:val="20"/>
          <w:szCs w:val="20"/>
          <w:color w:val="auto"/>
        </w:rPr>
        <w:t xml:space="preserve"> as the context may require.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07"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76"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Guarantors</w:t>
      </w:r>
      <w:r>
        <w:rPr>
          <w:rFonts w:ascii="Arial" w:cs="Arial" w:eastAsia="Arial" w:hAnsi="Arial"/>
          <w:sz w:val="19"/>
          <w:szCs w:val="19"/>
          <w:color w:val="auto"/>
        </w:rPr>
        <w:t xml:space="preserve">” means, collectively, each Subsidiary (whether now existing or hereafter created or acquired) who is a party to the Subsidiary Guaranty and has otherwise satisfied all of the conditions required of it under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6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Guaranty</w:t>
      </w:r>
      <w:r>
        <w:rPr>
          <w:rFonts w:ascii="Arial" w:cs="Arial" w:eastAsia="Arial" w:hAnsi="Arial"/>
          <w:sz w:val="20"/>
          <w:szCs w:val="20"/>
          <w:color w:val="auto"/>
        </w:rPr>
        <w:t>” means the Subsidiary Guaranty Agreement dated as of the Closing Date, executed by the Subsidiary Guarantors in favor of the Administrative Agent for the benefit of the Guaranteed Parties, as supplemented from time to time by execution and delivery of Subsidiary Guaranty Joinder Agreements.</w:t>
      </w:r>
    </w:p>
    <w:p>
      <w:pPr>
        <w:spacing w:after="0" w:line="184" w:lineRule="exact"/>
        <w:rPr>
          <w:sz w:val="20"/>
          <w:szCs w:val="20"/>
          <w:color w:val="auto"/>
        </w:rPr>
      </w:pPr>
    </w:p>
    <w:p>
      <w:pPr>
        <w:jc w:val="both"/>
        <w:ind w:left="120" w:firstLine="59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 Joinder Agreement</w:t>
      </w:r>
      <w:r>
        <w:rPr>
          <w:rFonts w:ascii="Arial" w:cs="Arial" w:eastAsia="Arial" w:hAnsi="Arial"/>
          <w:sz w:val="18"/>
          <w:szCs w:val="18"/>
          <w:color w:val="auto"/>
        </w:rPr>
        <w:t xml:space="preserve">” means each Subsidiary Guaranty Joinder Agreement, substantially in the form thereof attached to the Subsidiary Guaranty, executed and delivered by a Restricted Subsidiary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otherwise.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3.03(d)</w:t>
      </w:r>
      <w:r>
        <w:rPr>
          <w:rFonts w:ascii="Arial" w:cs="Arial" w:eastAsia="Arial" w:hAnsi="Arial"/>
          <w:sz w:val="20"/>
          <w:szCs w:val="20"/>
          <w:color w:val="auto"/>
        </w:rPr>
        <w:t>.</w:t>
      </w:r>
    </w:p>
    <w:p>
      <w:pPr>
        <w:spacing w:after="0" w:line="207"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w:t>
      </w:r>
      <w:r>
        <w:rPr>
          <w:rFonts w:ascii="Arial" w:cs="Arial" w:eastAsia="Arial" w:hAnsi="Arial"/>
          <w:sz w:val="20"/>
          <w:szCs w:val="20"/>
          <w:color w:val="auto"/>
        </w:rPr>
        <w:t>” means (i) Travelers Casualty and Surety Company of America and its successors and permitted assigns or (ii) any Person who replaces or supplements the Person identified in clause (i) under the applicable Surety Credit Documents as executor or procurer of bonds pursuant to such Surety Credit Documents, and their co-sureties and reinsurers, and their respective successors and permitted assigns.</w:t>
      </w:r>
    </w:p>
    <w:p>
      <w:pPr>
        <w:spacing w:after="0" w:line="235"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 Bond Obligations</w:t>
      </w:r>
      <w:r>
        <w:rPr>
          <w:rFonts w:ascii="Arial" w:cs="Arial" w:eastAsia="Arial" w:hAnsi="Arial"/>
          <w:sz w:val="19"/>
          <w:szCs w:val="19"/>
          <w:color w:val="auto"/>
        </w:rPr>
        <w:t>” means obligations to the issuers of surety bonds for the account of the Company or a Subsidiary, which for all purposes herein shall be calculated based on the estimated cost to complete the applicable projects taking into consideration the progress made on any such projects and not the face value or penal sum of such surety bonds.</w:t>
      </w:r>
    </w:p>
    <w:p>
      <w:pPr>
        <w:spacing w:after="0" w:line="171" w:lineRule="exact"/>
        <w:rPr>
          <w:sz w:val="20"/>
          <w:szCs w:val="20"/>
          <w:color w:val="auto"/>
        </w:rPr>
      </w:pPr>
    </w:p>
    <w:p>
      <w:pPr>
        <w:ind w:left="120" w:right="18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 Credit Documents</w:t>
      </w:r>
      <w:r>
        <w:rPr>
          <w:rFonts w:ascii="Arial" w:cs="Arial" w:eastAsia="Arial" w:hAnsi="Arial"/>
          <w:sz w:val="20"/>
          <w:szCs w:val="20"/>
          <w:color w:val="auto"/>
        </w:rPr>
        <w:t>” means, with respect to any Indemnity Agreement, such Indemnity Agreement and each document entered into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38" w:name="page139"/>
    <w:bookmarkEnd w:id="138"/>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Coordinator</w:t>
      </w:r>
      <w:r>
        <w:rPr>
          <w:rFonts w:ascii="Arial" w:cs="Arial" w:eastAsia="Arial" w:hAnsi="Arial"/>
          <w:sz w:val="20"/>
          <w:szCs w:val="20"/>
          <w:color w:val="auto"/>
        </w:rPr>
        <w:t>” means BAS, in its capacity as the sustainability coordinator.</w:t>
      </w:r>
    </w:p>
    <w:p>
      <w:pPr>
        <w:spacing w:after="0" w:line="207" w:lineRule="exact"/>
        <w:rPr>
          <w:sz w:val="20"/>
          <w:szCs w:val="20"/>
          <w:color w:val="auto"/>
        </w:rPr>
      </w:pPr>
    </w:p>
    <w:p>
      <w:pPr>
        <w:ind w:right="600" w:firstLine="7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Sustainability Linked Loan Principles</w:t>
      </w:r>
      <w:r>
        <w:rPr>
          <w:rFonts w:ascii="Arial" w:cs="Arial" w:eastAsia="Arial" w:hAnsi="Arial"/>
          <w:sz w:val="19"/>
          <w:szCs w:val="19"/>
          <w:color w:val="auto"/>
        </w:rPr>
        <w:t>” means the Sustainability Linked Loan Principles (as published in May 2021 by the Loan Market Association, Asia Pacific Loan Market Association and Loan Syndications &amp; Trading Association).</w:t>
      </w:r>
    </w:p>
    <w:p>
      <w:pPr>
        <w:spacing w:after="0" w:line="167" w:lineRule="exact"/>
        <w:rPr>
          <w:sz w:val="20"/>
          <w:szCs w:val="20"/>
          <w:color w:val="auto"/>
        </w:rPr>
      </w:pPr>
    </w:p>
    <w:p>
      <w:pPr>
        <w:jc w:val="both"/>
        <w:ind w:left="160" w:right="200" w:firstLine="59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91" w:lineRule="exact"/>
        <w:rPr>
          <w:sz w:val="20"/>
          <w:szCs w:val="20"/>
          <w:color w:val="auto"/>
        </w:rPr>
      </w:pPr>
    </w:p>
    <w:p>
      <w:pPr>
        <w:jc w:val="both"/>
        <w:ind w:left="160" w:right="2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2" w:lineRule="exact"/>
        <w:rPr>
          <w:sz w:val="20"/>
          <w:szCs w:val="20"/>
          <w:color w:val="auto"/>
        </w:rPr>
      </w:pPr>
    </w:p>
    <w:p>
      <w:pPr>
        <w:jc w:val="both"/>
        <w:ind w:left="160" w:right="200" w:firstLine="598"/>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color w:val="181818"/>
        </w:rPr>
        <w:t>“</w:t>
      </w:r>
      <w:r>
        <w:rPr>
          <w:rFonts w:ascii="Arial" w:cs="Arial" w:eastAsia="Arial" w:hAnsi="Arial"/>
          <w:sz w:val="18"/>
          <w:szCs w:val="18"/>
          <w:u w:val="single" w:color="auto"/>
          <w:color w:val="181818"/>
        </w:rPr>
        <w:t>Swing Line Commitment</w:t>
      </w:r>
      <w:r>
        <w:rPr>
          <w:rFonts w:ascii="Arial" w:cs="Arial" w:eastAsia="Arial" w:hAnsi="Arial"/>
          <w:sz w:val="18"/>
          <w:szCs w:val="18"/>
          <w:color w:val="181818"/>
        </w:rPr>
        <w:t xml:space="preserve">” means as to any Lender (a) the amount set forth opposite such Lender’s name on </w:t>
      </w:r>
      <w:r>
        <w:rPr>
          <w:rFonts w:ascii="Arial" w:cs="Arial" w:eastAsia="Arial" w:hAnsi="Arial"/>
          <w:sz w:val="18"/>
          <w:szCs w:val="18"/>
          <w:u w:val="single" w:color="auto"/>
          <w:color w:val="181818"/>
        </w:rPr>
        <w:t>Annex II-B</w:t>
      </w:r>
      <w:r>
        <w:rPr>
          <w:rFonts w:ascii="Arial" w:cs="Arial" w:eastAsia="Arial" w:hAnsi="Arial"/>
          <w:sz w:val="18"/>
          <w:szCs w:val="18"/>
          <w:color w:val="181818"/>
        </w:rPr>
        <w:t xml:space="preserve"> hereof or</w:t>
      </w:r>
    </w:p>
    <w:p>
      <w:pPr>
        <w:spacing w:after="0" w:line="9" w:lineRule="exact"/>
        <w:rPr>
          <w:sz w:val="20"/>
          <w:szCs w:val="20"/>
          <w:color w:val="auto"/>
        </w:rPr>
      </w:pPr>
    </w:p>
    <w:p>
      <w:pPr>
        <w:ind w:right="40"/>
        <w:spacing w:after="0" w:line="221" w:lineRule="auto"/>
        <w:tabs>
          <w:tab w:leader="none" w:pos="283" w:val="left"/>
        </w:tabs>
        <w:numPr>
          <w:ilvl w:val="0"/>
          <w:numId w:val="64"/>
        </w:numPr>
        <w:rPr>
          <w:rFonts w:ascii="Arial" w:cs="Arial" w:eastAsia="Arial" w:hAnsi="Arial"/>
          <w:sz w:val="20"/>
          <w:szCs w:val="20"/>
          <w:color w:val="181818"/>
        </w:rPr>
      </w:pPr>
      <w:r>
        <w:rPr>
          <w:rFonts w:ascii="Arial" w:cs="Arial" w:eastAsia="Arial" w:hAnsi="Arial"/>
          <w:sz w:val="20"/>
          <w:szCs w:val="20"/>
          <w:color w:val="181818"/>
        </w:rPr>
        <w:t xml:space="preserve">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Arial" w:cs="Arial" w:eastAsia="Arial" w:hAnsi="Arial"/>
          <w:sz w:val="20"/>
          <w:szCs w:val="20"/>
          <w:u w:val="single" w:color="auto"/>
          <w:color w:val="181818"/>
        </w:rPr>
        <w:t>Section 10.06(c)</w:t>
      </w:r>
      <w:r>
        <w:rPr>
          <w:rFonts w:ascii="Arial" w:cs="Arial" w:eastAsia="Arial" w:hAnsi="Arial"/>
          <w:sz w:val="20"/>
          <w:szCs w:val="20"/>
          <w:color w:val="181818"/>
        </w:rPr>
        <w:t>.</w:t>
      </w:r>
    </w:p>
    <w:p>
      <w:pPr>
        <w:spacing w:after="0" w:line="185" w:lineRule="exact"/>
        <w:rPr>
          <w:sz w:val="20"/>
          <w:szCs w:val="20"/>
          <w:color w:val="auto"/>
        </w:rPr>
      </w:pPr>
    </w:p>
    <w:p>
      <w:pPr>
        <w:ind w:left="160" w:right="22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xml:space="preserve">” means Bank of America </w:t>
      </w:r>
      <w:r>
        <w:rPr>
          <w:rFonts w:ascii="Arial" w:cs="Arial" w:eastAsia="Arial" w:hAnsi="Arial"/>
          <w:sz w:val="20"/>
          <w:szCs w:val="20"/>
          <w:color w:val="181818"/>
        </w:rPr>
        <w:t>(through itself or through one of its designated Affiliates or branch offices)</w:t>
      </w:r>
      <w:r>
        <w:rPr>
          <w:rFonts w:ascii="Arial" w:cs="Arial" w:eastAsia="Arial" w:hAnsi="Arial"/>
          <w:sz w:val="20"/>
          <w:szCs w:val="20"/>
          <w:color w:val="auto"/>
        </w:rPr>
        <w:t xml:space="preserve"> in its capacity as provider of Swing Line Loans, or any successor swing line lender hereunder.</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94" w:lineRule="exact"/>
        <w:rPr>
          <w:sz w:val="20"/>
          <w:szCs w:val="20"/>
          <w:color w:val="auto"/>
        </w:rPr>
      </w:pPr>
    </w:p>
    <w:p>
      <w:pPr>
        <w:ind w:left="160" w:right="200" w:firstLine="5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200"/>
          </w:cols>
          <w:pgMar w:left="320" w:top="1331" w:right="379" w:bottom="1440" w:gutter="0" w:footer="0" w:header="0"/>
        </w:sectPr>
      </w:pPr>
    </w:p>
    <w:bookmarkStart w:id="139" w:name="page140"/>
    <w:bookmarkEnd w:id="139"/>
    <w:p>
      <w:pPr>
        <w:jc w:val="both"/>
        <w:ind w:left="120"/>
        <w:spacing w:after="0" w:line="239" w:lineRule="auto"/>
        <w:rPr>
          <w:sz w:val="20"/>
          <w:szCs w:val="20"/>
          <w:color w:val="auto"/>
        </w:rPr>
      </w:pPr>
      <w:r>
        <w:rPr>
          <w:rFonts w:ascii="Arial" w:cs="Arial" w:eastAsia="Arial" w:hAnsi="Arial"/>
          <w:sz w:val="19"/>
          <w:szCs w:val="19"/>
          <w:color w:val="auto"/>
        </w:rPr>
        <w:t>other form as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$125,000,000, as such amount may be adjusted from time to time in accordance with this Agreement, and (b) the Aggregate (USD) Commitments. The Swing Line Sublimit is part of, and not in addition to, the Aggregate (USD) Commitments.</w:t>
      </w:r>
    </w:p>
    <w:p>
      <w:pPr>
        <w:spacing w:after="0" w:line="171"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 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5"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2.01(c)</w:t>
      </w:r>
      <w:r>
        <w:rPr>
          <w:rFonts w:ascii="Arial" w:cs="Arial" w:eastAsia="Arial" w:hAnsi="Arial"/>
          <w:sz w:val="20"/>
          <w:szCs w:val="20"/>
          <w:color w:val="auto"/>
        </w:rPr>
        <w:t>.</w:t>
      </w:r>
    </w:p>
    <w:p>
      <w:pPr>
        <w:spacing w:after="0" w:line="194"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Borrowing</w:t>
      </w:r>
      <w:r>
        <w:rPr>
          <w:rFonts w:ascii="Arial" w:cs="Arial" w:eastAsia="Arial" w:hAnsi="Arial"/>
          <w:sz w:val="19"/>
          <w:szCs w:val="19"/>
          <w:color w:val="auto"/>
        </w:rPr>
        <w:t xml:space="preserve">” means a borrowing consisting of simultaneous Term Loans of the same Type and, in the case of Eurocurrency Rate Loans, having the same Interest Period made by each of the Term Loan Lenders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w:t>
      </w:r>
    </w:p>
    <w:p>
      <w:pPr>
        <w:spacing w:after="0" w:line="167" w:lineRule="exact"/>
        <w:rPr>
          <w:sz w:val="20"/>
          <w:szCs w:val="20"/>
          <w:color w:val="auto"/>
        </w:rPr>
      </w:pPr>
    </w:p>
    <w:p>
      <w:pPr>
        <w:jc w:val="both"/>
        <w:ind w:left="120" w:firstLine="598"/>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a single Term Loan to the Borrowers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on the Closing Date in a principal amount not to exceed the amount set forth opposite such Lender’s name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Facility</w:t>
      </w:r>
      <w:r>
        <w:rPr>
          <w:rFonts w:ascii="Arial" w:cs="Arial" w:eastAsia="Arial" w:hAnsi="Arial"/>
          <w:sz w:val="19"/>
          <w:szCs w:val="19"/>
          <w:color w:val="auto"/>
        </w:rPr>
        <w:t xml:space="preserve">” means, at any time, the term loan facility provided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of this Agreement.</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at any time, any Lender that has a Term Loan Commitment or an outstanding Term Loan at such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time.</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$75,000,000.</w:t>
      </w:r>
    </w:p>
    <w:p>
      <w:pPr>
        <w:spacing w:after="0" w:line="207"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sum of the unused Commitments of such Lender at such time, the aggregate principal amount at such time of its outstanding Loans and the amount of such Lender’s participations in L/C Obligations, Bankers’ Acceptances and Swing Line Loans at such time.</w:t>
      </w:r>
    </w:p>
    <w:p>
      <w:pPr>
        <w:spacing w:after="0" w:line="196" w:lineRule="exact"/>
        <w:rPr>
          <w:sz w:val="20"/>
          <w:szCs w:val="20"/>
          <w:color w:val="auto"/>
        </w:rPr>
      </w:pPr>
    </w:p>
    <w:p>
      <w:pPr>
        <w:ind w:left="120" w:right="120" w:firstLine="59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(USD) Outstandings</w:t>
      </w:r>
      <w:r>
        <w:rPr>
          <w:rFonts w:ascii="Arial" w:cs="Arial" w:eastAsia="Arial" w:hAnsi="Arial"/>
          <w:sz w:val="20"/>
          <w:szCs w:val="20"/>
          <w:color w:val="auto"/>
        </w:rPr>
        <w:t>” means the aggregate Outstanding Amount of all Committed (USD) Loans, Swing Line Loans and all L/C Obligations.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TPEC</w:t>
      </w:r>
      <w:r>
        <w:rPr>
          <w:rFonts w:ascii="Arial" w:cs="Arial" w:eastAsia="Arial" w:hAnsi="Arial"/>
          <w:sz w:val="20"/>
          <w:szCs w:val="20"/>
          <w:color w:val="auto"/>
        </w:rPr>
        <w:t>” has the meaning specified in the definition of Foreign Finance Company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40" w:name="page141"/>
    <w:bookmarkEnd w:id="140"/>
    <w:p>
      <w:pPr>
        <w:ind w:firstLine="74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”means, with respect to a Committed Loan or a Term Loan, its character as a Base Rate Loan, a Eurocurrency Rate Loan or an Alternative Currency Term Rate Loan.</w:t>
      </w:r>
    </w:p>
    <w:p>
      <w:pPr>
        <w:spacing w:after="0" w:line="184" w:lineRule="exact"/>
        <w:rPr>
          <w:sz w:val="20"/>
          <w:szCs w:val="20"/>
          <w:color w:val="auto"/>
        </w:rPr>
      </w:pPr>
    </w:p>
    <w:p>
      <w:pPr>
        <w:ind w:right="100" w:firstLine="74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2.03(d)(i)</w:t>
      </w:r>
      <w:r>
        <w:rPr>
          <w:rFonts w:ascii="Arial" w:cs="Arial" w:eastAsia="Arial" w:hAnsi="Arial"/>
          <w:sz w:val="20"/>
          <w:szCs w:val="20"/>
          <w:color w:val="auto"/>
        </w:rPr>
        <w:t>.</w:t>
      </w:r>
    </w:p>
    <w:p>
      <w:pPr>
        <w:spacing w:after="0" w:line="207" w:lineRule="exact"/>
        <w:rPr>
          <w:sz w:val="20"/>
          <w:szCs w:val="20"/>
          <w:color w:val="auto"/>
        </w:rPr>
      </w:pPr>
    </w:p>
    <w:p>
      <w:pPr>
        <w:jc w:val="both"/>
        <w:ind w:left="160" w:right="100" w:firstLine="598"/>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Domestic Cash</w:t>
      </w:r>
      <w:r>
        <w:rPr>
          <w:rFonts w:ascii="Arial" w:cs="Arial" w:eastAsia="Arial" w:hAnsi="Arial"/>
          <w:sz w:val="20"/>
          <w:szCs w:val="20"/>
          <w:color w:val="auto"/>
        </w:rPr>
        <w:t xml:space="preserve">” means, at any time, the positive excess, if any, of (a) 100% of the cash of the Company and its Restricted Subsidiaries maintained in accounts located in the United States that is not subject to any Lien (other than Liens permitted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7.01(j)</w:t>
      </w:r>
      <w:r>
        <w:rPr>
          <w:rFonts w:ascii="Arial" w:cs="Arial" w:eastAsia="Arial" w:hAnsi="Arial"/>
          <w:sz w:val="20"/>
          <w:szCs w:val="20"/>
          <w:color w:val="auto"/>
        </w:rPr>
        <w:t>) or any restriction as to its use and would not appear as “restricted” on a consolidated balance sheet of the Company and its Restricted Subsidiaries (but in any event not including amounts held as Cash Collateral) over (b) $10,000,000.</w:t>
      </w:r>
    </w:p>
    <w:p>
      <w:pPr>
        <w:spacing w:after="0" w:line="187" w:lineRule="exact"/>
        <w:rPr>
          <w:sz w:val="20"/>
          <w:szCs w:val="20"/>
          <w:color w:val="auto"/>
        </w:rPr>
      </w:pPr>
    </w:p>
    <w:p>
      <w:pPr>
        <w:jc w:val="both"/>
        <w:ind w:left="160" w:right="100" w:firstLine="59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each Subsidiary of the Company listed as an “Unrestricted Subsidiary” on Part (d)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(b) each Person that becomes a Subsidiary of the Company after the date hereof (whether by reason of being newly created, by acquisition or otherwise) if, at the time such Person becomes a Subsidiary, the Company notifies the Administrative Agent that such Person shall be an Unrestricted Subsidiary for purposes of this Agreement in accordance with </w:t>
      </w:r>
      <w:r>
        <w:rPr>
          <w:rFonts w:ascii="Arial" w:cs="Arial" w:eastAsia="Arial" w:hAnsi="Arial"/>
          <w:sz w:val="18"/>
          <w:szCs w:val="18"/>
          <w:u w:val="single" w:color="auto"/>
          <w:color w:val="auto"/>
        </w:rPr>
        <w:t>Section 6.12(d)</w:t>
      </w:r>
      <w:r>
        <w:rPr>
          <w:rFonts w:ascii="Arial" w:cs="Arial" w:eastAsia="Arial" w:hAnsi="Arial"/>
          <w:sz w:val="18"/>
          <w:szCs w:val="18"/>
          <w:color w:val="auto"/>
        </w:rPr>
        <w:t xml:space="preserve"> (in which case all Investments made in such Person by the Company or any Restricted Subsidiary in connection with its becoming a Subsidiary shall be deemed to be Investments in an Unrestricted Subsidiary for purposes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all arrangements between such Person and the Company or any Restricted Subsidiary in existence at the time it becomes an Unrestricted Subsidiary shall be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7.08</w:t>
      </w:r>
      <w:r>
        <w:rPr>
          <w:rFonts w:ascii="Arial" w:cs="Arial" w:eastAsia="Arial" w:hAnsi="Arial"/>
          <w:sz w:val="18"/>
          <w:szCs w:val="18"/>
          <w:color w:val="auto"/>
        </w:rPr>
        <w:t xml:space="preserve">), (c) each Subsidiary that is designated as an Unrestricted Subsidiary pursuant to </w:t>
      </w:r>
      <w:r>
        <w:rPr>
          <w:rFonts w:ascii="Arial" w:cs="Arial" w:eastAsia="Arial" w:hAnsi="Arial"/>
          <w:sz w:val="18"/>
          <w:szCs w:val="18"/>
          <w:u w:val="single" w:color="auto"/>
          <w:color w:val="auto"/>
        </w:rPr>
        <w:t>Section 6.12(d)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(b) and (c), such designation shall be deemed to be an Investment on the date of such designation in an Unrestricted Subsidiary in an amount equal to the sum of (i) the Company’s direct or indirect equity ownership percentage of the net worth of such designated Restricted Subsidiary immediately prior to such designation (such net worth to be calculated without regard to any guarantee provided by such designated Restricted Subsidiary) and (ii) the aggregate principal amount of any Indebtedness owed by such designated Restricted Subsidiary to the Company or any Restricted Subsidiary immediately prior to such designation, all calculated except as set forth in the parenthetical to clause (i), on a consolidated basis in accordance with GAAP, and (d) each Subsidiary of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sake of clarity, (x) each Loan Party is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a Restricted Subsidiary, (y) if any Unrestricted Subsidiary becomes a Loan Party it shall automatically and simultaneously be deemed a Restricted Subsidiary without any required action on behalf of the Company or any other Person and (z) each Subsidiary shall be deemed a Restricted Subsidiary unless it shall have been designated as an Unrestricted Subsidiary in accordance with this Agreement. 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43</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00"/>
          </w:cols>
          <w:pgMar w:left="320" w:top="1306" w:right="479" w:bottom="1440" w:gutter="0" w:footer="0" w:header="0"/>
        </w:sectPr>
      </w:pPr>
    </w:p>
    <w:bookmarkStart w:id="141" w:name="page142"/>
    <w:bookmarkEnd w:id="141"/>
    <w:p>
      <w:pPr>
        <w:spacing w:after="0" w:line="9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Holdco</w:t>
      </w:r>
      <w:r>
        <w:rPr>
          <w:rFonts w:ascii="Arial" w:cs="Arial" w:eastAsia="Arial" w:hAnsi="Arial"/>
          <w:sz w:val="20"/>
          <w:szCs w:val="20"/>
          <w:color w:val="auto"/>
        </w:rPr>
        <w:t>” has the meaning specified in the definition of Foreign Finance Company Plan.</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Commitment</w:t>
      </w:r>
      <w:r>
        <w:rPr>
          <w:rFonts w:ascii="Arial" w:cs="Arial" w:eastAsia="Arial" w:hAnsi="Arial"/>
          <w:sz w:val="20"/>
          <w:szCs w:val="20"/>
          <w:color w:val="auto"/>
        </w:rPr>
        <w:t>” means, as to each Lender, its obligation to (a) make Committed</w:t>
      </w:r>
    </w:p>
    <w:p>
      <w:pPr>
        <w:jc w:val="both"/>
        <w:ind w:left="120"/>
        <w:spacing w:after="0" w:line="216" w:lineRule="auto"/>
        <w:rPr>
          <w:sz w:val="20"/>
          <w:szCs w:val="20"/>
          <w:color w:val="auto"/>
        </w:rPr>
      </w:pPr>
      <w:r>
        <w:rPr>
          <w:rFonts w:ascii="Arial" w:cs="Arial" w:eastAsia="Arial" w:hAnsi="Arial"/>
          <w:sz w:val="20"/>
          <w:szCs w:val="20"/>
          <w:color w:val="auto"/>
        </w:rPr>
        <w:t xml:space="preserve">(USD) Loans to the Borrowers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caption “USD Commitment” or opposite such caption in the Assignment and Assumption pursuant to which such Lender becomes a party hereto, as applicable, as such amount may be adjusted from time to time in accordance with this Agreement.</w:t>
      </w:r>
    </w:p>
    <w:p>
      <w:pPr>
        <w:spacing w:after="0" w:line="185"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181818"/>
        </w:rPr>
        <w:t>“</w:t>
      </w:r>
      <w:r>
        <w:rPr>
          <w:rFonts w:ascii="Arial" w:cs="Arial" w:eastAsia="Arial" w:hAnsi="Arial"/>
          <w:sz w:val="19"/>
          <w:szCs w:val="19"/>
          <w:u w:val="single" w:color="auto"/>
          <w:color w:val="181818"/>
        </w:rPr>
        <w:t>UK Financial Institution</w:t>
      </w:r>
      <w:r>
        <w:rPr>
          <w:rFonts w:ascii="Arial" w:cs="Arial" w:eastAsia="Arial" w:hAnsi="Arial"/>
          <w:sz w:val="19"/>
          <w:szCs w:val="19"/>
          <w:color w:val="181818"/>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181818"/>
        </w:rPr>
        <w:t>“</w:t>
      </w:r>
      <w:r>
        <w:rPr>
          <w:rFonts w:ascii="Arial" w:cs="Arial" w:eastAsia="Arial" w:hAnsi="Arial"/>
          <w:sz w:val="20"/>
          <w:szCs w:val="20"/>
          <w:u w:val="single" w:color="auto"/>
          <w:color w:val="181818"/>
        </w:rPr>
        <w:t>UK Resolution Authority</w:t>
      </w:r>
      <w:r>
        <w:rPr>
          <w:rFonts w:ascii="Arial" w:cs="Arial" w:eastAsia="Arial" w:hAnsi="Arial"/>
          <w:sz w:val="20"/>
          <w:szCs w:val="20"/>
          <w:color w:val="181818"/>
        </w:rPr>
        <w:t>” means the Bank of England or any other public administrative authority having responsibility for the resolution of any UK Financial Institution</w:t>
      </w:r>
      <w:r>
        <w:rPr>
          <w:rFonts w:ascii="Arial" w:cs="Arial" w:eastAsia="Arial" w:hAnsi="Arial"/>
          <w:sz w:val="20"/>
          <w:szCs w:val="20"/>
          <w:b w:val="1"/>
          <w:bCs w:val="1"/>
          <w:color w:val="000000"/>
        </w:rPr>
        <w:t>.</w:t>
      </w:r>
    </w:p>
    <w:p>
      <w:pPr>
        <w:spacing w:after="0" w:line="184"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w:t>
      </w:r>
      <w:r>
        <w:rPr>
          <w:rFonts w:ascii="Arial" w:cs="Arial" w:eastAsia="Arial" w:hAnsi="Arial"/>
          <w:sz w:val="20"/>
          <w:szCs w:val="20"/>
          <w:color w:val="auto"/>
        </w:rPr>
        <w:t>” means, with respect to any direct or indirect Subsidiary of any Person, that 100% of the Equity Interests with ordinary voting power issued by such Subsidiary (other than directors’ qualifying shares and investment by foreign nationals mandated by applicable Law) is beneficially, owned, directly or indirectly, by such Person.</w:t>
      </w:r>
    </w:p>
    <w:p>
      <w:pPr>
        <w:spacing w:after="0" w:line="184"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as of any date of determination, for the Company and its Restricted Subsidiaries on a consolidated basis, the excess (if any) of consolidated current assets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consolidated current liabilities, in each case as calculated in accordance with GAAP and set forth on a consolidated balance sheet of the Company and its Restricted Subsidiaries as of such date.</w:t>
      </w:r>
    </w:p>
    <w:p>
      <w:pPr>
        <w:spacing w:after="0" w:line="231"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w:t>
      </w:r>
      <w:r>
        <w:rPr>
          <w:rFonts w:ascii="Arial" w:cs="Arial" w:eastAsia="Arial" w:hAnsi="Arial"/>
          <w:sz w:val="19"/>
          <w:szCs w:val="19"/>
          <w:color w:val="181818"/>
        </w:rPr>
        <w:t>(b) with respect to the</w:t>
      </w:r>
      <w:r>
        <w:rPr>
          <w:rFonts w:ascii="Arial" w:cs="Arial" w:eastAsia="Arial" w:hAnsi="Arial"/>
          <w:sz w:val="19"/>
          <w:szCs w:val="19"/>
          <w:color w:val="auto"/>
        </w:rPr>
        <w:t xml:space="preserve"> </w:t>
      </w:r>
      <w:r>
        <w:rPr>
          <w:rFonts w:ascii="Arial" w:cs="Arial" w:eastAsia="Arial" w:hAnsi="Arial"/>
          <w:sz w:val="19"/>
          <w:szCs w:val="19"/>
          <w:color w:val="181818"/>
        </w:rPr>
        <w:t>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19"/>
          <w:szCs w:val="19"/>
          <w:color w:val="000000"/>
        </w:rPr>
        <w:t>.</w:t>
      </w:r>
    </w:p>
    <w:p>
      <w:pPr>
        <w:spacing w:after="0" w:line="171"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1.02 Other Interpretive Provisions. </w:t>
      </w:r>
      <w:r>
        <w:rPr>
          <w:rFonts w:ascii="Arial" w:cs="Arial" w:eastAsia="Arial" w:hAnsi="Arial"/>
          <w:sz w:val="20"/>
          <w:szCs w:val="20"/>
          <w:color w:val="auto"/>
        </w:rPr>
        <w:t>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72" w:lineRule="exact"/>
        <w:rPr>
          <w:sz w:val="20"/>
          <w:szCs w:val="20"/>
          <w:color w:val="auto"/>
        </w:rPr>
      </w:pPr>
    </w:p>
    <w:p>
      <w:pPr>
        <w:jc w:val="both"/>
        <w:ind w:left="120" w:firstLine="605"/>
        <w:spacing w:after="0" w:line="227" w:lineRule="auto"/>
        <w:tabs>
          <w:tab w:leader="none" w:pos="115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20"/>
          <w:szCs w:val="20"/>
          <w:u w:val="single" w:color="auto"/>
          <w:color w:val="auto"/>
        </w:rPr>
        <w:t>include</w:t>
      </w:r>
      <w:r>
        <w:rPr>
          <w:rFonts w:ascii="Arial" w:cs="Arial" w:eastAsia="Arial" w:hAnsi="Arial"/>
          <w:sz w:val="20"/>
          <w:szCs w:val="20"/>
          <w:color w:val="auto"/>
        </w:rPr>
        <w:t>,” “</w:t>
      </w:r>
      <w:r>
        <w:rPr>
          <w:rFonts w:ascii="Arial" w:cs="Arial" w:eastAsia="Arial" w:hAnsi="Arial"/>
          <w:sz w:val="20"/>
          <w:szCs w:val="20"/>
          <w:u w:val="single" w:color="auto"/>
          <w:color w:val="auto"/>
        </w:rPr>
        <w:t>includes</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42" w:name="page143"/>
    <w:bookmarkEnd w:id="142"/>
    <w:p>
      <w:pPr>
        <w:jc w:val="both"/>
        <w:ind w:left="120"/>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9"/>
          <w:szCs w:val="19"/>
          <w:u w:val="single" w:color="auto"/>
          <w:color w:val="auto"/>
        </w:rPr>
        <w:t>hereto</w:t>
      </w:r>
      <w:r>
        <w:rPr>
          <w:rFonts w:ascii="Arial" w:cs="Arial" w:eastAsia="Arial" w:hAnsi="Arial"/>
          <w:sz w:val="19"/>
          <w:szCs w:val="19"/>
          <w:color w:val="auto"/>
        </w:rPr>
        <w:t>,”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Schedules and Annexes shall be construed to refer to Articles and Sections of, and Exhibits, Schedules and Annexes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179" w:lineRule="exact"/>
        <w:rPr>
          <w:sz w:val="20"/>
          <w:szCs w:val="20"/>
          <w:color w:val="auto"/>
        </w:rPr>
      </w:pPr>
    </w:p>
    <w:p>
      <w:pPr>
        <w:ind w:left="120" w:firstLine="605"/>
        <w:spacing w:after="0" w:line="258" w:lineRule="auto"/>
        <w:tabs>
          <w:tab w:leader="none" w:pos="1151"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216" w:lineRule="exact"/>
        <w:rPr>
          <w:rFonts w:ascii="Arial" w:cs="Arial" w:eastAsia="Arial" w:hAnsi="Arial"/>
          <w:sz w:val="19"/>
          <w:szCs w:val="19"/>
          <w:color w:val="auto"/>
        </w:rPr>
      </w:pPr>
    </w:p>
    <w:p>
      <w:pPr>
        <w:ind w:left="120" w:firstLine="605"/>
        <w:spacing w:after="0" w:line="236" w:lineRule="auto"/>
        <w:tabs>
          <w:tab w:leader="none" w:pos="1152" w:val="left"/>
        </w:tabs>
        <w:numPr>
          <w:ilvl w:val="0"/>
          <w:numId w:val="66"/>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84" w:lineRule="exact"/>
        <w:rPr>
          <w:rFonts w:ascii="Arial" w:cs="Arial" w:eastAsia="Arial" w:hAnsi="Arial"/>
          <w:sz w:val="20"/>
          <w:szCs w:val="20"/>
          <w:color w:val="auto"/>
        </w:rPr>
      </w:pPr>
    </w:p>
    <w:p>
      <w:pPr>
        <w:jc w:val="both"/>
        <w:ind w:left="120" w:firstLine="605"/>
        <w:spacing w:after="0" w:line="215" w:lineRule="auto"/>
        <w:tabs>
          <w:tab w:leader="none" w:pos="1151"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consolidation, assignment, sale, disposition or transfer, or similar term, shall be deemed to apply to a division of or by a limited liability company, a limited partnership or any other entity, or an allocation of assets to a series of a limited liability company, a limited partnership or any other entity (or the unwinding of such a division or allocation), as if it were a merger, transfer, consolidation, amalgamation, consolidation, assignment, sale, disposition or transfer, or similar term, as applicable, to, of or with a separate Person. Any division of a limited liability company, a limited partnership or any other entity shall constitute a separate Person hereunder (and each division of any limited liability company, a limited partnership or any other entity that is a Subsidiary, joint venture or any other like term shall also constitute such a Person or entity).</w:t>
      </w:r>
    </w:p>
    <w:p>
      <w:pPr>
        <w:spacing w:after="0" w:line="181" w:lineRule="exact"/>
        <w:rPr>
          <w:sz w:val="20"/>
          <w:szCs w:val="20"/>
          <w:color w:val="auto"/>
        </w:rPr>
      </w:pPr>
    </w:p>
    <w:p>
      <w:pPr>
        <w:jc w:val="both"/>
        <w:ind w:left="120" w:firstLine="598"/>
        <w:spacing w:after="0" w:line="258" w:lineRule="auto"/>
        <w:rPr>
          <w:sz w:val="20"/>
          <w:szCs w:val="20"/>
          <w:color w:val="auto"/>
        </w:rPr>
      </w:pPr>
      <w:r>
        <w:rPr>
          <w:rFonts w:ascii="Arial" w:cs="Arial" w:eastAsia="Arial" w:hAnsi="Arial"/>
          <w:sz w:val="17"/>
          <w:szCs w:val="17"/>
          <w:b w:val="1"/>
          <w:bCs w:val="1"/>
          <w:color w:val="auto"/>
        </w:rPr>
        <w:t xml:space="preserve">1.03 Accounting Terms.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Generally</w:t>
      </w:r>
      <w:r>
        <w:rPr>
          <w:rFonts w:ascii="Arial" w:cs="Arial" w:eastAsia="Arial" w:hAnsi="Arial"/>
          <w:sz w:val="17"/>
          <w:szCs w:val="17"/>
          <w:color w:val="auto"/>
        </w:rPr>
        <w:t>. All accounting terms not specifically or completely defined herein shall be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43" w:name="page144"/>
    <w:bookmarkEnd w:id="143"/>
    <w:p>
      <w:pPr>
        <w:jc w:val="both"/>
        <w:ind w:left="120" w:firstLine="605"/>
        <w:spacing w:after="0" w:line="224" w:lineRule="auto"/>
        <w:tabs>
          <w:tab w:leader="none" w:pos="115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(including any change required by the promulgation of any rule, regulation, pronouncement or opinion by the FASB or its successors)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until so amended, (A) such ratio or requirement shall continue to be computed in accordance with GAAP prior to such change therein and (B)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7" w:lineRule="exact"/>
        <w:rPr>
          <w:rFonts w:ascii="Arial" w:cs="Arial" w:eastAsia="Arial" w:hAnsi="Arial"/>
          <w:sz w:val="19"/>
          <w:szCs w:val="19"/>
          <w:color w:val="auto"/>
        </w:rPr>
      </w:pPr>
    </w:p>
    <w:p>
      <w:pPr>
        <w:jc w:val="both"/>
        <w:ind w:left="120" w:firstLine="605"/>
        <w:spacing w:after="0" w:line="217" w:lineRule="auto"/>
        <w:tabs>
          <w:tab w:leader="none" w:pos="115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xml:space="preserve">. All references herein to consolidated financial statements of the Company and its Subsidiaries or the Company and its Restricted Subsidiaries, as the case may be, or to the determination of any amount for the Company and its Subsidiaries on a consolidated basis or the Company and its Restricted Subsidiaries on a consolidated basis, as the case may be, or any similar reference shall, in each case, be deemed to include each variable interest entity that the Company is required to consolidate pursuant to </w:t>
      </w:r>
      <w:r>
        <w:rPr>
          <w:rFonts w:ascii="Arial" w:cs="Arial" w:eastAsia="Arial" w:hAnsi="Arial"/>
          <w:sz w:val="20"/>
          <w:szCs w:val="20"/>
          <w:u w:val="single" w:color="auto"/>
          <w:color w:val="auto"/>
        </w:rPr>
        <w:t>FASB ASC 810</w:t>
      </w:r>
      <w:r>
        <w:rPr>
          <w:rFonts w:ascii="Arial" w:cs="Arial" w:eastAsia="Arial" w:hAnsi="Arial"/>
          <w:sz w:val="20"/>
          <w:szCs w:val="20"/>
          <w:color w:val="auto"/>
        </w:rPr>
        <w:t xml:space="preserve"> as if such variable interest entity were a Subsidiary or a Restricted Subsidiary, as the case may be, as defined herein.</w:t>
      </w:r>
    </w:p>
    <w:p>
      <w:pPr>
        <w:spacing w:after="0" w:line="170"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1.04 Rounding. </w:t>
      </w:r>
      <w:r>
        <w:rPr>
          <w:rFonts w:ascii="Arial" w:cs="Arial" w:eastAsia="Arial" w:hAnsi="Arial"/>
          <w:sz w:val="20"/>
          <w:szCs w:val="20"/>
          <w:color w:val="auto"/>
        </w:rPr>
        <w:t>Any financial ratios required to be maintained by the Company pursuant to this Agreement shall be calculated</w:t>
      </w:r>
      <w:r>
        <w:rPr>
          <w:rFonts w:ascii="Arial" w:cs="Arial" w:eastAsia="Arial" w:hAnsi="Arial"/>
          <w:sz w:val="20"/>
          <w:szCs w:val="20"/>
          <w:b w:val="1"/>
          <w:bCs w:val="1"/>
          <w:color w:val="auto"/>
        </w:rPr>
        <w:t xml:space="preserve"> </w:t>
      </w:r>
      <w:r>
        <w:rPr>
          <w:rFonts w:ascii="Arial" w:cs="Arial" w:eastAsia="Arial" w:hAnsi="Arial"/>
          <w:sz w:val="20"/>
          <w:szCs w:val="20"/>
          <w:color w:val="auto"/>
        </w:rPr>
        <w:t>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8"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b w:val="1"/>
          <w:bCs w:val="1"/>
          <w:color w:val="auto"/>
        </w:rPr>
        <w:t xml:space="preserve">1.05 Exchange Rates; Currency Equivalents. </w:t>
      </w:r>
      <w:r>
        <w:rPr>
          <w:rFonts w:ascii="Arial" w:cs="Arial" w:eastAsia="Arial" w:hAnsi="Arial"/>
          <w:sz w:val="20"/>
          <w:szCs w:val="20"/>
          <w:color w:val="auto"/>
        </w:rPr>
        <w:t>(a) The Administrative Agent or the L/C Issuer, as applicable, shall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the Dollar Equivalent amounts of Credit Extensions and Outstanding Amounts denominated in Alternative Currencies as of each Revaluation Date.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73" w:lineRule="exact"/>
        <w:rPr>
          <w:sz w:val="20"/>
          <w:szCs w:val="20"/>
          <w:color w:val="auto"/>
        </w:rPr>
      </w:pPr>
    </w:p>
    <w:p>
      <w:pPr>
        <w:jc w:val="both"/>
        <w:ind w:left="120" w:firstLine="605"/>
        <w:spacing w:after="0" w:line="216" w:lineRule="auto"/>
        <w:tabs>
          <w:tab w:leader="none" w:pos="1006" w:val="left"/>
        </w:tabs>
        <w:numPr>
          <w:ilvl w:val="0"/>
          <w:numId w:val="68"/>
        </w:numPr>
        <w:rPr>
          <w:rFonts w:ascii="Arial" w:cs="Arial" w:eastAsia="Arial" w:hAnsi="Arial"/>
          <w:sz w:val="20"/>
          <w:szCs w:val="20"/>
          <w:color w:val="auto"/>
        </w:rPr>
      </w:pPr>
      <w:r>
        <w:rPr>
          <w:rFonts w:ascii="Arial" w:cs="Arial" w:eastAsia="Arial" w:hAnsi="Arial"/>
          <w:sz w:val="20"/>
          <w:szCs w:val="20"/>
          <w:color w:val="auto"/>
        </w:rPr>
        <w:t>Wherever in this Agreement in connection with a Committed (MC) Borrowing, the conversion, continuation or prepayment of a Eurocurrency Rate Loan or an Alternative Currency Term Rate Loan or the issuance, amendment or extension of a Letter of Credit or Bankers’ Acceptance, an amount, such as a required minimum or multiple amount, is expressed in Dollars, but such Committed (MC) Borrowing, Eurocurrency Rate Loan, Alternative Currency Term Rate Loan, Letter of Credit or Bankers’ Acceptance is denominated in an Alternative Currency, such amount shall be the Alternative Currency Equivalent of such Dollar amount (rounded to the nearest unit of such Alternative Currency, with 0.5 of a unit being rounded upward), as determined by the Administrative Agent or the L/C Issuer, as the case may be.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44" w:name="page145"/>
    <w:bookmarkEnd w:id="144"/>
    <w:p>
      <w:pPr>
        <w:spacing w:after="0" w:line="98"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1.06 Change of Currency. </w:t>
      </w:r>
      <w:r>
        <w:rPr>
          <w:rFonts w:ascii="Arial" w:cs="Arial" w:eastAsia="Arial" w:hAnsi="Arial"/>
          <w:sz w:val="20"/>
          <w:szCs w:val="20"/>
          <w:color w:val="auto"/>
        </w:rPr>
        <w:t>Each provision of this Agreement shall be subject to such reasonable changes of construction as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may from time to time specify to be appropriate to reflect a change in currency of any other country and any relevant market conventions or practices relating to the change in currency.</w:t>
      </w:r>
    </w:p>
    <w:p>
      <w:pPr>
        <w:spacing w:after="0" w:line="166"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1.07 Times of Day. </w:t>
      </w:r>
      <w:r>
        <w:rPr>
          <w:rFonts w:ascii="Arial" w:cs="Arial" w:eastAsia="Arial" w:hAnsi="Arial"/>
          <w:sz w:val="20"/>
          <w:szCs w:val="20"/>
          <w:color w:val="auto"/>
        </w:rPr>
        <w:t>Unless otherwise specified, all references herein to times of day shall be references to Eastern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79" w:lineRule="exact"/>
        <w:rPr>
          <w:sz w:val="20"/>
          <w:szCs w:val="20"/>
          <w:color w:val="auto"/>
        </w:rPr>
      </w:pPr>
    </w:p>
    <w:p>
      <w:pPr>
        <w:jc w:val="both"/>
        <w:ind w:left="120" w:firstLine="598"/>
        <w:spacing w:after="0" w:line="228" w:lineRule="auto"/>
        <w:rPr>
          <w:sz w:val="20"/>
          <w:szCs w:val="20"/>
          <w:color w:val="auto"/>
        </w:rPr>
      </w:pPr>
      <w:r>
        <w:rPr>
          <w:rFonts w:ascii="Arial" w:cs="Arial" w:eastAsia="Arial" w:hAnsi="Arial"/>
          <w:sz w:val="19"/>
          <w:szCs w:val="19"/>
          <w:b w:val="1"/>
          <w:bCs w:val="1"/>
          <w:color w:val="auto"/>
        </w:rPr>
        <w:t xml:space="preserve">1.08 Letter of Credit Amounts. </w:t>
      </w:r>
      <w:r>
        <w:rPr>
          <w:rFonts w:ascii="Arial" w:cs="Arial" w:eastAsia="Arial" w:hAnsi="Arial"/>
          <w:sz w:val="19"/>
          <w:szCs w:val="19"/>
          <w:color w:val="auto"/>
        </w:rPr>
        <w:t>Unless otherwise specified herein, (a) the amount of a Letter of Credit at any time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and (b) the amount of any Bankers’ Acceptance at any time shall be deemed to be the face value of such Bankers’ Acceptance without respect to any discounts.</w:t>
      </w:r>
    </w:p>
    <w:p>
      <w:pPr>
        <w:spacing w:after="0" w:line="182" w:lineRule="exact"/>
        <w:rPr>
          <w:sz w:val="20"/>
          <w:szCs w:val="20"/>
          <w:color w:val="auto"/>
        </w:rPr>
      </w:pPr>
    </w:p>
    <w:p>
      <w:pPr>
        <w:jc w:val="both"/>
        <w:ind w:left="120" w:firstLine="598"/>
        <w:spacing w:after="0" w:line="225" w:lineRule="auto"/>
        <w:rPr>
          <w:sz w:val="20"/>
          <w:szCs w:val="20"/>
          <w:color w:val="auto"/>
        </w:rPr>
      </w:pPr>
      <w:r>
        <w:rPr>
          <w:rFonts w:ascii="Arial" w:cs="Arial" w:eastAsia="Arial" w:hAnsi="Arial"/>
          <w:sz w:val="19"/>
          <w:szCs w:val="19"/>
          <w:b w:val="1"/>
          <w:bCs w:val="1"/>
          <w:color w:val="auto"/>
        </w:rPr>
        <w:t xml:space="preserve">1.09 Making Calculations on a Pro Forma Basis. </w:t>
      </w:r>
      <w:r>
        <w:rPr>
          <w:rFonts w:ascii="Arial" w:cs="Arial" w:eastAsia="Arial" w:hAnsi="Arial"/>
          <w:sz w:val="19"/>
          <w:szCs w:val="19"/>
          <w:color w:val="auto"/>
        </w:rPr>
        <w:t>When calculating Consolidated EBITDA or Consolidated Interest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any period in order to determine compliance with the financial maintenance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or in order to determine the Applicable Rate or whether a Subsidiary is a Material Subsidiary, such calculations shall be made on a Pro Forma Basis with respect to each Specified Acquisition or Specified Disposition that occurred during such period. When calculating any financial ratio incurrence test or other incurrence test hereunder at any time in connection with any proposed Specified Transaction, such calculation shall be made (i) based on the financial results for the most recently ended period of four consecutive fiscal quarters for which financial statements have been delivered to the Administrative Agent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prior to the first delivery thereof, the financial statements described in </w:t>
      </w:r>
      <w:r>
        <w:rPr>
          <w:rFonts w:ascii="Arial" w:cs="Arial" w:eastAsia="Arial" w:hAnsi="Arial"/>
          <w:sz w:val="19"/>
          <w:szCs w:val="19"/>
          <w:u w:val="single" w:color="auto"/>
          <w:color w:val="auto"/>
        </w:rPr>
        <w:t>Section 5.05(b)</w:t>
      </w:r>
      <w:r>
        <w:rPr>
          <w:rFonts w:ascii="Arial" w:cs="Arial" w:eastAsia="Arial" w:hAnsi="Arial"/>
          <w:sz w:val="19"/>
          <w:szCs w:val="19"/>
          <w:color w:val="auto"/>
        </w:rPr>
        <w:t>) but assuming all Indebtedness outstanding at such time was outstanding as of the last day of such period and (ii) on a Pro Forma Basis with respect to the proposed Specified Transaction and each other Specified Transaction that has occurred since the first day of such period of four consecutive fiscal quarters through the day on which the proposed Specified Transaction is to be consummated.</w:t>
      </w:r>
    </w:p>
    <w:p>
      <w:pPr>
        <w:spacing w:after="0" w:line="169" w:lineRule="exact"/>
        <w:rPr>
          <w:sz w:val="20"/>
          <w:szCs w:val="20"/>
          <w:color w:val="auto"/>
        </w:rPr>
      </w:pPr>
    </w:p>
    <w:p>
      <w:pPr>
        <w:jc w:val="both"/>
        <w:ind w:left="120" w:firstLine="598"/>
        <w:spacing w:after="0" w:line="228" w:lineRule="auto"/>
        <w:rPr>
          <w:sz w:val="20"/>
          <w:szCs w:val="20"/>
          <w:color w:val="auto"/>
        </w:rPr>
      </w:pPr>
      <w:r>
        <w:rPr>
          <w:rFonts w:ascii="Arial" w:cs="Arial" w:eastAsia="Arial" w:hAnsi="Arial"/>
          <w:sz w:val="19"/>
          <w:szCs w:val="19"/>
          <w:b w:val="1"/>
          <w:bCs w:val="1"/>
          <w:color w:val="auto"/>
        </w:rPr>
        <w:t xml:space="preserve">1.10 Interest Rates. </w:t>
      </w:r>
      <w:r>
        <w:rPr>
          <w:rFonts w:ascii="Arial" w:cs="Arial" w:eastAsia="Arial" w:hAnsi="Arial"/>
          <w:sz w:val="19"/>
          <w:szCs w:val="19"/>
          <w:color w:val="auto"/>
        </w:rPr>
        <w:t>The Administrative Agent does not warrant, nor accept responsibility, nor shall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any liability with respect to the administration, submission or any other matter related to the rates in the definition of “Eurocurrency Rate”, “Alternative Currency Term Rate” or with respect to any rate (including, for the avoidance of doubt, the selection of such rate and any related spread or other adjustment) that is an alternative or replacement for or successor to any such rate (including, without limitation, any Benchmark Replacement or Successor Rate (as each such term is defined in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the effect of any of the foregoing, or of any Benchmark Replacement Conforming Changes or Successor Rate Conforming Changes (as each such term is defined in </w:t>
      </w:r>
      <w:r>
        <w:rPr>
          <w:rFonts w:ascii="Arial" w:cs="Arial" w:eastAsia="Arial" w:hAnsi="Arial"/>
          <w:sz w:val="19"/>
          <w:szCs w:val="19"/>
          <w:u w:val="single" w:color="auto"/>
          <w:color w:val="auto"/>
        </w:rPr>
        <w:t>Section 3.03</w:t>
      </w:r>
      <w:r>
        <w:rPr>
          <w:rFonts w:ascii="Arial" w:cs="Arial" w:eastAsia="Arial" w:hAnsi="Arial"/>
          <w:sz w:val="19"/>
          <w:szCs w:val="19"/>
          <w:color w:val="auto"/>
        </w:rPr>
        <w:t>).</w:t>
      </w:r>
    </w:p>
    <w:p>
      <w:pPr>
        <w:spacing w:after="0" w:line="170"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1.11 Currency Equivalents Generally. </w:t>
      </w:r>
      <w:r>
        <w:rPr>
          <w:rFonts w:ascii="Arial" w:cs="Arial" w:eastAsia="Arial" w:hAnsi="Arial"/>
          <w:sz w:val="20"/>
          <w:szCs w:val="20"/>
          <w:color w:val="auto"/>
        </w:rPr>
        <w:t>Any amount specified in this Agreement (other than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Articles II</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X</w:t>
      </w:r>
      <w:r>
        <w:rPr>
          <w:rFonts w:ascii="Arial" w:cs="Arial" w:eastAsia="Arial" w:hAnsi="Arial"/>
          <w:sz w:val="20"/>
          <w:szCs w:val="20"/>
          <w:color w:val="auto"/>
        </w:rPr>
        <w:t>) or any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other Loan Documents to be in Dollars shall also include the equivalent of such amount in any currency other than Dollars, such equivalent amount thereof in the applicable currency to be determined by the Administrative Agent at such time in a manner consistent with the definition of Alternative Currency Equivalent.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45" w:name="page146"/>
    <w:bookmarkEnd w:id="145"/>
    <w:p>
      <w:pPr>
        <w:spacing w:after="0" w:line="98" w:lineRule="exact"/>
        <w:rPr>
          <w:sz w:val="20"/>
          <w:szCs w:val="20"/>
          <w:color w:val="auto"/>
        </w:rPr>
      </w:pPr>
    </w:p>
    <w:p>
      <w:pPr>
        <w:jc w:val="both"/>
        <w:ind w:left="120" w:firstLine="598"/>
        <w:spacing w:after="0" w:line="246" w:lineRule="auto"/>
        <w:rPr>
          <w:sz w:val="20"/>
          <w:szCs w:val="20"/>
          <w:color w:val="auto"/>
        </w:rPr>
      </w:pPr>
      <w:r>
        <w:rPr>
          <w:rFonts w:ascii="Arial" w:cs="Arial" w:eastAsia="Arial" w:hAnsi="Arial"/>
          <w:sz w:val="18"/>
          <w:szCs w:val="18"/>
          <w:b w:val="1"/>
          <w:bCs w:val="1"/>
          <w:color w:val="auto"/>
        </w:rPr>
        <w:t xml:space="preserve">1.12 Limited Condition Transactions. </w:t>
      </w:r>
      <w:r>
        <w:rPr>
          <w:rFonts w:ascii="Arial" w:cs="Arial" w:eastAsia="Arial" w:hAnsi="Arial"/>
          <w:sz w:val="18"/>
          <w:szCs w:val="18"/>
          <w:color w:val="auto"/>
        </w:rPr>
        <w:t>In the event that the Company notifies the Administrative Agent in writing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proposed Acquisition or other Investment is a Limited Condition Transaction and that the Company wishes to test the conditions to such Acquisition or Investment, as the case may be, and the Indebtedness under an Incremental Term Loan and/or Indebtedness under </w:t>
      </w:r>
      <w:r>
        <w:rPr>
          <w:rFonts w:ascii="Arial" w:cs="Arial" w:eastAsia="Arial" w:hAnsi="Arial"/>
          <w:sz w:val="18"/>
          <w:szCs w:val="18"/>
          <w:u w:val="single" w:color="auto"/>
          <w:color w:val="auto"/>
        </w:rPr>
        <w:t>Section 7.03(r)</w:t>
      </w:r>
      <w:r>
        <w:rPr>
          <w:rFonts w:ascii="Arial" w:cs="Arial" w:eastAsia="Arial" w:hAnsi="Arial"/>
          <w:sz w:val="18"/>
          <w:szCs w:val="18"/>
          <w:color w:val="auto"/>
        </w:rPr>
        <w:t xml:space="preserve"> that is to be used to finance such Acquisition or other Investment in accordance with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then, so long as agreed to by the Administrative Agent and the lenders providing such Indebtedness, the following provisions shall apply:</w:t>
      </w:r>
    </w:p>
    <w:p>
      <w:pPr>
        <w:spacing w:after="0" w:line="169" w:lineRule="exact"/>
        <w:rPr>
          <w:sz w:val="20"/>
          <w:szCs w:val="20"/>
          <w:color w:val="auto"/>
        </w:rPr>
      </w:pPr>
    </w:p>
    <w:p>
      <w:pPr>
        <w:jc w:val="both"/>
        <w:ind w:left="720" w:firstLine="605"/>
        <w:spacing w:after="0" w:line="217" w:lineRule="auto"/>
        <w:tabs>
          <w:tab w:leader="none" w:pos="17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condition to such Limited Condition Transaction or such Indebtedness that requires that no Default or Event of Default shall have occurred and be continuing at the time of such Limited Condition Transaction or the incurrence of such Indebtedness, shall be satisfied if no Default or Event of Default shall have occurred and be continuing at the time of the execution of the definitive agreement governing such Limited Condition Transaction (the “</w:t>
      </w:r>
      <w:r>
        <w:rPr>
          <w:rFonts w:ascii="Arial" w:cs="Arial" w:eastAsia="Arial" w:hAnsi="Arial"/>
          <w:sz w:val="20"/>
          <w:szCs w:val="20"/>
          <w:u w:val="single" w:color="auto"/>
          <w:color w:val="auto"/>
        </w:rPr>
        <w:t>LCT Test Date</w:t>
      </w:r>
      <w:r>
        <w:rPr>
          <w:rFonts w:ascii="Arial" w:cs="Arial" w:eastAsia="Arial" w:hAnsi="Arial"/>
          <w:sz w:val="20"/>
          <w:szCs w:val="20"/>
          <w:color w:val="auto"/>
        </w:rPr>
        <w:t>”) both immediately before and immediately after giving effect to such Limited Condition Transaction and any Indebtedness incurred in connection therewith (including any such additional Indebtedness);</w:t>
      </w:r>
    </w:p>
    <w:p>
      <w:pPr>
        <w:spacing w:after="0" w:line="188" w:lineRule="exact"/>
        <w:rPr>
          <w:rFonts w:ascii="Arial" w:cs="Arial" w:eastAsia="Arial" w:hAnsi="Arial"/>
          <w:sz w:val="20"/>
          <w:szCs w:val="20"/>
          <w:color w:val="auto"/>
        </w:rPr>
      </w:pPr>
    </w:p>
    <w:p>
      <w:pPr>
        <w:jc w:val="both"/>
        <w:ind w:left="720" w:firstLine="605"/>
        <w:spacing w:after="0" w:line="234" w:lineRule="auto"/>
        <w:tabs>
          <w:tab w:leader="none" w:pos="1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as of the LCT Test Date, except that (A) 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 (C)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the representations and warranties contained in subsections (a), (b) and (c)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and (ii) as of the date of consummation of such Limited Condition Transaction, (A) the representations and warranties under the relevant definitive agreement governing such Limited Condition Transaction as are material to the lenders providing such Indebtedness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that (I) if a qualifier relating to materiality, Material Adverse Effect or a similar concept applies, such representation or warranty shall be required to be true and correct in all respects, (II)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46" w:name="page147"/>
    <w:bookmarkEnd w:id="146"/>
    <w:p>
      <w:pPr>
        <w:jc w:val="both"/>
        <w:ind w:left="720"/>
        <w:spacing w:after="0" w:line="227" w:lineRule="auto"/>
        <w:rPr>
          <w:sz w:val="20"/>
          <w:szCs w:val="20"/>
          <w:color w:val="auto"/>
        </w:rPr>
      </w:pPr>
      <w:r>
        <w:rPr>
          <w:rFonts w:ascii="Arial" w:cs="Arial" w:eastAsia="Arial" w:hAnsi="Arial"/>
          <w:sz w:val="20"/>
          <w:szCs w:val="20"/>
          <w:color w:val="auto"/>
        </w:rPr>
        <w:t xml:space="preserve">such earlier date), and (III) for purposes of this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the representations and warranties contained in subsections (a), (b) and (c) of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shall be deemed to refer to the most recent statements furnished pursuant to clauses (a) and (b), respectively,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84" w:lineRule="exact"/>
        <w:rPr>
          <w:sz w:val="20"/>
          <w:szCs w:val="20"/>
          <w:color w:val="auto"/>
        </w:rPr>
      </w:pPr>
    </w:p>
    <w:p>
      <w:pPr>
        <w:jc w:val="both"/>
        <w:ind w:left="720" w:firstLine="605"/>
        <w:spacing w:after="0" w:line="226" w:lineRule="auto"/>
        <w:tabs>
          <w:tab w:leader="none" w:pos="17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any financial ratio test or condition to be tested in connection with such Limited Condition Transaction and the availability of such Indebtedness will be tested as of the LCT Test Date, in each case, after giving effect to the relevant Limited Condition Transaction and related incurrence of Indebtedness, calculated on a Pro Forma Basis pursuant to </w:t>
      </w:r>
      <w:r>
        <w:rPr>
          <w:rFonts w:ascii="Arial" w:cs="Arial" w:eastAsia="Arial" w:hAnsi="Arial"/>
          <w:sz w:val="19"/>
          <w:szCs w:val="19"/>
          <w:u w:val="single" w:color="auto"/>
          <w:color w:val="auto"/>
        </w:rPr>
        <w:t>Section 1.10</w:t>
      </w:r>
      <w:r>
        <w:rPr>
          <w:rFonts w:ascii="Arial" w:cs="Arial" w:eastAsia="Arial" w:hAnsi="Arial"/>
          <w:sz w:val="19"/>
          <w:szCs w:val="19"/>
          <w:color w:val="auto"/>
        </w:rPr>
        <w:t>,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70" w:lineRule="exact"/>
        <w:rPr>
          <w:rFonts w:ascii="Arial" w:cs="Arial" w:eastAsia="Arial" w:hAnsi="Arial"/>
          <w:sz w:val="19"/>
          <w:szCs w:val="19"/>
          <w:color w:val="auto"/>
        </w:rPr>
      </w:pPr>
    </w:p>
    <w:p>
      <w:pPr>
        <w:jc w:val="both"/>
        <w:ind w:left="720" w:firstLine="605"/>
        <w:spacing w:after="0" w:line="236" w:lineRule="auto"/>
        <w:tabs>
          <w:tab w:leader="none" w:pos="17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both (i) on a Pro Forma Basis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assuming such Limited Condition Transaction and other transactions in connection therewith (including the incurrence or assumption of Indebtedness and the use of proceeds thereof) have been consummated and (ii) assuming such Limited Condition Transaction and other transactions in connection therewith (including the incurrence or assumption of Indebtedness and the use of proceeds thereof) have not been consummated. Notwithstanding the foregoing, any calculation of a ratio in connection with determining the Applicable Rate and determining whether or not the Company is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shall, in each case, be calculated assuming such Limited Condition Transaction and other transactions in connection therewith (including the incurrence or assumption of Indebtedness and the use of proceeds thereof) have not been consummated.</w:t>
      </w:r>
    </w:p>
    <w:p>
      <w:pPr>
        <w:spacing w:after="0" w:line="179" w:lineRule="exact"/>
        <w:rPr>
          <w:sz w:val="20"/>
          <w:szCs w:val="20"/>
          <w:color w:val="auto"/>
        </w:rPr>
      </w:pPr>
    </w:p>
    <w:p>
      <w:pPr>
        <w:ind w:left="280" w:firstLine="598"/>
        <w:spacing w:after="0" w:line="236"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Transactions such that each of the possible scenarios is separately 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47" w:name="page148"/>
    <w:bookmarkEnd w:id="147"/>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II.</w:t>
      </w:r>
    </w:p>
    <w:p>
      <w:pPr>
        <w:jc w:val="center"/>
        <w:ind w:right="-199"/>
        <w:spacing w:after="0"/>
        <w:rPr>
          <w:sz w:val="20"/>
          <w:szCs w:val="20"/>
          <w:color w:val="auto"/>
        </w:rPr>
      </w:pPr>
      <w:r>
        <w:rPr>
          <w:rFonts w:ascii="Arial" w:cs="Arial" w:eastAsia="Arial" w:hAnsi="Arial"/>
          <w:sz w:val="20"/>
          <w:szCs w:val="20"/>
          <w:b w:val="1"/>
          <w:bCs w:val="1"/>
          <w:color w:val="auto"/>
        </w:rPr>
        <w:t>COMMITMENTS AND CREDIT EXTENSIONS</w:t>
      </w:r>
    </w:p>
    <w:p>
      <w:pPr>
        <w:spacing w:after="0" w:line="172"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7"/>
          <w:szCs w:val="17"/>
          <w:b w:val="1"/>
          <w:bCs w:val="1"/>
          <w:color w:val="auto"/>
        </w:rPr>
        <w:t>Loans.</w:t>
      </w:r>
    </w:p>
    <w:p>
      <w:pPr>
        <w:spacing w:after="0" w:line="213" w:lineRule="exact"/>
        <w:rPr>
          <w:sz w:val="20"/>
          <w:szCs w:val="20"/>
          <w:color w:val="auto"/>
        </w:rPr>
      </w:pPr>
    </w:p>
    <w:p>
      <w:pPr>
        <w:jc w:val="both"/>
        <w:ind w:left="120" w:firstLine="605"/>
        <w:spacing w:after="0" w:line="237"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Committed (USD) Loans</w:t>
      </w:r>
      <w:r>
        <w:rPr>
          <w:rFonts w:ascii="Arial" w:cs="Arial" w:eastAsia="Arial" w:hAnsi="Arial"/>
          <w:sz w:val="18"/>
          <w:szCs w:val="18"/>
          <w:color w:val="auto"/>
        </w:rPr>
        <w:t>. Subject to the terms and conditions set forth herein, each Committed (USD) Lender severally agrees to make loans (each such loan, a “</w:t>
      </w:r>
      <w:r>
        <w:rPr>
          <w:rFonts w:ascii="Arial" w:cs="Arial" w:eastAsia="Arial" w:hAnsi="Arial"/>
          <w:sz w:val="18"/>
          <w:szCs w:val="18"/>
          <w:u w:val="single" w:color="auto"/>
          <w:color w:val="auto"/>
        </w:rPr>
        <w:t>Committed (USD) Loan</w:t>
      </w:r>
      <w:r>
        <w:rPr>
          <w:rFonts w:ascii="Arial" w:cs="Arial" w:eastAsia="Arial" w:hAnsi="Arial"/>
          <w:sz w:val="18"/>
          <w:szCs w:val="18"/>
          <w:color w:val="auto"/>
        </w:rPr>
        <w:t xml:space="preserve">”) to the Borrowers, in Dollars, from time to time, on any Business Day during the Availability Period with respect to the Committed (USD) Facility, in an aggregate amount not to exceed at any time outstanding the amount of such Lender’s USD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Committed (USD) Borrowing, (i) the Total (USD) Outstandings shall not exceed the Aggregate (USD) Commitments and (ii) the aggregate Outstanding Amount of the Committed (USD)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Swing Line Loans shall not exceed such Lender’s USD Commitment. Within the limits of each Committed (USD) Lender’s USD Commitment, and subject to the other terms and conditions hereof, the Borrowers may borrow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Committed (USD) Loans may be Base Rate Loans or Eurocurrency Rate Loans, as further provided herein.</w:t>
      </w:r>
    </w:p>
    <w:p>
      <w:pPr>
        <w:spacing w:after="0" w:line="178" w:lineRule="exact"/>
        <w:rPr>
          <w:rFonts w:ascii="Arial" w:cs="Arial" w:eastAsia="Arial" w:hAnsi="Arial"/>
          <w:sz w:val="18"/>
          <w:szCs w:val="18"/>
          <w:color w:val="auto"/>
        </w:rPr>
      </w:pPr>
    </w:p>
    <w:p>
      <w:pPr>
        <w:jc w:val="both"/>
        <w:ind w:left="120" w:firstLine="605"/>
        <w:spacing w:after="0" w:line="225" w:lineRule="auto"/>
        <w:tabs>
          <w:tab w:leader="none" w:pos="11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Committed (MC) Loans</w:t>
      </w:r>
      <w:r>
        <w:rPr>
          <w:rFonts w:ascii="Arial" w:cs="Arial" w:eastAsia="Arial" w:hAnsi="Arial"/>
          <w:sz w:val="19"/>
          <w:szCs w:val="19"/>
          <w:color w:val="auto"/>
        </w:rPr>
        <w:t>. Subject to the terms and conditions set forth herein, each Committed (MC) Lender severally agrees to make loans (each such loan, a “</w:t>
      </w:r>
      <w:r>
        <w:rPr>
          <w:rFonts w:ascii="Arial" w:cs="Arial" w:eastAsia="Arial" w:hAnsi="Arial"/>
          <w:sz w:val="19"/>
          <w:szCs w:val="19"/>
          <w:u w:val="single" w:color="auto"/>
          <w:color w:val="auto"/>
        </w:rPr>
        <w:t>Committed (MC) Loan</w:t>
      </w:r>
      <w:r>
        <w:rPr>
          <w:rFonts w:ascii="Arial" w:cs="Arial" w:eastAsia="Arial" w:hAnsi="Arial"/>
          <w:sz w:val="19"/>
          <w:szCs w:val="19"/>
          <w:color w:val="auto"/>
        </w:rPr>
        <w:t xml:space="preserve">”) to the Borrowers, in Dollars or an Alternative Currency, from time to time, on any Business Day during the Availability Period with respect to the Committed (MC) Facility, in an aggregate amount not to exceed at any time outstanding the amount of such Lender’s MC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Committed (MC) Borrowing, (i) the aggregate Outstanding Amount of all Committed (MC) Loans shall not exceed the Aggregate (MC) Commitments and (ii) the aggregate Outstanding Amount of the Committed (MC) Loans of any Lender shall not exceed such Lender’s MC Commitment. Within the limits of each Committed (MC) Lender’s MC Commitment, and subject to the other terms and conditions hereof, the Borrowers may borrow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2.01(b)</w:t>
      </w:r>
      <w:r>
        <w:rPr>
          <w:rFonts w:ascii="Arial" w:cs="Arial" w:eastAsia="Arial" w:hAnsi="Arial"/>
          <w:sz w:val="19"/>
          <w:szCs w:val="19"/>
          <w:color w:val="auto"/>
        </w:rPr>
        <w:t>. Committed (MC) Loans may be Base Rate Loans, Eurocurrency Rate Loans or Alternative Currency Term Rate Loans, as further provided herein.</w:t>
      </w:r>
    </w:p>
    <w:p>
      <w:pPr>
        <w:spacing w:after="0" w:line="186" w:lineRule="exact"/>
        <w:rPr>
          <w:rFonts w:ascii="Arial" w:cs="Arial" w:eastAsia="Arial" w:hAnsi="Arial"/>
          <w:sz w:val="19"/>
          <w:szCs w:val="19"/>
          <w:color w:val="auto"/>
        </w:rPr>
      </w:pPr>
    </w:p>
    <w:p>
      <w:pPr>
        <w:jc w:val="both"/>
        <w:ind w:left="120" w:firstLine="605"/>
        <w:spacing w:after="0" w:line="234" w:lineRule="auto"/>
        <w:tabs>
          <w:tab w:leader="none" w:pos="115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Term Loans</w:t>
      </w:r>
      <w:r>
        <w:rPr>
          <w:rFonts w:ascii="Arial" w:cs="Arial" w:eastAsia="Arial" w:hAnsi="Arial"/>
          <w:sz w:val="19"/>
          <w:szCs w:val="19"/>
          <w:color w:val="auto"/>
        </w:rPr>
        <w:t>. Subject to the terms and conditions set forth herein, each Term Loan Lender severally agrees to make a single loan (each such loan, a “</w:t>
      </w: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to the Borrowers, in Dollars, on the Closing Date in an amount not to exceed such Term Loan Lender’s Term Loan Commitment. Amounts borrowed under this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and repaid or prepaid may not be reborrowed. Term Loans may be Base Rate Loans or Eurocurrency Rate Loans, as further provided herein.</w:t>
      </w:r>
    </w:p>
    <w:p>
      <w:pPr>
        <w:spacing w:after="0" w:line="16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7"/>
          <w:szCs w:val="17"/>
          <w:b w:val="1"/>
          <w:bCs w:val="1"/>
          <w:color w:val="auto"/>
        </w:rPr>
        <w:t>Borrowings, Conversions and Continuations of Loans.</w:t>
      </w:r>
    </w:p>
    <w:p>
      <w:pPr>
        <w:spacing w:after="0" w:line="213" w:lineRule="exact"/>
        <w:rPr>
          <w:sz w:val="20"/>
          <w:szCs w:val="20"/>
          <w:color w:val="auto"/>
        </w:rPr>
      </w:pPr>
    </w:p>
    <w:p>
      <w:pPr>
        <w:jc w:val="both"/>
        <w:ind w:left="120" w:firstLine="605"/>
        <w:spacing w:after="0" w:line="219" w:lineRule="auto"/>
        <w:tabs>
          <w:tab w:leader="none" w:pos="1152"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Each Committed Borrowing, each Term Loan Borrowing, each conversion of Loans from one Type to the other, and each continuation of Eurocurrency Rate Loans or Alternative Currency Term Rate Loans shall be made upon the Company’s irrevocable notice to the Administrative Agent, which may be given by telephone or in the form of a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telephonic notice must be confirmed promptly by delivery to the Administrative Agent of a written Loan Notice. Each such notice must be received by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48" w:name="page149"/>
    <w:bookmarkEnd w:id="148"/>
    <w:p>
      <w:pPr>
        <w:jc w:val="both"/>
        <w:ind w:left="120"/>
        <w:spacing w:after="0" w:line="239" w:lineRule="auto"/>
        <w:rPr>
          <w:sz w:val="20"/>
          <w:szCs w:val="20"/>
          <w:color w:val="auto"/>
        </w:rPr>
      </w:pPr>
      <w:r>
        <w:rPr>
          <w:rFonts w:ascii="Arial" w:cs="Arial" w:eastAsia="Arial" w:hAnsi="Arial"/>
          <w:sz w:val="18"/>
          <w:szCs w:val="18"/>
          <w:color w:val="auto"/>
        </w:rPr>
        <w:t xml:space="preserve">the Administrative Agent not later than 12:00 noon (i) three Business Days prior to the requested date of any Borrowing of, conversion to or continuation of Eurocurrency Rate Loans denominated in Dollars or of any conversion of Eurocurrency Rate Loans to Base Rate Loans denominated in Dollars, (ii) three Business Days prior to the requested date of any Borrowing of or continuation of Alternative Currency Term Rate Loans denominated in Canadian Dollars, (iii) five Business Days prior to the requested date of any Borrowing or any continuation of Alternative Currency Term Rate Loans denominated in Mexican Pesos and (iv) on the requested date of any Borrowing of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Company wishes to request Eurocurrency Rate Loans or Alternative Currency Term Rate Loans having an Interest Period other than one, three or six months in duration as provided in the definition of “Interest Period”, the applicable notice must be received by the Administrative Agent not later than 12:00 noon four Business Days prior to the requested date of such Borrowing or continuation of Eurocurrency Rate Loans or Alternative Currency Term Rate Loans or conversion to Eurocurrency Rate Loans, as applicable, whereupon the Administrative Agent shall give prompt notice to the Lenders under the applicable Facility of such request and determine whether the requested Interest Period is acceptable to all of them. Not later than 12:00 noon, three Business Days before the requested date of such Borrowing or continuation of Eurocurrency Rate Loans or Alternative Currency Term Rate Loans or conversion to Eurocurrency Rate Loans, as applicable, the Administrative Agent shall notify the Company (which notice may be by telephone) whether or not the requested Interest Period has been consented to by all the applicable Lenders. Each telephonic notice by the Company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Loan Notice, appropriately completed and signed by a Responsible Officer of the Company. Except as provided in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each Borrowing or continuation of Eurocurrency Rate Loans or Alternative Currency Term Rate Loans and each conversion to Eurocurrency Rate Loans shall be in a principal amount of the Dollar Equivalent of $1,000,000 or a whole multiple of the Dollar Equivalent of $100,000 in excess thereof. Except as provided in </w:t>
      </w:r>
      <w:r>
        <w:rPr>
          <w:rFonts w:ascii="Arial" w:cs="Arial" w:eastAsia="Arial" w:hAnsi="Arial"/>
          <w:sz w:val="18"/>
          <w:szCs w:val="18"/>
          <w:u w:val="single" w:color="auto"/>
          <w:color w:val="auto"/>
        </w:rPr>
        <w:t>Sections 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Committed (USD) Borrowing, a Committed (MC) Borrowing, a Term Loan Borrowing, a conversion of Committed (USD) Loans, Committed (MC) Loans or Term Loans from one Type to the other, or a continuation of Eurocurrency Rate Loans or Alternative Currency Term Rate Loans, (ii) the requested date of the Borrowing, conversion or continuation, as the case may be (which shall be a Business Day), (iii) the principal amount of Loans to be borrowed, converted or continued, (iv) the Type of Loans to be borrowed or to which existing Committed (USD) Loans, Committed (MC) Loans or Term Loans are to be converted, (v) if applicable, the duration of the Interest Period with respect thereto, (vi) if applicable, the currency of the Committed (MC) Loans to be borrowed and (vii) the Borrower of the requested Borrowing. If the Company fails to specify a currency in a Loan Notice requesting a Committed (MC) Borrowing, then the Committed (MC) Loans so requested shall be made in Dollars. If the Company fails to specify a Type of Loan in a Loan Notice or if the Company fails to give a timely notice requesting a conversion or continuation, then the applicable Committed (USD) Loans, Committed (MC) Loans or Term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Committed (MC) Loans denominated in an Alternative Currency, such Loans shall be continued as Alternative Currency Term Rate Loans in such Alternative Currency with an Interest Period of one month, in the case of Alternative Currency Term Rate Loans denominated in Canadian Dollars, and 28 days, in the case of Alternative Currency Term Rate Loans denominated in Mexican Pesos. Any automatic conversion to Base Rate Loans shall be effective as of the last day of the Interest Period then in effect with respect to the applicable Eurocurrency Rate Loans. If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49" w:name="page150"/>
    <w:bookmarkEnd w:id="149"/>
    <w:p>
      <w:pPr>
        <w:jc w:val="both"/>
        <w:ind w:left="120"/>
        <w:spacing w:after="0" w:line="219" w:lineRule="auto"/>
        <w:rPr>
          <w:sz w:val="20"/>
          <w:szCs w:val="20"/>
          <w:color w:val="auto"/>
        </w:rPr>
      </w:pPr>
      <w:r>
        <w:rPr>
          <w:rFonts w:ascii="Arial" w:cs="Arial" w:eastAsia="Arial" w:hAnsi="Arial"/>
          <w:sz w:val="20"/>
          <w:szCs w:val="20"/>
          <w:color w:val="auto"/>
        </w:rPr>
        <w:t xml:space="preserve">Company requests a Borrowing of, conversion to, or continuation of Eurocurrency Rate Loans or Alternative Currency Term Rate Loans in any such Loan Notice, but fails to specify an Interest Period, it will be deemed to have specified an Interest Period of one month. Except as provided pursuant to </w:t>
      </w:r>
      <w:r>
        <w:rPr>
          <w:rFonts w:ascii="Arial" w:cs="Arial" w:eastAsia="Arial" w:hAnsi="Arial"/>
          <w:sz w:val="20"/>
          <w:szCs w:val="20"/>
          <w:u w:val="single" w:color="auto"/>
          <w:color w:val="auto"/>
        </w:rPr>
        <w:t>Sections 2.12(a)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3.03</w:t>
      </w:r>
      <w:r>
        <w:rPr>
          <w:rFonts w:ascii="Arial" w:cs="Arial" w:eastAsia="Arial" w:hAnsi="Arial"/>
          <w:sz w:val="20"/>
          <w:szCs w:val="20"/>
          <w:color w:val="auto"/>
        </w:rPr>
        <w:t>, no Committed (MC) Loan may be converted into or continued as a Committed (MC) Loan denominated in a different currency, but instead must be prepaid in the original currency of such Committed (MC) Loan and reborrowed in the other currency.</w:t>
      </w:r>
    </w:p>
    <w:p>
      <w:pPr>
        <w:spacing w:after="0" w:line="187" w:lineRule="exact"/>
        <w:rPr>
          <w:sz w:val="20"/>
          <w:szCs w:val="20"/>
          <w:color w:val="auto"/>
        </w:rPr>
      </w:pPr>
    </w:p>
    <w:p>
      <w:pPr>
        <w:jc w:val="both"/>
        <w:ind w:left="120" w:firstLine="605"/>
        <w:spacing w:after="0" w:line="235" w:lineRule="auto"/>
        <w:tabs>
          <w:tab w:leader="none" w:pos="11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for a Facility, the Administrative Agent shall promptly notify each Lender under such Facility of the amount (and, if applicable, the currency) of its Applicable Percentage under such Facility of the applicable Loans, and if no timely notice of a conversion or continuation is provided by the Company, the Administrative Agent shall notify each Lender under the applicable Facility of the details of any automatic conversion to Base Rate Loans or continuations of Committed (MC) Loans denominated in an Alternative Currency, in each case as described in the preceding subsection. In the case of a Committed (USD) Borrowing, a Committed (MC) Borrowing or a Term Loan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Committed (MC) Loan in an Alternative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a Loan Notice with respect to a Committed (USD) Borrowing is given by the Company,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174" w:lineRule="exact"/>
        <w:rPr>
          <w:rFonts w:ascii="Arial" w:cs="Arial" w:eastAsia="Arial" w:hAnsi="Arial"/>
          <w:sz w:val="18"/>
          <w:szCs w:val="18"/>
          <w:color w:val="auto"/>
        </w:rPr>
      </w:pPr>
    </w:p>
    <w:p>
      <w:pPr>
        <w:jc w:val="both"/>
        <w:ind w:left="120" w:firstLine="605"/>
        <w:spacing w:after="0" w:line="242"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Eurocurrency Rate Loans and Alternative Currency Term Rate Loans may be continued and Eurocurrency Rate Loan may be converted only on the last day of an Interest Period for such Eurocurrency Rate Loan or Alternative Currency Term Rate Loans, as applicable. During the existence of a Default, no Loans may be requested as, converted to or continued as Eurocurrency Rate Loans </w:t>
      </w:r>
      <w:r>
        <w:rPr>
          <w:rFonts w:ascii="Arial" w:cs="Arial" w:eastAsia="Arial" w:hAnsi="Arial"/>
          <w:sz w:val="18"/>
          <w:szCs w:val="18"/>
          <w:color w:val="181818"/>
        </w:rPr>
        <w:t>or Alternative Currency Term Rate Loans</w:t>
      </w:r>
      <w:r>
        <w:rPr>
          <w:rFonts w:ascii="Arial" w:cs="Arial" w:eastAsia="Arial" w:hAnsi="Arial"/>
          <w:sz w:val="18"/>
          <w:szCs w:val="18"/>
          <w:color w:val="auto"/>
        </w:rPr>
        <w:t xml:space="preserve"> without the consent of the Required Lenders</w:t>
      </w:r>
      <w:r>
        <w:rPr>
          <w:rFonts w:ascii="Arial" w:cs="Arial" w:eastAsia="Arial" w:hAnsi="Arial"/>
          <w:sz w:val="18"/>
          <w:szCs w:val="18"/>
          <w:color w:val="181818"/>
        </w:rPr>
        <w:t>, and the</w:t>
      </w:r>
      <w:r>
        <w:rPr>
          <w:rFonts w:ascii="Arial" w:cs="Arial" w:eastAsia="Arial" w:hAnsi="Arial"/>
          <w:sz w:val="18"/>
          <w:szCs w:val="18"/>
          <w:color w:val="auto"/>
        </w:rPr>
        <w:t xml:space="preserve"> </w:t>
      </w:r>
      <w:r>
        <w:rPr>
          <w:rFonts w:ascii="Arial" w:cs="Arial" w:eastAsia="Arial" w:hAnsi="Arial"/>
          <w:sz w:val="18"/>
          <w:szCs w:val="18"/>
          <w:color w:val="181818"/>
        </w:rPr>
        <w:t>Required Lenders may demand that any or all of the then outstanding Alternative Currency Term Rate Loans be redenominated into Dollars in the amount of the Dollar Equivalent thereof on the last day of the then current Interest Period with respect thereto</w:t>
      </w:r>
      <w:r>
        <w:rPr>
          <w:rFonts w:ascii="Arial" w:cs="Arial" w:eastAsia="Arial" w:hAnsi="Arial"/>
          <w:sz w:val="18"/>
          <w:szCs w:val="18"/>
          <w:color w:val="000000"/>
        </w:rPr>
        <w:t>.</w:t>
      </w:r>
    </w:p>
    <w:p>
      <w:pPr>
        <w:spacing w:after="0" w:line="233" w:lineRule="exact"/>
        <w:rPr>
          <w:rFonts w:ascii="Arial" w:cs="Arial" w:eastAsia="Arial" w:hAnsi="Arial"/>
          <w:sz w:val="18"/>
          <w:szCs w:val="18"/>
          <w:color w:val="auto"/>
        </w:rPr>
      </w:pPr>
    </w:p>
    <w:p>
      <w:pPr>
        <w:jc w:val="both"/>
        <w:ind w:left="120" w:firstLine="605"/>
        <w:spacing w:after="0" w:line="249" w:lineRule="auto"/>
        <w:tabs>
          <w:tab w:leader="none" w:pos="11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Loans and Alternative Currency Term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77" w:lineRule="exact"/>
        <w:rPr>
          <w:rFonts w:ascii="Arial" w:cs="Arial" w:eastAsia="Arial" w:hAnsi="Arial"/>
          <w:sz w:val="18"/>
          <w:szCs w:val="18"/>
          <w:color w:val="auto"/>
        </w:rPr>
      </w:pPr>
    </w:p>
    <w:p>
      <w:pPr>
        <w:ind w:left="120" w:firstLine="605"/>
        <w:spacing w:after="0" w:line="236" w:lineRule="auto"/>
        <w:tabs>
          <w:tab w:leader="none" w:pos="1152" w:val="left"/>
        </w:tabs>
        <w:numPr>
          <w:ilvl w:val="0"/>
          <w:numId w:val="73"/>
        </w:numPr>
        <w:rPr>
          <w:rFonts w:ascii="Arial" w:cs="Arial" w:eastAsia="Arial" w:hAnsi="Arial"/>
          <w:sz w:val="20"/>
          <w:szCs w:val="20"/>
          <w:color w:val="auto"/>
        </w:rPr>
      </w:pPr>
      <w:r>
        <w:rPr>
          <w:rFonts w:ascii="Arial" w:cs="Arial" w:eastAsia="Arial" w:hAnsi="Arial"/>
          <w:sz w:val="20"/>
          <w:szCs w:val="20"/>
          <w:color w:val="auto"/>
        </w:rPr>
        <w:t>After giving effect to all Committed (USD) Borrowings, all Committed (MC) Borrowings, all Term Loan Borrowings, all conversions of Loans from one Type to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50" w:name="page151"/>
    <w:bookmarkEnd w:id="150"/>
    <w:p>
      <w:pPr>
        <w:ind w:left="120"/>
        <w:spacing w:after="0" w:line="236" w:lineRule="auto"/>
        <w:rPr>
          <w:sz w:val="20"/>
          <w:szCs w:val="20"/>
          <w:color w:val="auto"/>
        </w:rPr>
      </w:pPr>
      <w:r>
        <w:rPr>
          <w:rFonts w:ascii="Arial" w:cs="Arial" w:eastAsia="Arial" w:hAnsi="Arial"/>
          <w:sz w:val="20"/>
          <w:szCs w:val="20"/>
          <w:color w:val="auto"/>
        </w:rPr>
        <w:t>other, and all continuations of Loans as the same Type, there shall not be more than fifteen (15) Interest Periods in effect with respect to Loans.</w:t>
      </w:r>
    </w:p>
    <w:p>
      <w:pPr>
        <w:spacing w:after="0" w:line="184" w:lineRule="exact"/>
        <w:rPr>
          <w:sz w:val="20"/>
          <w:szCs w:val="20"/>
          <w:color w:val="auto"/>
        </w:rPr>
      </w:pPr>
    </w:p>
    <w:p>
      <w:pPr>
        <w:jc w:val="both"/>
        <w:ind w:left="120" w:firstLine="605"/>
        <w:spacing w:after="0" w:line="258" w:lineRule="auto"/>
        <w:tabs>
          <w:tab w:leader="none" w:pos="11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50"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7"/>
          <w:szCs w:val="17"/>
          <w:b w:val="1"/>
          <w:bCs w:val="1"/>
          <w:color w:val="auto"/>
        </w:rPr>
        <w:t>Letters of Credit and Bankers’ Acceptances.</w:t>
      </w:r>
    </w:p>
    <w:p>
      <w:pPr>
        <w:spacing w:after="0" w:line="213" w:lineRule="exact"/>
        <w:rPr>
          <w:sz w:val="20"/>
          <w:szCs w:val="20"/>
          <w:color w:val="auto"/>
        </w:rPr>
      </w:pPr>
    </w:p>
    <w:p>
      <w:pPr>
        <w:ind w:left="1320" w:hanging="595"/>
        <w:spacing w:after="0"/>
        <w:tabs>
          <w:tab w:leader="none" w:pos="13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Letter of Credit – BA Commitment</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720" w:firstLine="605"/>
        <w:spacing w:after="0" w:line="235" w:lineRule="auto"/>
        <w:tabs>
          <w:tab w:leader="none" w:pos="1745"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the L/C Issuer agrees, in reliance upon the agreements of the Committed (USD)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(1) from time to time on any Business Day during the period from the Closing Date until the Letter of Credit Expiration Date, to issue Letters of Credit and Clean BAs denominated in Dollars or, solely in the case of Bank of America in its capacity as an L/C Issuer, in an Alternative Currency for the account of the Company or its Subsidiaries, and to amend or extend Letters of Credit previously issued by it, in accordance with subsection</w:t>
      </w:r>
    </w:p>
    <w:p>
      <w:pPr>
        <w:spacing w:after="0" w:line="1" w:lineRule="exact"/>
        <w:rPr>
          <w:rFonts w:ascii="Arial" w:cs="Arial" w:eastAsia="Arial" w:hAnsi="Arial"/>
          <w:sz w:val="18"/>
          <w:szCs w:val="18"/>
          <w:color w:val="auto"/>
        </w:rPr>
      </w:pPr>
    </w:p>
    <w:p>
      <w:pPr>
        <w:jc w:val="both"/>
        <w:ind w:left="720" w:firstLine="6"/>
        <w:spacing w:after="0" w:line="233" w:lineRule="auto"/>
        <w:tabs>
          <w:tab w:leader="none" w:pos="10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below, (2) to honor drawings under the Letters of Credit and to make payments under Bankers’ Acceptances and (3) with respect to Acceptance Credits, to create L/C Issued BAs in accordance with the terms thereof and hereof; and (B) the Committed (USD) Lenders severally agree to participate in Letters of Credit and Bankers’ Acceptances issued for the account of the Company or its Subsidiaries and any drawings or payments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giving effect to any L/C Credit Extension, (v) the Total (USD) Outstandings shall not exceed the Aggregate (USD) Commitments, (w) the aggregate Outstanding Amount of the Committed (USD)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Swing Line Loans shall not exceed such Lender’s USD Commitment, (x) the Outstanding Amount of the L/C Obligations shall not exceed the Letter of Credit Sublimit and (y) the Outstanding Amount of the L/C Obligations with respect to Letters of Credit and Bankers’ Acceptances denominated in an Alternative Currency shall not exceed the Alternative Currency Letter of Credit Sublimit and (B) as to Clean BAs and Acceptance Credits, the Bankers’ Acceptance created or to be created thereunder shall be an eligible bankers’ acceptance under Section 13 of the Federal Reserve Act (12 U.S.C. § 372). Each request by the Company for the issuance or amendment of a Letter of Credit or Bankers’Acceptance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and Bankers’ Acceptances shall be fully revolving, and accordingly the Company may, during the foregoing period, obtain Letters of Credit to replace Letters of Credit that have expired or that have been drawn upon and reimbursed and Bankers’ Acceptances that have matured and been reimbursed. The Company agrees to promptly notify the Administrative Agent of the designation of any Lender as an L/C Issuer. All Existing Letters of Credit shall be deemed to have been issued pursuant hereto, and from and after the Closing Date shall be subject to and governed by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51" w:name="page152"/>
    <w:bookmarkEnd w:id="151"/>
    <w:p>
      <w:pPr>
        <w:ind w:left="1740" w:hanging="432"/>
        <w:spacing w:after="0"/>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or Bankers’ Acceptance,</w:t>
      </w:r>
    </w:p>
    <w:p>
      <w:pPr>
        <w:spacing w:after="0" w:line="169" w:lineRule="exact"/>
        <w:rPr>
          <w:rFonts w:ascii="Arial" w:cs="Arial" w:eastAsia="Arial" w:hAnsi="Arial"/>
          <w:sz w:val="20"/>
          <w:szCs w:val="20"/>
          <w:color w:val="auto"/>
        </w:rPr>
      </w:pPr>
    </w:p>
    <w:p>
      <w:pPr>
        <w:ind w:left="1300" w:firstLine="607"/>
        <w:spacing w:after="0" w:line="227" w:lineRule="auto"/>
        <w:tabs>
          <w:tab w:leader="none" w:pos="2389" w:val="left"/>
        </w:tabs>
        <w:numPr>
          <w:ilvl w:val="1"/>
          <w:numId w:val="76"/>
        </w:numPr>
        <w:rPr>
          <w:rFonts w:ascii="Arial" w:cs="Arial" w:eastAsia="Arial" w:hAnsi="Arial"/>
          <w:sz w:val="20"/>
          <w:szCs w:val="20"/>
          <w:color w:val="auto"/>
        </w:rPr>
      </w:pPr>
      <w:r>
        <w:rPr>
          <w:rFonts w:ascii="Arial" w:cs="Arial" w:eastAsia="Arial" w:hAnsi="Arial"/>
          <w:sz w:val="20"/>
          <w:szCs w:val="20"/>
          <w:color w:val="auto"/>
        </w:rPr>
        <w:t>subject to Section 2.03(b)(iii), the expiry date of the requested Letter of Credit would occur more than eighteen months after the date of issuance or last extension, unless the Required (USD) Lenders have approved such expiry date;</w:t>
      </w:r>
    </w:p>
    <w:p>
      <w:pPr>
        <w:spacing w:after="0" w:line="146" w:lineRule="exact"/>
        <w:rPr>
          <w:rFonts w:ascii="Arial" w:cs="Arial" w:eastAsia="Arial" w:hAnsi="Arial"/>
          <w:sz w:val="20"/>
          <w:szCs w:val="20"/>
          <w:color w:val="auto"/>
        </w:rPr>
      </w:pPr>
    </w:p>
    <w:p>
      <w:pPr>
        <w:jc w:val="both"/>
        <w:ind w:left="1300" w:right="40" w:firstLine="607"/>
        <w:spacing w:after="0" w:line="227" w:lineRule="auto"/>
        <w:tabs>
          <w:tab w:leader="none" w:pos="23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maturity date of any Bankers’ Acceptance would occur earlier than 30 or later than 180 days from date of issuance or in any event later than 60 days before the Letter of Credit Expiration Date, unless the Required (USD) Lenders have approved such expiry date; or</w:t>
      </w:r>
    </w:p>
    <w:p>
      <w:pPr>
        <w:spacing w:after="0" w:line="146" w:lineRule="exact"/>
        <w:rPr>
          <w:rFonts w:ascii="Arial" w:cs="Arial" w:eastAsia="Arial" w:hAnsi="Arial"/>
          <w:sz w:val="20"/>
          <w:szCs w:val="20"/>
          <w:color w:val="auto"/>
        </w:rPr>
      </w:pPr>
    </w:p>
    <w:p>
      <w:pPr>
        <w:jc w:val="both"/>
        <w:ind w:left="1300" w:right="160" w:firstLine="607"/>
        <w:spacing w:after="0" w:line="227" w:lineRule="auto"/>
        <w:tabs>
          <w:tab w:leader="none" w:pos="23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expiry date of the requested Letter of Credit, or the maturity date of any Bankers’ Acceptance (including any L/C Issued BA issued under a Letter of Credit), would occur after the Letter of Credit Expiration Date, unless all the Committed (USD) Lenders have approved such expiry date.</w:t>
      </w:r>
    </w:p>
    <w:p>
      <w:pPr>
        <w:spacing w:after="0" w:line="148" w:lineRule="exact"/>
        <w:rPr>
          <w:rFonts w:ascii="Arial" w:cs="Arial" w:eastAsia="Arial" w:hAnsi="Arial"/>
          <w:sz w:val="20"/>
          <w:szCs w:val="20"/>
          <w:color w:val="auto"/>
        </w:rPr>
      </w:pPr>
    </w:p>
    <w:p>
      <w:pPr>
        <w:ind w:left="1760" w:hanging="452"/>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or Bankers’ Acceptance, if:</w:t>
      </w:r>
    </w:p>
    <w:p>
      <w:pPr>
        <w:spacing w:after="0" w:line="190" w:lineRule="exact"/>
        <w:rPr>
          <w:rFonts w:ascii="Arial" w:cs="Arial" w:eastAsia="Arial" w:hAnsi="Arial"/>
          <w:sz w:val="18"/>
          <w:szCs w:val="18"/>
          <w:color w:val="auto"/>
        </w:rPr>
      </w:pPr>
    </w:p>
    <w:p>
      <w:pPr>
        <w:jc w:val="both"/>
        <w:ind w:left="1300" w:right="200" w:firstLine="607"/>
        <w:spacing w:after="0" w:line="226" w:lineRule="auto"/>
        <w:tabs>
          <w:tab w:leader="none" w:pos="2340" w:val="left"/>
        </w:tabs>
        <w:numPr>
          <w:ilvl w:val="1"/>
          <w:numId w:val="76"/>
        </w:numPr>
        <w:rPr>
          <w:rFonts w:ascii="Arial" w:cs="Arial" w:eastAsia="Arial" w:hAnsi="Arial"/>
          <w:sz w:val="17"/>
          <w:szCs w:val="17"/>
          <w:color w:val="auto"/>
        </w:rPr>
      </w:pPr>
      <w:r>
        <w:rPr>
          <w:rFonts w:ascii="Arial" w:cs="Arial" w:eastAsia="Arial" w:hAnsi="Arial"/>
          <w:sz w:val="19"/>
          <w:szCs w:val="19"/>
          <w:color w:val="auto"/>
        </w:rPr>
        <w:t>any order, judgment or decree of any Governmental Authority or arbitrator shall by its terms purport to enjoin or restrain the L/C Issuer from issuing the Letter of Credit or Bankers’ Acceptance, or any Law applicable to the L/C Issuer or any request or directive (whether or not having the force of law) from any Governmental Authority with jurisdiction over the L/C Issuer shall prohibit, or request that the L/C Issuer refrain from, the issuance of letters of credit or bankers’ acceptances generally or the Letter of Credit or any Bankers’ Acceptances in particular or shall impose upon the L/C Issuer with respect to the Letter of Credit or Bankers’ Acceptance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233" w:lineRule="exact"/>
        <w:rPr>
          <w:rFonts w:ascii="Arial" w:cs="Arial" w:eastAsia="Arial" w:hAnsi="Arial"/>
          <w:sz w:val="17"/>
          <w:szCs w:val="17"/>
          <w:color w:val="auto"/>
        </w:rPr>
      </w:pPr>
    </w:p>
    <w:p>
      <w:pPr>
        <w:jc w:val="both"/>
        <w:ind w:left="1320" w:right="200" w:firstLine="604"/>
        <w:spacing w:after="0" w:line="258" w:lineRule="auto"/>
        <w:tabs>
          <w:tab w:leader="none" w:pos="234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issuance of the Letter of Credit or any related Bankers’ Acceptance would violate one or more policies of the L/C Issuer, applicable to letters of credit generally, or the creation of any Bankers’ Acceptance would cause the L/C Issuer to exceed the maximum amount of outstanding bankers’ acceptances permitted by law;</w:t>
      </w:r>
    </w:p>
    <w:p>
      <w:pPr>
        <w:spacing w:after="0" w:line="168" w:lineRule="exact"/>
        <w:rPr>
          <w:rFonts w:ascii="Arial" w:cs="Arial" w:eastAsia="Arial" w:hAnsi="Arial"/>
          <w:sz w:val="18"/>
          <w:szCs w:val="18"/>
          <w:color w:val="auto"/>
        </w:rPr>
      </w:pPr>
    </w:p>
    <w:p>
      <w:pPr>
        <w:jc w:val="both"/>
        <w:ind w:left="1320" w:right="200" w:firstLine="604"/>
        <w:spacing w:after="0" w:line="227" w:lineRule="auto"/>
        <w:tabs>
          <w:tab w:leader="none" w:pos="2348" w:val="left"/>
        </w:tabs>
        <w:numPr>
          <w:ilvl w:val="2"/>
          <w:numId w:val="76"/>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the Letter of Credit or Bankers’ Acceptance is in an initial stated amount less than $100,000, in the case of a commercial Letter of Credit or Bankers’ Acceptance, or $250,000, in the case of a standby Letter of Credit;</w:t>
      </w:r>
    </w:p>
    <w:p>
      <w:pPr>
        <w:spacing w:after="0" w:line="183" w:lineRule="exact"/>
        <w:rPr>
          <w:rFonts w:ascii="Arial" w:cs="Arial" w:eastAsia="Arial" w:hAnsi="Arial"/>
          <w:sz w:val="20"/>
          <w:szCs w:val="20"/>
          <w:color w:val="auto"/>
        </w:rPr>
      </w:pPr>
    </w:p>
    <w:p>
      <w:pPr>
        <w:ind w:left="1320" w:right="200" w:firstLine="604"/>
        <w:spacing w:after="0" w:line="236" w:lineRule="auto"/>
        <w:tabs>
          <w:tab w:leader="none" w:pos="2346" w:val="left"/>
        </w:tabs>
        <w:numPr>
          <w:ilvl w:val="2"/>
          <w:numId w:val="76"/>
        </w:numPr>
        <w:rPr>
          <w:rFonts w:ascii="Arial" w:cs="Arial" w:eastAsia="Arial" w:hAnsi="Arial"/>
          <w:sz w:val="20"/>
          <w:szCs w:val="20"/>
          <w:color w:val="auto"/>
        </w:rPr>
      </w:pPr>
      <w:r>
        <w:rPr>
          <w:rFonts w:ascii="Arial" w:cs="Arial" w:eastAsia="Arial" w:hAnsi="Arial"/>
          <w:sz w:val="20"/>
          <w:szCs w:val="20"/>
          <w:color w:val="auto"/>
        </w:rPr>
        <w:t>such Letter of Credit or Bankers’ Acceptance is to be denominated in a currency other than Dollars or an Alternative Currency;</w:t>
      </w:r>
    </w:p>
    <w:p>
      <w:pPr>
        <w:spacing w:after="0" w:line="171" w:lineRule="exact"/>
        <w:rPr>
          <w:rFonts w:ascii="Arial" w:cs="Arial" w:eastAsia="Arial" w:hAnsi="Arial"/>
          <w:sz w:val="20"/>
          <w:szCs w:val="20"/>
          <w:color w:val="auto"/>
        </w:rPr>
      </w:pPr>
    </w:p>
    <w:p>
      <w:pPr>
        <w:ind w:left="1320" w:right="200" w:firstLine="604"/>
        <w:spacing w:after="0" w:line="236" w:lineRule="auto"/>
        <w:tabs>
          <w:tab w:leader="none" w:pos="2349" w:val="left"/>
        </w:tabs>
        <w:numPr>
          <w:ilvl w:val="2"/>
          <w:numId w:val="76"/>
        </w:numPr>
        <w:rPr>
          <w:rFonts w:ascii="Arial" w:cs="Arial" w:eastAsia="Arial" w:hAnsi="Arial"/>
          <w:sz w:val="20"/>
          <w:szCs w:val="20"/>
          <w:color w:val="auto"/>
        </w:rPr>
      </w:pPr>
      <w:r>
        <w:rPr>
          <w:rFonts w:ascii="Arial" w:cs="Arial" w:eastAsia="Arial" w:hAnsi="Arial"/>
          <w:sz w:val="20"/>
          <w:szCs w:val="20"/>
          <w:color w:val="auto"/>
        </w:rPr>
        <w:t xml:space="preserve">the L/C Issuer does not as of the issuance date of such requested Letter of Credit </w:t>
      </w:r>
      <w:r>
        <w:rPr>
          <w:rFonts w:ascii="Arial" w:cs="Arial" w:eastAsia="Arial" w:hAnsi="Arial"/>
          <w:sz w:val="20"/>
          <w:szCs w:val="20"/>
          <w:color w:val="181818"/>
        </w:rPr>
        <w:t>or Bankers’ Acceptance</w:t>
      </w:r>
      <w:r>
        <w:rPr>
          <w:rFonts w:ascii="Arial" w:cs="Arial" w:eastAsia="Arial" w:hAnsi="Arial"/>
          <w:sz w:val="20"/>
          <w:szCs w:val="20"/>
          <w:color w:val="auto"/>
        </w:rPr>
        <w:t xml:space="preserve"> issue Letters of Credit </w:t>
      </w:r>
      <w:r>
        <w:rPr>
          <w:rFonts w:ascii="Arial" w:cs="Arial" w:eastAsia="Arial" w:hAnsi="Arial"/>
          <w:sz w:val="20"/>
          <w:szCs w:val="20"/>
          <w:color w:val="181818"/>
        </w:rPr>
        <w:t>or Bankers’ Acceptances</w:t>
      </w:r>
      <w:r>
        <w:rPr>
          <w:rFonts w:ascii="Arial" w:cs="Arial" w:eastAsia="Arial" w:hAnsi="Arial"/>
          <w:sz w:val="20"/>
          <w:szCs w:val="20"/>
          <w:color w:val="auto"/>
        </w:rPr>
        <w:t xml:space="preserve"> in the requested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60"/>
          </w:cols>
          <w:pgMar w:left="360" w:top="1306" w:right="379" w:bottom="1440" w:gutter="0" w:footer="0" w:header="0"/>
        </w:sectPr>
      </w:pPr>
    </w:p>
    <w:bookmarkStart w:id="152" w:name="page153"/>
    <w:bookmarkEnd w:id="152"/>
    <w:p>
      <w:pPr>
        <w:jc w:val="both"/>
        <w:ind w:left="1320" w:firstLine="604"/>
        <w:spacing w:after="0" w:line="217" w:lineRule="auto"/>
        <w:tabs>
          <w:tab w:leader="none" w:pos="2350" w:val="left"/>
        </w:tabs>
        <w:numPr>
          <w:ilvl w:val="2"/>
          <w:numId w:val="77"/>
        </w:numPr>
        <w:rPr>
          <w:rFonts w:ascii="Arial" w:cs="Arial" w:eastAsia="Arial" w:hAnsi="Arial"/>
          <w:sz w:val="20"/>
          <w:szCs w:val="20"/>
          <w:color w:val="auto"/>
        </w:rPr>
      </w:pPr>
      <w:r>
        <w:rPr>
          <w:rFonts w:ascii="Arial" w:cs="Arial" w:eastAsia="Arial" w:hAnsi="Arial"/>
          <w:sz w:val="20"/>
          <w:szCs w:val="20"/>
          <w:color w:val="auto"/>
        </w:rPr>
        <w:t xml:space="preserve">any Committed (USD)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Arial" w:cs="Arial" w:eastAsia="Arial" w:hAnsi="Arial"/>
          <w:sz w:val="20"/>
          <w:szCs w:val="20"/>
          <w:u w:val="single" w:color="auto"/>
          <w:color w:val="auto"/>
        </w:rPr>
        <w:t>Section 2.17(a)(iv</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88" w:lineRule="exact"/>
        <w:rPr>
          <w:rFonts w:ascii="Arial" w:cs="Arial" w:eastAsia="Arial" w:hAnsi="Arial"/>
          <w:sz w:val="20"/>
          <w:szCs w:val="20"/>
          <w:color w:val="auto"/>
        </w:rPr>
      </w:pPr>
    </w:p>
    <w:p>
      <w:pPr>
        <w:ind w:left="1320" w:firstLine="604"/>
        <w:spacing w:after="0" w:line="236" w:lineRule="auto"/>
        <w:tabs>
          <w:tab w:leader="none" w:pos="2346" w:val="left"/>
        </w:tabs>
        <w:numPr>
          <w:ilvl w:val="2"/>
          <w:numId w:val="77"/>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 or</w:t>
      </w:r>
    </w:p>
    <w:p>
      <w:pPr>
        <w:spacing w:after="0" w:line="171" w:lineRule="exact"/>
        <w:rPr>
          <w:rFonts w:ascii="Arial" w:cs="Arial" w:eastAsia="Arial" w:hAnsi="Arial"/>
          <w:sz w:val="20"/>
          <w:szCs w:val="20"/>
          <w:color w:val="auto"/>
        </w:rPr>
      </w:pPr>
    </w:p>
    <w:p>
      <w:pPr>
        <w:ind w:left="2360" w:hanging="436"/>
        <w:spacing w:after="0"/>
        <w:tabs>
          <w:tab w:leader="none" w:pos="2360"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such Bankers’ Acceptance is to be used for a purpose other than as described in the last sentence of </w:t>
      </w:r>
      <w:r>
        <w:rPr>
          <w:rFonts w:ascii="Arial" w:cs="Arial" w:eastAsia="Arial" w:hAnsi="Arial"/>
          <w:sz w:val="17"/>
          <w:szCs w:val="17"/>
          <w:u w:val="single" w:color="auto"/>
          <w:color w:val="auto"/>
        </w:rPr>
        <w:t>Section</w:t>
      </w:r>
    </w:p>
    <w:p>
      <w:pPr>
        <w:spacing w:after="0" w:line="20"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20"/>
          <w:szCs w:val="20"/>
          <w:u w:val="single" w:color="auto"/>
          <w:color w:val="auto"/>
        </w:rPr>
        <w:t>2.03(c)(i)</w:t>
      </w:r>
      <w:r>
        <w:rPr>
          <w:rFonts w:ascii="Arial" w:cs="Arial" w:eastAsia="Arial" w:hAnsi="Arial"/>
          <w:sz w:val="20"/>
          <w:szCs w:val="20"/>
          <w:color w:val="auto"/>
        </w:rPr>
        <w:t>.</w:t>
      </w:r>
    </w:p>
    <w:p>
      <w:pPr>
        <w:spacing w:after="0" w:line="190" w:lineRule="exact"/>
        <w:rPr>
          <w:rFonts w:ascii="Arial" w:cs="Arial" w:eastAsia="Arial" w:hAnsi="Arial"/>
          <w:sz w:val="17"/>
          <w:szCs w:val="17"/>
          <w:color w:val="auto"/>
        </w:rPr>
      </w:pPr>
    </w:p>
    <w:p>
      <w:pPr>
        <w:ind w:left="720" w:firstLine="605"/>
        <w:spacing w:after="0" w:line="258" w:lineRule="auto"/>
        <w:tabs>
          <w:tab w:leader="none" w:pos="1745"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L/C Issuer shall not amend any Letter of Credit or Bankers’ Acceptance if the L/C Issuer would not be permitted at such time to issue the Letter of Credit or Bankers’ Acceptance in its amended form under the terms hereof.</w:t>
      </w:r>
    </w:p>
    <w:p>
      <w:pPr>
        <w:spacing w:after="0" w:line="166" w:lineRule="exact"/>
        <w:rPr>
          <w:rFonts w:ascii="Arial" w:cs="Arial" w:eastAsia="Arial" w:hAnsi="Arial"/>
          <w:sz w:val="19"/>
          <w:szCs w:val="19"/>
          <w:color w:val="auto"/>
        </w:rPr>
      </w:pPr>
    </w:p>
    <w:p>
      <w:pPr>
        <w:jc w:val="both"/>
        <w:ind w:left="720" w:firstLine="605"/>
        <w:spacing w:after="0" w:line="222" w:lineRule="auto"/>
        <w:tabs>
          <w:tab w:leader="none" w:pos="1752"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or Bankers’ Acceptance if (A) the L/C Issuer would have no obligation at such time to issue the Letter of Credit or Bankers’ Acceptance in its amended form under the terms hereof, or (B) the beneficiary of the Letter of Credit or Bankers’ Acceptance does not accept the proposed amendment to the Letter of Credit or Bankers’ Acceptance.</w:t>
      </w:r>
    </w:p>
    <w:p>
      <w:pPr>
        <w:spacing w:after="0" w:line="172" w:lineRule="exact"/>
        <w:rPr>
          <w:rFonts w:ascii="Arial" w:cs="Arial" w:eastAsia="Arial" w:hAnsi="Arial"/>
          <w:sz w:val="20"/>
          <w:szCs w:val="20"/>
          <w:color w:val="auto"/>
        </w:rPr>
      </w:pPr>
    </w:p>
    <w:p>
      <w:pPr>
        <w:jc w:val="both"/>
        <w:ind w:left="720" w:firstLine="605"/>
        <w:spacing w:after="0" w:line="216" w:lineRule="auto"/>
        <w:tabs>
          <w:tab w:leader="none" w:pos="1745"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The L/C Issuer shall act on behalf of the Committed (USD) Lenders with respect to any Letters of Credit </w:t>
      </w:r>
      <w:r>
        <w:rPr>
          <w:rFonts w:ascii="Arial" w:cs="Arial" w:eastAsia="Arial" w:hAnsi="Arial"/>
          <w:sz w:val="20"/>
          <w:szCs w:val="20"/>
          <w:color w:val="181818"/>
        </w:rPr>
        <w:t>or</w:t>
      </w:r>
      <w:r>
        <w:rPr>
          <w:rFonts w:ascii="Arial" w:cs="Arial" w:eastAsia="Arial" w:hAnsi="Arial"/>
          <w:sz w:val="20"/>
          <w:szCs w:val="20"/>
          <w:color w:val="auto"/>
        </w:rPr>
        <w:t xml:space="preserve"> </w:t>
      </w:r>
      <w:r>
        <w:rPr>
          <w:rFonts w:ascii="Arial" w:cs="Arial" w:eastAsia="Arial" w:hAnsi="Arial"/>
          <w:sz w:val="20"/>
          <w:szCs w:val="20"/>
          <w:color w:val="181818"/>
        </w:rPr>
        <w:t xml:space="preserve">Bankers’ Acceptances </w:t>
      </w:r>
      <w:r>
        <w:rPr>
          <w:rFonts w:ascii="Arial" w:cs="Arial" w:eastAsia="Arial" w:hAnsi="Arial"/>
          <w:sz w:val="20"/>
          <w:szCs w:val="20"/>
          <w:color w:val="000000"/>
        </w:rPr>
        <w:t>issued by it and the documents associated therewith, and the L/C Issuer shall have all of the benefits and</w:t>
      </w:r>
      <w:r>
        <w:rPr>
          <w:rFonts w:ascii="Arial" w:cs="Arial" w:eastAsia="Arial" w:hAnsi="Arial"/>
          <w:sz w:val="20"/>
          <w:szCs w:val="20"/>
          <w:color w:val="181818"/>
        </w:rPr>
        <w:t xml:space="preserve"> </w:t>
      </w:r>
      <w:r>
        <w:rPr>
          <w:rFonts w:ascii="Arial" w:cs="Arial" w:eastAsia="Arial" w:hAnsi="Arial"/>
          <w:sz w:val="20"/>
          <w:szCs w:val="20"/>
          <w:color w:val="000000"/>
        </w:rPr>
        <w:t xml:space="preserve">immunities (A) provided to the Administrative Agent in </w:t>
      </w:r>
      <w:r>
        <w:rPr>
          <w:rFonts w:ascii="Arial" w:cs="Arial" w:eastAsia="Arial" w:hAnsi="Arial"/>
          <w:sz w:val="20"/>
          <w:szCs w:val="20"/>
          <w:u w:val="single" w:color="auto"/>
          <w:color w:val="000000"/>
        </w:rPr>
        <w:t>Article IX</w:t>
      </w:r>
      <w:r>
        <w:rPr>
          <w:rFonts w:ascii="Arial" w:cs="Arial" w:eastAsia="Arial" w:hAnsi="Arial"/>
          <w:sz w:val="20"/>
          <w:szCs w:val="20"/>
          <w:color w:val="000000"/>
        </w:rPr>
        <w:t xml:space="preserve"> with respect to any acts taken or omissions suffered by the L/C Issuer in connection with Letters of Credit </w:t>
      </w:r>
      <w:r>
        <w:rPr>
          <w:rFonts w:ascii="Arial" w:cs="Arial" w:eastAsia="Arial" w:hAnsi="Arial"/>
          <w:sz w:val="20"/>
          <w:szCs w:val="20"/>
          <w:color w:val="181818"/>
        </w:rPr>
        <w:t>and Bankers’ Acceptances</w:t>
      </w:r>
      <w:r>
        <w:rPr>
          <w:rFonts w:ascii="Arial" w:cs="Arial" w:eastAsia="Arial" w:hAnsi="Arial"/>
          <w:sz w:val="20"/>
          <w:szCs w:val="20"/>
          <w:color w:val="000000"/>
        </w:rPr>
        <w:t xml:space="preserve"> issued by it or proposed to be issued by it and Issuer Documents pertaining to such Letters of Credit </w:t>
      </w:r>
      <w:r>
        <w:rPr>
          <w:rFonts w:ascii="Arial" w:cs="Arial" w:eastAsia="Arial" w:hAnsi="Arial"/>
          <w:sz w:val="20"/>
          <w:szCs w:val="20"/>
          <w:color w:val="181818"/>
        </w:rPr>
        <w:t>and Bankers’ Acceptances</w:t>
      </w:r>
      <w:r>
        <w:rPr>
          <w:rFonts w:ascii="Arial" w:cs="Arial" w:eastAsia="Arial" w:hAnsi="Arial"/>
          <w:sz w:val="20"/>
          <w:szCs w:val="20"/>
          <w:color w:val="000000"/>
        </w:rPr>
        <w:t xml:space="preserve"> as fully as if the term “Administrative Agent” as used in </w:t>
      </w:r>
      <w:r>
        <w:rPr>
          <w:rFonts w:ascii="Arial" w:cs="Arial" w:eastAsia="Arial" w:hAnsi="Arial"/>
          <w:sz w:val="20"/>
          <w:szCs w:val="20"/>
          <w:u w:val="single" w:color="auto"/>
          <w:color w:val="000000"/>
        </w:rPr>
        <w:t>Article IX</w:t>
      </w:r>
      <w:r>
        <w:rPr>
          <w:rFonts w:ascii="Arial" w:cs="Arial" w:eastAsia="Arial" w:hAnsi="Arial"/>
          <w:sz w:val="20"/>
          <w:szCs w:val="20"/>
          <w:color w:val="000000"/>
        </w:rPr>
        <w:t xml:space="preserve"> included the L/C Issuer with respect to such acts or omissions, and (B) as additionally provided herein with respect to the L/C Issuer.</w:t>
      </w:r>
    </w:p>
    <w:p>
      <w:pPr>
        <w:spacing w:after="0" w:line="186" w:lineRule="exact"/>
        <w:rPr>
          <w:rFonts w:ascii="Arial" w:cs="Arial" w:eastAsia="Arial" w:hAnsi="Arial"/>
          <w:sz w:val="20"/>
          <w:szCs w:val="20"/>
          <w:color w:val="auto"/>
        </w:rPr>
      </w:pPr>
    </w:p>
    <w:p>
      <w:pPr>
        <w:ind w:left="1160" w:hanging="435"/>
        <w:spacing w:after="0"/>
        <w:tabs>
          <w:tab w:leader="none" w:pos="11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720" w:firstLine="605"/>
        <w:spacing w:after="0" w:line="226" w:lineRule="auto"/>
        <w:tabs>
          <w:tab w:leader="none" w:pos="1745" w:val="left"/>
        </w:tabs>
        <w:numPr>
          <w:ilvl w:val="1"/>
          <w:numId w:val="79"/>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reasonable discretion) prior to the proposed issuance date or date of amendment, as the case may be. In the case of a request for an initial issuance of a Letter of Credit, such Letter of Credit Application shall specify in form and detail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53" w:name="page154"/>
    <w:bookmarkEnd w:id="153"/>
    <w:p>
      <w:pPr>
        <w:jc w:val="both"/>
        <w:ind w:left="720"/>
        <w:spacing w:after="0" w:line="237" w:lineRule="auto"/>
        <w:rPr>
          <w:sz w:val="20"/>
          <w:szCs w:val="20"/>
          <w:color w:val="auto"/>
        </w:rPr>
      </w:pPr>
      <w:r>
        <w:rPr>
          <w:rFonts w:ascii="Arial" w:cs="Arial" w:eastAsia="Arial" w:hAnsi="Arial"/>
          <w:sz w:val="18"/>
          <w:szCs w:val="18"/>
          <w:color w:val="auto"/>
        </w:rPr>
        <w:t>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78" w:lineRule="exact"/>
        <w:rPr>
          <w:sz w:val="20"/>
          <w:szCs w:val="20"/>
          <w:color w:val="auto"/>
        </w:rPr>
      </w:pPr>
    </w:p>
    <w:p>
      <w:pPr>
        <w:jc w:val="both"/>
        <w:ind w:left="720" w:firstLine="605"/>
        <w:spacing w:after="0" w:line="237" w:lineRule="auto"/>
        <w:tabs>
          <w:tab w:leader="none" w:pos="17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Committed (USD)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the L/C Issuer shall, on the requested date, issue a Letter of Credit for the account of the Company (or the applicable Restricted Subsidiary) or enter into the applicable amendment, as the case may be, in each case in accordance with the L/C Issuer's usual and customary business practices. Immediately upon the issuance of each Letter of Credit, each Committed (USD) Lender shall be deemed to, and hereby irrevocably and unconditionally agrees to, purchase from the L/C Issuer a risk participation in such Letter of Credit in an amount equal to the product of such Lender’s Applicable (USD)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86" w:lineRule="exact"/>
        <w:rPr>
          <w:rFonts w:ascii="Arial" w:cs="Arial" w:eastAsia="Arial" w:hAnsi="Arial"/>
          <w:sz w:val="18"/>
          <w:szCs w:val="18"/>
          <w:color w:val="auto"/>
        </w:rPr>
      </w:pPr>
    </w:p>
    <w:p>
      <w:pPr>
        <w:jc w:val="both"/>
        <w:ind w:left="720" w:firstLine="605"/>
        <w:spacing w:after="0" w:line="223" w:lineRule="auto"/>
        <w:tabs>
          <w:tab w:leader="none" w:pos="1743"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the Company so requests in any applicable Letter of Credit Application, the L/C Issuer may, in its reasonable discretion, agree to issue a standby Letter of Credit that has automatic extension provisions (each, an “</w:t>
      </w:r>
      <w:r>
        <w:rPr>
          <w:rFonts w:ascii="Arial" w:cs="Arial" w:eastAsia="Arial" w:hAnsi="Arial"/>
          <w:sz w:val="19"/>
          <w:szCs w:val="19"/>
          <w:u w:val="single" w:color="auto"/>
          <w:color w:val="auto"/>
        </w:rPr>
        <w:t>Auto-Extension 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Committed (USD)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54" w:name="page155"/>
    <w:bookmarkEnd w:id="154"/>
    <w:p>
      <w:pPr>
        <w:jc w:val="both"/>
        <w:ind w:left="720"/>
        <w:spacing w:after="0" w:line="222" w:lineRule="auto"/>
        <w:rPr>
          <w:sz w:val="20"/>
          <w:szCs w:val="20"/>
          <w:color w:val="auto"/>
        </w:rPr>
      </w:pPr>
      <w:r>
        <w:rPr>
          <w:rFonts w:ascii="Arial" w:cs="Arial" w:eastAsia="Arial" w:hAnsi="Arial"/>
          <w:sz w:val="20"/>
          <w:szCs w:val="20"/>
          <w:color w:val="auto"/>
        </w:rPr>
        <w:t xml:space="preserve">on or before the day that is seven Business Days before the Non-Extension Notice Date (1) from the Administrative Agent that the Required (USD) Lenders have elected not to permit such extension or (2) from the Administrative Agent, any Committed (USD) Lender or the Company that one or more of the applicable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then satisfied, and in each such case directing the L/C Issuer not to permit such extension.</w:t>
      </w:r>
    </w:p>
    <w:p>
      <w:pPr>
        <w:spacing w:after="0" w:line="173" w:lineRule="exact"/>
        <w:rPr>
          <w:sz w:val="20"/>
          <w:szCs w:val="20"/>
          <w:color w:val="auto"/>
        </w:rPr>
      </w:pPr>
    </w:p>
    <w:p>
      <w:pPr>
        <w:jc w:val="both"/>
        <w:ind w:left="720" w:firstLine="605"/>
        <w:spacing w:after="0" w:line="227" w:lineRule="auto"/>
        <w:tabs>
          <w:tab w:leader="none" w:pos="1745" w:val="left"/>
        </w:tabs>
        <w:numPr>
          <w:ilvl w:val="1"/>
          <w:numId w:val="81"/>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83" w:lineRule="exact"/>
        <w:rPr>
          <w:rFonts w:ascii="Arial" w:cs="Arial" w:eastAsia="Arial" w:hAnsi="Arial"/>
          <w:sz w:val="20"/>
          <w:szCs w:val="20"/>
          <w:color w:val="auto"/>
        </w:rPr>
      </w:pPr>
    </w:p>
    <w:p>
      <w:pPr>
        <w:ind w:left="1380" w:hanging="655"/>
        <w:spacing w:after="0"/>
        <w:tabs>
          <w:tab w:leader="none" w:pos="138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Procedure for Issuance of Clean Bankers’ Acceptances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720" w:firstLine="605"/>
        <w:spacing w:after="0" w:line="237" w:lineRule="auto"/>
        <w:tabs>
          <w:tab w:leader="none" w:pos="174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Clean Bankers’ Acceptance shall be issued upon the request of the Company delivered to the L/C Issuer (with a copy to the Administrative Agent) in the form of a Bankers’ Acceptance Request, appropriately completed and signed by a Responsible Officer of the Company. Bankers’ Acceptances Requests may be delivered and accepted electronically. Such Bankers’ Acceptance Request must be received by the L/C Issuer and the Administrative Agent not later than 12:00 noon (or such later date and time as the L/C Issuer may agree in a particular instance in its reasonable discretion) of the proposed issuance date. Each Bankers’ Acceptance Request shall specify in form and detail satisfactory to the L/C Issuer: (A) the proposed issuance date of the requested Clean Bankers’ Acceptance (which shall be a Business Day); (B) the amount and currency thereof; (C) the expiry date thereof; (D) the shipping information; (E) a description of the inventory; and (F) such other matters as the L/C Issuer may reasonably require. Each Clean Bankers’ Acceptance shall be in a minimum increment of $100,000, shall be endorsed in blank, shall cover the purchase of inventory, shall mature on a Business Day up to one hundred eighty (180) days after the date thereof, and shall not be payable prior to its stated maturity date.</w:t>
      </w:r>
    </w:p>
    <w:p>
      <w:pPr>
        <w:spacing w:after="0" w:line="186" w:lineRule="exact"/>
        <w:rPr>
          <w:rFonts w:ascii="Arial" w:cs="Arial" w:eastAsia="Arial" w:hAnsi="Arial"/>
          <w:sz w:val="18"/>
          <w:szCs w:val="18"/>
          <w:color w:val="auto"/>
        </w:rPr>
      </w:pPr>
    </w:p>
    <w:p>
      <w:pPr>
        <w:jc w:val="both"/>
        <w:ind w:left="720" w:firstLine="605"/>
        <w:spacing w:after="0" w:line="225" w:lineRule="auto"/>
        <w:tabs>
          <w:tab w:leader="none" w:pos="1750" w:val="left"/>
        </w:tabs>
        <w:numPr>
          <w:ilvl w:val="1"/>
          <w:numId w:val="82"/>
        </w:numPr>
        <w:rPr>
          <w:rFonts w:ascii="Arial" w:cs="Arial" w:eastAsia="Arial" w:hAnsi="Arial"/>
          <w:sz w:val="19"/>
          <w:szCs w:val="19"/>
          <w:color w:val="auto"/>
        </w:rPr>
      </w:pPr>
      <w:r>
        <w:rPr>
          <w:rFonts w:ascii="Arial" w:cs="Arial" w:eastAsia="Arial" w:hAnsi="Arial"/>
          <w:sz w:val="19"/>
          <w:szCs w:val="19"/>
          <w:color w:val="auto"/>
        </w:rPr>
        <w:t>Promptly after receipt of any Bankers’ Acceptance Request, the L/C Issuer will confirm with the Administrative Agent (by telephone or in writing) that the Administrative Agent has received a copy of such Bankers’ Acceptance Request from the Company and, if not, the L/C Issuer will provide the Administrative Agent with a copy thereof. Upon receipt by the L/C Issuer of confirmation from the Administrative Agent that the requested issuance is permitted in accordance with the terms hereof, then, subject to the terms and conditions hereof, the L/C Issuer shall, on the requested date, issue a Clean Bankers’ Acceptance for the account of the Company, in each case in accordance with the L/C Issuer’s usual and customary business practices. Immediately upon the issuance of each Clean Bankers’ Acceptance, each Committed (USD) Lender shall be deemed to, and hereby irrevocably and unconditionally agrees to, purchase from the L/C Issuer a risk participation in such Clean Bankers’ Acceptance in an amount equal to the product of such Committed (USD) Lender’s Applicable (USD) Percentage times the amount of such Clean Bankers’ Acceptance.</w:t>
      </w:r>
    </w:p>
    <w:p>
      <w:pPr>
        <w:spacing w:after="0" w:line="173" w:lineRule="exact"/>
        <w:rPr>
          <w:rFonts w:ascii="Arial" w:cs="Arial" w:eastAsia="Arial" w:hAnsi="Arial"/>
          <w:sz w:val="19"/>
          <w:szCs w:val="19"/>
          <w:color w:val="auto"/>
        </w:rPr>
      </w:pPr>
    </w:p>
    <w:p>
      <w:pPr>
        <w:jc w:val="both"/>
        <w:ind w:left="720" w:firstLine="605"/>
        <w:spacing w:after="0" w:line="234" w:lineRule="auto"/>
        <w:tabs>
          <w:tab w:leader="none" w:pos="1743" w:val="left"/>
        </w:tabs>
        <w:numPr>
          <w:ilvl w:val="1"/>
          <w:numId w:val="82"/>
        </w:numPr>
        <w:rPr>
          <w:rFonts w:ascii="Arial" w:cs="Arial" w:eastAsia="Arial" w:hAnsi="Arial"/>
          <w:sz w:val="19"/>
          <w:szCs w:val="19"/>
          <w:color w:val="auto"/>
        </w:rPr>
      </w:pPr>
      <w:r>
        <w:rPr>
          <w:rFonts w:ascii="Arial" w:cs="Arial" w:eastAsia="Arial" w:hAnsi="Arial"/>
          <w:sz w:val="19"/>
          <w:szCs w:val="19"/>
          <w:color w:val="auto"/>
        </w:rPr>
        <w:t>In the event that the L/C Issuer presents a draft on a matured Clean Bankers’ Acceptance for payment and the Company, at the time of such presentment, does not have funds on deposit in its account at the Administrative Agent sufficient to pay the entire amount of the draft (including any charges or expenses paid or incurred by the L/C Issuer in connection with such draft), the Administrative Agent shall deem such amount to be an Unreimbursed Amount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55" w:name="page156"/>
    <w:bookmarkEnd w:id="155"/>
    <w:p>
      <w:pPr>
        <w:ind w:left="720"/>
        <w:spacing w:after="0"/>
        <w:rPr>
          <w:sz w:val="20"/>
          <w:szCs w:val="20"/>
          <w:color w:val="auto"/>
        </w:rPr>
      </w:pPr>
      <w:r>
        <w:rPr>
          <w:rFonts w:ascii="Arial" w:cs="Arial" w:eastAsia="Arial" w:hAnsi="Arial"/>
          <w:sz w:val="18"/>
          <w:szCs w:val="18"/>
          <w:color w:val="auto"/>
        </w:rPr>
        <w:t xml:space="preserve">proceed in accordance with the provisions of </w:t>
      </w:r>
      <w:r>
        <w:rPr>
          <w:rFonts w:ascii="Arial" w:cs="Arial" w:eastAsia="Arial" w:hAnsi="Arial"/>
          <w:sz w:val="18"/>
          <w:szCs w:val="18"/>
          <w:u w:val="single" w:color="auto"/>
          <w:color w:val="auto"/>
        </w:rPr>
        <w:t>Section 2.03(d)(iii)</w:t>
      </w:r>
      <w:r>
        <w:rPr>
          <w:rFonts w:ascii="Arial" w:cs="Arial" w:eastAsia="Arial" w:hAnsi="Arial"/>
          <w:sz w:val="18"/>
          <w:szCs w:val="18"/>
          <w:color w:val="auto"/>
        </w:rPr>
        <w:t xml:space="preserve"> which relate to a Bankers’ Acceptance not paid on maturity.</w:t>
      </w:r>
    </w:p>
    <w:p>
      <w:pPr>
        <w:spacing w:after="0" w:line="230" w:lineRule="exact"/>
        <w:rPr>
          <w:sz w:val="20"/>
          <w:szCs w:val="20"/>
          <w:color w:val="auto"/>
        </w:rPr>
      </w:pPr>
    </w:p>
    <w:p>
      <w:pPr>
        <w:ind w:left="1320" w:hanging="595"/>
        <w:spacing w:after="0"/>
        <w:tabs>
          <w:tab w:leader="none" w:pos="132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720" w:firstLine="605"/>
        <w:spacing w:after="0"/>
        <w:tabs>
          <w:tab w:leader="none" w:pos="1745" w:val="left"/>
        </w:tabs>
        <w:numPr>
          <w:ilvl w:val="1"/>
          <w:numId w:val="83"/>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or, with respect to any Acceptance Credit, presentation of documents, under such Letter of Credit, or any presentation for payment of a Bankers’ Acceptance, the L/C Issuer shall notify the Company and the Administrative Agent thereof. In the case of a Letter of Credit or Bankers’ Acceptance denominated in an Alternative Currency, the Company shall reimburse the L/C Issuer in an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or Bankers’ Acceptance denominated in an Alternative Currency, the L/C Issuer shall notify the Company of the Dollar Equivalent of the amount of the drawing promptly following the determination thereof. Not later than 12:00 noon on the date of any payment by the L/C Issuer under a Letter of Credit or Bankers’ Acceptance to be reimbursed in Dollars, or the Applicable Time on the date of any payment by the L/C Issuer under a Letter of Credit or Bankers’ Acceptance to be reimbursed in an Alternative Currency (each such date, an “</w:t>
      </w:r>
      <w:r>
        <w:rPr>
          <w:rFonts w:ascii="Arial" w:cs="Arial" w:eastAsia="Arial" w:hAnsi="Arial"/>
          <w:sz w:val="18"/>
          <w:szCs w:val="18"/>
          <w:u w:val="single" w:color="auto"/>
          <w:color w:val="auto"/>
        </w:rPr>
        <w:t>Honor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the Company shall reimburse the L/C Issuer through the Administrative Agent in an amount equal to the amount of such drawing or Bankers’ Acceptance, as applicable, and in the applicable currency. In the event that (A) a drawing or payment denominated in an Alternative Currency is to be reimbursed in Dollars pursuant to the second sentence in this </w:t>
      </w:r>
      <w:r>
        <w:rPr>
          <w:rFonts w:ascii="Arial" w:cs="Arial" w:eastAsia="Arial" w:hAnsi="Arial"/>
          <w:sz w:val="18"/>
          <w:szCs w:val="18"/>
          <w:u w:val="single" w:color="auto"/>
          <w:color w:val="auto"/>
        </w:rPr>
        <w:t>Section 2.03(d)(i)</w:t>
      </w:r>
      <w:r>
        <w:rPr>
          <w:rFonts w:ascii="Arial" w:cs="Arial" w:eastAsia="Arial" w:hAnsi="Arial"/>
          <w:sz w:val="18"/>
          <w:szCs w:val="18"/>
          <w:color w:val="auto"/>
        </w:rPr>
        <w:t xml:space="preserve"> and (B) the Dollar amount paid by the Company, whether on or after the Honor Date, shall not be adequate on the date of that payment to purchase in accordance with normal banking procedures a sum denominated in an Alternative Currency equal to the drawing or payment, the Company agrees, as a separate and independent obligation, to indemnify the L/C Issuer for the loss resulting from its inability on that date to purchase such Alternative Currency in the full amount of the drawing or payment. If the Company fails to so reimburse the L/C Issuer by such time, the Administrative Agent shall promptly notify each Committed (USD) Lender of the Honor Date, the amount of the unreimbursed drawing or presentation (expressed in Dollars in the amount of the Dollar Equivalent thereof in the case of a Letter of Credit or Bankers’ Acceptance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Applicable (USD) Percentage thereof. In such event, the Company shall be deemed to have requested a Committed (USD)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Aggregate (USD)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Loan Notice). Any notice given by the L/C Issuer or the Administrative Agent pursuant to this </w:t>
      </w:r>
      <w:r>
        <w:rPr>
          <w:rFonts w:ascii="Arial" w:cs="Arial" w:eastAsia="Arial" w:hAnsi="Arial"/>
          <w:sz w:val="18"/>
          <w:szCs w:val="18"/>
          <w:u w:val="single" w:color="auto"/>
          <w:color w:val="auto"/>
        </w:rPr>
        <w:t>Section 2.03(d)(i)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214" w:lineRule="exact"/>
        <w:rPr>
          <w:rFonts w:ascii="Arial" w:cs="Arial" w:eastAsia="Arial" w:hAnsi="Arial"/>
          <w:sz w:val="18"/>
          <w:szCs w:val="18"/>
          <w:color w:val="auto"/>
        </w:rPr>
      </w:pPr>
    </w:p>
    <w:p>
      <w:pPr>
        <w:ind w:left="720" w:firstLine="605"/>
        <w:spacing w:after="0" w:line="258" w:lineRule="auto"/>
        <w:tabs>
          <w:tab w:leader="none" w:pos="1750"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Each Committed (USD) Lender shall upon any notice pursuant to </w:t>
      </w:r>
      <w:r>
        <w:rPr>
          <w:rFonts w:ascii="Arial" w:cs="Arial" w:eastAsia="Arial" w:hAnsi="Arial"/>
          <w:sz w:val="19"/>
          <w:szCs w:val="19"/>
          <w:u w:val="single" w:color="auto"/>
          <w:color w:val="auto"/>
        </w:rPr>
        <w:t>Section 2.03(d)(i)</w:t>
      </w:r>
      <w:r>
        <w:rPr>
          <w:rFonts w:ascii="Arial" w:cs="Arial" w:eastAsia="Arial" w:hAnsi="Arial"/>
          <w:sz w:val="19"/>
          <w:szCs w:val="19"/>
          <w:color w:val="auto"/>
        </w:rPr>
        <w:t xml:space="preserve"> make funds available (and the Administrative Agent may apply Cash Collateral provided for this purpose) for the account of the L/C Issuer, 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56" w:name="page157"/>
    <w:bookmarkEnd w:id="156"/>
    <w:p>
      <w:pPr>
        <w:jc w:val="both"/>
        <w:ind w:left="720"/>
        <w:spacing w:after="0" w:line="217" w:lineRule="auto"/>
        <w:rPr>
          <w:sz w:val="20"/>
          <w:szCs w:val="20"/>
          <w:color w:val="auto"/>
        </w:rPr>
      </w:pPr>
      <w:r>
        <w:rPr>
          <w:rFonts w:ascii="Arial" w:cs="Arial" w:eastAsia="Arial" w:hAnsi="Arial"/>
          <w:sz w:val="20"/>
          <w:szCs w:val="20"/>
          <w:color w:val="auto"/>
        </w:rPr>
        <w:t xml:space="preserve">Dollars, at the Administrative Agent’s Office for Dollar-denominated payments in an amount equal to its Applicable (USD) Percentage of the Unreimbursed Amount not later than 1:00 p.m. on the Business Day specified in such notice by the Administrative Agent (which shall not be earlier than the Business Day immediately following the date such notice is given), whereupon, subject to the provisions of </w:t>
      </w:r>
      <w:r>
        <w:rPr>
          <w:rFonts w:ascii="Arial" w:cs="Arial" w:eastAsia="Arial" w:hAnsi="Arial"/>
          <w:sz w:val="20"/>
          <w:szCs w:val="20"/>
          <w:u w:val="single" w:color="auto"/>
          <w:color w:val="auto"/>
        </w:rPr>
        <w:t>Section 2.03(d)(iii)</w:t>
      </w:r>
      <w:r>
        <w:rPr>
          <w:rFonts w:ascii="Arial" w:cs="Arial" w:eastAsia="Arial" w:hAnsi="Arial"/>
          <w:sz w:val="20"/>
          <w:szCs w:val="20"/>
          <w:color w:val="auto"/>
        </w:rPr>
        <w:t>, each Committed (USD) Lender that so makes funds available shall be deemed to have made a Base Rate Committed (USD) Loan to the Company in such amount. The Administrative Agent shall remit the funds so received to the L/C Issuer in Dollars.</w:t>
      </w:r>
    </w:p>
    <w:p>
      <w:pPr>
        <w:spacing w:after="0" w:line="176" w:lineRule="exact"/>
        <w:rPr>
          <w:sz w:val="20"/>
          <w:szCs w:val="20"/>
          <w:color w:val="auto"/>
        </w:rPr>
      </w:pPr>
    </w:p>
    <w:p>
      <w:pPr>
        <w:jc w:val="both"/>
        <w:ind w:left="720" w:firstLine="605"/>
        <w:spacing w:after="0"/>
        <w:tabs>
          <w:tab w:leader="none" w:pos="17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Committed (USD)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Committed (USD) Lender’s payment to the Administrative Agent for the account of the L/C Issuer pursuant to </w:t>
      </w:r>
      <w:r>
        <w:rPr>
          <w:rFonts w:ascii="Arial" w:cs="Arial" w:eastAsia="Arial" w:hAnsi="Arial"/>
          <w:sz w:val="18"/>
          <w:szCs w:val="18"/>
          <w:u w:val="single" w:color="auto"/>
          <w:color w:val="auto"/>
        </w:rPr>
        <w:t>Section 2.03(d)(ii)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720" w:firstLine="605"/>
        <w:spacing w:after="0" w:line="222" w:lineRule="auto"/>
        <w:tabs>
          <w:tab w:leader="none" w:pos="175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Until each Committed (USD) Lender funds its Committed (USD) Loan or L/C Advance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2.03(d)</w:t>
      </w:r>
      <w:r>
        <w:rPr>
          <w:rFonts w:ascii="Arial" w:cs="Arial" w:eastAsia="Arial" w:hAnsi="Arial"/>
          <w:sz w:val="20"/>
          <w:szCs w:val="20"/>
          <w:color w:val="auto"/>
        </w:rPr>
        <w:t xml:space="preserve"> to reimburse the L/C Issuer for any amount drawn under any Letter of Credit or payments made on any Bankers’ Acceptance, interest in respect of such Lender’s Applicable (USD) Percentage of such amount shall be solely for the account of the L/C Issuer.</w:t>
      </w:r>
    </w:p>
    <w:p>
      <w:pPr>
        <w:spacing w:after="0" w:line="172" w:lineRule="exact"/>
        <w:rPr>
          <w:rFonts w:ascii="Arial" w:cs="Arial" w:eastAsia="Arial" w:hAnsi="Arial"/>
          <w:sz w:val="20"/>
          <w:szCs w:val="20"/>
          <w:color w:val="auto"/>
        </w:rPr>
      </w:pPr>
    </w:p>
    <w:p>
      <w:pPr>
        <w:jc w:val="both"/>
        <w:ind w:left="720" w:firstLine="605"/>
        <w:spacing w:after="0" w:line="237" w:lineRule="auto"/>
        <w:tabs>
          <w:tab w:leader="none" w:pos="17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Committed (USD) Lender’s obligation to make Committed (USD) Loans or L/C Advances to reimburse the L/C Issuer for amounts drawn under Letters of Credit and payments made on Bankers’ Acceptances, as contemplated by this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Committed (USD) Lender’s obligation to make Committed (USD) Loans pursuant to this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Company of a Loan Notice). No such making of an L/C Advance shall relieve or otherwise impair the obligation of the Company to reimburse the L/C Issuer for the amount of any payment made by the L/C Issuer under any Letter of Credit or Bankers’ Acceptance, together with interest as provided herein.</w:t>
      </w:r>
    </w:p>
    <w:p>
      <w:pPr>
        <w:spacing w:after="0" w:line="178" w:lineRule="exact"/>
        <w:rPr>
          <w:rFonts w:ascii="Arial" w:cs="Arial" w:eastAsia="Arial" w:hAnsi="Arial"/>
          <w:sz w:val="18"/>
          <w:szCs w:val="18"/>
          <w:color w:val="auto"/>
        </w:rPr>
      </w:pPr>
    </w:p>
    <w:p>
      <w:pPr>
        <w:jc w:val="both"/>
        <w:ind w:left="720" w:firstLine="605"/>
        <w:spacing w:after="0" w:line="227" w:lineRule="auto"/>
        <w:tabs>
          <w:tab w:leader="none" w:pos="174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If any Committed (USD) Lender fails to make available to the Administrative Agent for the account of the L/C Issuer any amount required to be paid by such Lender pursuant to the foregoing provisions of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2.03(d)(ii)</w:t>
      </w:r>
      <w:r>
        <w:rPr>
          <w:rFonts w:ascii="Arial" w:cs="Arial" w:eastAsia="Arial" w:hAnsi="Arial"/>
          <w:sz w:val="19"/>
          <w:szCs w:val="19"/>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57" w:name="page158"/>
    <w:bookmarkEnd w:id="157"/>
    <w:p>
      <w:pPr>
        <w:jc w:val="both"/>
        <w:ind w:left="720"/>
        <w:spacing w:after="0" w:line="219" w:lineRule="auto"/>
        <w:rPr>
          <w:sz w:val="20"/>
          <w:szCs w:val="20"/>
          <w:color w:val="auto"/>
        </w:rPr>
      </w:pPr>
      <w:r>
        <w:rPr>
          <w:rFonts w:ascii="Arial" w:cs="Arial" w:eastAsia="Arial" w:hAnsi="Arial"/>
          <w:sz w:val="20"/>
          <w:szCs w:val="20"/>
          <w:color w:val="auto"/>
        </w:rPr>
        <w:t>the foregoing. If such Lender pays such amount (with interest and fees as aforesaid), the amount so paid shall constitute such Lender’s Committed (USD) Loan included in the relevant Committed (USD) Borrowing or L/C Advance in respect of the relevant L/C Borrowing, as the case may be. A certificate of the L/C Issuer submitted to any Committed (USD) Lender (through the Administrative Agent) with respect to any amounts owing under this clause (vi) shall be conclusive absent manifest error.</w:t>
      </w:r>
    </w:p>
    <w:p>
      <w:pPr>
        <w:spacing w:after="0" w:line="174" w:lineRule="exact"/>
        <w:rPr>
          <w:sz w:val="20"/>
          <w:szCs w:val="20"/>
          <w:color w:val="auto"/>
        </w:rPr>
      </w:pPr>
    </w:p>
    <w:p>
      <w:pPr>
        <w:ind w:left="1320" w:hanging="595"/>
        <w:spacing w:after="0"/>
        <w:tabs>
          <w:tab w:leader="none" w:pos="132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720" w:firstLine="605"/>
        <w:spacing w:after="0" w:line="229" w:lineRule="auto"/>
        <w:tabs>
          <w:tab w:leader="none" w:pos="1745"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At any time after the L/C Issuer has made a payment under any Letter of Credit or Bankers’ Acceptance and has received from any Committed (USD) Lender such Lender’s L/C Advance in respect of such payment in accordance with </w:t>
      </w:r>
      <w:r>
        <w:rPr>
          <w:rFonts w:ascii="Arial" w:cs="Arial" w:eastAsia="Arial" w:hAnsi="Arial"/>
          <w:sz w:val="19"/>
          <w:szCs w:val="19"/>
          <w:u w:val="single" w:color="auto"/>
          <w:color w:val="auto"/>
        </w:rPr>
        <w:t>Section 2.03(d)</w:t>
      </w:r>
      <w:r>
        <w:rPr>
          <w:rFonts w:ascii="Arial" w:cs="Arial" w:eastAsia="Arial" w:hAnsi="Arial"/>
          <w:sz w:val="19"/>
          <w:szCs w:val="19"/>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(USD) Percentage thereof in Dollars and in the same funds as those received by the Administrative Agent.</w:t>
      </w:r>
    </w:p>
    <w:p>
      <w:pPr>
        <w:spacing w:after="0" w:line="172" w:lineRule="exact"/>
        <w:rPr>
          <w:rFonts w:ascii="Arial" w:cs="Arial" w:eastAsia="Arial" w:hAnsi="Arial"/>
          <w:sz w:val="19"/>
          <w:szCs w:val="19"/>
          <w:color w:val="auto"/>
        </w:rPr>
      </w:pPr>
    </w:p>
    <w:p>
      <w:pPr>
        <w:ind w:left="1760" w:hanging="435"/>
        <w:spacing w:after="0"/>
        <w:tabs>
          <w:tab w:leader="none" w:pos="1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2.03(d)</w:t>
      </w:r>
    </w:p>
    <w:p>
      <w:pPr>
        <w:spacing w:after="0" w:line="8" w:lineRule="exact"/>
        <w:rPr>
          <w:rFonts w:ascii="Arial" w:cs="Arial" w:eastAsia="Arial" w:hAnsi="Arial"/>
          <w:sz w:val="18"/>
          <w:szCs w:val="18"/>
          <w:color w:val="auto"/>
        </w:rPr>
      </w:pPr>
    </w:p>
    <w:p>
      <w:pPr>
        <w:jc w:val="both"/>
        <w:ind w:left="720" w:firstLine="6"/>
        <w:spacing w:after="0" w:line="226" w:lineRule="auto"/>
        <w:tabs>
          <w:tab w:leader="none" w:pos="972" w:val="left"/>
        </w:tabs>
        <w:numPr>
          <w:ilvl w:val="0"/>
          <w:numId w:val="86"/>
        </w:numPr>
        <w:rPr>
          <w:rFonts w:ascii="Arial" w:cs="Arial" w:eastAsia="Arial" w:hAnsi="Arial"/>
          <w:sz w:val="19"/>
          <w:szCs w:val="19"/>
          <w:u w:val="single" w:color="auto"/>
          <w:color w:val="auto"/>
        </w:rPr>
      </w:pPr>
      <w:r>
        <w:rPr>
          <w:rFonts w:ascii="Arial" w:cs="Arial" w:eastAsia="Arial" w:hAnsi="Arial"/>
          <w:sz w:val="19"/>
          <w:szCs w:val="19"/>
          <w:color w:val="auto"/>
        </w:rPr>
        <w:t xml:space="preserve">is required to be returned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the L/C Issuer in its discretion), each Committed (USD) Lender shall pay to the Administrative Agent for the account of the L/C Issuer its Applicable (USD) Percentage thereof on demand of the Administrative Agent, plus interest thereon from the date of such demand to the date such amount is returned by such Lender, at a rate per annum equal to the applicable Overnight Rate from time to time in effect. The obligations of the Committed (USD) Lenders under this clause shall survive the payment in full of the Obligations and the termination of this Agreement.</w:t>
      </w:r>
    </w:p>
    <w:p>
      <w:pPr>
        <w:spacing w:after="0" w:line="172" w:lineRule="exact"/>
        <w:rPr>
          <w:rFonts w:ascii="Arial" w:cs="Arial" w:eastAsia="Arial" w:hAnsi="Arial"/>
          <w:sz w:val="19"/>
          <w:szCs w:val="19"/>
          <w:u w:val="single" w:color="auto"/>
          <w:color w:val="auto"/>
        </w:rPr>
      </w:pPr>
    </w:p>
    <w:p>
      <w:pPr>
        <w:jc w:val="both"/>
        <w:ind w:left="120" w:right="20" w:firstLine="605"/>
        <w:spacing w:after="0" w:line="258" w:lineRule="auto"/>
        <w:tabs>
          <w:tab w:leader="none" w:pos="114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Company to reimburse the L/C Issuer for each drawing under each Letter of Credit and each payment under any Bankers’ Acceptance and to repay each L/C Borrowing shall be absolute, unconditional and irrevocable, and shall be paid strictly in accordance with the terms of this Agreement under all circumstances, including the following:</w:t>
      </w:r>
    </w:p>
    <w:p>
      <w:pPr>
        <w:spacing w:after="0" w:line="231" w:lineRule="exact"/>
        <w:rPr>
          <w:rFonts w:ascii="Arial" w:cs="Arial" w:eastAsia="Arial" w:hAnsi="Arial"/>
          <w:sz w:val="18"/>
          <w:szCs w:val="18"/>
          <w:color w:val="auto"/>
        </w:rPr>
      </w:pPr>
    </w:p>
    <w:p>
      <w:pPr>
        <w:ind w:left="720" w:right="20" w:firstLine="605"/>
        <w:spacing w:after="0" w:line="236" w:lineRule="auto"/>
        <w:tabs>
          <w:tab w:leader="none" w:pos="1745"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or Bankers’ Acceptance, this Agreement, or any other Loan Document;</w:t>
      </w:r>
    </w:p>
    <w:p>
      <w:pPr>
        <w:spacing w:after="0" w:line="184" w:lineRule="exact"/>
        <w:rPr>
          <w:rFonts w:ascii="Arial" w:cs="Arial" w:eastAsia="Arial" w:hAnsi="Arial"/>
          <w:sz w:val="20"/>
          <w:szCs w:val="20"/>
          <w:color w:val="auto"/>
        </w:rPr>
      </w:pPr>
    </w:p>
    <w:p>
      <w:pPr>
        <w:jc w:val="both"/>
        <w:ind w:left="720" w:firstLine="605"/>
        <w:spacing w:after="0" w:line="231" w:lineRule="auto"/>
        <w:tabs>
          <w:tab w:leader="none" w:pos="1750"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the existence of any claim, counterclaim, setoff, defense or other right that the Company or any Subsidiary may have at any time against any beneficiary or any transferee of such Letter of Credit </w:t>
      </w:r>
      <w:r>
        <w:rPr>
          <w:rFonts w:ascii="Arial" w:cs="Arial" w:eastAsia="Arial" w:hAnsi="Arial"/>
          <w:sz w:val="19"/>
          <w:szCs w:val="19"/>
          <w:color w:val="181818"/>
        </w:rPr>
        <w:t>or Bankers’ Acceptance</w:t>
      </w:r>
      <w:r>
        <w:rPr>
          <w:rFonts w:ascii="Arial" w:cs="Arial" w:eastAsia="Arial" w:hAnsi="Arial"/>
          <w:sz w:val="19"/>
          <w:szCs w:val="19"/>
          <w:color w:val="auto"/>
        </w:rPr>
        <w:t xml:space="preserve"> (or any Person for whom any such beneficiary or any such transferee may be acting), the L/C Issuer or any other Person, whether in connection with this Agreement, the transactions contemplated hereby or by such Letter of Credit </w:t>
      </w:r>
      <w:r>
        <w:rPr>
          <w:rFonts w:ascii="Arial" w:cs="Arial" w:eastAsia="Arial" w:hAnsi="Arial"/>
          <w:sz w:val="19"/>
          <w:szCs w:val="19"/>
          <w:color w:val="181818"/>
        </w:rPr>
        <w:t>or Bankers’ Acceptance</w:t>
      </w:r>
      <w:r>
        <w:rPr>
          <w:rFonts w:ascii="Arial" w:cs="Arial" w:eastAsia="Arial" w:hAnsi="Arial"/>
          <w:sz w:val="19"/>
          <w:szCs w:val="19"/>
          <w:color w:val="auto"/>
        </w:rPr>
        <w:t xml:space="preserve"> or any agreement or instrument relating thereto, or any unrelated transaction;</w:t>
      </w:r>
    </w:p>
    <w:p>
      <w:pPr>
        <w:spacing w:after="0" w:line="184" w:lineRule="exact"/>
        <w:rPr>
          <w:rFonts w:ascii="Arial" w:cs="Arial" w:eastAsia="Arial" w:hAnsi="Arial"/>
          <w:sz w:val="19"/>
          <w:szCs w:val="19"/>
          <w:color w:val="auto"/>
        </w:rPr>
      </w:pPr>
    </w:p>
    <w:p>
      <w:pPr>
        <w:jc w:val="both"/>
        <w:ind w:left="720" w:firstLine="605"/>
        <w:spacing w:after="0" w:line="227" w:lineRule="auto"/>
        <w:tabs>
          <w:tab w:leader="none" w:pos="1743"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any draft, demand, certificate or other document </w:t>
      </w:r>
      <w:r>
        <w:rPr>
          <w:rFonts w:ascii="Arial" w:cs="Arial" w:eastAsia="Arial" w:hAnsi="Arial"/>
          <w:sz w:val="20"/>
          <w:szCs w:val="20"/>
          <w:color w:val="181818"/>
        </w:rPr>
        <w:t>or endorsement</w:t>
      </w:r>
      <w:r>
        <w:rPr>
          <w:rFonts w:ascii="Arial" w:cs="Arial" w:eastAsia="Arial" w:hAnsi="Arial"/>
          <w:sz w:val="20"/>
          <w:szCs w:val="20"/>
          <w:color w:val="auto"/>
        </w:rPr>
        <w:t xml:space="preserve"> presented under </w:t>
      </w:r>
      <w:r>
        <w:rPr>
          <w:rFonts w:ascii="Arial" w:cs="Arial" w:eastAsia="Arial" w:hAnsi="Arial"/>
          <w:sz w:val="20"/>
          <w:szCs w:val="20"/>
          <w:color w:val="181818"/>
        </w:rPr>
        <w:t>or in connection with</w:t>
      </w:r>
      <w:r>
        <w:rPr>
          <w:rFonts w:ascii="Arial" w:cs="Arial" w:eastAsia="Arial" w:hAnsi="Arial"/>
          <w:sz w:val="20"/>
          <w:szCs w:val="20"/>
          <w:color w:val="auto"/>
        </w:rPr>
        <w:t xml:space="preserve"> such Letter of Credit </w:t>
      </w:r>
      <w:r>
        <w:rPr>
          <w:rFonts w:ascii="Arial" w:cs="Arial" w:eastAsia="Arial" w:hAnsi="Arial"/>
          <w:sz w:val="20"/>
          <w:szCs w:val="20"/>
          <w:color w:val="181818"/>
        </w:rPr>
        <w:t>or Bankers’ Acceptance</w:t>
      </w:r>
      <w:r>
        <w:rPr>
          <w:rFonts w:ascii="Arial" w:cs="Arial" w:eastAsia="Arial" w:hAnsi="Arial"/>
          <w:sz w:val="20"/>
          <w:szCs w:val="20"/>
          <w:color w:val="auto"/>
        </w:rPr>
        <w:t xml:space="preserve"> proving to be forged, fraudulent, invalid or insufficient in any respect or any statement therein being untrue or inaccurate in any respect; or any loss or delay 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58" w:name="page159"/>
    <w:bookmarkEnd w:id="158"/>
    <w:p>
      <w:pPr>
        <w:ind w:left="720"/>
        <w:spacing w:after="0" w:line="236" w:lineRule="auto"/>
        <w:rPr>
          <w:sz w:val="20"/>
          <w:szCs w:val="20"/>
          <w:color w:val="auto"/>
        </w:rPr>
      </w:pPr>
      <w:r>
        <w:rPr>
          <w:rFonts w:ascii="Arial" w:cs="Arial" w:eastAsia="Arial" w:hAnsi="Arial"/>
          <w:sz w:val="20"/>
          <w:szCs w:val="20"/>
          <w:color w:val="auto"/>
        </w:rPr>
        <w:t xml:space="preserve">the transmission or otherwise of any document required in order to make a drawing under such Letter of Credit </w:t>
      </w:r>
      <w:r>
        <w:rPr>
          <w:rFonts w:ascii="Arial" w:cs="Arial" w:eastAsia="Arial" w:hAnsi="Arial"/>
          <w:sz w:val="20"/>
          <w:szCs w:val="20"/>
          <w:color w:val="181818"/>
        </w:rPr>
        <w:t>or obtain</w:t>
      </w:r>
      <w:r>
        <w:rPr>
          <w:rFonts w:ascii="Arial" w:cs="Arial" w:eastAsia="Arial" w:hAnsi="Arial"/>
          <w:sz w:val="20"/>
          <w:szCs w:val="20"/>
          <w:color w:val="auto"/>
        </w:rPr>
        <w:t xml:space="preserve"> </w:t>
      </w:r>
      <w:r>
        <w:rPr>
          <w:rFonts w:ascii="Arial" w:cs="Arial" w:eastAsia="Arial" w:hAnsi="Arial"/>
          <w:sz w:val="20"/>
          <w:szCs w:val="20"/>
          <w:color w:val="181818"/>
        </w:rPr>
        <w:t>payment under any Bankers’ Acceptance</w:t>
      </w:r>
      <w:r>
        <w:rPr>
          <w:rFonts w:ascii="Arial" w:cs="Arial" w:eastAsia="Arial" w:hAnsi="Arial"/>
          <w:sz w:val="20"/>
          <w:szCs w:val="20"/>
          <w:color w:val="000000"/>
        </w:rPr>
        <w:t>;</w:t>
      </w:r>
    </w:p>
    <w:p>
      <w:pPr>
        <w:spacing w:after="0" w:line="184" w:lineRule="exact"/>
        <w:rPr>
          <w:sz w:val="20"/>
          <w:szCs w:val="20"/>
          <w:color w:val="auto"/>
        </w:rPr>
      </w:pPr>
    </w:p>
    <w:p>
      <w:pPr>
        <w:ind w:left="720" w:firstLine="605"/>
        <w:spacing w:after="0" w:line="236" w:lineRule="auto"/>
        <w:tabs>
          <w:tab w:leader="none" w:pos="1745" w:val="left"/>
        </w:tabs>
        <w:numPr>
          <w:ilvl w:val="0"/>
          <w:numId w:val="88"/>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the Company or any waiver by the L/C Issuer which does not in fact materially prejudice the Company;</w:t>
      </w:r>
    </w:p>
    <w:p>
      <w:pPr>
        <w:spacing w:after="0" w:line="234" w:lineRule="exact"/>
        <w:rPr>
          <w:rFonts w:ascii="Arial" w:cs="Arial" w:eastAsia="Arial" w:hAnsi="Arial"/>
          <w:sz w:val="20"/>
          <w:szCs w:val="20"/>
          <w:color w:val="auto"/>
        </w:rPr>
      </w:pPr>
    </w:p>
    <w:p>
      <w:pPr>
        <w:ind w:left="720" w:firstLine="605"/>
        <w:spacing w:after="0" w:line="236" w:lineRule="auto"/>
        <w:tabs>
          <w:tab w:leader="none" w:pos="17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or Bankers’ Acceptance requires that demand be in the form of a draft;</w:t>
      </w:r>
    </w:p>
    <w:p>
      <w:pPr>
        <w:spacing w:after="0" w:line="184"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spacing w:after="0" w:line="171" w:lineRule="exact"/>
        <w:rPr>
          <w:rFonts w:ascii="Arial" w:cs="Arial" w:eastAsia="Arial" w:hAnsi="Arial"/>
          <w:sz w:val="20"/>
          <w:szCs w:val="20"/>
          <w:color w:val="auto"/>
        </w:rPr>
      </w:pPr>
    </w:p>
    <w:p>
      <w:pPr>
        <w:jc w:val="both"/>
        <w:ind w:left="720" w:firstLine="605"/>
        <w:spacing w:after="0" w:line="217" w:lineRule="auto"/>
        <w:tabs>
          <w:tab w:leader="none" w:pos="175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payment by the L/C Issuer under such Letter of Credit or Bankers’ Acceptance against presentation of a draft or certificate that does not strictly comply with the terms of such Letter of Credit or Bankers’ Acceptance; or any payment made by the L/C Issuer under such Letter of Credit or Bankers’ Acceptance to any Person purporting to be a trustee in bankruptcy, debtor-in-possession, assignee for the benefit of creditors, liquidator, receiver or other representative of or successor to any beneficiary or any transferee of such Letter of Credit or Bankers’ Acceptance, including any arising in connection with any proceeding under any Debtor Relief Law;</w:t>
      </w:r>
    </w:p>
    <w:p>
      <w:pPr>
        <w:spacing w:after="0" w:line="176" w:lineRule="exact"/>
        <w:rPr>
          <w:sz w:val="20"/>
          <w:szCs w:val="20"/>
          <w:color w:val="auto"/>
        </w:rPr>
      </w:pPr>
    </w:p>
    <w:p>
      <w:pPr>
        <w:ind w:left="720" w:right="20" w:firstLine="599"/>
        <w:spacing w:after="0" w:line="236" w:lineRule="auto"/>
        <w:rPr>
          <w:sz w:val="20"/>
          <w:szCs w:val="20"/>
          <w:color w:val="auto"/>
        </w:rPr>
      </w:pPr>
      <w:r>
        <w:rPr>
          <w:rFonts w:ascii="Arial" w:cs="Arial" w:eastAsia="Arial" w:hAnsi="Arial"/>
          <w:sz w:val="20"/>
          <w:szCs w:val="20"/>
          <w:color w:val="auto"/>
        </w:rPr>
        <w:t>(viii)any adverse change in the relevant exchange rates or in the availability of an Alternative Currency to the Company or any Subsidiary or in the relevant currency markets generally; or</w:t>
      </w:r>
    </w:p>
    <w:p>
      <w:pPr>
        <w:spacing w:after="0" w:line="184" w:lineRule="exact"/>
        <w:rPr>
          <w:sz w:val="20"/>
          <w:szCs w:val="20"/>
          <w:color w:val="auto"/>
        </w:rPr>
      </w:pPr>
    </w:p>
    <w:p>
      <w:pPr>
        <w:ind w:left="720" w:firstLine="605"/>
        <w:spacing w:after="0" w:line="286" w:lineRule="auto"/>
        <w:tabs>
          <w:tab w:leader="none" w:pos="17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43"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color w:val="auto"/>
        </w:rPr>
        <w:t>The Company shall promptly examine a copy of each Letter of Credit and each amendment thereto, and each Bankers’ Acceptance,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72" w:lineRule="exact"/>
        <w:rPr>
          <w:sz w:val="20"/>
          <w:szCs w:val="20"/>
          <w:color w:val="auto"/>
        </w:rPr>
      </w:pPr>
    </w:p>
    <w:p>
      <w:pPr>
        <w:jc w:val="both"/>
        <w:ind w:left="120" w:firstLine="605"/>
        <w:spacing w:after="0" w:line="226" w:lineRule="auto"/>
        <w:tabs>
          <w:tab w:leader="none" w:pos="115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Each Lender and the Company agree that, in paying any drawing under a Letter of Credit or making any payment under a Bankers’ Acceptance,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Committed (USD) Lenders or the Required (USD) Lenders, as applicable; (ii) any action taken or omitted in the absence of gross negligence or willful misconduct; or (iii) the due execution, effectiveness, validity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59" w:name="page160"/>
    <w:bookmarkEnd w:id="159"/>
    <w:p>
      <w:pPr>
        <w:jc w:val="both"/>
        <w:ind w:left="120"/>
        <w:spacing w:after="0" w:line="222" w:lineRule="auto"/>
        <w:rPr>
          <w:sz w:val="20"/>
          <w:szCs w:val="20"/>
          <w:color w:val="auto"/>
        </w:rPr>
      </w:pPr>
      <w:r>
        <w:rPr>
          <w:rFonts w:ascii="Arial" w:cs="Arial" w:eastAsia="Arial" w:hAnsi="Arial"/>
          <w:sz w:val="19"/>
          <w:szCs w:val="19"/>
          <w:color w:val="auto"/>
        </w:rPr>
        <w:t xml:space="preserve">or enforceability of any document or instrument related to any Letter of Credit, Bankers’ Acceptance or Issuer Document. The Company hereby assumes all risks of the acts or omissions of any beneficiary or transferee with respect to its use of any Letter of Credit or Bankers’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endorsing, transferring or assigning or purporting to endorse, transfer or assign a Letter of Credit or Bankers’ Acceptance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80" w:lineRule="exact"/>
        <w:rPr>
          <w:sz w:val="20"/>
          <w:szCs w:val="20"/>
          <w:color w:val="auto"/>
        </w:rPr>
      </w:pPr>
    </w:p>
    <w:p>
      <w:pPr>
        <w:jc w:val="both"/>
        <w:ind w:left="120" w:firstLine="605"/>
        <w:spacing w:after="0" w:line="225" w:lineRule="auto"/>
        <w:tabs>
          <w:tab w:leader="none" w:pos="1151"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L/C Issuer and the Company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Bankers’ Acceptance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Bankers’ Acceptance chooses such law or practice.</w:t>
      </w:r>
    </w:p>
    <w:p>
      <w:pPr>
        <w:spacing w:after="0" w:line="186" w:lineRule="exact"/>
        <w:rPr>
          <w:rFonts w:ascii="Arial" w:cs="Arial" w:eastAsia="Arial" w:hAnsi="Arial"/>
          <w:sz w:val="19"/>
          <w:szCs w:val="19"/>
          <w:color w:val="auto"/>
        </w:rPr>
      </w:pPr>
    </w:p>
    <w:p>
      <w:pPr>
        <w:jc w:val="both"/>
        <w:ind w:left="120" w:firstLine="605"/>
        <w:spacing w:after="0" w:line="227" w:lineRule="auto"/>
        <w:tabs>
          <w:tab w:leader="none" w:pos="11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Company shall pay to the Administrative Agent for the account of each Committed (USD) Lender in accordance, subject to </w:t>
      </w:r>
      <w:r>
        <w:rPr>
          <w:rFonts w:ascii="Arial" w:cs="Arial" w:eastAsia="Arial" w:hAnsi="Arial"/>
          <w:sz w:val="19"/>
          <w:szCs w:val="19"/>
          <w:u w:val="single" w:color="auto"/>
          <w:color w:val="auto"/>
        </w:rPr>
        <w:t>Section 2.17</w:t>
      </w:r>
      <w:r>
        <w:rPr>
          <w:rFonts w:ascii="Arial" w:cs="Arial" w:eastAsia="Arial" w:hAnsi="Arial"/>
          <w:sz w:val="19"/>
          <w:szCs w:val="19"/>
          <w:color w:val="auto"/>
        </w:rPr>
        <w:t>, with its Applicable (USD) Percentage, in Dollars, a Letter of Credit fee (the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Fee</w:t>
      </w:r>
      <w:r>
        <w:rPr>
          <w:rFonts w:ascii="Arial" w:cs="Arial" w:eastAsia="Arial" w:hAnsi="Arial"/>
          <w:sz w:val="19"/>
          <w:szCs w:val="19"/>
          <w:color w:val="auto"/>
        </w:rPr>
        <w:t xml:space="preserve">”) for each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1.09</w:t>
      </w:r>
      <w:r>
        <w:rPr>
          <w:rFonts w:ascii="Arial" w:cs="Arial" w:eastAsia="Arial" w:hAnsi="Arial"/>
          <w:sz w:val="19"/>
          <w:szCs w:val="19"/>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60" w:name="page161"/>
    <w:bookmarkEnd w:id="160"/>
    <w:p>
      <w:pPr>
        <w:jc w:val="both"/>
        <w:ind w:left="120"/>
        <w:spacing w:after="0" w:line="249" w:lineRule="auto"/>
        <w:rPr>
          <w:sz w:val="20"/>
          <w:szCs w:val="20"/>
          <w:color w:val="auto"/>
        </w:rPr>
      </w:pPr>
      <w:r>
        <w:rPr>
          <w:rFonts w:ascii="Arial" w:cs="Arial" w:eastAsia="Arial" w:hAnsi="Arial"/>
          <w:sz w:val="18"/>
          <w:szCs w:val="18"/>
          <w:color w:val="auto"/>
        </w:rPr>
        <w:t>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(USD) Lenders, while any Event of Default exists, all Letter of Credit Fees shall accrue at the Default Rate.</w:t>
      </w:r>
    </w:p>
    <w:p>
      <w:pPr>
        <w:spacing w:after="0" w:line="177" w:lineRule="exact"/>
        <w:rPr>
          <w:sz w:val="20"/>
          <w:szCs w:val="20"/>
          <w:color w:val="auto"/>
        </w:rPr>
      </w:pPr>
    </w:p>
    <w:p>
      <w:pPr>
        <w:jc w:val="both"/>
        <w:ind w:left="120" w:firstLine="605"/>
        <w:spacing w:after="0" w:line="224" w:lineRule="auto"/>
        <w:tabs>
          <w:tab w:leader="none" w:pos="114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181818"/>
        </w:rPr>
        <w:t>BA Fees</w:t>
      </w:r>
      <w:r>
        <w:rPr>
          <w:rFonts w:ascii="Arial" w:cs="Arial" w:eastAsia="Arial" w:hAnsi="Arial"/>
          <w:sz w:val="19"/>
          <w:szCs w:val="19"/>
          <w:color w:val="181818"/>
        </w:rPr>
        <w:t xml:space="preserve">. The Company shall pay to the Administrative Agent for the account of each Committed (USD) Lender in accordance, subject to </w:t>
      </w:r>
      <w:r>
        <w:rPr>
          <w:rFonts w:ascii="Arial" w:cs="Arial" w:eastAsia="Arial" w:hAnsi="Arial"/>
          <w:sz w:val="19"/>
          <w:szCs w:val="19"/>
          <w:u w:val="single" w:color="auto"/>
          <w:color w:val="181818"/>
        </w:rPr>
        <w:t>Section 2.17</w:t>
      </w:r>
      <w:r>
        <w:rPr>
          <w:rFonts w:ascii="Arial" w:cs="Arial" w:eastAsia="Arial" w:hAnsi="Arial"/>
          <w:sz w:val="19"/>
          <w:szCs w:val="19"/>
          <w:color w:val="181818"/>
        </w:rPr>
        <w:t>, with its Applicable (USD) Percentage a Bankers’ Acceptance fee (the “</w:t>
      </w:r>
      <w:r>
        <w:rPr>
          <w:rFonts w:ascii="Arial" w:cs="Arial" w:eastAsia="Arial" w:hAnsi="Arial"/>
          <w:sz w:val="19"/>
          <w:szCs w:val="19"/>
          <w:u w:val="single" w:color="auto"/>
          <w:color w:val="181818"/>
        </w:rPr>
        <w:t>BA Fee</w:t>
      </w:r>
      <w:r>
        <w:rPr>
          <w:rFonts w:ascii="Arial" w:cs="Arial" w:eastAsia="Arial" w:hAnsi="Arial"/>
          <w:sz w:val="19"/>
          <w:szCs w:val="19"/>
          <w:color w:val="181818"/>
        </w:rPr>
        <w:t xml:space="preserve">”) equal to the Bankers’ Acceptance Rate </w:t>
      </w:r>
      <w:r>
        <w:rPr>
          <w:rFonts w:ascii="Arial" w:cs="Arial" w:eastAsia="Arial" w:hAnsi="Arial"/>
          <w:sz w:val="19"/>
          <w:szCs w:val="19"/>
          <w:u w:val="single" w:color="auto"/>
          <w:color w:val="181818"/>
        </w:rPr>
        <w:t>plus</w:t>
      </w:r>
      <w:r>
        <w:rPr>
          <w:rFonts w:ascii="Arial" w:cs="Arial" w:eastAsia="Arial" w:hAnsi="Arial"/>
          <w:sz w:val="19"/>
          <w:szCs w:val="19"/>
          <w:color w:val="181818"/>
        </w:rPr>
        <w:t xml:space="preserve"> the Applicable Rate </w:t>
      </w:r>
      <w:r>
        <w:rPr>
          <w:rFonts w:ascii="Arial" w:cs="Arial" w:eastAsia="Arial" w:hAnsi="Arial"/>
          <w:sz w:val="19"/>
          <w:szCs w:val="19"/>
          <w:u w:val="single" w:color="auto"/>
          <w:color w:val="181818"/>
        </w:rPr>
        <w:t>times</w:t>
      </w:r>
      <w:r>
        <w:rPr>
          <w:rFonts w:ascii="Arial" w:cs="Arial" w:eastAsia="Arial" w:hAnsi="Arial"/>
          <w:sz w:val="19"/>
          <w:szCs w:val="19"/>
          <w:color w:val="181818"/>
        </w:rPr>
        <w:t xml:space="preserve"> the Dollar Equivalent of the daily maximum stated amount of all outstanding Bankers’ Acceptances. BA Fees shall be (i) due and payable on the first Business Day after the end of each March, June, September and December, commencing with the first such date to occur after the issuance of such Bankers’ Acceptance, on the Maturity Date </w:t>
      </w:r>
      <w:r>
        <w:rPr>
          <w:rFonts w:ascii="Arial" w:cs="Arial" w:eastAsia="Arial" w:hAnsi="Arial"/>
          <w:sz w:val="19"/>
          <w:szCs w:val="19"/>
          <w:color w:val="000000"/>
        </w:rPr>
        <w:t>of</w:t>
      </w:r>
      <w:r>
        <w:rPr>
          <w:rFonts w:ascii="Arial" w:cs="Arial" w:eastAsia="Arial" w:hAnsi="Arial"/>
          <w:sz w:val="19"/>
          <w:szCs w:val="19"/>
          <w:color w:val="181818"/>
        </w:rPr>
        <w:t xml:space="preserve"> </w:t>
      </w:r>
      <w:r>
        <w:rPr>
          <w:rFonts w:ascii="Arial" w:cs="Arial" w:eastAsia="Arial" w:hAnsi="Arial"/>
          <w:sz w:val="19"/>
          <w:szCs w:val="19"/>
          <w:color w:val="000000"/>
        </w:rPr>
        <w:t xml:space="preserve">the Committed (USD) Facility </w:t>
      </w:r>
      <w:r>
        <w:rPr>
          <w:rFonts w:ascii="Arial" w:cs="Arial" w:eastAsia="Arial" w:hAnsi="Arial"/>
          <w:sz w:val="19"/>
          <w:szCs w:val="19"/>
          <w:color w:val="181818"/>
        </w:rPr>
        <w:t>and thereafter on demand and (ii) computed on a quarterly basis in arrears</w:t>
      </w:r>
      <w:r>
        <w:rPr>
          <w:rFonts w:ascii="Arial" w:cs="Arial" w:eastAsia="Arial" w:hAnsi="Arial"/>
          <w:sz w:val="19"/>
          <w:szCs w:val="19"/>
          <w:color w:val="000000"/>
        </w:rPr>
        <w:t>. If there is any change in the Bankers’ Acceptance Rate or the Applicable Rate for Bankers’ Acceptances during any quarter,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(USD) Lenders, while any Event of Default exists, all BA Fees shall accrue at the Default Rate.</w:t>
      </w:r>
    </w:p>
    <w:p>
      <w:pPr>
        <w:spacing w:after="0" w:line="178" w:lineRule="exact"/>
        <w:rPr>
          <w:rFonts w:ascii="Arial" w:cs="Arial" w:eastAsia="Arial" w:hAnsi="Arial"/>
          <w:sz w:val="19"/>
          <w:szCs w:val="19"/>
          <w:color w:val="auto"/>
        </w:rPr>
      </w:pPr>
    </w:p>
    <w:p>
      <w:pPr>
        <w:jc w:val="both"/>
        <w:ind w:left="120" w:firstLine="605"/>
        <w:spacing w:after="0"/>
        <w:tabs>
          <w:tab w:leader="none" w:pos="115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xml:space="preserve">. The Company shall pay directly to the L/C Issuer for its own account, in Dollars, a fronting fee (i) with respect to each commercial Letter of Credit, at the rate specified in the Bank of America Fee Letter with respect to such Letters of Credit issued by Bank of America and, with respect to such Letters of Credit issued by any other L/C Issuer, at a rate determined by the Company and such L/C Issuer, computed on the Dollar Equivalent of the amount of such Letter of Credit, and payable upon the issuance thereof, (ii) with respect to any amendment of a commercial Letter of Credit increasing the amount of such Letter of Credit, at a rate separately agreed between the Borrower and the L/C Issuer, computed on the Dollar Equivalent of the amount of such increase, and payable upon the effectiveness of such amendment, and (iii) with respect to each standby Letter of Credit, at the rate per annum specified in the Bank of America Fee Letter with respect to such Letters of Credit issued by Bank of America and, with respect to such Letters of Credit issued by any other L/C Issuer, at a rate determined by the Company and such L/C Issuer, computed on the Dollar Equivalent of the daily amount available to be drawn under such Letter of Credit on a quarterly basis in arrears. The fronting fee referenced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immediately preceding sentence shall be due and payable on the tenth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In addition, the Company shall pay directly to the L/C Issuer for its own account, in Dollars, the customary issuance, presentation, amendment and other processing fees, and other standard costs and charges, of the L/C Issuer relating to letters of credit and bankers’ acceptances as from time to time in effect. Such customary fees and standard costs and charges are due and payable on demand and are nonrefundable.</w:t>
      </w:r>
    </w:p>
    <w:p>
      <w:pPr>
        <w:spacing w:after="0" w:line="294" w:lineRule="exact"/>
        <w:rPr>
          <w:rFonts w:ascii="Arial" w:cs="Arial" w:eastAsia="Arial" w:hAnsi="Arial"/>
          <w:sz w:val="18"/>
          <w:szCs w:val="18"/>
          <w:color w:val="auto"/>
        </w:rPr>
      </w:pPr>
    </w:p>
    <w:p>
      <w:pPr>
        <w:ind w:left="120" w:right="20" w:firstLine="605"/>
        <w:spacing w:after="0" w:line="236" w:lineRule="auto"/>
        <w:tabs>
          <w:tab w:leader="none" w:pos="114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61" w:name="page162"/>
    <w:bookmarkEnd w:id="161"/>
    <w:p>
      <w:pPr>
        <w:spacing w:after="0" w:line="104" w:lineRule="exact"/>
        <w:rPr>
          <w:sz w:val="20"/>
          <w:szCs w:val="20"/>
          <w:color w:val="auto"/>
        </w:rPr>
      </w:pPr>
    </w:p>
    <w:p>
      <w:pPr>
        <w:jc w:val="both"/>
        <w:ind w:left="120" w:firstLine="605"/>
        <w:spacing w:after="0" w:line="225" w:lineRule="auto"/>
        <w:tabs>
          <w:tab w:leader="none" w:pos="123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Letters of Credit/Bankers’ Acceptances Issued for Subsidiaries. Notwithstanding that a Letter of Credit or Bankers’ Acceptance issued or outstanding hereunder is in support of any obligations of, or is for the account of, a Subsidiary, the Company shall be obligated to reimburse, indemnify and compensate the L/C Issuer hereunder for any and all drawings under such Letter of Credit or Bankers’ Acceptance, as applicable, </w:t>
      </w:r>
      <w:r>
        <w:rPr>
          <w:rFonts w:ascii="Arial" w:cs="Arial" w:eastAsia="Arial" w:hAnsi="Arial"/>
          <w:sz w:val="19"/>
          <w:szCs w:val="19"/>
          <w:color w:val="181818"/>
        </w:rPr>
        <w:t>as if such Letter of Credit or Bankers’ Acceptance, as applicable, had been issued solely</w:t>
      </w:r>
      <w:r>
        <w:rPr>
          <w:rFonts w:ascii="Arial" w:cs="Arial" w:eastAsia="Arial" w:hAnsi="Arial"/>
          <w:sz w:val="19"/>
          <w:szCs w:val="19"/>
          <w:color w:val="auto"/>
        </w:rPr>
        <w:t xml:space="preserve"> </w:t>
      </w:r>
      <w:r>
        <w:rPr>
          <w:rFonts w:ascii="Arial" w:cs="Arial" w:eastAsia="Arial" w:hAnsi="Arial"/>
          <w:sz w:val="19"/>
          <w:szCs w:val="19"/>
          <w:color w:val="181818"/>
        </w:rPr>
        <w:t>for the account of a Borrower. Each Borrower irrevocably waives any and all defenses that might otherwise be available to it as a guarantor or surety of any or all of the obligations of such Subsidiary in respect of such Letter of Credit or Bankers’ Acceptance</w:t>
      </w:r>
      <w:r>
        <w:rPr>
          <w:rFonts w:ascii="Arial" w:cs="Arial" w:eastAsia="Arial" w:hAnsi="Arial"/>
          <w:sz w:val="19"/>
          <w:szCs w:val="19"/>
          <w:color w:val="000000"/>
        </w:rPr>
        <w:t>. The</w:t>
      </w:r>
      <w:r>
        <w:rPr>
          <w:rFonts w:ascii="Arial" w:cs="Arial" w:eastAsia="Arial" w:hAnsi="Arial"/>
          <w:sz w:val="19"/>
          <w:szCs w:val="19"/>
          <w:color w:val="181818"/>
        </w:rPr>
        <w:t xml:space="preserve"> </w:t>
      </w:r>
      <w:r>
        <w:rPr>
          <w:rFonts w:ascii="Arial" w:cs="Arial" w:eastAsia="Arial" w:hAnsi="Arial"/>
          <w:sz w:val="19"/>
          <w:szCs w:val="19"/>
          <w:color w:val="000000"/>
        </w:rPr>
        <w:t xml:space="preserve">Company hereby acknowledges that the issuance of Letters of Credit or Bankers’ Acceptances for the account of Subsidiaries inures to the benefit of the Company, that the Company’s business derives substantial benefits from the businesses of such Subsidiaries and that such issuance for the benefit of a Subsidiary constitutes an Investment by the Company in such Subsidiary that must comply with </w:t>
      </w:r>
      <w:r>
        <w:rPr>
          <w:rFonts w:ascii="Arial" w:cs="Arial" w:eastAsia="Arial" w:hAnsi="Arial"/>
          <w:sz w:val="19"/>
          <w:szCs w:val="19"/>
          <w:u w:val="single" w:color="auto"/>
          <w:color w:val="000000"/>
        </w:rPr>
        <w:t>Section 7.02</w:t>
      </w:r>
      <w:r>
        <w:rPr>
          <w:rFonts w:ascii="Arial" w:cs="Arial" w:eastAsia="Arial" w:hAnsi="Arial"/>
          <w:sz w:val="19"/>
          <w:szCs w:val="19"/>
          <w:color w:val="000000"/>
        </w:rPr>
        <w:t>.</w:t>
      </w:r>
    </w:p>
    <w:p>
      <w:pPr>
        <w:spacing w:after="0" w:line="173" w:lineRule="exact"/>
        <w:rPr>
          <w:rFonts w:ascii="Arial" w:cs="Arial" w:eastAsia="Arial" w:hAnsi="Arial"/>
          <w:sz w:val="19"/>
          <w:szCs w:val="19"/>
          <w:color w:val="auto"/>
        </w:rPr>
      </w:pPr>
    </w:p>
    <w:p>
      <w:pPr>
        <w:jc w:val="both"/>
        <w:ind w:left="120" w:firstLine="605"/>
        <w:spacing w:after="0" w:line="227" w:lineRule="auto"/>
        <w:tabs>
          <w:tab w:leader="none" w:pos="1151"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Letters of Credit Reports</w:t>
      </w:r>
      <w:r>
        <w:rPr>
          <w:rFonts w:ascii="Arial" w:cs="Arial" w:eastAsia="Arial" w:hAnsi="Arial"/>
          <w:sz w:val="20"/>
          <w:szCs w:val="20"/>
          <w:color w:val="auto"/>
        </w:rPr>
        <w:t xml:space="preserve">. </w:t>
      </w:r>
      <w:r>
        <w:rPr>
          <w:rFonts w:ascii="Arial" w:cs="Arial" w:eastAsia="Arial" w:hAnsi="Arial"/>
          <w:sz w:val="20"/>
          <w:szCs w:val="20"/>
          <w:color w:val="181818"/>
        </w:rPr>
        <w:t>Unless otherwise agreed by the Administrative Agent, the L/C Issuer shall, in addition to its</w:t>
      </w:r>
      <w:r>
        <w:rPr>
          <w:rFonts w:ascii="Arial" w:cs="Arial" w:eastAsia="Arial" w:hAnsi="Arial"/>
          <w:sz w:val="20"/>
          <w:szCs w:val="20"/>
          <w:color w:val="auto"/>
        </w:rPr>
        <w:t xml:space="preserve"> </w:t>
      </w:r>
      <w:r>
        <w:rPr>
          <w:rFonts w:ascii="Arial" w:cs="Arial" w:eastAsia="Arial" w:hAnsi="Arial"/>
          <w:sz w:val="20"/>
          <w:szCs w:val="20"/>
          <w:color w:val="181818"/>
        </w:rPr>
        <w:t xml:space="preserve">notification obligations set forth elsewhere in this </w:t>
      </w:r>
      <w:r>
        <w:rPr>
          <w:rFonts w:ascii="Arial" w:cs="Arial" w:eastAsia="Arial" w:hAnsi="Arial"/>
          <w:sz w:val="20"/>
          <w:szCs w:val="20"/>
          <w:u w:val="single" w:color="auto"/>
          <w:color w:val="181818"/>
        </w:rPr>
        <w:t>Section 2.03</w:t>
      </w:r>
      <w:r>
        <w:rPr>
          <w:rFonts w:ascii="Arial" w:cs="Arial" w:eastAsia="Arial" w:hAnsi="Arial"/>
          <w:sz w:val="20"/>
          <w:szCs w:val="20"/>
          <w:color w:val="181818"/>
        </w:rPr>
        <w:t xml:space="preserve">, provide the Administrative Agent a Letter of Credit Report in the form of </w:t>
      </w:r>
      <w:r>
        <w:rPr>
          <w:rFonts w:ascii="Arial" w:cs="Arial" w:eastAsia="Arial" w:hAnsi="Arial"/>
          <w:sz w:val="20"/>
          <w:szCs w:val="20"/>
          <w:u w:val="single" w:color="auto"/>
          <w:color w:val="181818"/>
        </w:rPr>
        <w:t>Exhibit H</w:t>
      </w:r>
      <w:r>
        <w:rPr>
          <w:rFonts w:ascii="Arial" w:cs="Arial" w:eastAsia="Arial" w:hAnsi="Arial"/>
          <w:sz w:val="20"/>
          <w:szCs w:val="20"/>
          <w:color w:val="181818"/>
        </w:rPr>
        <w:t>, as set forth below:</w:t>
      </w:r>
    </w:p>
    <w:p>
      <w:pPr>
        <w:spacing w:after="0" w:line="246" w:lineRule="exact"/>
        <w:rPr>
          <w:rFonts w:ascii="Arial" w:cs="Arial" w:eastAsia="Arial" w:hAnsi="Arial"/>
          <w:sz w:val="20"/>
          <w:szCs w:val="20"/>
          <w:color w:val="auto"/>
        </w:rPr>
      </w:pPr>
    </w:p>
    <w:p>
      <w:pPr>
        <w:jc w:val="both"/>
        <w:ind w:left="960" w:firstLine="590"/>
        <w:spacing w:after="0" w:line="222" w:lineRule="auto"/>
        <w:tabs>
          <w:tab w:leader="none" w:pos="1760" w:val="left"/>
        </w:tabs>
        <w:numPr>
          <w:ilvl w:val="1"/>
          <w:numId w:val="93"/>
        </w:numPr>
        <w:rPr>
          <w:rFonts w:ascii="Arial" w:cs="Arial" w:eastAsia="Arial" w:hAnsi="Arial"/>
          <w:sz w:val="20"/>
          <w:szCs w:val="20"/>
          <w:color w:val="auto"/>
        </w:rPr>
      </w:pPr>
      <w:r>
        <w:rPr>
          <w:rFonts w:ascii="Arial" w:cs="Arial" w:eastAsia="Arial" w:hAnsi="Arial"/>
          <w:sz w:val="20"/>
          <w:szCs w:val="20"/>
          <w:color w:val="181818"/>
        </w:rPr>
        <w:t>reasonably prior to the time that the L/C Issuer issues, amends, renews, increases or extends a Letter of Credit or Bankers’ Acceptance, the date of such issuance, amendment, renewal, increase or extension and the stated amount of the applicable Letters of Credit or Bankers’ Acceptance after giving effect to such issuance, amendment, renewal or extension (and whether the amounts thereof shall have changed);</w:t>
      </w:r>
    </w:p>
    <w:p>
      <w:pPr>
        <w:spacing w:after="0" w:line="172" w:lineRule="exact"/>
        <w:rPr>
          <w:rFonts w:ascii="Arial" w:cs="Arial" w:eastAsia="Arial" w:hAnsi="Arial"/>
          <w:sz w:val="20"/>
          <w:szCs w:val="20"/>
          <w:color w:val="auto"/>
        </w:rPr>
      </w:pPr>
    </w:p>
    <w:p>
      <w:pPr>
        <w:ind w:left="960" w:firstLine="590"/>
        <w:spacing w:after="0" w:line="236" w:lineRule="auto"/>
        <w:tabs>
          <w:tab w:leader="none" w:pos="2365" w:val="left"/>
        </w:tabs>
        <w:numPr>
          <w:ilvl w:val="1"/>
          <w:numId w:val="93"/>
        </w:numPr>
        <w:rPr>
          <w:rFonts w:ascii="Arial" w:cs="Arial" w:eastAsia="Arial" w:hAnsi="Arial"/>
          <w:sz w:val="20"/>
          <w:szCs w:val="20"/>
          <w:color w:val="auto"/>
        </w:rPr>
      </w:pPr>
      <w:r>
        <w:rPr>
          <w:rFonts w:ascii="Arial" w:cs="Arial" w:eastAsia="Arial" w:hAnsi="Arial"/>
          <w:sz w:val="20"/>
          <w:szCs w:val="20"/>
          <w:color w:val="181818"/>
        </w:rPr>
        <w:t>on each Business Day on which the L/C Issuer makes a payment pursuant to a Letter of Credit or Bankers’ Acceptance, the date and amount of such payment;</w:t>
      </w:r>
    </w:p>
    <w:p>
      <w:pPr>
        <w:spacing w:after="0" w:line="184" w:lineRule="exact"/>
        <w:rPr>
          <w:rFonts w:ascii="Arial" w:cs="Arial" w:eastAsia="Arial" w:hAnsi="Arial"/>
          <w:sz w:val="20"/>
          <w:szCs w:val="20"/>
          <w:color w:val="auto"/>
        </w:rPr>
      </w:pPr>
    </w:p>
    <w:p>
      <w:pPr>
        <w:jc w:val="both"/>
        <w:ind w:left="960" w:firstLine="590"/>
        <w:spacing w:after="0" w:line="227" w:lineRule="auto"/>
        <w:tabs>
          <w:tab w:leader="none" w:pos="2358" w:val="left"/>
        </w:tabs>
        <w:numPr>
          <w:ilvl w:val="1"/>
          <w:numId w:val="93"/>
        </w:numPr>
        <w:rPr>
          <w:rFonts w:ascii="Arial" w:cs="Arial" w:eastAsia="Arial" w:hAnsi="Arial"/>
          <w:sz w:val="20"/>
          <w:szCs w:val="20"/>
          <w:color w:val="auto"/>
        </w:rPr>
      </w:pPr>
      <w:r>
        <w:rPr>
          <w:rFonts w:ascii="Arial" w:cs="Arial" w:eastAsia="Arial" w:hAnsi="Arial"/>
          <w:sz w:val="20"/>
          <w:szCs w:val="20"/>
          <w:color w:val="181818"/>
        </w:rPr>
        <w:t>on any Business Day on which a Borrower fails to reimburse a payment made pursuant to a Letter of Credit or Bankers’ Acceptance required to be reimbursed to the L/C Issuer on such day, the date of such failure and the amount of such payment;</w:t>
      </w:r>
    </w:p>
    <w:p>
      <w:pPr>
        <w:spacing w:after="0" w:line="183" w:lineRule="exact"/>
        <w:rPr>
          <w:rFonts w:ascii="Arial" w:cs="Arial" w:eastAsia="Arial" w:hAnsi="Arial"/>
          <w:sz w:val="20"/>
          <w:szCs w:val="20"/>
          <w:color w:val="auto"/>
        </w:rPr>
      </w:pPr>
    </w:p>
    <w:p>
      <w:pPr>
        <w:ind w:left="960" w:firstLine="590"/>
        <w:spacing w:after="0" w:line="236" w:lineRule="auto"/>
        <w:tabs>
          <w:tab w:leader="none" w:pos="2359" w:val="left"/>
        </w:tabs>
        <w:numPr>
          <w:ilvl w:val="1"/>
          <w:numId w:val="93"/>
        </w:numPr>
        <w:rPr>
          <w:rFonts w:ascii="Arial" w:cs="Arial" w:eastAsia="Arial" w:hAnsi="Arial"/>
          <w:sz w:val="20"/>
          <w:szCs w:val="20"/>
          <w:color w:val="auto"/>
        </w:rPr>
      </w:pPr>
      <w:r>
        <w:rPr>
          <w:rFonts w:ascii="Arial" w:cs="Arial" w:eastAsia="Arial" w:hAnsi="Arial"/>
          <w:sz w:val="20"/>
          <w:szCs w:val="20"/>
          <w:color w:val="181818"/>
        </w:rPr>
        <w:t>on any other Business Day, such other information as the Administrative Agent shall reasonably request as to the Letters of Credit or Bankers’ Acceptances issued by the L/C Issuer; and</w:t>
      </w:r>
    </w:p>
    <w:p>
      <w:pPr>
        <w:spacing w:after="0" w:line="171" w:lineRule="exact"/>
        <w:rPr>
          <w:rFonts w:ascii="Arial" w:cs="Arial" w:eastAsia="Arial" w:hAnsi="Arial"/>
          <w:sz w:val="20"/>
          <w:szCs w:val="20"/>
          <w:color w:val="auto"/>
        </w:rPr>
      </w:pPr>
    </w:p>
    <w:p>
      <w:pPr>
        <w:jc w:val="both"/>
        <w:ind w:left="960" w:firstLine="590"/>
        <w:spacing w:after="0" w:line="229" w:lineRule="auto"/>
        <w:tabs>
          <w:tab w:leader="none" w:pos="2354" w:val="left"/>
        </w:tabs>
        <w:numPr>
          <w:ilvl w:val="1"/>
          <w:numId w:val="93"/>
        </w:numPr>
        <w:rPr>
          <w:rFonts w:ascii="Arial" w:cs="Arial" w:eastAsia="Arial" w:hAnsi="Arial"/>
          <w:sz w:val="19"/>
          <w:szCs w:val="19"/>
          <w:color w:val="auto"/>
        </w:rPr>
      </w:pPr>
      <w:r>
        <w:rPr>
          <w:rFonts w:ascii="Arial" w:cs="Arial" w:eastAsia="Arial" w:hAnsi="Arial"/>
          <w:sz w:val="19"/>
          <w:szCs w:val="19"/>
          <w:color w:val="181818"/>
        </w:rPr>
        <w:t>for so long as any Letter of Credit or Bankers’ Acceptance issued by the L/C Issuer is outstanding, the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or Bankers’ Acceptance, a Letter of Credit Report appropriately completed with the information for every outstanding Letter of Credit and Bankers’ Acceptance issued by such L/C Issuer</w:t>
      </w:r>
      <w:r>
        <w:rPr>
          <w:rFonts w:ascii="Arial" w:cs="Arial" w:eastAsia="Arial" w:hAnsi="Arial"/>
          <w:sz w:val="19"/>
          <w:szCs w:val="19"/>
          <w:color w:val="000000"/>
        </w:rPr>
        <w:t>.</w:t>
      </w:r>
    </w:p>
    <w:p>
      <w:pPr>
        <w:spacing w:after="0" w:line="184" w:lineRule="exact"/>
        <w:rPr>
          <w:rFonts w:ascii="Arial" w:cs="Arial" w:eastAsia="Arial" w:hAnsi="Arial"/>
          <w:sz w:val="19"/>
          <w:szCs w:val="19"/>
          <w:color w:val="auto"/>
        </w:rPr>
      </w:pPr>
    </w:p>
    <w:p>
      <w:pPr>
        <w:jc w:val="both"/>
        <w:ind w:left="120" w:firstLine="605"/>
        <w:spacing w:after="0" w:line="227" w:lineRule="auto"/>
        <w:tabs>
          <w:tab w:leader="none" w:pos="1151"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Replacement of the L/C Issuer</w:t>
      </w:r>
      <w:r>
        <w:rPr>
          <w:rFonts w:ascii="Arial" w:cs="Arial" w:eastAsia="Arial" w:hAnsi="Arial"/>
          <w:sz w:val="20"/>
          <w:szCs w:val="20"/>
          <w:color w:val="auto"/>
        </w:rPr>
        <w:t>. The L/C Issuer may be replaced at any time by written agreement between the Company, the Administrative Agent, the replaced L/C Issuer and the successor L/C Issuer. The Administrative Agent shall notify the Lenders of any such replacement of the L/C Issuer. At the time any such replacement shall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-5158105</wp:posOffset>
            </wp:positionV>
            <wp:extent cx="338137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3381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62" w:name="page163"/>
    <w:bookmarkEnd w:id="162"/>
    <w:p>
      <w:pPr>
        <w:jc w:val="both"/>
        <w:ind w:left="120"/>
        <w:spacing w:after="0" w:line="227" w:lineRule="auto"/>
        <w:rPr>
          <w:sz w:val="20"/>
          <w:szCs w:val="20"/>
          <w:color w:val="auto"/>
        </w:rPr>
      </w:pPr>
      <w:r>
        <w:rPr>
          <w:rFonts w:ascii="Arial" w:cs="Arial" w:eastAsia="Arial" w:hAnsi="Arial"/>
          <w:sz w:val="19"/>
          <w:szCs w:val="19"/>
          <w:color w:val="auto"/>
        </w:rPr>
        <w:t xml:space="preserve">effective, the Company shall pay all unpaid fees accrued for the account of the replaced L/C Issuer pursuant to </w:t>
      </w:r>
      <w:r>
        <w:rPr>
          <w:rFonts w:ascii="Arial" w:cs="Arial" w:eastAsia="Arial" w:hAnsi="Arial"/>
          <w:sz w:val="19"/>
          <w:szCs w:val="19"/>
          <w:u w:val="single" w:color="auto"/>
          <w:color w:val="auto"/>
        </w:rPr>
        <w:t>Section 2.03(k)</w:t>
      </w:r>
      <w:r>
        <w:rPr>
          <w:rFonts w:ascii="Arial" w:cs="Arial" w:eastAsia="Arial" w:hAnsi="Arial"/>
          <w:sz w:val="19"/>
          <w:szCs w:val="19"/>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Issuers,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70"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7"/>
          <w:szCs w:val="17"/>
          <w:b w:val="1"/>
          <w:bCs w:val="1"/>
          <w:color w:val="auto"/>
        </w:rPr>
        <w:t>Swing Line Loans.</w:t>
      </w:r>
    </w:p>
    <w:p>
      <w:pPr>
        <w:spacing w:after="0" w:line="213" w:lineRule="exact"/>
        <w:rPr>
          <w:sz w:val="20"/>
          <w:szCs w:val="20"/>
          <w:color w:val="auto"/>
        </w:rPr>
      </w:pPr>
    </w:p>
    <w:p>
      <w:pPr>
        <w:jc w:val="both"/>
        <w:ind w:left="120" w:firstLine="605"/>
        <w:spacing w:after="0" w:line="235"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Committed (USD)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in Dollars (each such loan, a “</w:t>
      </w:r>
      <w:r>
        <w:rPr>
          <w:rFonts w:ascii="Arial" w:cs="Arial" w:eastAsia="Arial" w:hAnsi="Arial"/>
          <w:sz w:val="18"/>
          <w:szCs w:val="18"/>
          <w:u w:val="single" w:color="auto"/>
          <w:color w:val="auto"/>
        </w:rPr>
        <w:t>Swing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Line Loan</w:t>
      </w:r>
      <w:r>
        <w:rPr>
          <w:rFonts w:ascii="Arial" w:cs="Arial" w:eastAsia="Arial" w:hAnsi="Arial"/>
          <w:sz w:val="18"/>
          <w:szCs w:val="18"/>
          <w:color w:val="auto"/>
        </w:rPr>
        <w:t xml:space="preserve">”) to the Company from time to time on any Business Day during the Availability Period with respect to the Committed (USD) Facility in an aggregate amount not to exceed at any time outstanding the amount of the Swing Line Sublimit, notwithstanding the fact that such Swing Line Loans, when aggregated with the Applicable (USD) Percentage of the Outstanding Amount of Committed (USD) Loans and L/C Obligations of the Lender acting as Swing Line Lender, may exceed the amount of such Lender’s USD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Swing Line Loan, (i) the Total (USD) Outstandings shall not exceed the Aggregate (USD) Commitments and (ii) the aggregate Outstanding Amount of the Committed (USD)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(USD) Percentage of the Outstanding Amount of all Swing Line Loans shall not exceed such Lender’s USD Commitment,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Immediately upon the making of a Swing Line Loan, each Committed (USD) Lender shall be deemed to, and hereby irrevocably and unconditionally agrees to, purchase from the Swing Line Lender a risk participation in such Swing Line Loan in an amount equal to the product of such Lender’s Applicable (USD)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 Line Loan.</w:t>
      </w:r>
    </w:p>
    <w:p>
      <w:pPr>
        <w:spacing w:after="0" w:line="177" w:lineRule="exact"/>
        <w:rPr>
          <w:rFonts w:ascii="Arial" w:cs="Arial" w:eastAsia="Arial" w:hAnsi="Arial"/>
          <w:sz w:val="18"/>
          <w:szCs w:val="18"/>
          <w:color w:val="auto"/>
        </w:rPr>
      </w:pPr>
    </w:p>
    <w:p>
      <w:pPr>
        <w:jc w:val="both"/>
        <w:ind w:left="120" w:firstLine="605"/>
        <w:spacing w:after="0" w:line="224" w:lineRule="auto"/>
        <w:tabs>
          <w:tab w:leader="none" w:pos="115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Each Swing Line Borrowing shall be made upon the Company’s irrevocable notice to the Swing Line Lender and the Administrative Agent, which may be given by telephone. Each such notice must be received by the Swing Line Lender and the Administrative Agent not later than 2:00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Committed (USD) Lender) prior to 2:00p.m. on the date of the proposed Swing Line Borrowing (A) directing the Swing Line Lender not to make such Swing Line Loan as a result of the limitations set forth in the first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63" w:name="page164"/>
    <w:bookmarkEnd w:id="163"/>
    <w:p>
      <w:pPr>
        <w:jc w:val="both"/>
        <w:ind w:left="120"/>
        <w:spacing w:after="0" w:line="239" w:lineRule="auto"/>
        <w:rPr>
          <w:sz w:val="20"/>
          <w:szCs w:val="20"/>
          <w:color w:val="auto"/>
        </w:rPr>
      </w:pPr>
      <w:r>
        <w:rPr>
          <w:rFonts w:ascii="Arial" w:cs="Arial" w:eastAsia="Arial" w:hAnsi="Arial"/>
          <w:sz w:val="19"/>
          <w:szCs w:val="19"/>
          <w:color w:val="auto"/>
        </w:rPr>
        <w:t xml:space="preserve">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then satisfied, then, subject to the terms and conditions hereof, the Swing Line Lender will, not later than 4:00 p.m. on the borrowing date specified in such Swing Line Loan Notice, make the amount of its Swing Line Loan available to the Company.</w:t>
      </w:r>
    </w:p>
    <w:p>
      <w:pPr>
        <w:spacing w:after="0" w:line="171" w:lineRule="exact"/>
        <w:rPr>
          <w:sz w:val="20"/>
          <w:szCs w:val="20"/>
          <w:color w:val="auto"/>
        </w:rPr>
      </w:pPr>
    </w:p>
    <w:p>
      <w:pPr>
        <w:ind w:left="1320" w:hanging="595"/>
        <w:spacing w:after="0"/>
        <w:tabs>
          <w:tab w:leader="none" w:pos="13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720" w:firstLine="605"/>
        <w:spacing w:after="0" w:line="223" w:lineRule="auto"/>
        <w:tabs>
          <w:tab w:leader="none" w:pos="17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the Company (which hereby irrevocably authorizes the Swing Line Lender to so request on its behalf), that each Committed (USD) Lender make a Base Rate Committed (USD) Loan in an amount equal to such Lender's Applicable (USD)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(USD)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 Line Lender shall furnish the Company with a copy of the applicable Loan Notice promptly after delivering such notice to the Administrative Agent. Each Committed (USD) Lender shall make an amount equal to its Applicable (USD)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Committed (USD) Lender that so makes funds available shall be deemed to have made a Base Rate Committed (USD) Loan to the Company in such amount. The Administrative Agent shall remit the funds so received to the Swing Line Lender.</w:t>
      </w:r>
    </w:p>
    <w:p>
      <w:pPr>
        <w:spacing w:after="0" w:line="179" w:lineRule="exact"/>
        <w:rPr>
          <w:rFonts w:ascii="Arial" w:cs="Arial" w:eastAsia="Arial" w:hAnsi="Arial"/>
          <w:sz w:val="19"/>
          <w:szCs w:val="19"/>
          <w:color w:val="auto"/>
        </w:rPr>
      </w:pPr>
    </w:p>
    <w:p>
      <w:pPr>
        <w:jc w:val="both"/>
        <w:ind w:left="720" w:firstLine="605"/>
        <w:spacing w:after="0" w:line="217" w:lineRule="auto"/>
        <w:tabs>
          <w:tab w:leader="none" w:pos="1750"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If for any reason any Swing Line Loan cannot be refinanced by such a Committed (USD)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the request for Base Rate Committed (USD) Loans submitted by the Swing Line Lender as set forth herein shall be deemed to be a request by the Swing Line Lender that each of the Committed (USD) Lenders fund its risk participation in the relevant Swing Line Loan and each Committed (USD) Lender’s payment to the Administrative Agent for the account of the Swing 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237" w:lineRule="exact"/>
        <w:rPr>
          <w:rFonts w:ascii="Arial" w:cs="Arial" w:eastAsia="Arial" w:hAnsi="Arial"/>
          <w:sz w:val="20"/>
          <w:szCs w:val="20"/>
          <w:color w:val="auto"/>
        </w:rPr>
      </w:pPr>
    </w:p>
    <w:p>
      <w:pPr>
        <w:jc w:val="both"/>
        <w:ind w:left="720" w:firstLine="605"/>
        <w:spacing w:after="0" w:line="225" w:lineRule="auto"/>
        <w:tabs>
          <w:tab w:leader="none" w:pos="1743"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If any Committed (USD)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Committed (USD) Lender pays such amount (with interest and fees as aforesaid), the amount so paid shall constitute such Lender’s Committed (USD) Loan included in the relevant Committed (USD) Borrowing or funded participation in the relevant Swing Line Loan, as the case may be. A certificate of the Swing Line Lender submitted to any Lender (through the Administrative Agent)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64" w:name="page165"/>
    <w:bookmarkEnd w:id="164"/>
    <w:p>
      <w:pPr>
        <w:ind w:left="720"/>
        <w:spacing w:after="0"/>
        <w:rPr>
          <w:sz w:val="20"/>
          <w:szCs w:val="20"/>
          <w:color w:val="auto"/>
        </w:rPr>
      </w:pPr>
      <w:r>
        <w:rPr>
          <w:rFonts w:ascii="Arial" w:cs="Arial" w:eastAsia="Arial" w:hAnsi="Arial"/>
          <w:sz w:val="20"/>
          <w:szCs w:val="20"/>
          <w:color w:val="auto"/>
        </w:rPr>
        <w:t>with respect to any amounts owing under this clause (iii) shall be conclusive absent manifest error.</w:t>
      </w:r>
    </w:p>
    <w:p>
      <w:pPr>
        <w:spacing w:after="0" w:line="194" w:lineRule="exact"/>
        <w:rPr>
          <w:sz w:val="20"/>
          <w:szCs w:val="20"/>
          <w:color w:val="auto"/>
        </w:rPr>
      </w:pPr>
    </w:p>
    <w:p>
      <w:pPr>
        <w:jc w:val="both"/>
        <w:ind w:left="720" w:firstLine="605"/>
        <w:spacing w:after="0" w:line="239" w:lineRule="auto"/>
        <w:tabs>
          <w:tab w:leader="none" w:pos="174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Each Committed (USD) Lender’s obligation to make Committed (USD)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Committed (USD) Lender’s obligation to make Committed (USD)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186" w:lineRule="exact"/>
        <w:rPr>
          <w:rFonts w:ascii="Arial" w:cs="Arial" w:eastAsia="Arial" w:hAnsi="Arial"/>
          <w:sz w:val="18"/>
          <w:szCs w:val="18"/>
          <w:color w:val="auto"/>
        </w:rPr>
      </w:pPr>
    </w:p>
    <w:p>
      <w:pPr>
        <w:ind w:left="1320" w:hanging="595"/>
        <w:spacing w:after="0"/>
        <w:tabs>
          <w:tab w:leader="none" w:pos="132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720" w:firstLine="605"/>
        <w:spacing w:after="0" w:line="222" w:lineRule="auto"/>
        <w:tabs>
          <w:tab w:leader="none" w:pos="1745" w:val="left"/>
        </w:tabs>
        <w:numPr>
          <w:ilvl w:val="1"/>
          <w:numId w:val="97"/>
        </w:numPr>
        <w:rPr>
          <w:rFonts w:ascii="Arial" w:cs="Arial" w:eastAsia="Arial" w:hAnsi="Arial"/>
          <w:sz w:val="20"/>
          <w:szCs w:val="20"/>
          <w:color w:val="auto"/>
        </w:rPr>
      </w:pPr>
      <w:r>
        <w:rPr>
          <w:rFonts w:ascii="Arial" w:cs="Arial" w:eastAsia="Arial" w:hAnsi="Arial"/>
          <w:sz w:val="20"/>
          <w:szCs w:val="20"/>
          <w:color w:val="auto"/>
        </w:rPr>
        <w:t>At any time after any Committed (USD) Lender has purchased and funded a risk participation in a Swing Line Loan, if the Swing Line Lender receives any payment on account of such Swing Line Loan, the Swing Line Lender will distribute to such Lender its Applicable (USD) Percentage thereof in the same funds as those received by the Swing Line Lender.</w:t>
      </w:r>
    </w:p>
    <w:p>
      <w:pPr>
        <w:spacing w:after="0" w:line="172" w:lineRule="exact"/>
        <w:rPr>
          <w:rFonts w:ascii="Arial" w:cs="Arial" w:eastAsia="Arial" w:hAnsi="Arial"/>
          <w:sz w:val="20"/>
          <w:szCs w:val="20"/>
          <w:color w:val="auto"/>
        </w:rPr>
      </w:pPr>
    </w:p>
    <w:p>
      <w:pPr>
        <w:jc w:val="both"/>
        <w:ind w:left="720" w:firstLine="605"/>
        <w:spacing w:after="0" w:line="215" w:lineRule="auto"/>
        <w:tabs>
          <w:tab w:leader="none" w:pos="1750"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(including pursuant to any settlement entered into by the Swing Line Lender in its discretion), each Committed (USD) Lender shall pay to the Swing Line Lender its Applicable (USD)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Committed (USD) Lenders under this clause shall survive the payment in full of the Obligations and the termination of this Agreement.</w:t>
      </w:r>
    </w:p>
    <w:p>
      <w:pPr>
        <w:spacing w:after="0" w:line="249" w:lineRule="exact"/>
        <w:rPr>
          <w:rFonts w:ascii="Arial" w:cs="Arial" w:eastAsia="Arial" w:hAnsi="Arial"/>
          <w:sz w:val="20"/>
          <w:szCs w:val="20"/>
          <w:color w:val="auto"/>
        </w:rPr>
      </w:pPr>
    </w:p>
    <w:p>
      <w:pPr>
        <w:jc w:val="both"/>
        <w:ind w:left="120" w:firstLine="605"/>
        <w:spacing w:after="0" w:line="234" w:lineRule="auto"/>
        <w:tabs>
          <w:tab w:leader="none" w:pos="115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Company for interest on the Swing Line Loans. Until each Committed (USD) Lender funds its Base Rate Committed (USD)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Applicable (USD) Percentage of any Swing Line Loan, interest in respect of such Applicable (USD) Percentage shall be solely for the account of the Swing Line Lender.</w:t>
      </w:r>
    </w:p>
    <w:p>
      <w:pPr>
        <w:spacing w:after="0" w:line="171" w:lineRule="exact"/>
        <w:rPr>
          <w:rFonts w:ascii="Arial" w:cs="Arial" w:eastAsia="Arial" w:hAnsi="Arial"/>
          <w:sz w:val="19"/>
          <w:szCs w:val="19"/>
          <w:color w:val="auto"/>
        </w:rPr>
      </w:pPr>
    </w:p>
    <w:p>
      <w:pPr>
        <w:ind w:left="120" w:right="20" w:firstLine="605"/>
        <w:spacing w:after="0" w:line="236" w:lineRule="auto"/>
        <w:tabs>
          <w:tab w:leader="none" w:pos="1143"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Company shall make all payments of principal and interest in respect of the Swing Line Loans directly to the Swing Line Lender.</w:t>
      </w:r>
    </w:p>
    <w:p>
      <w:pPr>
        <w:spacing w:after="0" w:line="178" w:lineRule="exact"/>
        <w:rPr>
          <w:sz w:val="20"/>
          <w:szCs w:val="20"/>
          <w:color w:val="auto"/>
        </w:rPr>
      </w:pPr>
    </w:p>
    <w:p>
      <w:pPr>
        <w:jc w:val="both"/>
        <w:ind w:left="120" w:firstLine="598"/>
        <w:spacing w:after="0" w:line="232" w:lineRule="auto"/>
        <w:rPr>
          <w:sz w:val="20"/>
          <w:szCs w:val="20"/>
          <w:color w:val="auto"/>
        </w:rPr>
      </w:pPr>
      <w:r>
        <w:rPr>
          <w:rFonts w:ascii="Arial" w:cs="Arial" w:eastAsia="Arial" w:hAnsi="Arial"/>
          <w:sz w:val="19"/>
          <w:szCs w:val="19"/>
          <w:b w:val="1"/>
          <w:bCs w:val="1"/>
          <w:color w:val="auto"/>
        </w:rPr>
        <w:t xml:space="preserve">2.05 Prepayments. </w:t>
      </w:r>
      <w:r>
        <w:rPr>
          <w:rFonts w:ascii="Arial" w:cs="Arial" w:eastAsia="Arial" w:hAnsi="Arial"/>
          <w:sz w:val="19"/>
          <w:szCs w:val="19"/>
          <w:color w:val="auto"/>
        </w:rPr>
        <w:t>(a) Each Borrower may, upon notice from the Company to the Administrative Agent, which notice may be</w:t>
      </w:r>
      <w:r>
        <w:rPr>
          <w:rFonts w:ascii="Arial" w:cs="Arial" w:eastAsia="Arial" w:hAnsi="Arial"/>
          <w:sz w:val="19"/>
          <w:szCs w:val="19"/>
          <w:b w:val="1"/>
          <w:bCs w:val="1"/>
          <w:color w:val="auto"/>
        </w:rPr>
        <w:t xml:space="preserve"> </w:t>
      </w:r>
      <w:r>
        <w:rPr>
          <w:rFonts w:ascii="Arial" w:cs="Arial" w:eastAsia="Arial" w:hAnsi="Arial"/>
          <w:sz w:val="19"/>
          <w:szCs w:val="19"/>
          <w:color w:val="auto"/>
        </w:rPr>
        <w:t>given in writing via electronic mail or other means of electronic transmission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prepayment of Eurocurrency Rate Loans or Alternative Currency Term Rate Loans, such notice shall be given by delivery of a Notice of Loan Prepayment), at any time or from time to time voluntarily prepay Committed Loans and Term Loans in whole or in part without premium or penalty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must be delivered to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165" w:name="page166"/>
    <w:bookmarkEnd w:id="165"/>
    <w:p>
      <w:pPr>
        <w:ind w:left="120"/>
        <w:spacing w:after="0"/>
        <w:rPr>
          <w:sz w:val="20"/>
          <w:szCs w:val="20"/>
          <w:color w:val="auto"/>
        </w:rPr>
      </w:pPr>
      <w:r>
        <w:rPr>
          <w:rFonts w:ascii="Arial" w:cs="Arial" w:eastAsia="Arial" w:hAnsi="Arial"/>
          <w:sz w:val="18"/>
          <w:szCs w:val="18"/>
          <w:color w:val="auto"/>
        </w:rPr>
        <w:t>Administrative Agent not later than 2:00 p.m. (A) three Business Days prior to any date of prepayment of Eurocurrency Rate Loans,</w:t>
      </w:r>
    </w:p>
    <w:p>
      <w:pPr>
        <w:spacing w:after="0" w:line="9" w:lineRule="exact"/>
        <w:rPr>
          <w:sz w:val="20"/>
          <w:szCs w:val="20"/>
          <w:color w:val="auto"/>
        </w:rPr>
      </w:pPr>
    </w:p>
    <w:p>
      <w:pPr>
        <w:jc w:val="both"/>
        <w:ind w:left="120" w:firstLine="6"/>
        <w:spacing w:after="0" w:line="234" w:lineRule="auto"/>
        <w:tabs>
          <w:tab w:leader="none" w:pos="4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four Business Days prior to any date of prepayment of Alternative Currency Term Rate Loans and (C) on the date of prepayment of Base Rate Loans; (ii) any prepayment of Eurocurrency Rate Loans or Alternative Currency Term Rate Loans shall be in a principal amount of the Dollar Equivalent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date, currency and amount of such prepayment and the Type(s) of Committed Loans to be prepaid and, if Eurocurrency Rate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Eurocurrency Rate Loan or Alternative Currency Term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each such prepayment shall be paid to the Lenders in accordance with their respective Applicable Percentages in respect of each of the relevant Facilities. Each prepayment of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as the Borrowers may direct.</w:t>
      </w:r>
    </w:p>
    <w:p>
      <w:pPr>
        <w:spacing w:after="0" w:line="179" w:lineRule="exact"/>
        <w:rPr>
          <w:rFonts w:ascii="Arial" w:cs="Arial" w:eastAsia="Arial" w:hAnsi="Arial"/>
          <w:sz w:val="18"/>
          <w:szCs w:val="18"/>
          <w:color w:val="auto"/>
        </w:rPr>
      </w:pPr>
    </w:p>
    <w:p>
      <w:pPr>
        <w:jc w:val="both"/>
        <w:ind w:left="120" w:firstLine="605"/>
        <w:spacing w:after="0" w:line="229" w:lineRule="auto"/>
        <w:tabs>
          <w:tab w:leader="none" w:pos="1151"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The Company may, upon notice to the Swing Line Lender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234" w:lineRule="exact"/>
        <w:rPr>
          <w:rFonts w:ascii="Arial" w:cs="Arial" w:eastAsia="Arial" w:hAnsi="Arial"/>
          <w:sz w:val="19"/>
          <w:szCs w:val="19"/>
          <w:color w:val="auto"/>
        </w:rPr>
      </w:pPr>
    </w:p>
    <w:p>
      <w:pPr>
        <w:jc w:val="both"/>
        <w:ind w:left="120" w:firstLine="605"/>
        <w:spacing w:after="0" w:line="219" w:lineRule="auto"/>
        <w:tabs>
          <w:tab w:leader="none" w:pos="1152" w:val="left"/>
        </w:tabs>
        <w:numPr>
          <w:ilvl w:val="1"/>
          <w:numId w:val="98"/>
        </w:numPr>
        <w:rPr>
          <w:rFonts w:ascii="Arial" w:cs="Arial" w:eastAsia="Arial" w:hAnsi="Arial"/>
          <w:sz w:val="20"/>
          <w:szCs w:val="20"/>
          <w:color w:val="auto"/>
        </w:rPr>
      </w:pPr>
      <w:r>
        <w:rPr>
          <w:rFonts w:ascii="Arial" w:cs="Arial" w:eastAsia="Arial" w:hAnsi="Arial"/>
          <w:sz w:val="20"/>
          <w:szCs w:val="20"/>
          <w:color w:val="auto"/>
        </w:rPr>
        <w:t>If at any time the Total (USD) Outstandings exceed an amount equal to the Aggregate (USD) Commitments then in effect, the Borrowers shall prepay Loans in an aggregate amount sufficient to reduce such Outstanding Amount as of such date of payment to an amount not to exceed the Aggregate (USD) Commitments then in effect. Notwithstanding the foregoing, Cash Collateralization shall not cure or eliminate the Company’s obligation to prepay Loans in an amount necessary such that Total (USD) Outstandings would not exceed the Aggregate (USD) Commitments.</w:t>
      </w:r>
    </w:p>
    <w:p>
      <w:pPr>
        <w:spacing w:after="0" w:line="186" w:lineRule="exact"/>
        <w:rPr>
          <w:rFonts w:ascii="Arial" w:cs="Arial" w:eastAsia="Arial" w:hAnsi="Arial"/>
          <w:sz w:val="20"/>
          <w:szCs w:val="20"/>
          <w:color w:val="auto"/>
        </w:rPr>
      </w:pPr>
    </w:p>
    <w:p>
      <w:pPr>
        <w:ind w:left="120" w:firstLine="605"/>
        <w:spacing w:after="0" w:line="258" w:lineRule="auto"/>
        <w:tabs>
          <w:tab w:leader="none" w:pos="1151" w:val="left"/>
        </w:tabs>
        <w:numPr>
          <w:ilvl w:val="1"/>
          <w:numId w:val="98"/>
        </w:numPr>
        <w:rPr>
          <w:rFonts w:ascii="Arial" w:cs="Arial" w:eastAsia="Arial" w:hAnsi="Arial"/>
          <w:sz w:val="19"/>
          <w:szCs w:val="19"/>
          <w:color w:val="auto"/>
        </w:rPr>
      </w:pPr>
      <w:r>
        <w:rPr>
          <w:rFonts w:ascii="Arial" w:cs="Arial" w:eastAsia="Arial" w:hAnsi="Arial"/>
          <w:sz w:val="19"/>
          <w:szCs w:val="19"/>
          <w:color w:val="auto"/>
        </w:rPr>
        <w:t>If for any reason the Outstanding Amount of all Committed (MC) Loans at any time exceeds the Aggregate (MC) Commitments at such time, the Borrowers shall prepay Committed (MC) Loans in an aggregate amount equal to such excess.</w:t>
      </w:r>
    </w:p>
    <w:p>
      <w:pPr>
        <w:spacing w:after="0" w:line="16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8"/>
          <w:szCs w:val="18"/>
          <w:b w:val="1"/>
          <w:bCs w:val="1"/>
          <w:color w:val="auto"/>
        </w:rPr>
        <w:t>Termination or Reduction of Commitments.</w:t>
      </w:r>
    </w:p>
    <w:p>
      <w:pPr>
        <w:spacing w:after="0" w:line="200" w:lineRule="exact"/>
        <w:rPr>
          <w:sz w:val="20"/>
          <w:szCs w:val="20"/>
          <w:color w:val="auto"/>
        </w:rPr>
      </w:pPr>
    </w:p>
    <w:p>
      <w:pPr>
        <w:jc w:val="both"/>
        <w:ind w:left="120" w:firstLine="605"/>
        <w:spacing w:after="0" w:line="219" w:lineRule="auto"/>
        <w:tabs>
          <w:tab w:leader="none" w:pos="1152"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 xml:space="preserve">. The Company may, upon notice to the Administrative Agent, terminate the Aggregate (USD) Commitments, the Aggregate (MC) Commitments, the Alternative Currency Letter of Credit Sublimit, the Letter of Credit Sublimit or the Swing Line Sublimit, or from time to time permanently reduce the Aggregate (USD) Commitments, the Aggregate (MC) Commitments, the Alternative Currency Letter of Credit Sublimit, the Letter of Credit Sublimit or the Swing Line Sublimit;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notice shall be received by the Administrative Agent not later than 12:00 noon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66" w:name="page167"/>
    <w:bookmarkEnd w:id="166"/>
    <w:p>
      <w:pPr>
        <w:jc w:val="both"/>
        <w:ind w:left="120"/>
        <w:spacing w:after="0" w:line="237" w:lineRule="auto"/>
        <w:rPr>
          <w:sz w:val="20"/>
          <w:szCs w:val="20"/>
          <w:color w:val="auto"/>
        </w:rPr>
      </w:pPr>
      <w:r>
        <w:rPr>
          <w:rFonts w:ascii="Arial" w:cs="Arial" w:eastAsia="Arial" w:hAnsi="Arial"/>
          <w:sz w:val="18"/>
          <w:szCs w:val="18"/>
          <w:color w:val="auto"/>
        </w:rPr>
        <w:t xml:space="preserve">three Business Days prior to the date of termination or reduction, (ii) any such partial reduction shall be in an aggregate amount of $1,000,000 or any whole multiple of $100,000 in excess thereof and (iii) the Company shall not terminate or reduce (A) the Aggregate (USD) Commitments if, after giving effect thereto and to any concurrent prepayments hereunder, the Total (USD) Outstandings would exceed the Aggregate (USD) Commitments, (B) the Aggregate (MC) Commitments if, after giving effect thereto and to any concurrent prepayments hereunder, the aggregate Outstanding Amount of all Committed (MC) Loans would exceed the Aggregate (MC) Commitments, (C) </w:t>
      </w:r>
      <w:r>
        <w:rPr>
          <w:rFonts w:ascii="Arial" w:cs="Arial" w:eastAsia="Arial" w:hAnsi="Arial"/>
          <w:sz w:val="18"/>
          <w:szCs w:val="18"/>
          <w:color w:val="181818"/>
        </w:rPr>
        <w:t>the Alternative Currency Letter of</w:t>
      </w:r>
      <w:r>
        <w:rPr>
          <w:rFonts w:ascii="Arial" w:cs="Arial" w:eastAsia="Arial" w:hAnsi="Arial"/>
          <w:sz w:val="18"/>
          <w:szCs w:val="18"/>
          <w:color w:val="auto"/>
        </w:rPr>
        <w:t xml:space="preserve"> Credit Sublimit if, after giving effect thereto, the Outstanding Amount of L/C Obligations with respect to Letters of Credit and Bankers’ Acceptances denominated in an Alternative Currency not fully Cash Collateralized hereunder would exceed the Alternative Currency Letter of Credit Sublimit, (D) </w:t>
      </w:r>
      <w:r>
        <w:rPr>
          <w:rFonts w:ascii="Arial" w:cs="Arial" w:eastAsia="Arial" w:hAnsi="Arial"/>
          <w:sz w:val="18"/>
          <w:szCs w:val="18"/>
          <w:color w:val="181818"/>
        </w:rPr>
        <w:t>the Letter of Credit Sublimit if, after</w:t>
      </w:r>
      <w:r>
        <w:rPr>
          <w:rFonts w:ascii="Arial" w:cs="Arial" w:eastAsia="Arial" w:hAnsi="Arial"/>
          <w:sz w:val="18"/>
          <w:szCs w:val="18"/>
          <w:color w:val="auto"/>
        </w:rPr>
        <w:t xml:space="preserve"> </w:t>
      </w:r>
      <w:r>
        <w:rPr>
          <w:rFonts w:ascii="Arial" w:cs="Arial" w:eastAsia="Arial" w:hAnsi="Arial"/>
          <w:sz w:val="18"/>
          <w:szCs w:val="18"/>
          <w:color w:val="181818"/>
        </w:rPr>
        <w:t xml:space="preserve">giving effect thereto, the Outstanding Amount of L/C Obligations with respect to Letters of Credit and Bankers’ Acceptances not fully Cash Collateralized hereunder would exceed the Letter of Credit Sublimit </w:t>
      </w:r>
      <w:r>
        <w:rPr>
          <w:rFonts w:ascii="Arial" w:cs="Arial" w:eastAsia="Arial" w:hAnsi="Arial"/>
          <w:sz w:val="18"/>
          <w:szCs w:val="18"/>
          <w:color w:val="000000"/>
        </w:rPr>
        <w:t>or (E)</w:t>
      </w:r>
      <w:r>
        <w:rPr>
          <w:rFonts w:ascii="Arial" w:cs="Arial" w:eastAsia="Arial" w:hAnsi="Arial"/>
          <w:sz w:val="18"/>
          <w:szCs w:val="18"/>
          <w:color w:val="181818"/>
        </w:rPr>
        <w:t xml:space="preserve"> the Swing Line Sublimit if, after giving effect thereto, the Outstanding Amount of Swing Line Loans would exceed the Swing Line Sublimit.</w:t>
      </w:r>
    </w:p>
    <w:p>
      <w:pPr>
        <w:spacing w:after="0" w:line="186" w:lineRule="exact"/>
        <w:rPr>
          <w:sz w:val="20"/>
          <w:szCs w:val="20"/>
          <w:color w:val="auto"/>
        </w:rPr>
      </w:pPr>
    </w:p>
    <w:p>
      <w:pPr>
        <w:jc w:val="both"/>
        <w:ind w:left="120" w:firstLine="605"/>
        <w:spacing w:after="0" w:line="226" w:lineRule="auto"/>
        <w:tabs>
          <w:tab w:leader="none" w:pos="115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such notice of termination or reduction of the Aggregate (USD) Commitments, the Aggregate (MC) Commitments, the Alternative Currency Letter of Credit Sublimit, the Letter of Credit Sublimit or the Swing Line Sublimit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Any reduction of the Aggregate (USD) Commitments shall be applied to the USD Commitment of each Lender according to its Applicable (USD) Percentage. Any reduction of the Aggregate (MC) Commitments shall be applied to the MC Commitment of each Lender according to its Applicable Percentage with respect to the Committed (MC) Facility. All fees in respect of the applicable Facility accrued until the effective date of any termination of the Aggregate (USD) Commitments or Aggregate (MC) Commitments, as the case may be, shall be paid on the effective date of such termination.</w:t>
      </w:r>
    </w:p>
    <w:p>
      <w:pPr>
        <w:spacing w:after="0" w:line="233"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2.07 Repayment of Loans. </w:t>
      </w:r>
      <w:r>
        <w:rPr>
          <w:rFonts w:ascii="Arial" w:cs="Arial" w:eastAsia="Arial" w:hAnsi="Arial"/>
          <w:sz w:val="20"/>
          <w:szCs w:val="20"/>
          <w:color w:val="auto"/>
        </w:rPr>
        <w:t>(a) Each Borrower shall repay to the Committed (USD) Lenders on the Maturity Date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(USD) Facility the aggregate principal amount of Committed (USD) Loans made to such Borrower outstanding on such date.</w:t>
      </w:r>
    </w:p>
    <w:p>
      <w:pPr>
        <w:spacing w:after="0" w:line="184" w:lineRule="exact"/>
        <w:rPr>
          <w:sz w:val="20"/>
          <w:szCs w:val="20"/>
          <w:color w:val="auto"/>
        </w:rPr>
      </w:pPr>
    </w:p>
    <w:p>
      <w:pPr>
        <w:ind w:left="120" w:firstLine="605"/>
        <w:spacing w:after="0" w:line="236" w:lineRule="auto"/>
        <w:tabs>
          <w:tab w:leader="none" w:pos="115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Each Borrower shall repay to the Committed (MC) Lenders on the Maturity Date for the Committed (MC) Facility the aggregate principal amount of Committed (MC) Loans made to such Borrower outstanding on such date.</w:t>
      </w:r>
    </w:p>
    <w:p>
      <w:pPr>
        <w:spacing w:after="0" w:line="171" w:lineRule="exact"/>
        <w:rPr>
          <w:rFonts w:ascii="Arial" w:cs="Arial" w:eastAsia="Arial" w:hAnsi="Arial"/>
          <w:sz w:val="20"/>
          <w:szCs w:val="20"/>
          <w:color w:val="auto"/>
        </w:rPr>
      </w:pPr>
    </w:p>
    <w:p>
      <w:pPr>
        <w:ind w:left="120" w:right="20" w:firstLine="605"/>
        <w:spacing w:after="0" w:line="236" w:lineRule="auto"/>
        <w:tabs>
          <w:tab w:leader="none" w:pos="115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Company shall repay each Swing Line Loan on the earlier to occur of (i) the date ten Business Days after such Loan is made and (ii) the Maturity Date for the Committed (USD) Facility.</w:t>
      </w:r>
    </w:p>
    <w:p>
      <w:pPr>
        <w:spacing w:after="0" w:line="184" w:lineRule="exact"/>
        <w:rPr>
          <w:rFonts w:ascii="Arial" w:cs="Arial" w:eastAsia="Arial" w:hAnsi="Arial"/>
          <w:sz w:val="20"/>
          <w:szCs w:val="20"/>
          <w:color w:val="auto"/>
        </w:rPr>
      </w:pPr>
    </w:p>
    <w:p>
      <w:pPr>
        <w:jc w:val="both"/>
        <w:ind w:left="120" w:firstLine="605"/>
        <w:spacing w:after="0" w:line="219" w:lineRule="auto"/>
        <w:tabs>
          <w:tab w:leader="none" w:pos="115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Each Borrower shall repay to the Term Loan Lenders the aggregate principal amount of all Term Loans as set forth on </w:t>
      </w:r>
      <w:r>
        <w:rPr>
          <w:rFonts w:ascii="Arial" w:cs="Arial" w:eastAsia="Arial" w:hAnsi="Arial"/>
          <w:sz w:val="20"/>
          <w:szCs w:val="20"/>
          <w:u w:val="single" w:color="auto"/>
          <w:color w:val="auto"/>
        </w:rPr>
        <w:t>Annex III</w:t>
      </w:r>
      <w:r>
        <w:rPr>
          <w:rFonts w:ascii="Arial" w:cs="Arial" w:eastAsia="Arial" w:hAnsi="Arial"/>
          <w:sz w:val="20"/>
          <w:szCs w:val="20"/>
          <w:color w:val="auto"/>
        </w:rPr>
        <w:t xml:space="preserve"> (which principal amounts shall be reduced as a result of the application of prepayments in accordance with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final principal repayment installment of the Term Loans shall be repaid on the Maturity Date for the Term Loan Facility and in any event shall be in an amount equal to the aggregate principal amount of Term Loans made to the Borrowers that remain outstanding on such date.</w:t>
      </w:r>
    </w:p>
    <w:p>
      <w:pPr>
        <w:spacing w:after="0" w:line="181"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2.08 Interest. </w:t>
      </w:r>
      <w:r>
        <w:rPr>
          <w:rFonts w:ascii="Arial" w:cs="Arial" w:eastAsia="Arial" w:hAnsi="Arial"/>
          <w:sz w:val="20"/>
          <w:szCs w:val="20"/>
          <w:color w:val="auto"/>
        </w:rPr>
        <w:t>(a) Subject to the provisions of subsection (b) below, (i) each Eurocurrency Rate Loan shall bear interest on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outstanding principal amount thereof for each Interest Period at a rate per annum equal to the Eurocurrency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(ii) each Base Rate Loan shall bear interest on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67" w:name="page168"/>
    <w:bookmarkEnd w:id="167"/>
    <w:p>
      <w:pPr>
        <w:jc w:val="both"/>
        <w:ind w:left="120" w:right="160"/>
        <w:spacing w:after="0" w:line="219" w:lineRule="auto"/>
        <w:rPr>
          <w:sz w:val="20"/>
          <w:szCs w:val="20"/>
          <w:color w:val="auto"/>
        </w:rPr>
      </w:pPr>
      <w:r>
        <w:rPr>
          <w:rFonts w:ascii="Arial" w:cs="Arial" w:eastAsia="Arial" w:hAnsi="Arial"/>
          <w:sz w:val="20"/>
          <w:szCs w:val="20"/>
          <w:color w:val="auto"/>
        </w:rPr>
        <w:t xml:space="preserve">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(iii) </w:t>
      </w:r>
      <w:r>
        <w:rPr>
          <w:rFonts w:ascii="Arial" w:cs="Arial" w:eastAsia="Arial" w:hAnsi="Arial"/>
          <w:sz w:val="20"/>
          <w:szCs w:val="20"/>
          <w:color w:val="181818"/>
        </w:rPr>
        <w:t>each Alternative Currency Term Rate Loan shall bear interest on the outstanding principal amount thereof for</w:t>
      </w:r>
      <w:r>
        <w:rPr>
          <w:rFonts w:ascii="Arial" w:cs="Arial" w:eastAsia="Arial" w:hAnsi="Arial"/>
          <w:sz w:val="20"/>
          <w:szCs w:val="20"/>
          <w:color w:val="auto"/>
        </w:rPr>
        <w:t xml:space="preserve"> </w:t>
      </w:r>
      <w:r>
        <w:rPr>
          <w:rFonts w:ascii="Arial" w:cs="Arial" w:eastAsia="Arial" w:hAnsi="Arial"/>
          <w:sz w:val="20"/>
          <w:szCs w:val="20"/>
          <w:color w:val="181818"/>
        </w:rPr>
        <w:t xml:space="preserve">each Interest Period at a rate per annum equal to the Alternative Currency Term </w:t>
      </w:r>
      <w:r>
        <w:rPr>
          <w:rFonts w:ascii="Arial" w:cs="Arial" w:eastAsia="Arial" w:hAnsi="Arial"/>
          <w:sz w:val="20"/>
          <w:szCs w:val="20"/>
          <w:color w:val="000000"/>
        </w:rPr>
        <w:t>Rate for such Interest Period</w:t>
      </w:r>
      <w:r>
        <w:rPr>
          <w:rFonts w:ascii="Arial" w:cs="Arial" w:eastAsia="Arial" w:hAnsi="Arial"/>
          <w:sz w:val="20"/>
          <w:szCs w:val="20"/>
          <w:color w:val="181818"/>
        </w:rPr>
        <w:t xml:space="preserve"> </w:t>
      </w:r>
      <w:r>
        <w:rPr>
          <w:rFonts w:ascii="Arial" w:cs="Arial" w:eastAsia="Arial" w:hAnsi="Arial"/>
          <w:sz w:val="20"/>
          <w:szCs w:val="20"/>
          <w:u w:val="single" w:color="auto"/>
          <w:color w:val="181818"/>
        </w:rPr>
        <w:t>plus</w:t>
      </w:r>
      <w:r>
        <w:rPr>
          <w:rFonts w:ascii="Arial" w:cs="Arial" w:eastAsia="Arial" w:hAnsi="Arial"/>
          <w:sz w:val="20"/>
          <w:szCs w:val="20"/>
          <w:color w:val="181818"/>
        </w:rPr>
        <w:t xml:space="preserve"> the Applicable Rate </w:t>
      </w:r>
      <w:r>
        <w:rPr>
          <w:rFonts w:ascii="Arial" w:cs="Arial" w:eastAsia="Arial" w:hAnsi="Arial"/>
          <w:sz w:val="20"/>
          <w:szCs w:val="20"/>
          <w:color w:val="000000"/>
        </w:rPr>
        <w:t xml:space="preserve">and (iv) each Swing Line Loan shall bear interest on the outstanding principal amount thereof from the applicable borrowing date at a rate per annum equal to the Base Rate </w:t>
      </w:r>
      <w:r>
        <w:rPr>
          <w:rFonts w:ascii="Arial" w:cs="Arial" w:eastAsia="Arial" w:hAnsi="Arial"/>
          <w:sz w:val="20"/>
          <w:szCs w:val="20"/>
          <w:u w:val="single" w:color="auto"/>
          <w:color w:val="000000"/>
        </w:rPr>
        <w:t>plus</w:t>
      </w:r>
      <w:r>
        <w:rPr>
          <w:rFonts w:ascii="Arial" w:cs="Arial" w:eastAsia="Arial" w:hAnsi="Arial"/>
          <w:sz w:val="20"/>
          <w:szCs w:val="20"/>
          <w:color w:val="000000"/>
        </w:rPr>
        <w:t xml:space="preserve"> the Applicable Rate.</w:t>
      </w:r>
    </w:p>
    <w:p>
      <w:pPr>
        <w:spacing w:after="0" w:line="187" w:lineRule="exact"/>
        <w:rPr>
          <w:sz w:val="20"/>
          <w:szCs w:val="20"/>
          <w:color w:val="auto"/>
        </w:rPr>
      </w:pPr>
    </w:p>
    <w:p>
      <w:pPr>
        <w:jc w:val="both"/>
        <w:ind w:left="100" w:right="160" w:firstLine="609"/>
        <w:spacing w:after="0" w:line="227" w:lineRule="auto"/>
        <w:tabs>
          <w:tab w:leader="none" w:pos="149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spacing w:after="0" w:line="171" w:lineRule="exact"/>
        <w:rPr>
          <w:rFonts w:ascii="Arial" w:cs="Arial" w:eastAsia="Arial" w:hAnsi="Arial"/>
          <w:sz w:val="20"/>
          <w:szCs w:val="20"/>
          <w:color w:val="auto"/>
        </w:rPr>
      </w:pPr>
    </w:p>
    <w:p>
      <w:pPr>
        <w:jc w:val="both"/>
        <w:ind w:left="720" w:right="160" w:firstLine="605"/>
        <w:spacing w:after="0" w:line="234" w:lineRule="auto"/>
        <w:tabs>
          <w:tab w:leader="none" w:pos="1750" w:val="left"/>
        </w:tabs>
        <w:numPr>
          <w:ilvl w:val="2"/>
          <w:numId w:val="102"/>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w:t>
      </w:r>
    </w:p>
    <w:p>
      <w:pPr>
        <w:spacing w:after="0" w:line="184" w:lineRule="exact"/>
        <w:rPr>
          <w:rFonts w:ascii="Arial" w:cs="Arial" w:eastAsia="Arial" w:hAnsi="Arial"/>
          <w:sz w:val="19"/>
          <w:szCs w:val="19"/>
          <w:color w:val="auto"/>
        </w:rPr>
      </w:pPr>
    </w:p>
    <w:p>
      <w:pPr>
        <w:jc w:val="both"/>
        <w:ind w:left="720" w:right="160" w:firstLine="605"/>
        <w:spacing w:after="0" w:line="249" w:lineRule="auto"/>
        <w:tabs>
          <w:tab w:leader="none" w:pos="174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continuation of any Event of Default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upon the request of the Required Lenders while any Event of Default under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exists as a result of a failure to comply with </w:t>
      </w:r>
      <w:r>
        <w:rPr>
          <w:rFonts w:ascii="Arial" w:cs="Arial" w:eastAsia="Arial" w:hAnsi="Arial"/>
          <w:sz w:val="18"/>
          <w:szCs w:val="18"/>
          <w:u w:val="single" w:color="auto"/>
          <w:color w:val="auto"/>
        </w:rPr>
        <w:t>Section 7.11</w:t>
      </w:r>
      <w:r>
        <w:rPr>
          <w:rFonts w:ascii="Arial" w:cs="Arial" w:eastAsia="Arial" w:hAnsi="Arial"/>
          <w:sz w:val="18"/>
          <w:szCs w:val="18"/>
          <w:color w:val="auto"/>
        </w:rPr>
        <w:t>, the Borrowers shall pay interest on the principal amount of all outstanding Obligations hereunder at a fluctuating interest rate per annum at all times equal to the Default Rate to the fullest extent permitted by applicable Laws.</w:t>
      </w:r>
    </w:p>
    <w:p>
      <w:pPr>
        <w:spacing w:after="0" w:line="177" w:lineRule="exact"/>
        <w:rPr>
          <w:rFonts w:ascii="Arial" w:cs="Arial" w:eastAsia="Arial" w:hAnsi="Arial"/>
          <w:sz w:val="18"/>
          <w:szCs w:val="18"/>
          <w:color w:val="auto"/>
        </w:rPr>
      </w:pPr>
    </w:p>
    <w:p>
      <w:pPr>
        <w:ind w:left="720" w:right="240" w:firstLine="605"/>
        <w:spacing w:after="0" w:line="236" w:lineRule="auto"/>
        <w:tabs>
          <w:tab w:leader="none" w:pos="1745" w:val="left"/>
        </w:tabs>
        <w:numPr>
          <w:ilvl w:val="2"/>
          <w:numId w:val="102"/>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1" w:lineRule="exact"/>
        <w:rPr>
          <w:rFonts w:ascii="Arial" w:cs="Arial" w:eastAsia="Arial" w:hAnsi="Arial"/>
          <w:sz w:val="20"/>
          <w:szCs w:val="20"/>
          <w:color w:val="auto"/>
        </w:rPr>
      </w:pPr>
    </w:p>
    <w:p>
      <w:pPr>
        <w:jc w:val="both"/>
        <w:ind w:left="120" w:right="160" w:firstLine="605"/>
        <w:spacing w:after="0" w:line="239" w:lineRule="auto"/>
        <w:tabs>
          <w:tab w:leader="none" w:pos="115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3" w:lineRule="exact"/>
        <w:rPr>
          <w:rFonts w:ascii="Arial" w:cs="Arial" w:eastAsia="Arial" w:hAnsi="Arial"/>
          <w:sz w:val="19"/>
          <w:szCs w:val="19"/>
          <w:color w:val="auto"/>
        </w:rPr>
      </w:pPr>
    </w:p>
    <w:p>
      <w:pPr>
        <w:jc w:val="both"/>
        <w:ind w:left="120" w:right="160" w:firstLine="605"/>
        <w:spacing w:after="0" w:line="217" w:lineRule="auto"/>
        <w:tabs>
          <w:tab w:leader="none" w:pos="1151" w:val="left"/>
        </w:tabs>
        <w:numPr>
          <w:ilvl w:val="1"/>
          <w:numId w:val="102"/>
        </w:numPr>
        <w:rPr>
          <w:rFonts w:ascii="Arial" w:cs="Arial" w:eastAsia="Arial" w:hAnsi="Arial"/>
          <w:sz w:val="20"/>
          <w:szCs w:val="20"/>
          <w:color w:val="auto"/>
        </w:rPr>
      </w:pPr>
      <w:r>
        <w:rPr>
          <w:rFonts w:ascii="Arial" w:cs="Arial" w:eastAsia="Arial" w:hAnsi="Arial"/>
          <w:sz w:val="20"/>
          <w:szCs w:val="20"/>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0"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8"/>
          <w:szCs w:val="18"/>
          <w:b w:val="1"/>
          <w:bCs w:val="1"/>
          <w:color w:val="auto"/>
        </w:rPr>
        <w:t xml:space="preserve">Fees. </w:t>
      </w:r>
      <w:r>
        <w:rPr>
          <w:rFonts w:ascii="Arial" w:cs="Arial" w:eastAsia="Arial" w:hAnsi="Arial"/>
          <w:sz w:val="18"/>
          <w:szCs w:val="18"/>
          <w:color w:val="auto"/>
        </w:rPr>
        <w:t>In addition to certain fees described in subsections (i), (j) and (k)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13" w:lineRule="exact"/>
        <w:rPr>
          <w:sz w:val="20"/>
          <w:szCs w:val="20"/>
          <w:color w:val="auto"/>
        </w:rPr>
      </w:pPr>
    </w:p>
    <w:p>
      <w:pPr>
        <w:ind w:left="100" w:firstLine="609"/>
        <w:spacing w:after="0" w:line="222" w:lineRule="auto"/>
        <w:tabs>
          <w:tab w:leader="none" w:pos="1146"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(i) The Company shall pay to the Administrative Agent for the account of each Committed (USD) Lender in accordance with its Applicable (USD) Percentage, a commitment fee in Dollars equal to the Applicable Rate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actual daily amount by which the Aggregate (USD) Commitments exceed the sum of (i) the Outstanding Amount of Committed (USD) Loans and (ii) the Outstanding Amount of L/C Obligations,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20"/>
          </w:cols>
          <w:pgMar w:left="360" w:top="1307" w:right="419" w:bottom="1440" w:gutter="0" w:footer="0" w:header="0"/>
        </w:sectPr>
      </w:pPr>
    </w:p>
    <w:bookmarkStart w:id="168" w:name="page169"/>
    <w:bookmarkEnd w:id="168"/>
    <w:p>
      <w:pPr>
        <w:ind w:left="100"/>
        <w:spacing w:after="0"/>
        <w:rPr>
          <w:sz w:val="20"/>
          <w:szCs w:val="20"/>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 commitment fee shall accrue at all times during the Availability Period with respect to the Committed (USD) Facility,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the avoidance of doubt, the Outstanding Amount of Swing Line Loans will not be considered when calculating the commitment fee above.</w:t>
      </w:r>
    </w:p>
    <w:p>
      <w:pPr>
        <w:spacing w:after="0" w:line="174" w:lineRule="exact"/>
        <w:rPr>
          <w:sz w:val="20"/>
          <w:szCs w:val="20"/>
          <w:color w:val="auto"/>
        </w:rPr>
      </w:pPr>
    </w:p>
    <w:p>
      <w:pPr>
        <w:jc w:val="both"/>
        <w:ind w:left="720" w:right="220" w:firstLine="605"/>
        <w:spacing w:after="0" w:line="225" w:lineRule="auto"/>
        <w:tabs>
          <w:tab w:leader="none" w:pos="1617" w:val="left"/>
        </w:tabs>
        <w:numPr>
          <w:ilvl w:val="2"/>
          <w:numId w:val="104"/>
        </w:numPr>
        <w:rPr>
          <w:rFonts w:ascii="Arial" w:cs="Arial" w:eastAsia="Arial" w:hAnsi="Arial"/>
          <w:sz w:val="19"/>
          <w:szCs w:val="19"/>
          <w:color w:val="auto"/>
        </w:rPr>
      </w:pPr>
      <w:r>
        <w:rPr>
          <w:rFonts w:ascii="Arial" w:cs="Arial" w:eastAsia="Arial" w:hAnsi="Arial"/>
          <w:sz w:val="19"/>
          <w:szCs w:val="19"/>
          <w:color w:val="auto"/>
        </w:rPr>
        <w:t xml:space="preserve">The Company shall pay to the Administrative Agent for the account of each Committed (MC) Lender in accordance with its Applicable Percentage in respect of the Committed (MC) Facility, a commitment fee in Dollars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by which the Aggregate (MC) Commitments exceed the Outstanding Amount of Committed (MC) Loans, subject to adjustment as provided in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The commitment fee shall accrue at all times during the Availability Period with respect to the Committed (MC) Facility,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6" w:lineRule="exact"/>
        <w:rPr>
          <w:rFonts w:ascii="Arial" w:cs="Arial" w:eastAsia="Arial" w:hAnsi="Arial"/>
          <w:sz w:val="19"/>
          <w:szCs w:val="19"/>
          <w:color w:val="auto"/>
        </w:rPr>
      </w:pPr>
    </w:p>
    <w:p>
      <w:pPr>
        <w:jc w:val="both"/>
        <w:ind w:left="120" w:right="220" w:firstLine="605"/>
        <w:spacing w:after="0" w:line="227" w:lineRule="auto"/>
        <w:tabs>
          <w:tab w:leader="none" w:pos="1151"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Company shall pay to the Arrangers and the Administrative Agent for their own respective accounts, in Dollars, fees in the amounts and at the times specified in the applicable Fee Letter. Such fees shall be fully earned when paid and shall not be refundable for any reason whatsoever.</w:t>
      </w:r>
    </w:p>
    <w:p>
      <w:pPr>
        <w:spacing w:after="0" w:line="171" w:lineRule="exact"/>
        <w:rPr>
          <w:rFonts w:ascii="Arial" w:cs="Arial" w:eastAsia="Arial" w:hAnsi="Arial"/>
          <w:sz w:val="20"/>
          <w:szCs w:val="20"/>
          <w:color w:val="auto"/>
        </w:rPr>
      </w:pPr>
    </w:p>
    <w:p>
      <w:pPr>
        <w:jc w:val="both"/>
        <w:ind w:left="720" w:right="220" w:firstLine="455"/>
        <w:spacing w:after="0" w:line="227" w:lineRule="auto"/>
        <w:tabs>
          <w:tab w:leader="none" w:pos="1475"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8" w:lineRule="exact"/>
        <w:rPr>
          <w:sz w:val="20"/>
          <w:szCs w:val="20"/>
          <w:color w:val="auto"/>
        </w:rPr>
      </w:pPr>
    </w:p>
    <w:p>
      <w:pPr>
        <w:jc w:val="both"/>
        <w:ind w:left="120" w:right="220" w:firstLine="598"/>
        <w:spacing w:after="0" w:line="238" w:lineRule="auto"/>
        <w:rPr>
          <w:sz w:val="20"/>
          <w:szCs w:val="20"/>
          <w:color w:val="auto"/>
        </w:rPr>
      </w:pPr>
      <w:r>
        <w:rPr>
          <w:rFonts w:ascii="Arial" w:cs="Arial" w:eastAsia="Arial" w:hAnsi="Arial"/>
          <w:sz w:val="18"/>
          <w:szCs w:val="18"/>
          <w:b w:val="1"/>
          <w:bCs w:val="1"/>
          <w:color w:val="auto"/>
        </w:rPr>
        <w:t xml:space="preserve">2.10 Computation of Interest and Fees; Retroactive Adjustments of Applicable Rate. </w:t>
      </w:r>
      <w:r>
        <w:rPr>
          <w:rFonts w:ascii="Arial" w:cs="Arial" w:eastAsia="Arial" w:hAnsi="Arial"/>
          <w:sz w:val="18"/>
          <w:szCs w:val="18"/>
          <w:color w:val="auto"/>
        </w:rPr>
        <w:t>(a) All computations of interest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Base Rate Loans (including Base Rate Loans determined by reference to the Eurocurrency Rate) and for Committed (MC) Loans denominated in Alternative Currencies shall be made on the basis of a year of 365 or 366 days, as the case may be, and actual days elapsed, </w:t>
      </w:r>
      <w:r>
        <w:rPr>
          <w:rFonts w:ascii="Arial" w:cs="Arial" w:eastAsia="Arial" w:hAnsi="Arial"/>
          <w:sz w:val="18"/>
          <w:szCs w:val="18"/>
          <w:color w:val="181818"/>
        </w:rPr>
        <w:t>or, in the case of interest in respect of Loans denominated in Alternative Currencies as to which market practice differs from</w:t>
      </w:r>
      <w:r>
        <w:rPr>
          <w:rFonts w:ascii="Arial" w:cs="Arial" w:eastAsia="Arial" w:hAnsi="Arial"/>
          <w:sz w:val="18"/>
          <w:szCs w:val="18"/>
          <w:color w:val="auto"/>
        </w:rPr>
        <w:t xml:space="preserve"> </w:t>
      </w:r>
      <w:r>
        <w:rPr>
          <w:rFonts w:ascii="Arial" w:cs="Arial" w:eastAsia="Arial" w:hAnsi="Arial"/>
          <w:sz w:val="18"/>
          <w:szCs w:val="18"/>
          <w:color w:val="181818"/>
        </w:rPr>
        <w:t>the foregoing, in accordance with such market practice</w:t>
      </w:r>
      <w:r>
        <w:rPr>
          <w:rFonts w:ascii="Arial" w:cs="Arial" w:eastAsia="Arial" w:hAnsi="Arial"/>
          <w:sz w:val="18"/>
          <w:szCs w:val="18"/>
          <w:color w:val="000000"/>
        </w:rPr>
        <w:t>. Other than as provided under</w:t>
      </w:r>
      <w:r>
        <w:rPr>
          <w:rFonts w:ascii="Arial" w:cs="Arial" w:eastAsia="Arial" w:hAnsi="Arial"/>
          <w:sz w:val="18"/>
          <w:szCs w:val="18"/>
          <w:color w:val="181818"/>
        </w:rPr>
        <w:t xml:space="preserve"> </w:t>
      </w:r>
      <w:r>
        <w:rPr>
          <w:rFonts w:ascii="Arial" w:cs="Arial" w:eastAsia="Arial" w:hAnsi="Arial"/>
          <w:sz w:val="18"/>
          <w:szCs w:val="18"/>
          <w:u w:val="single" w:color="auto"/>
          <w:color w:val="000000"/>
        </w:rPr>
        <w:t>Section 2.08(d)</w:t>
      </w:r>
      <w:r>
        <w:rPr>
          <w:rFonts w:ascii="Arial" w:cs="Arial" w:eastAsia="Arial" w:hAnsi="Arial"/>
          <w:sz w:val="18"/>
          <w:szCs w:val="18"/>
          <w:color w:val="000000"/>
        </w:rPr>
        <w:t>, all other computations of fees</w:t>
      </w:r>
      <w:r>
        <w:rPr>
          <w:rFonts w:ascii="Arial" w:cs="Arial" w:eastAsia="Arial" w:hAnsi="Arial"/>
          <w:sz w:val="18"/>
          <w:szCs w:val="18"/>
          <w:color w:val="181818"/>
        </w:rPr>
        <w:t xml:space="preserve"> </w:t>
      </w:r>
      <w:r>
        <w:rPr>
          <w:rFonts w:ascii="Arial" w:cs="Arial" w:eastAsia="Arial" w:hAnsi="Arial"/>
          <w:sz w:val="18"/>
          <w:szCs w:val="18"/>
          <w:color w:val="000000"/>
        </w:rPr>
        <w:t xml:space="preserve">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Loan that is repaid on the same day on which it is made shall, subject to </w:t>
      </w:r>
      <w:r>
        <w:rPr>
          <w:rFonts w:ascii="Arial" w:cs="Arial" w:eastAsia="Arial" w:hAnsi="Arial"/>
          <w:sz w:val="18"/>
          <w:szCs w:val="18"/>
          <w:u w:val="single" w:color="auto"/>
          <w:color w:val="000000"/>
        </w:rPr>
        <w:t>Section 2.12(a)</w:t>
      </w:r>
      <w:r>
        <w:rPr>
          <w:rFonts w:ascii="Arial" w:cs="Arial" w:eastAsia="Arial" w:hAnsi="Arial"/>
          <w:sz w:val="18"/>
          <w:szCs w:val="18"/>
          <w:color w:val="000000"/>
        </w:rPr>
        <w:t>, bear interest for one day. Each determination by the Administrative Agent of an interest rate or fee hereunder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80"/>
          </w:cols>
          <w:pgMar w:left="360" w:top="1306" w:right="359" w:bottom="1440" w:gutter="0" w:footer="0" w:header="0"/>
        </w:sectPr>
      </w:pPr>
    </w:p>
    <w:bookmarkStart w:id="169" w:name="page170"/>
    <w:bookmarkEnd w:id="169"/>
    <w:p>
      <w:pPr>
        <w:jc w:val="both"/>
        <w:ind w:left="120" w:firstLine="605"/>
        <w:spacing w:after="0" w:line="237" w:lineRule="auto"/>
        <w:tabs>
          <w:tab w:leader="none" w:pos="10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8"/>
          <w:szCs w:val="18"/>
          <w:u w:val="single" w:color="auto"/>
          <w:color w:val="auto"/>
        </w:rPr>
        <w:t>Section 2.03(d)(iii)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230" w:lineRule="exact"/>
        <w:rPr>
          <w:sz w:val="20"/>
          <w:szCs w:val="20"/>
          <w:color w:val="auto"/>
        </w:rPr>
      </w:pPr>
    </w:p>
    <w:p>
      <w:pPr>
        <w:jc w:val="both"/>
        <w:ind w:left="120" w:firstLine="598"/>
        <w:spacing w:after="0" w:line="225" w:lineRule="auto"/>
        <w:rPr>
          <w:sz w:val="20"/>
          <w:szCs w:val="20"/>
          <w:color w:val="auto"/>
        </w:rPr>
      </w:pPr>
      <w:r>
        <w:rPr>
          <w:rFonts w:ascii="Arial" w:cs="Arial" w:eastAsia="Arial" w:hAnsi="Arial"/>
          <w:sz w:val="19"/>
          <w:szCs w:val="19"/>
          <w:b w:val="1"/>
          <w:bCs w:val="1"/>
          <w:color w:val="auto"/>
        </w:rPr>
        <w:t xml:space="preserve">2.11 Evidence of Debt. </w:t>
      </w:r>
      <w:r>
        <w:rPr>
          <w:rFonts w:ascii="Arial" w:cs="Arial" w:eastAsia="Arial" w:hAnsi="Arial"/>
          <w:sz w:val="19"/>
          <w:szCs w:val="19"/>
          <w:color w:val="auto"/>
        </w:rPr>
        <w:t>(a) The Credit Extensions made by each Lender shall be evidenced by one or more accounts or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maintained by such Lender in the ordinary course of business. The Administrative Agent shall maintain the Register in accordance with </w:t>
      </w:r>
      <w:r>
        <w:rPr>
          <w:rFonts w:ascii="Arial" w:cs="Arial" w:eastAsia="Arial" w:hAnsi="Arial"/>
          <w:sz w:val="19"/>
          <w:szCs w:val="19"/>
          <w:u w:val="single" w:color="auto"/>
          <w:color w:val="auto"/>
        </w:rPr>
        <w:t>Section 10.06(c)</w:t>
      </w:r>
      <w:r>
        <w:rPr>
          <w:rFonts w:ascii="Arial" w:cs="Arial" w:eastAsia="Arial" w:hAnsi="Arial"/>
          <w:sz w:val="19"/>
          <w:szCs w:val="19"/>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in respect of such matters,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75" w:lineRule="exact"/>
        <w:rPr>
          <w:sz w:val="20"/>
          <w:szCs w:val="20"/>
          <w:color w:val="auto"/>
        </w:rPr>
      </w:pPr>
    </w:p>
    <w:p>
      <w:pPr>
        <w:jc w:val="both"/>
        <w:ind w:left="120" w:firstLine="605"/>
        <w:spacing w:after="0" w:line="231" w:lineRule="auto"/>
        <w:tabs>
          <w:tab w:leader="none" w:pos="102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8"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b w:val="1"/>
          <w:bCs w:val="1"/>
          <w:color w:val="auto"/>
        </w:rPr>
        <w:t xml:space="preserve">2.12 Payments Generally; Administrative Agent’s Clawback.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Committed (MC) Loans denominated in an Alternative Currency shall be made to the Administrative Agent, for the account of the respective Lenders to which such payment is owed, at the applicable Administrative Agent’s Office in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70" w:name="page171"/>
    <w:bookmarkEnd w:id="170"/>
    <w:p>
      <w:pPr>
        <w:jc w:val="both"/>
        <w:ind w:left="120"/>
        <w:spacing w:after="0" w:line="224" w:lineRule="auto"/>
        <w:rPr>
          <w:sz w:val="20"/>
          <w:szCs w:val="20"/>
          <w:color w:val="auto"/>
        </w:rPr>
      </w:pPr>
      <w:r>
        <w:rPr>
          <w:rFonts w:ascii="Arial" w:cs="Arial" w:eastAsia="Arial" w:hAnsi="Arial"/>
          <w:sz w:val="19"/>
          <w:szCs w:val="19"/>
          <w:color w:val="auto"/>
        </w:rPr>
        <w:t>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such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87" w:lineRule="exact"/>
        <w:rPr>
          <w:sz w:val="20"/>
          <w:szCs w:val="20"/>
          <w:color w:val="auto"/>
        </w:rPr>
      </w:pPr>
    </w:p>
    <w:p>
      <w:pPr>
        <w:jc w:val="both"/>
        <w:ind w:left="120" w:firstLine="605"/>
        <w:spacing w:after="0" w:line="221" w:lineRule="auto"/>
        <w:tabs>
          <w:tab w:leader="none" w:pos="115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Eurocurrency Rate Loans or Alternative Currency Term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the date such amount is made available to such Borrower to the date of payment to the Administrative Agent, at</w:t>
      </w:r>
    </w:p>
    <w:p>
      <w:pPr>
        <w:jc w:val="both"/>
        <w:ind w:left="120" w:firstLine="6"/>
        <w:spacing w:after="0" w:line="237" w:lineRule="auto"/>
        <w:tabs>
          <w:tab w:leader="none" w:pos="47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w:t>
      </w:r>
      <w:r>
        <w:rPr>
          <w:rFonts w:ascii="Arial" w:cs="Arial" w:eastAsia="Arial" w:hAnsi="Arial"/>
          <w:sz w:val="18"/>
          <w:szCs w:val="18"/>
          <w:color w:val="181818"/>
        </w:rPr>
        <w:t>or in the case of Alternative Currencies, in accordance with such</w:t>
      </w:r>
      <w:r>
        <w:rPr>
          <w:rFonts w:ascii="Arial" w:cs="Arial" w:eastAsia="Arial" w:hAnsi="Arial"/>
          <w:sz w:val="18"/>
          <w:szCs w:val="18"/>
          <w:color w:val="auto"/>
        </w:rPr>
        <w:t xml:space="preserve"> </w:t>
      </w:r>
      <w:r>
        <w:rPr>
          <w:rFonts w:ascii="Arial" w:cs="Arial" w:eastAsia="Arial" w:hAnsi="Arial"/>
          <w:sz w:val="18"/>
          <w:szCs w:val="18"/>
          <w:color w:val="181818"/>
        </w:rPr>
        <w:t>market practice, in each case, as applicable</w:t>
      </w:r>
      <w:r>
        <w:rPr>
          <w:rFonts w:ascii="Arial" w:cs="Arial" w:eastAsia="Arial" w:hAnsi="Arial"/>
          <w:sz w:val="18"/>
          <w:szCs w:val="18"/>
          <w:color w:val="000000"/>
        </w:rPr>
        <w:t>. If such Borrower and such Lender shall pay such interest to the Administrative Agent for</w:t>
      </w:r>
      <w:r>
        <w:rPr>
          <w:rFonts w:ascii="Arial" w:cs="Arial" w:eastAsia="Arial" w:hAnsi="Arial"/>
          <w:sz w:val="18"/>
          <w:szCs w:val="18"/>
          <w:color w:val="181818"/>
        </w:rPr>
        <w:t xml:space="preserve"> </w:t>
      </w:r>
      <w:r>
        <w:rPr>
          <w:rFonts w:ascii="Arial" w:cs="Arial" w:eastAsia="Arial" w:hAnsi="Arial"/>
          <w:sz w:val="18"/>
          <w:szCs w:val="18"/>
          <w:color w:val="000000"/>
        </w:rPr>
        <w:t>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1" w:lineRule="exact"/>
        <w:rPr>
          <w:rFonts w:ascii="Arial" w:cs="Arial" w:eastAsia="Arial" w:hAnsi="Arial"/>
          <w:sz w:val="18"/>
          <w:szCs w:val="18"/>
          <w:color w:val="auto"/>
        </w:rPr>
      </w:pPr>
    </w:p>
    <w:p>
      <w:pPr>
        <w:jc w:val="both"/>
        <w:ind w:left="720" w:firstLine="605"/>
        <w:spacing w:after="0" w:line="231" w:lineRule="auto"/>
        <w:tabs>
          <w:tab w:leader="none" w:pos="1651" w:val="left"/>
        </w:tabs>
        <w:numPr>
          <w:ilvl w:val="2"/>
          <w:numId w:val="109"/>
        </w:numPr>
        <w:rPr>
          <w:rFonts w:ascii="Arial" w:cs="Arial" w:eastAsia="Arial" w:hAnsi="Arial"/>
          <w:sz w:val="19"/>
          <w:szCs w:val="19"/>
          <w:color w:val="auto"/>
        </w:rPr>
      </w:pPr>
      <w:r>
        <w:rPr>
          <w:rFonts w:ascii="Arial" w:cs="Arial" w:eastAsia="Arial" w:hAnsi="Arial"/>
          <w:sz w:val="19"/>
          <w:szCs w:val="19"/>
          <w:u w:val="single" w:color="auto"/>
          <w:color w:val="auto"/>
        </w:rPr>
        <w:t>Payments by Borrowers; Presumptions by Administrative Agent</w:t>
      </w:r>
      <w:r>
        <w:rPr>
          <w:rFonts w:ascii="Arial" w:cs="Arial" w:eastAsia="Arial" w:hAnsi="Arial"/>
          <w:sz w:val="19"/>
          <w:szCs w:val="19"/>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71" w:name="page172"/>
    <w:bookmarkEnd w:id="171"/>
    <w:p>
      <w:pPr>
        <w:spacing w:after="0" w:line="104" w:lineRule="exact"/>
        <w:rPr>
          <w:sz w:val="20"/>
          <w:szCs w:val="20"/>
          <w:color w:val="auto"/>
        </w:rPr>
      </w:pPr>
    </w:p>
    <w:p>
      <w:pPr>
        <w:jc w:val="both"/>
        <w:ind w:left="720" w:firstLine="599"/>
        <w:spacing w:after="0" w:line="226" w:lineRule="auto"/>
        <w:rPr>
          <w:sz w:val="20"/>
          <w:szCs w:val="20"/>
          <w:color w:val="auto"/>
        </w:rPr>
      </w:pPr>
      <w:r>
        <w:rPr>
          <w:rFonts w:ascii="Arial" w:cs="Arial" w:eastAsia="Arial" w:hAnsi="Arial"/>
          <w:sz w:val="19"/>
          <w:szCs w:val="19"/>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Arial" w:cs="Arial" w:eastAsia="Arial" w:hAnsi="Arial"/>
          <w:sz w:val="19"/>
          <w:szCs w:val="19"/>
          <w:u w:val="single" w:color="auto"/>
          <w:color w:val="auto"/>
        </w:rPr>
        <w:t>Rescindable Amount</w:t>
      </w:r>
      <w:r>
        <w:rPr>
          <w:rFonts w:ascii="Arial" w:cs="Arial" w:eastAsia="Arial" w:hAnsi="Arial"/>
          <w:sz w:val="19"/>
          <w:szCs w:val="19"/>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71" w:lineRule="exact"/>
        <w:rPr>
          <w:sz w:val="20"/>
          <w:szCs w:val="20"/>
          <w:color w:val="auto"/>
        </w:rPr>
      </w:pPr>
    </w:p>
    <w:p>
      <w:pPr>
        <w:ind w:left="120" w:right="280" w:firstLine="598"/>
        <w:spacing w:after="0" w:line="236" w:lineRule="auto"/>
        <w:rPr>
          <w:sz w:val="20"/>
          <w:szCs w:val="20"/>
          <w:color w:val="auto"/>
        </w:rPr>
      </w:pPr>
      <w:r>
        <w:rPr>
          <w:rFonts w:ascii="Arial" w:cs="Arial" w:eastAsia="Arial" w:hAnsi="Arial"/>
          <w:sz w:val="20"/>
          <w:szCs w:val="20"/>
          <w:color w:val="auto"/>
        </w:rPr>
        <w:t>A notice of the Administrative Agent to any Lender or Borrower with respect to any amount owing under this subsection (b) shall be conclusive, absent manifest error.</w:t>
      </w:r>
    </w:p>
    <w:p>
      <w:pPr>
        <w:spacing w:after="0" w:line="184" w:lineRule="exact"/>
        <w:rPr>
          <w:sz w:val="20"/>
          <w:szCs w:val="20"/>
          <w:color w:val="auto"/>
        </w:rPr>
      </w:pPr>
    </w:p>
    <w:p>
      <w:pPr>
        <w:jc w:val="both"/>
        <w:ind w:left="120" w:firstLine="605"/>
        <w:spacing w:after="0" w:line="231" w:lineRule="auto"/>
        <w:tabs>
          <w:tab w:leader="none" w:pos="115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such funds are not made available to such Borrower by the Administrative Agent because the conditions to the applicable Credit Extension set forth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are not satisfied or waived in accordance with the terms hereof, the Administrative Agent shall promptly (if possible, on the same day) return such funds (in like funds as received from such Lender) to such Lender, without interest.</w:t>
      </w:r>
    </w:p>
    <w:p>
      <w:pPr>
        <w:spacing w:after="0" w:line="171" w:lineRule="exact"/>
        <w:rPr>
          <w:rFonts w:ascii="Arial" w:cs="Arial" w:eastAsia="Arial" w:hAnsi="Arial"/>
          <w:sz w:val="19"/>
          <w:szCs w:val="19"/>
          <w:color w:val="auto"/>
        </w:rPr>
      </w:pPr>
    </w:p>
    <w:p>
      <w:pPr>
        <w:jc w:val="both"/>
        <w:ind w:left="120" w:firstLine="605"/>
        <w:spacing w:after="0" w:line="217" w:lineRule="auto"/>
        <w:tabs>
          <w:tab w:leader="none" w:pos="1151"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Loans, to fund participations in Letters of Credit, Swing Line Loans and Bankers’ Acceptances and to make payments pursuant to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10.04(c)</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20" w:firstLine="605"/>
        <w:spacing w:after="0" w:line="227" w:lineRule="auto"/>
        <w:tabs>
          <w:tab w:leader="none" w:pos="115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5"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8"/>
          <w:szCs w:val="18"/>
          <w:b w:val="1"/>
          <w:bCs w:val="1"/>
          <w:color w:val="auto"/>
        </w:rPr>
        <w:t xml:space="preserve">2.13 Sharing of Payments by Lenders. </w:t>
      </w:r>
      <w:r>
        <w:rPr>
          <w:rFonts w:ascii="Arial" w:cs="Arial" w:eastAsia="Arial" w:hAnsi="Arial"/>
          <w:sz w:val="18"/>
          <w:szCs w:val="18"/>
          <w:color w:val="auto"/>
        </w:rPr>
        <w:t>If any Lender shall, by exercising any right of setoff or counterclaim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72" w:name="page173"/>
    <w:bookmarkEnd w:id="172"/>
    <w:p>
      <w:pPr>
        <w:jc w:val="both"/>
        <w:ind w:left="120"/>
        <w:spacing w:after="0" w:line="222" w:lineRule="auto"/>
        <w:rPr>
          <w:sz w:val="20"/>
          <w:szCs w:val="20"/>
          <w:color w:val="auto"/>
        </w:rPr>
      </w:pPr>
      <w:r>
        <w:rPr>
          <w:rFonts w:ascii="Arial" w:cs="Arial" w:eastAsia="Arial" w:hAnsi="Arial"/>
          <w:sz w:val="20"/>
          <w:szCs w:val="20"/>
          <w:color w:val="auto"/>
        </w:rPr>
        <w:t>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w:t>
      </w:r>
    </w:p>
    <w:p>
      <w:pPr>
        <w:spacing w:after="0" w:line="235" w:lineRule="exact"/>
        <w:rPr>
          <w:sz w:val="20"/>
          <w:szCs w:val="20"/>
          <w:color w:val="auto"/>
        </w:rPr>
      </w:pPr>
    </w:p>
    <w:p>
      <w:pPr>
        <w:jc w:val="both"/>
        <w:ind w:left="120" w:firstLine="6"/>
        <w:spacing w:after="0" w:line="219" w:lineRule="auto"/>
        <w:tabs>
          <w:tab w:leader="none" w:pos="54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6"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3" w:lineRule="exact"/>
        <w:rPr>
          <w:rFonts w:ascii="Arial" w:cs="Arial" w:eastAsia="Arial" w:hAnsi="Arial"/>
          <w:sz w:val="20"/>
          <w:szCs w:val="20"/>
          <w:color w:val="auto"/>
        </w:rPr>
      </w:pPr>
    </w:p>
    <w:p>
      <w:pPr>
        <w:jc w:val="both"/>
        <w:ind w:left="720" w:firstLine="605"/>
        <w:spacing w:after="0" w:line="217" w:lineRule="auto"/>
        <w:tabs>
          <w:tab w:leader="none" w:pos="175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20"/>
          <w:szCs w:val="20"/>
          <w:u w:val="single" w:color="auto"/>
          <w:color w:val="auto"/>
        </w:rPr>
        <w:t>Section 2.17</w:t>
      </w:r>
      <w:r>
        <w:rPr>
          <w:rFonts w:ascii="Arial" w:cs="Arial" w:eastAsia="Arial" w:hAnsi="Arial"/>
          <w:sz w:val="20"/>
          <w:szCs w:val="20"/>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76"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8"/>
          <w:szCs w:val="18"/>
          <w:b w:val="1"/>
          <w:bCs w:val="1"/>
          <w:color w:val="auto"/>
        </w:rPr>
        <w:t>Company as Borrowing Agent; Joint and Several Liability.</w:t>
      </w:r>
    </w:p>
    <w:p>
      <w:pPr>
        <w:spacing w:after="0" w:line="213" w:lineRule="exact"/>
        <w:rPr>
          <w:sz w:val="20"/>
          <w:szCs w:val="20"/>
          <w:color w:val="auto"/>
        </w:rPr>
      </w:pPr>
    </w:p>
    <w:p>
      <w:pPr>
        <w:jc w:val="both"/>
        <w:ind w:left="120" w:firstLine="605"/>
        <w:spacing w:after="0" w:line="237" w:lineRule="auto"/>
        <w:tabs>
          <w:tab w:leader="none" w:pos="11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Because the operations and business activities of the Borrowers are highly integrated and interdependent, at any particular time it is in the mutual best interest of the Administrative Agent, the Lenders and the Borrowers for the Company, through one or more of its Responsible Officers, to deliver all Requests for Credit Extension and all other such notices, and to take all other action of a Responsible Officer in this Agreement or in any other Loan Document, whether on behalf of the Company or any other Borrower, and to determine which of the Borrowers will directly receive the proceeds of a Loan. Each of the Borrowers hereby directs the Administrative Agent to disburse the proceeds of each Loan as directed by the Company through a Responsible Officer, and such distribution will, in all circumstances, be deemed to be made to the Borrower to which such proceeds are directed. Each Borrower hereby irrevocably designates, appoints, authorizes and directs the Company (including each Responsible Officer of the Company) to act on behalf of such Borrower for the purposes set forth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and to act on behalf of such Borrower for purposes of giving notice to the Administrative Agent of requests for Borrowings, conversions, continuations and for otherwise giving and receiving notices and certifications under this Agreement or any other Loan Document and otherwise for taking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73" w:name="page174"/>
    <w:bookmarkEnd w:id="173"/>
    <w:p>
      <w:pPr>
        <w:jc w:val="both"/>
        <w:ind w:left="120"/>
        <w:spacing w:after="0" w:line="234" w:lineRule="auto"/>
        <w:rPr>
          <w:sz w:val="20"/>
          <w:szCs w:val="20"/>
          <w:color w:val="auto"/>
        </w:rPr>
      </w:pPr>
      <w:r>
        <w:rPr>
          <w:rFonts w:ascii="Arial" w:cs="Arial" w:eastAsia="Arial" w:hAnsi="Arial"/>
          <w:sz w:val="18"/>
          <w:szCs w:val="18"/>
          <w:color w:val="auto"/>
        </w:rPr>
        <w:t xml:space="preserve">all other action contemplated to be taken by the Company (including each Responsible Officer of the Company) hereunder or under any other Loan Document. Each Borrower further appoints the Company as its agent for any service of process. The Administrative Agent is entitled to rely and act on the instructions of the Company, by and through any Responsible Officer, on behalf of each Borrower. Without limiting the provisions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each Borrower covenants and agrees to assume liability for and to protect, indemnify and hold harmless the Administrative Agent, the Lenders, the L/C Issuer and the Swing Line Lender from any and all liabilities, obligations, damages, penalties, claims, causes of action, costs, charges and expenses (including reasonable attorneys’ fees), which may be incurred by, imposed or asserted against the Administrative Agent, any Lender, the L/C Issuer or the Swing Line Lender, howsoever arising or incurred because of, out of or in connection with the disbursements of Loans and Credit Extensions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liability of the Borrowers pursuant to this indemnity shall not extend to any liability, obligation, damage, penalty, claim, cause of action, cost, charge or expense of any Person (i) determined by a court of competent jurisdiction by a final and nonappealable judgment to have resulted from the gross negligence or willful misconduct of the Administrative Agent, any Lender, the L/C Issuer or the Swing Line Lender, (ii) result from a claim brought by any Borrower or any other Loan Party against any Lender, the L/C Issuer or the Swing Line Lender for breach in bad faith of such Person’s obligations hereunder or under any other Loan Document, if such Borrower or such other Loan Party has obtained a final and nonappealable judgment in its favor on such claim as determined by a court of competent jurisdiction or (iii) attributable to any Taxes, other than Taxes that represent a liability, obligation</w:t>
      </w:r>
      <w:r>
        <w:rPr>
          <w:rFonts w:ascii="Arial" w:cs="Arial" w:eastAsia="Arial" w:hAnsi="Arial"/>
          <w:sz w:val="18"/>
          <w:szCs w:val="18"/>
          <w:b w:val="1"/>
          <w:bCs w:val="1"/>
          <w:color w:val="auto"/>
        </w:rPr>
        <w:t>,</w:t>
      </w:r>
      <w:r>
        <w:rPr>
          <w:rFonts w:ascii="Arial" w:cs="Arial" w:eastAsia="Arial" w:hAnsi="Arial"/>
          <w:sz w:val="18"/>
          <w:szCs w:val="18"/>
          <w:color w:val="auto"/>
        </w:rPr>
        <w:t xml:space="preserve"> damage, penalty, claim, cause of action, cost, charge or expense arising from a non-Tax claim;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reimbursement of fees, charges and disbursements of counsel shall be limited to one counsel and one local counsel and one applicable regulatory counsel and local counsel in each relevant jurisdiction for the Persons indemnified pursuant to this </w:t>
      </w:r>
      <w:r>
        <w:rPr>
          <w:rFonts w:ascii="Arial" w:cs="Arial" w:eastAsia="Arial" w:hAnsi="Arial"/>
          <w:sz w:val="18"/>
          <w:szCs w:val="18"/>
          <w:u w:val="single" w:color="auto"/>
          <w:color w:val="auto"/>
        </w:rPr>
        <w:t>Section 2.14(a)</w:t>
      </w:r>
      <w:r>
        <w:rPr>
          <w:rFonts w:ascii="Arial" w:cs="Arial" w:eastAsia="Arial" w:hAnsi="Arial"/>
          <w:sz w:val="18"/>
          <w:szCs w:val="18"/>
          <w:color w:val="auto"/>
        </w:rPr>
        <w:t>. The Company shall maintain detailed accounting and records of all disbursements and payments made to each Borrower with respect to proceeds of Loans. Not in any way in limitation of any other provisions set forth herein, such books and records may be reviewed and copied by the Administrative Agent at the Company’s expense at reasonable intervals and upon reasonable notice given by the Administrative Agent to the Company.</w:t>
      </w:r>
    </w:p>
    <w:p>
      <w:pPr>
        <w:spacing w:after="0" w:line="179" w:lineRule="exact"/>
        <w:rPr>
          <w:sz w:val="20"/>
          <w:szCs w:val="20"/>
          <w:color w:val="auto"/>
        </w:rPr>
      </w:pPr>
    </w:p>
    <w:p>
      <w:pPr>
        <w:jc w:val="both"/>
        <w:ind w:left="120" w:firstLine="605"/>
        <w:spacing w:after="0" w:line="237" w:lineRule="auto"/>
        <w:tabs>
          <w:tab w:leader="none" w:pos="11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Each Borrower shall be jointly and severally liable for all Obligations. For the avoidance of doubt, each of the Borrowers agrees and understands that it shall be jointly and severally liable for the Obligations as described in the preceding sentence, without regard to the identity of the Borrower in whose name any Loan is made or other Obligation is incurred. Without limiting anything to the contrary in this Agreement or any other Loan Document, each Borrower hereby jointly and severally, unconditionally, absolutely, continually and irrevocably guarantees to the Administrative Agent for the benefit of the Guaranteed Parties the prompt payment in full by each Loan Party, when due or declared due and at all such times, of obligations and liabilities now or hereafter arising under the Guaranteed Cash Management Agreements, Guaranteed Hedge Agreements and Guaranteed Permitted Standalone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guaranty of each Borrower shall exclude any Excluded Swap Obligations with respect to such Borrower and shall be limited to an aggregate amount equal to the largest amount that would not render its obligations hereunder subject to avoidance under Section 548 of the United States Bankruptcy Code or any comparable provisions of any applicable state law.</w:t>
      </w:r>
    </w:p>
    <w:p>
      <w:pPr>
        <w:spacing w:after="0" w:line="178" w:lineRule="exact"/>
        <w:rPr>
          <w:rFonts w:ascii="Arial" w:cs="Arial" w:eastAsia="Arial" w:hAnsi="Arial"/>
          <w:sz w:val="18"/>
          <w:szCs w:val="18"/>
          <w:color w:val="auto"/>
        </w:rPr>
      </w:pPr>
    </w:p>
    <w:p>
      <w:pPr>
        <w:jc w:val="both"/>
        <w:ind w:left="120" w:firstLine="605"/>
        <w:spacing w:after="0" w:line="239" w:lineRule="auto"/>
        <w:tabs>
          <w:tab w:leader="none" w:pos="115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It is the intention of the parties that with respect to each Borrower, its obligations under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shall be absolute, unconditional and irrevocable irrespective of, and each Borrower hereby expressly waives, to the extent permitted by law, any defense to its Obligations under this Agreement and all the other Loan Documents to which it is a party by reason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74" w:name="page175"/>
    <w:bookmarkEnd w:id="174"/>
    <w:p>
      <w:pPr>
        <w:spacing w:after="0" w:line="379" w:lineRule="exact"/>
        <w:rPr>
          <w:sz w:val="20"/>
          <w:szCs w:val="20"/>
          <w:color w:val="auto"/>
        </w:rPr>
      </w:pPr>
    </w:p>
    <w:p>
      <w:pPr>
        <w:jc w:val="both"/>
        <w:ind w:left="720" w:firstLine="605"/>
        <w:spacing w:after="0" w:line="217" w:lineRule="auto"/>
        <w:tabs>
          <w:tab w:leader="none" w:pos="174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lack of legality, validity or enforceability of this Agreement, of any of the Notes, of any other Loan Document, of any Guaranteed Cash Management Agreement, Guaranteed Hedge Agreement or Guaranteed Permitted Standalone Letter of Credit or of any other agreement or instrument creating, providing security for, or otherwise relating to any of the Obligations (the Loan Documents, Guaranteed Cash Management Agreements, Guaranteed Hedge Agreements, Guaranteed Permitted Standalone Letters of Credit and all such other agreements and instruments being collectively referred to as the “</w:t>
      </w:r>
      <w:r>
        <w:rPr>
          <w:rFonts w:ascii="Arial" w:cs="Arial" w:eastAsia="Arial" w:hAnsi="Arial"/>
          <w:sz w:val="20"/>
          <w:szCs w:val="20"/>
          <w:u w:val="single" w:color="auto"/>
          <w:color w:val="auto"/>
        </w:rPr>
        <w:t>Related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720" w:firstLine="605"/>
        <w:spacing w:after="0" w:line="286" w:lineRule="auto"/>
        <w:tabs>
          <w:tab w:leader="none" w:pos="17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43" w:lineRule="exact"/>
        <w:rPr>
          <w:rFonts w:ascii="Arial" w:cs="Arial" w:eastAsia="Arial" w:hAnsi="Arial"/>
          <w:sz w:val="18"/>
          <w:szCs w:val="18"/>
          <w:color w:val="auto"/>
        </w:rPr>
      </w:pPr>
    </w:p>
    <w:p>
      <w:pPr>
        <w:ind w:left="720" w:right="20" w:firstLine="605"/>
        <w:spacing w:after="0" w:line="236" w:lineRule="auto"/>
        <w:tabs>
          <w:tab w:leader="none" w:pos="174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acceleration of the maturity of any of the Obligations (whether of such Borrower or of any other Loan Party) or of any other obligations or liabilities of any Person under any of the Related Agreements;</w:t>
      </w:r>
    </w:p>
    <w:p>
      <w:pPr>
        <w:spacing w:after="0" w:line="171"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release, exchange, non-perfection, lapse in perfection, disposal, deterioration in value, or impairment of any security for any of the Obligations (whether of such Borrower or of any other Loan Party) or for any other obligations or liabilities of any Person under any of the Related Agreements;</w:t>
      </w:r>
    </w:p>
    <w:p>
      <w:pPr>
        <w:spacing w:after="0" w:line="183" w:lineRule="exact"/>
        <w:rPr>
          <w:rFonts w:ascii="Arial" w:cs="Arial" w:eastAsia="Arial" w:hAnsi="Arial"/>
          <w:sz w:val="20"/>
          <w:szCs w:val="20"/>
          <w:color w:val="auto"/>
        </w:rPr>
      </w:pPr>
    </w:p>
    <w:p>
      <w:pPr>
        <w:jc w:val="both"/>
        <w:ind w:left="720" w:firstLine="605"/>
        <w:spacing w:after="0" w:line="222" w:lineRule="auto"/>
        <w:tabs>
          <w:tab w:leader="none" w:pos="175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dissolution of any Borrower or any Subsidiary Guarantor or any other party to a Related Agreement, or the combination or consolidation of any Borrower or any Subsidiary Guarantor or any other party to a Related Agreement into or with another entity or any transfer or disposition of any assets of any Borrower or any Subsidiary Guarantor or any other party to a Related Agreement;</w:t>
      </w:r>
    </w:p>
    <w:p>
      <w:pPr>
        <w:spacing w:after="0" w:line="185" w:lineRule="exact"/>
        <w:rPr>
          <w:rFonts w:ascii="Arial" w:cs="Arial" w:eastAsia="Arial" w:hAnsi="Arial"/>
          <w:sz w:val="20"/>
          <w:szCs w:val="20"/>
          <w:color w:val="auto"/>
        </w:rPr>
      </w:pPr>
    </w:p>
    <w:p>
      <w:pPr>
        <w:jc w:val="both"/>
        <w:ind w:left="720" w:firstLine="605"/>
        <w:spacing w:after="0" w:line="222" w:lineRule="auto"/>
        <w:tabs>
          <w:tab w:leader="none" w:pos="174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w:t>
      </w:r>
    </w:p>
    <w:p>
      <w:pPr>
        <w:spacing w:after="0" w:line="172" w:lineRule="exact"/>
        <w:rPr>
          <w:rFonts w:ascii="Arial" w:cs="Arial" w:eastAsia="Arial" w:hAnsi="Arial"/>
          <w:sz w:val="20"/>
          <w:szCs w:val="20"/>
          <w:color w:val="auto"/>
        </w:rPr>
      </w:pPr>
    </w:p>
    <w:p>
      <w:pPr>
        <w:ind w:left="720" w:firstLine="605"/>
        <w:spacing w:after="0" w:line="258" w:lineRule="auto"/>
        <w:tabs>
          <w:tab w:leader="none" w:pos="175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existence, addition, modification, termination, reduction or impairment of value, or release of any other guaranty (or security therefor) of any of the Obligations (whether of such Borrower or of any other Loan Party);</w:t>
      </w:r>
    </w:p>
    <w:p>
      <w:pPr>
        <w:spacing w:after="0" w:line="167" w:lineRule="exact"/>
        <w:rPr>
          <w:sz w:val="20"/>
          <w:szCs w:val="20"/>
          <w:color w:val="auto"/>
        </w:rPr>
      </w:pPr>
    </w:p>
    <w:p>
      <w:pPr>
        <w:jc w:val="both"/>
        <w:ind w:left="720" w:firstLine="599"/>
        <w:spacing w:after="0" w:line="234" w:lineRule="auto"/>
        <w:rPr>
          <w:sz w:val="20"/>
          <w:szCs w:val="20"/>
          <w:color w:val="auto"/>
        </w:rPr>
      </w:pPr>
      <w:r>
        <w:rPr>
          <w:rFonts w:ascii="Arial" w:cs="Arial" w:eastAsia="Arial" w:hAnsi="Arial"/>
          <w:sz w:val="19"/>
          <w:szCs w:val="19"/>
          <w:color w:val="auto"/>
        </w:rPr>
        <w:t>(viii)any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Obligations (whether of such Borrower or of any other Loan Party) or any of the obligations or liabilities of any party to any other Related Agreement; or</w:t>
      </w:r>
    </w:p>
    <w:p>
      <w:pPr>
        <w:spacing w:after="0" w:line="184" w:lineRule="exact"/>
        <w:rPr>
          <w:sz w:val="20"/>
          <w:szCs w:val="20"/>
          <w:color w:val="auto"/>
        </w:rPr>
      </w:pPr>
    </w:p>
    <w:p>
      <w:pPr>
        <w:jc w:val="both"/>
        <w:ind w:left="720" w:firstLine="605"/>
        <w:spacing w:after="0" w:line="227" w:lineRule="auto"/>
        <w:tabs>
          <w:tab w:leader="none" w:pos="174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other circumstance whatsoever (with or without notice to or knowledge of any other Loan Party) which may or might in any manner or to any extent vary the risks of such Borrower, or might otherwise constitute a legal or equitable defense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75" w:name="page176"/>
    <w:bookmarkEnd w:id="175"/>
    <w:p>
      <w:pPr>
        <w:ind w:left="720"/>
        <w:spacing w:after="0" w:line="236" w:lineRule="auto"/>
        <w:rPr>
          <w:sz w:val="20"/>
          <w:szCs w:val="20"/>
          <w:color w:val="auto"/>
        </w:rPr>
      </w:pPr>
      <w:r>
        <w:rPr>
          <w:rFonts w:ascii="Arial" w:cs="Arial" w:eastAsia="Arial" w:hAnsi="Arial"/>
          <w:sz w:val="20"/>
          <w:szCs w:val="20"/>
          <w:color w:val="auto"/>
        </w:rPr>
        <w:t>or discharge of, a surety or a guarantor, including any right to require or claim that resort be had to any Borrower or any other Loan Party or to any collateral in respect of the Obligations.</w:t>
      </w:r>
    </w:p>
    <w:p>
      <w:pPr>
        <w:spacing w:after="0" w:line="184" w:lineRule="exact"/>
        <w:rPr>
          <w:sz w:val="20"/>
          <w:szCs w:val="20"/>
          <w:color w:val="auto"/>
        </w:rPr>
      </w:pPr>
    </w:p>
    <w:p>
      <w:pPr>
        <w:jc w:val="both"/>
        <w:ind w:left="120" w:firstLine="605"/>
        <w:spacing w:after="0" w:line="225" w:lineRule="auto"/>
        <w:tabs>
          <w:tab w:leader="none" w:pos="11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Each Borrower hereby waives to the extent permitted by law notice of the following events or occurrences: (i) the Guaranteed Parties’ heretofore, now or from time to time hereafter making Loans and otherwise loaning monies or giving or extending credit to or for the benefit of any other Borrower or any other Loan Party, or otherwise entering into arrangements with any Loan Party giving rise to Obligations, whether pursuant to this Agreement or the Notes or any other Loan Document or Related Agreement or any amendments, modifications, or supplements thereto, or replacements or extensions thereof; (ii) presentment, demand, default, non-payment, partial payment and protest; and (iii) any other event, condition, or occurrence described in </w:t>
      </w:r>
      <w:r>
        <w:rPr>
          <w:rFonts w:ascii="Arial" w:cs="Arial" w:eastAsia="Arial" w:hAnsi="Arial"/>
          <w:sz w:val="19"/>
          <w:szCs w:val="19"/>
          <w:u w:val="single" w:color="auto"/>
          <w:color w:val="auto"/>
        </w:rPr>
        <w:t>Section 2.14(c)</w:t>
      </w:r>
      <w:r>
        <w:rPr>
          <w:rFonts w:ascii="Arial" w:cs="Arial" w:eastAsia="Arial" w:hAnsi="Arial"/>
          <w:sz w:val="19"/>
          <w:szCs w:val="19"/>
          <w:color w:val="auto"/>
        </w:rPr>
        <w:t>. Each Borrower agrees that each Guaranteed Party may heretofore, now or at any time hereafter do any or all of the foregoing in such manner, upon such terms and at such times as each Guaranteed Party, in its sole and absolute discretion, deems advisable, without in any way or respect impairing, affecting, reducing or releasing such Borrower from its Obligations, and each Borrower hereby consents to each and all of the foregoing events or occurrences.</w:t>
      </w:r>
    </w:p>
    <w:p>
      <w:pPr>
        <w:spacing w:after="0" w:line="173" w:lineRule="exact"/>
        <w:rPr>
          <w:rFonts w:ascii="Arial" w:cs="Arial" w:eastAsia="Arial" w:hAnsi="Arial"/>
          <w:sz w:val="19"/>
          <w:szCs w:val="19"/>
          <w:color w:val="auto"/>
        </w:rPr>
      </w:pPr>
    </w:p>
    <w:p>
      <w:pPr>
        <w:jc w:val="both"/>
        <w:ind w:left="120" w:firstLine="605"/>
        <w:spacing w:after="0" w:line="258"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Obligations of each Borrower under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are independent, and a separate action or actions may be brought and prosecuted against any Borrower whether action is brought against any other Borrower or whether any other Borrower is joined in any such action or actions; and each Borrower waives the benefit of any statute of limitations affecting its liability hereunder.</w:t>
      </w:r>
    </w:p>
    <w:p>
      <w:pPr>
        <w:spacing w:after="0" w:line="168" w:lineRule="exact"/>
        <w:rPr>
          <w:rFonts w:ascii="Arial" w:cs="Arial" w:eastAsia="Arial" w:hAnsi="Arial"/>
          <w:sz w:val="18"/>
          <w:szCs w:val="18"/>
          <w:color w:val="auto"/>
        </w:rPr>
      </w:pPr>
    </w:p>
    <w:p>
      <w:pPr>
        <w:jc w:val="both"/>
        <w:ind w:left="120" w:firstLine="605"/>
        <w:spacing w:after="0" w:line="219" w:lineRule="auto"/>
        <w:tabs>
          <w:tab w:leader="none" w:pos="114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Borrower represents and warrants that the request for joint handling of the Loans and other Obligations made hereunder was made because (i) such Borrower expects to derive benefit, directly or indirectly, from such availability because the successful operation of the Borrowers is dependent on the continued successful performance of the functions of the group and (ii) the credit extended under this Agreement will enhance the overall financial strength and stability of the Borrowers’ consolidated group of companies.</w:t>
      </w:r>
    </w:p>
    <w:p>
      <w:pPr>
        <w:spacing w:after="0" w:line="174"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Each Borrower represents and warrants that (i) it has established adequate means of obtaining from other Loan Parties on a continuing basis financial and other information pertaining to the business, operations and condition (financial and otherwise) of other Loan Parties and their respective property, and (ii) it now is and hereafter will be completely familiar with the business, operations and condition (financial and otherwise) of other Loan Parties, and their property. Each Borrower hereby waives and relinquishes any duty on the part of any Guaranteed Party to disclose to such Borrower any matter, fact or thing relating to the business, operations or condition (financial or otherwise) of other Loan Parties, or the property of other Loan Parties, whether now or hereafter known by such Guaranteed Party during the life of this Agreement.</w:t>
      </w:r>
    </w:p>
    <w:p>
      <w:pPr>
        <w:spacing w:after="0" w:line="176" w:lineRule="exact"/>
        <w:rPr>
          <w:rFonts w:ascii="Arial" w:cs="Arial" w:eastAsia="Arial" w:hAnsi="Arial"/>
          <w:sz w:val="19"/>
          <w:szCs w:val="19"/>
          <w:color w:val="auto"/>
        </w:rPr>
      </w:pPr>
    </w:p>
    <w:p>
      <w:pPr>
        <w:jc w:val="both"/>
        <w:ind w:left="120" w:firstLine="605"/>
        <w:spacing w:after="0" w:line="231" w:lineRule="auto"/>
        <w:tabs>
          <w:tab w:leader="none" w:pos="11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Notwithstanding anything to the contrary elsewhere contained herein or in any other Loan Document to which any Borrower is a party, each Borrower waives any right to assert against any Guaranteed Party as a defense, counterclaim, set-off, recoupment or cross claim in respect of its Obligations, any defense (legal or equitable) or other claim which such Borrower may now or at any time hereafter have against any other Loan Party or any or all of the Guaranteed Parties without waiving any additional defenses, set-offs, counterclaims or other claims otherwise available to such Borrower.</w:t>
      </w:r>
    </w:p>
    <w:p>
      <w:pPr>
        <w:spacing w:after="0" w:line="184" w:lineRule="exact"/>
        <w:rPr>
          <w:rFonts w:ascii="Arial" w:cs="Arial" w:eastAsia="Arial" w:hAnsi="Arial"/>
          <w:sz w:val="19"/>
          <w:szCs w:val="19"/>
          <w:color w:val="auto"/>
        </w:rPr>
      </w:pPr>
    </w:p>
    <w:p>
      <w:pPr>
        <w:ind w:left="120" w:firstLine="605"/>
        <w:spacing w:after="0" w:line="236" w:lineRule="auto"/>
        <w:tabs>
          <w:tab w:leader="none" w:pos="114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Borrower hereby unconditionally subordinates all present and future debts, liabilities or obligations now or hereafter owing to such Borrower (i) of any other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176" w:name="page177"/>
    <w:bookmarkEnd w:id="176"/>
    <w:p>
      <w:pPr>
        <w:jc w:val="both"/>
        <w:ind w:left="120"/>
        <w:spacing w:after="0" w:line="215" w:lineRule="auto"/>
        <w:rPr>
          <w:sz w:val="20"/>
          <w:szCs w:val="20"/>
          <w:color w:val="auto"/>
        </w:rPr>
      </w:pPr>
      <w:r>
        <w:rPr>
          <w:rFonts w:ascii="Arial" w:cs="Arial" w:eastAsia="Arial" w:hAnsi="Arial"/>
          <w:sz w:val="20"/>
          <w:szCs w:val="20"/>
          <w:color w:val="auto"/>
        </w:rPr>
        <w:t>Borrower, to the payment in full of the Obligations, and (ii) of each other Person now or hereafter constituting a Loan Party, to the payment in full of the obligations of such Loan Party owing to any Guaranteed Party and arising under the Loan Documents or any Guaranteed Cash Management Agreement or Guaranteed Hedge Agreement. All amounts due under such subordinated debts, liabilities, or obligations shall, upon the occurrence and during the continuance of an Event of Default, be collected and, upon request by the Administrative Agent, paid over forthwith to the Administrative Agent for the benefit of the Guaranteed Parties on account of the Obligations or such other obligations, as applicable, and, after such request and pending such payment, shall be held by such Borrower as agent and bailee of the Guaranteed Parties separate and apart from all other funds, property and accounts of such Borrower.</w:t>
      </w:r>
    </w:p>
    <w:p>
      <w:pPr>
        <w:spacing w:after="0" w:line="16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7"/>
          <w:szCs w:val="17"/>
          <w:b w:val="1"/>
          <w:bCs w:val="1"/>
          <w:color w:val="auto"/>
        </w:rPr>
        <w:t>Incremental Increases.</w:t>
      </w:r>
    </w:p>
    <w:p>
      <w:pPr>
        <w:spacing w:after="0" w:line="213" w:lineRule="exact"/>
        <w:rPr>
          <w:sz w:val="20"/>
          <w:szCs w:val="20"/>
          <w:color w:val="auto"/>
        </w:rPr>
      </w:pPr>
    </w:p>
    <w:p>
      <w:pPr>
        <w:jc w:val="both"/>
        <w:ind w:left="120" w:firstLine="605"/>
        <w:spacing w:after="0" w:line="221" w:lineRule="auto"/>
        <w:tabs>
          <w:tab w:leader="none" w:pos="1152"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Request for Incremental Increase</w:t>
      </w:r>
      <w:r>
        <w:rPr>
          <w:rFonts w:ascii="Arial" w:cs="Arial" w:eastAsia="Arial" w:hAnsi="Arial"/>
          <w:sz w:val="19"/>
          <w:szCs w:val="19"/>
          <w:color w:val="auto"/>
        </w:rPr>
        <w:t>. Upon notice to the Administrative Agent (which shall promptly notify the Lenders), at any time after the Closing Date, the Company may request (i) one or more increases in the USD Commitments (each, an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Committed (USD) Facility Increase</w:t>
      </w:r>
      <w:r>
        <w:rPr>
          <w:rFonts w:ascii="Arial" w:cs="Arial" w:eastAsia="Arial" w:hAnsi="Arial"/>
          <w:sz w:val="19"/>
          <w:szCs w:val="19"/>
          <w:color w:val="auto"/>
        </w:rPr>
        <w:t>”), (ii) one or more incremental term loan commitments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to make one or more additional term loans, including a borrowing of an additional term loan the principal amount of which will be added to the outstanding principal amount of the existing tranche of Term Loans with the latest scheduled maturity date (any such additional term loan,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and/or (iii) one or more incremental revolving loan commitments under a new tranche of revolving loans (each, an “</w:t>
      </w:r>
      <w:r>
        <w:rPr>
          <w:rFonts w:ascii="Arial" w:cs="Arial" w:eastAsia="Arial" w:hAnsi="Arial"/>
          <w:sz w:val="19"/>
          <w:szCs w:val="19"/>
          <w:u w:val="single" w:color="auto"/>
          <w:color w:val="auto"/>
        </w:rPr>
        <w:t>Incremental Revolving Tranche</w:t>
      </w:r>
      <w:r>
        <w:rPr>
          <w:rFonts w:ascii="Arial" w:cs="Arial" w:eastAsia="Arial" w:hAnsi="Arial"/>
          <w:sz w:val="19"/>
          <w:szCs w:val="19"/>
          <w:color w:val="auto"/>
        </w:rPr>
        <w:t>” and, together with the Incremental Committed (USD) Facility Increases and the Incremental Term Loan Commitments and Incremental Term Loans, the “</w:t>
      </w:r>
      <w:r>
        <w:rPr>
          <w:rFonts w:ascii="Arial" w:cs="Arial" w:eastAsia="Arial" w:hAnsi="Arial"/>
          <w:sz w:val="19"/>
          <w:szCs w:val="19"/>
          <w:u w:val="single" w:color="auto"/>
          <w:color w:val="auto"/>
        </w:rPr>
        <w:t>Incremental Increases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Incremental Increase shall be in an aggregate amount of not less than</w:t>
      </w:r>
    </w:p>
    <w:p>
      <w:pPr>
        <w:spacing w:after="0" w:line="3"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0"/>
          <w:szCs w:val="20"/>
          <w:color w:val="auto"/>
        </w:rPr>
        <w:t>$25,000,000 or any whole multiple of $5,000,000 in excess thereof.</w:t>
      </w:r>
    </w:p>
    <w:p>
      <w:pPr>
        <w:spacing w:after="0" w:line="178" w:lineRule="exact"/>
        <w:rPr>
          <w:rFonts w:ascii="Arial" w:cs="Arial" w:eastAsia="Arial" w:hAnsi="Arial"/>
          <w:sz w:val="19"/>
          <w:szCs w:val="19"/>
          <w:color w:val="auto"/>
        </w:rPr>
      </w:pPr>
    </w:p>
    <w:p>
      <w:pPr>
        <w:jc w:val="both"/>
        <w:ind w:left="120" w:firstLine="605"/>
        <w:spacing w:after="0" w:line="223" w:lineRule="auto"/>
        <w:tabs>
          <w:tab w:leader="none" w:pos="1151"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Ranking and Other Provisions</w:t>
      </w:r>
      <w:r>
        <w:rPr>
          <w:rFonts w:ascii="Arial" w:cs="Arial" w:eastAsia="Arial" w:hAnsi="Arial"/>
          <w:sz w:val="19"/>
          <w:szCs w:val="19"/>
          <w:color w:val="auto"/>
        </w:rPr>
        <w:t xml:space="preserve">. Each Incremental Term Loan or Incremental Revolving Tranche (i) shall rank pari passu in right of payment and security with respect to each of the Committed (USD) Facility, the Committed (MC) Facility and the Term Loan Facility, (ii) in the case of an Incremental Term Loan, shall not have a weighted average life to maturity shorter than the remaining weighted average life to maturity of the latest maturing Term Loans and shall require any mandatory prepayments thereof to be made on a pro rata basis (or less than pro rata basis) with all then existing Term Loans, (iii) shall not mature earlier than the latest Maturity Date, (iv) shall not contain additional or different covenants or financial covenants that are more restrictive than the covenants in the Loan Documents at the time of the creation of such Incremental Increase unless either such covenants benefit all of the Lenders or are otherwise consented to by the Required Lenders and, in the case of any Incremental Revolving Tranche, the Required (USD) Lenders (such consent not to be unreasonably withheld or delayed) and (v) except as set forth herein, shall have such terms and conditions (including pricing, rate floors, discounts, fees, premiums, call protection and prepayment provisions) as may be agreed by the Borrower and the applicable Incremental Lenders. Each Incremental Committed (USD) Facility Increase shall have the same terms (including maturity and pricing) as the Committed (USD)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upfront fees payable by the Borrowers to the Incremental Lenders with respect to any Incremental Committed (USD) Facility Increase may differ from those paid with respect to any existing USD Commitments.</w:t>
      </w:r>
    </w:p>
    <w:p>
      <w:pPr>
        <w:spacing w:after="0" w:line="191" w:lineRule="exact"/>
        <w:rPr>
          <w:rFonts w:ascii="Arial" w:cs="Arial" w:eastAsia="Arial" w:hAnsi="Arial"/>
          <w:sz w:val="19"/>
          <w:szCs w:val="19"/>
          <w:color w:val="auto"/>
        </w:rPr>
      </w:pPr>
    </w:p>
    <w:p>
      <w:pPr>
        <w:jc w:val="both"/>
        <w:ind w:left="120" w:firstLine="605"/>
        <w:spacing w:after="0" w:line="227" w:lineRule="auto"/>
        <w:tabs>
          <w:tab w:leader="none" w:pos="1152"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Notices; Lender Elections</w:t>
      </w:r>
      <w:r>
        <w:rPr>
          <w:rFonts w:ascii="Arial" w:cs="Arial" w:eastAsia="Arial" w:hAnsi="Arial"/>
          <w:sz w:val="20"/>
          <w:szCs w:val="20"/>
          <w:color w:val="auto"/>
        </w:rPr>
        <w:t>. Each notice from the Company pursuant to this Section shall set forth the requested amount and proposed terms of the Incremental Increase. Incremental Increases (or any portion thereof) may be provided by any existing Lender or by any other bank or financial institution that is an Eligible Assignee (each such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79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77" w:name="page178"/>
    <w:bookmarkEnd w:id="177"/>
    <w:p>
      <w:pPr>
        <w:jc w:val="both"/>
        <w:ind w:left="120"/>
        <w:spacing w:after="0" w:line="235" w:lineRule="auto"/>
        <w:rPr>
          <w:sz w:val="20"/>
          <w:szCs w:val="20"/>
          <w:color w:val="auto"/>
        </w:rPr>
      </w:pPr>
      <w:r>
        <w:rPr>
          <w:rFonts w:ascii="Arial" w:cs="Arial" w:eastAsia="Arial" w:hAnsi="Arial"/>
          <w:sz w:val="18"/>
          <w:szCs w:val="18"/>
          <w:color w:val="auto"/>
        </w:rPr>
        <w:t>existing Lender or other bank or other financial institution,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in each case on terms permitted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and otherwise on terms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existing Lender approached to provide all or a portion of any Incremental Increase may elect or decline, in its sole discretion, to provide all or a portion of such Incremental Increase. At the time of the sending of such notice, the Company (in consultation with the Administrative Agent) shall specify the time period within which each proposed Incremental Lender is requested to respond (which shall in no event be less than ten Business Days from the date of delivery of such notice to such proposed Incremental Lenders (or such shorter period agreed to by the Administrative Agent)). Each proposed Incremental Lender shall notify the Administrative Agent within such time period whether or not it agrees to provide any portion of the Incremental Increase and, if so, whether by an amount equal to, greater than, or less than requested. Any Person not responding within such time period shall be deemed to have declined to provide any portion of such Incremental Increase;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within three (3) Business Days following the date of delivery of notice to a proposed Incremental Lender of a request to provide a portion of the Incremental Increase, such proposed Incremental Lender fails to notify the Administrative Agent that it requires additional time in order to obtain approvals necessary to provide a portion of the Incremental Increase, then such proposed Incremental Lender may be deemed by the Company and the Administrative Agent to have declined to provide a portion of the Incremental Increase. The Administrative Agent shall notify the Company and each Lender of the Lenders’ responses to each request made hereunder. Any Eligible Assignee invited to become a Lender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do so pursuant to a joinder agreement in form and substance reasonably satisfactory to the Administrative Agent and its counsel.</w:t>
      </w:r>
    </w:p>
    <w:p>
      <w:pPr>
        <w:spacing w:after="0" w:line="178" w:lineRule="exact"/>
        <w:rPr>
          <w:sz w:val="20"/>
          <w:szCs w:val="20"/>
          <w:color w:val="auto"/>
        </w:rPr>
      </w:pPr>
    </w:p>
    <w:p>
      <w:pPr>
        <w:jc w:val="both"/>
        <w:ind w:left="120" w:firstLine="605"/>
        <w:spacing w:after="0" w:line="237" w:lineRule="auto"/>
        <w:tabs>
          <w:tab w:leader="none" w:pos="115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Incremental Amendment</w:t>
      </w:r>
      <w:r>
        <w:rPr>
          <w:rFonts w:ascii="Arial" w:cs="Arial" w:eastAsia="Arial" w:hAnsi="Arial"/>
          <w:sz w:val="18"/>
          <w:szCs w:val="18"/>
          <w:color w:val="auto"/>
        </w:rPr>
        <w:t>. Each Incremental Increase shall be effected pursuant to an amendment (an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this Agreement and, as appropriate, the other Loan Documents, executed by the Company, the other Loan Parties (unless waived by the Incremental Lenders party to such Incremental Amendment), the applicable Incremental Lenders and the Administrative Agent. An Incremental Amendment may, without the consent of any other Lenders, effect such technical amendments (including tranche voting rights) to any Loan Documents as may be necessary or appropriate, in the opinion of the Administrative Agent, to effect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Upon execution, the Administrative Agent shall provide a copy of any Incremental Amendment to all Lenders. No Incremental Increase shall increase the Alternative Currency Letter of Credit Sublimit, the Letter of Credit Sublimit or the Swing Line Sublimit without the written consent of the Required (USD) Lenders and the L/C Issuer or the Swing Line Lender, as applicable, except that, in connection with any Incremental Committed (USD) Facility Increase, the Letter of Credit Sublimit and/or the Swing Line Sublimit may be increased proportionally (or by a lesser amount) with the written consent of the L/C Issuer or the Swing Line Lender, as applicable, without the requirement of any consent from any other Lender.</w:t>
      </w:r>
    </w:p>
    <w:p>
      <w:pPr>
        <w:spacing w:after="0" w:line="235" w:lineRule="exact"/>
        <w:rPr>
          <w:rFonts w:ascii="Arial" w:cs="Arial" w:eastAsia="Arial" w:hAnsi="Arial"/>
          <w:sz w:val="18"/>
          <w:szCs w:val="18"/>
          <w:color w:val="auto"/>
        </w:rPr>
      </w:pPr>
    </w:p>
    <w:p>
      <w:pPr>
        <w:jc w:val="both"/>
        <w:ind w:left="120" w:firstLine="605"/>
        <w:spacing w:after="0" w:line="258" w:lineRule="auto"/>
        <w:tabs>
          <w:tab w:leader="none" w:pos="11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Increase Effective Date and Allocations</w:t>
      </w:r>
      <w:r>
        <w:rPr>
          <w:rFonts w:ascii="Arial" w:cs="Arial" w:eastAsia="Arial" w:hAnsi="Arial"/>
          <w:sz w:val="18"/>
          <w:szCs w:val="18"/>
          <w:color w:val="auto"/>
        </w:rPr>
        <w:t>. The Administrative Agent and the Company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any Incremental Increase. The Administrative Agent shall promptly notify the Company and the Incremental Lenders of the final allocation of such Incremental Increase and the Increase Effective Date.</w:t>
      </w:r>
    </w:p>
    <w:p>
      <w:pPr>
        <w:spacing w:after="0" w:line="168" w:lineRule="exact"/>
        <w:rPr>
          <w:rFonts w:ascii="Arial" w:cs="Arial" w:eastAsia="Arial" w:hAnsi="Arial"/>
          <w:sz w:val="18"/>
          <w:szCs w:val="18"/>
          <w:color w:val="auto"/>
        </w:rPr>
      </w:pPr>
    </w:p>
    <w:p>
      <w:pPr>
        <w:jc w:val="both"/>
        <w:ind w:left="120" w:firstLine="605"/>
        <w:spacing w:after="0" w:line="239" w:lineRule="auto"/>
        <w:tabs>
          <w:tab w:leader="none" w:pos="114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 of Incremental Increase</w:t>
      </w:r>
      <w:r>
        <w:rPr>
          <w:rFonts w:ascii="Arial" w:cs="Arial" w:eastAsia="Arial" w:hAnsi="Arial"/>
          <w:sz w:val="19"/>
          <w:szCs w:val="19"/>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Transaction, shall be 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78" w:name="page179"/>
    <w:bookmarkEnd w:id="178"/>
    <w:p>
      <w:pPr>
        <w:ind w:left="720" w:firstLine="605"/>
        <w:spacing w:after="0" w:line="258" w:lineRule="auto"/>
        <w:tabs>
          <w:tab w:leader="none" w:pos="174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applicable Incremental Amendment in form and substance reasonably acceptable to the Company, the Administrative Agent and the applicable Incremental Lenders shall have been delivered to the Administrative Agent;</w:t>
      </w:r>
    </w:p>
    <w:p>
      <w:pPr>
        <w:spacing w:after="0" w:line="166" w:lineRule="exact"/>
        <w:rPr>
          <w:rFonts w:ascii="Arial" w:cs="Arial" w:eastAsia="Arial" w:hAnsi="Arial"/>
          <w:sz w:val="19"/>
          <w:szCs w:val="19"/>
          <w:color w:val="auto"/>
        </w:rPr>
      </w:pPr>
    </w:p>
    <w:p>
      <w:pPr>
        <w:jc w:val="both"/>
        <w:ind w:left="720" w:firstLine="605"/>
        <w:spacing w:after="0" w:line="226" w:lineRule="auto"/>
        <w:tabs>
          <w:tab w:leader="none" w:pos="175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all of the representations and warranties of each Borrower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of each Loan Party contained in each other Loan Document shall be true and correct in all material respects on and as of such Increase Effective Date, except that (A) if a qualifier relating to materiality, Material Adverse Effect or a similar concept applies, such representation or warranty shall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true and correct in all respects as of such earlier date) and (C) for purposes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left="720" w:firstLine="605"/>
        <w:spacing w:after="0" w:line="217" w:lineRule="auto"/>
        <w:tabs>
          <w:tab w:leader="none" w:pos="174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no Default shall exist on such Increase Effective Date immediately prior to or after giving effect to such Incremental Increase or from the application of the proceeds thereof and, after giving effect to the incurrence of such additional Indebtedness and any transaction to be consummated using the proceeds of such additional Indebtedness and assuming that all commitments in respect of any proposed Incremental Increase are fully drawn at such time, the Company and its Restricted Subsidiaries shall be in compliance, calculated on a Pro Forma Basis pursuant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with the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720" w:firstLine="605"/>
        <w:spacing w:after="0" w:line="217" w:lineRule="auto"/>
        <w:tabs>
          <w:tab w:leader="none" w:pos="1745"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to the extent requested by the applicable Incremental Lenders, a certificate of each Loan Party signed by a Responsible Officer of such Loan Party certifying and attaching the resolutions adopted by the board of directors or other equivalent governing body of such Loan Party approving or consenting to the Incremental Amendment and the Incremental Increase provided thereby, and in the case of each Borrower, certifying as to the satisfaction of the conditions set forth in clauses (ii) and (iii) this </w:t>
      </w:r>
      <w:r>
        <w:rPr>
          <w:rFonts w:ascii="Arial" w:cs="Arial" w:eastAsia="Arial" w:hAnsi="Arial"/>
          <w:sz w:val="20"/>
          <w:szCs w:val="20"/>
          <w:u w:val="single" w:color="auto"/>
          <w:color w:val="auto"/>
        </w:rPr>
        <w:t>Section 2.15(f)</w:t>
      </w:r>
      <w:r>
        <w:rPr>
          <w:rFonts w:ascii="Arial" w:cs="Arial" w:eastAsia="Arial" w:hAnsi="Arial"/>
          <w:sz w:val="20"/>
          <w:szCs w:val="20"/>
          <w:color w:val="auto"/>
        </w:rPr>
        <w:t>, which shall be in form and substance reasonably satisfactory to the Administrative Agent;</w:t>
      </w:r>
    </w:p>
    <w:p>
      <w:pPr>
        <w:spacing w:after="0" w:line="188" w:lineRule="exact"/>
        <w:rPr>
          <w:rFonts w:ascii="Arial" w:cs="Arial" w:eastAsia="Arial" w:hAnsi="Arial"/>
          <w:sz w:val="20"/>
          <w:szCs w:val="20"/>
          <w:color w:val="auto"/>
        </w:rPr>
      </w:pPr>
    </w:p>
    <w:p>
      <w:pPr>
        <w:jc w:val="both"/>
        <w:ind w:left="720" w:firstLine="605"/>
        <w:spacing w:after="0" w:line="227" w:lineRule="auto"/>
        <w:tabs>
          <w:tab w:leader="none" w:pos="175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to the extent requested by the applicable Incremental Lenders, a favorable opinion of counsel for the Loan Parties, addressed to the Administrative Agent and the Lenders (including the Incremental Lenders) and in form and substance reasonably satisfactory to the Administrative Agent; and</w:t>
      </w:r>
    </w:p>
    <w:p>
      <w:pPr>
        <w:spacing w:after="0" w:line="171" w:lineRule="exact"/>
        <w:rPr>
          <w:rFonts w:ascii="Arial" w:cs="Arial" w:eastAsia="Arial" w:hAnsi="Arial"/>
          <w:sz w:val="20"/>
          <w:szCs w:val="20"/>
          <w:color w:val="auto"/>
        </w:rPr>
      </w:pPr>
    </w:p>
    <w:p>
      <w:pPr>
        <w:jc w:val="both"/>
        <w:ind w:left="720" w:firstLine="605"/>
        <w:spacing w:after="0" w:line="245" w:lineRule="auto"/>
        <w:tabs>
          <w:tab w:leader="none" w:pos="17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in the case of any Incremental Committed (USD) Facility Increase, the Borrowers shall have prepaid any Committed (USD) Loans outstanding on the Increase Effective Date (and any additional amounts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extent necessary to keep the outstanding Committed (USD) Loans ratable with any revised Applicable (USD) Percentages arising from any nonratable increase in the USD Commitments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(it being understood that the Borrowers may use advances from the Lenders having new or increased commitments for such prepayment).</w:t>
      </w:r>
    </w:p>
    <w:p>
      <w:pPr>
        <w:spacing w:after="0" w:line="179" w:lineRule="exact"/>
        <w:rPr>
          <w:rFonts w:ascii="Arial" w:cs="Arial" w:eastAsia="Arial" w:hAnsi="Arial"/>
          <w:sz w:val="18"/>
          <w:szCs w:val="18"/>
          <w:color w:val="auto"/>
        </w:rPr>
      </w:pPr>
    </w:p>
    <w:p>
      <w:pPr>
        <w:ind w:left="1160" w:hanging="435"/>
        <w:spacing w:after="0"/>
        <w:tabs>
          <w:tab w:leader="none" w:pos="116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79" w:name="page180"/>
    <w:bookmarkEnd w:id="179"/>
    <w:p>
      <w:pPr>
        <w:ind w:left="720"/>
        <w:spacing w:after="0"/>
        <w:tabs>
          <w:tab w:leader="none" w:pos="130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8"/>
          <w:szCs w:val="18"/>
          <w:b w:val="1"/>
          <w:bCs w:val="1"/>
          <w:color w:val="auto"/>
        </w:rPr>
        <w:t>Cash Collateral.</w:t>
      </w:r>
    </w:p>
    <w:p>
      <w:pPr>
        <w:spacing w:after="0" w:line="213" w:lineRule="exact"/>
        <w:rPr>
          <w:sz w:val="20"/>
          <w:szCs w:val="20"/>
          <w:color w:val="auto"/>
        </w:rPr>
      </w:pPr>
    </w:p>
    <w:p>
      <w:pPr>
        <w:jc w:val="both"/>
        <w:ind w:left="120" w:firstLine="605"/>
        <w:spacing w:after="0" w:line="219" w:lineRule="auto"/>
        <w:tabs>
          <w:tab w:leader="none" w:pos="115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(i) Upon the request of the Administrative Agent or the L/C Issuer (A) if the L/C Issuer has honored any full or partial drawing request under any Letter of Credit or made any payment under any Bankers’ Acceptances and such drawing or payment has resulted in an L/C Borrowing, or (B) if, as of the Letter of Credit Expiration Date, any L/C Obligation for any reason remains outstanding, the Company shall, in each case, within one Business Day of receipt of such request, Cash Collateralize the then Outstanding Amount of all L/C Obligations.</w:t>
      </w:r>
    </w:p>
    <w:p>
      <w:pPr>
        <w:spacing w:after="0" w:line="174" w:lineRule="exact"/>
        <w:rPr>
          <w:rFonts w:ascii="Arial" w:cs="Arial" w:eastAsia="Arial" w:hAnsi="Arial"/>
          <w:sz w:val="20"/>
          <w:szCs w:val="20"/>
          <w:color w:val="auto"/>
        </w:rPr>
      </w:pPr>
    </w:p>
    <w:p>
      <w:pPr>
        <w:jc w:val="both"/>
        <w:ind w:left="720" w:firstLine="605"/>
        <w:spacing w:after="0" w:line="234" w:lineRule="auto"/>
        <w:tabs>
          <w:tab w:leader="none" w:pos="175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At any time that there shall exist a Defaulting Lender, upon the request of the Administrative Agent or the L/C Issuer, the Company shall, within one Business Day of receipt of such request, deliver to the Administrative Agent Cash Collateral in an amount sufficient to cover all Fronting Exposure (only to the extent any Fronting Exposure exists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and any Cash Collateral provided by the Defaulting Lender).</w:t>
      </w:r>
    </w:p>
    <w:p>
      <w:pPr>
        <w:spacing w:after="0" w:line="184" w:lineRule="exact"/>
        <w:rPr>
          <w:sz w:val="20"/>
          <w:szCs w:val="20"/>
          <w:color w:val="auto"/>
        </w:rPr>
      </w:pPr>
    </w:p>
    <w:p>
      <w:pPr>
        <w:jc w:val="both"/>
        <w:ind w:left="740" w:firstLine="572"/>
        <w:spacing w:after="0" w:line="217" w:lineRule="auto"/>
        <w:tabs>
          <w:tab w:leader="none" w:pos="1746" w:val="left"/>
        </w:tabs>
        <w:numPr>
          <w:ilvl w:val="1"/>
          <w:numId w:val="122"/>
        </w:numPr>
        <w:rPr>
          <w:rFonts w:ascii="Arial" w:cs="Arial" w:eastAsia="Arial" w:hAnsi="Arial"/>
          <w:sz w:val="20"/>
          <w:szCs w:val="20"/>
          <w:color w:val="auto"/>
        </w:rPr>
      </w:pPr>
      <w:r>
        <w:rPr>
          <w:rFonts w:ascii="Arial" w:cs="Arial" w:eastAsia="Arial" w:hAnsi="Arial"/>
          <w:sz w:val="20"/>
          <w:szCs w:val="20"/>
          <w:color w:val="auto"/>
        </w:rPr>
        <w:t>In addition, if the Administrative Agent notifies the Company at any time that the Outstanding Amount of all L/C Obligations with respect to Letters of Credit and Bankers’ Acceptances denominated in an Alternative Currency at such time exceeds 105% of the Alternative Currency Letter of Credit Sublimit then in effect, then, within two Business Days after receipt of such notice, the Company shall Cash Collateralize such L/C Obligations in an aggregate amount sufficient to reduce such Outstanding Amount as of such date of payment to an amount not to exceed 100% of the Alternative Currency Letter of Credit Sublimit then in effect.</w:t>
      </w:r>
    </w:p>
    <w:p>
      <w:pPr>
        <w:spacing w:after="0" w:line="188" w:lineRule="exact"/>
        <w:rPr>
          <w:rFonts w:ascii="Arial" w:cs="Arial" w:eastAsia="Arial" w:hAnsi="Arial"/>
          <w:sz w:val="20"/>
          <w:szCs w:val="20"/>
          <w:color w:val="auto"/>
        </w:rPr>
      </w:pPr>
    </w:p>
    <w:p>
      <w:pPr>
        <w:jc w:val="both"/>
        <w:ind w:left="120" w:firstLine="605"/>
        <w:spacing w:after="0" w:line="236" w:lineRule="auto"/>
        <w:tabs>
          <w:tab w:leader="none" w:pos="115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deposit accounts at Bank of America. The cash (together with any interest accrued thereon) held in such cash collateral account may be invested, in the Administrative Agent’s reasonable discretion, in Cash Equivalents. The Company,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Company or the relevant Defaulting Lender will, promptly upon demand by the Administrative Agent, pay or provide to the Administrative Agent additional Cash Collateral in an amount sufficient to eliminate such deficiency.</w:t>
      </w:r>
    </w:p>
    <w:p>
      <w:pPr>
        <w:spacing w:after="0" w:line="179" w:lineRule="exact"/>
        <w:rPr>
          <w:rFonts w:ascii="Arial" w:cs="Arial" w:eastAsia="Arial" w:hAnsi="Arial"/>
          <w:sz w:val="18"/>
          <w:szCs w:val="18"/>
          <w:color w:val="auto"/>
        </w:rPr>
      </w:pPr>
    </w:p>
    <w:p>
      <w:pPr>
        <w:jc w:val="both"/>
        <w:ind w:left="120" w:firstLine="605"/>
        <w:spacing w:after="0" w:line="231" w:lineRule="auto"/>
        <w:tabs>
          <w:tab w:leader="none" w:pos="115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or Bankers’ Acceptances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180" w:name="page181"/>
    <w:bookmarkEnd w:id="180"/>
    <w:p>
      <w:pPr>
        <w:jc w:val="both"/>
        <w:ind w:left="120" w:firstLine="605"/>
        <w:spacing w:after="0" w:line="239" w:lineRule="auto"/>
        <w:tabs>
          <w:tab w:leader="none" w:pos="115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Administrative Agent’s good faith determination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 Person providing Cash Collateral and the L/C Issuer may agree that Cash Collateral shall not be released but instead held to support future anticipated Fronting Exposure or other obligations.</w:t>
      </w:r>
    </w:p>
    <w:p>
      <w:pPr>
        <w:spacing w:after="0" w:line="180"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Defaulting Lenders.</w:t>
      </w:r>
    </w:p>
    <w:p>
      <w:pPr>
        <w:spacing w:after="0" w:line="200" w:lineRule="exact"/>
        <w:rPr>
          <w:sz w:val="20"/>
          <w:szCs w:val="20"/>
          <w:color w:val="auto"/>
        </w:rPr>
      </w:pPr>
    </w:p>
    <w:p>
      <w:pPr>
        <w:jc w:val="both"/>
        <w:ind w:left="120" w:firstLine="605"/>
        <w:spacing w:after="0" w:line="227" w:lineRule="auto"/>
        <w:tabs>
          <w:tab w:leader="none" w:pos="1152"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Lender becomes a Defaulting Lender, then, without in any way limiting the Loan Parties’ rights against such Lender, until such time as that Lender is no longer a Defaulting Lender, to the extent permitted by applicable Law:</w:t>
      </w:r>
    </w:p>
    <w:p>
      <w:pPr>
        <w:spacing w:after="0" w:line="183"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That Defaulting Lender’s right to approve or disapprove any amendment, waiver or consent with respect to this Agreement shall be restricted as set forth in the definition of “Required Lenders”, “Required (USD) Lenders”, “Required (MC) Lenders”, “Required Term Loan Lenders” and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left="720" w:firstLine="605"/>
        <w:spacing w:after="0" w:line="234" w:lineRule="auto"/>
        <w:tabs>
          <w:tab w:leader="none" w:pos="175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that Defaulting Lender to the L/C Issuer or Swing 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L/C Issuer’s Fronting Exposure with respect to that Defaulting Lender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Company, to be held in a non-interest bearing deposit account and released pro rata in order to (x) satisfy that Defaulting Lender’s potential future funding obligations with respect to Loans under this Agreement and (y) Cash Collateralize the L/C Issuer’s future Fronting Exposure with respect to that Defaulting Lender with respect to future Letters of Credit and Bankers’ Acceptances issued under this Agreement,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81" w:name="page182"/>
    <w:bookmarkEnd w:id="181"/>
    <w:p>
      <w:pPr>
        <w:jc w:val="both"/>
        <w:ind w:left="720"/>
        <w:spacing w:after="0" w:line="236" w:lineRule="auto"/>
        <w:rPr>
          <w:sz w:val="20"/>
          <w:szCs w:val="20"/>
          <w:color w:val="auto"/>
        </w:rPr>
      </w:pPr>
      <w:r>
        <w:rPr>
          <w:rFonts w:ascii="Arial" w:cs="Arial" w:eastAsia="Arial" w:hAnsi="Arial"/>
          <w:sz w:val="18"/>
          <w:szCs w:val="18"/>
          <w:color w:val="auto"/>
        </w:rPr>
        <w:t xml:space="preserve">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that Defaulting Lender has not fully funded its appropriate share and (y) such Loans were made or the related Letters of Credit or Bankers’ Acceptances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79" w:lineRule="exact"/>
        <w:rPr>
          <w:sz w:val="20"/>
          <w:szCs w:val="20"/>
          <w:color w:val="auto"/>
        </w:rPr>
      </w:pPr>
    </w:p>
    <w:p>
      <w:pPr>
        <w:ind w:left="1920" w:hanging="596"/>
        <w:spacing w:after="0"/>
        <w:tabs>
          <w:tab w:leader="none" w:pos="192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1320" w:firstLine="604"/>
        <w:spacing w:after="0" w:line="227" w:lineRule="auto"/>
        <w:tabs>
          <w:tab w:leader="none" w:pos="234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commitment fee pursuant to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233" w:lineRule="exact"/>
        <w:rPr>
          <w:rFonts w:ascii="Arial" w:cs="Arial" w:eastAsia="Arial" w:hAnsi="Arial"/>
          <w:sz w:val="20"/>
          <w:szCs w:val="20"/>
          <w:color w:val="auto"/>
        </w:rPr>
      </w:pPr>
    </w:p>
    <w:p>
      <w:pPr>
        <w:jc w:val="both"/>
        <w:ind w:left="1320" w:firstLine="604"/>
        <w:spacing w:after="0" w:line="222" w:lineRule="auto"/>
        <w:tabs>
          <w:tab w:leader="none" w:pos="234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Each Defaulting Lender which is a Committed (USD) Lender shall be entitled to receive Letter of Credit Fees and BA Fees for any period during which that Lender is a Defaulting Lender only to the extent allocable to its Applicable (USD) Percentage of the stated amount of Letters of Credit or Bankers’ Acceptances, as the case may be, for which it has provided Cash Collateral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1320" w:firstLine="604"/>
        <w:spacing w:after="0"/>
        <w:tabs>
          <w:tab w:leader="none" w:pos="234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 respect to any Letter of Credit Fee or BA Fee, as the case may be, not required to be paid to any Defaulting Lender pursuant to clause (B) above, the Company shall (x) pay to each Non-Defaulting Lender which is a Committed (USD) Lender that portion of any such Letter of Credit Fee or BA Fee, as the case may be, otherwise payable to such Defaulting Lender with respect to such Defaulting Lender’s participation in L/C Obligations that has been reallocated to such Non-Defaulting Lender pursuant to clause (iv) below, (y) pay to the applicable L/C Issuer the amount of any such fee otherwise payable to such Defaulting Lender to the extent allocable to such L/C Issuer’s Fronting Exposure to such Defaulting Lender, and (z) not be required to pay the remaining amount of any such fee.</w:t>
      </w:r>
    </w:p>
    <w:p>
      <w:pPr>
        <w:spacing w:after="0" w:line="174" w:lineRule="exact"/>
        <w:rPr>
          <w:rFonts w:ascii="Arial" w:cs="Arial" w:eastAsia="Arial" w:hAnsi="Arial"/>
          <w:sz w:val="18"/>
          <w:szCs w:val="18"/>
          <w:color w:val="auto"/>
        </w:rPr>
      </w:pPr>
    </w:p>
    <w:p>
      <w:pPr>
        <w:jc w:val="both"/>
        <w:ind w:left="720" w:firstLine="605"/>
        <w:spacing w:after="0" w:line="217" w:lineRule="auto"/>
        <w:tabs>
          <w:tab w:leader="none" w:pos="1745"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Reallocation of Applicable (USD) Percentages to Reduce Fronting Exposure</w:t>
      </w:r>
      <w:r>
        <w:rPr>
          <w:rFonts w:ascii="Arial" w:cs="Arial" w:eastAsia="Arial" w:hAnsi="Arial"/>
          <w:sz w:val="20"/>
          <w:szCs w:val="20"/>
          <w:color w:val="auto"/>
        </w:rPr>
        <w:t>. All or any part of that Defaulting Lender’s participation in L/C Obligations and Swing Line Loans shall be reallocated among the Non-Defaulting Lenders which are Committed (USD) Lenders in accordance with their respective Applicable (USD) Percentages (calculated without regard to such Defaulting Lender’s USD Commitment) but only to the extent that such reallocation does not cause the aggregate principal amount of any Non-Defaulting Lender’s Committed (USD) Loans plus such Non-Defaulting Lender’s participations in L/C Obligations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82" w:name="page183"/>
    <w:bookmarkEnd w:id="182"/>
    <w:p>
      <w:pPr>
        <w:jc w:val="both"/>
        <w:ind w:left="720"/>
        <w:spacing w:after="0" w:line="222" w:lineRule="auto"/>
        <w:rPr>
          <w:sz w:val="20"/>
          <w:szCs w:val="20"/>
          <w:color w:val="auto"/>
        </w:rPr>
      </w:pPr>
      <w:r>
        <w:rPr>
          <w:rFonts w:ascii="Arial" w:cs="Arial" w:eastAsia="Arial" w:hAnsi="Arial"/>
          <w:sz w:val="20"/>
          <w:szCs w:val="20"/>
          <w:color w:val="auto"/>
        </w:rPr>
        <w:t xml:space="preserve">and Swing Line Loans to exceed such Non- Defaulting Lender’s USD Commitment. Subject to </w:t>
      </w:r>
      <w:r>
        <w:rPr>
          <w:rFonts w:ascii="Arial" w:cs="Arial" w:eastAsia="Arial" w:hAnsi="Arial"/>
          <w:sz w:val="20"/>
          <w:szCs w:val="20"/>
          <w:u w:val="single" w:color="auto"/>
          <w:color w:val="auto"/>
        </w:rPr>
        <w:t>Section 10.22</w:t>
      </w:r>
      <w:r>
        <w:rPr>
          <w:rFonts w:ascii="Arial" w:cs="Arial" w:eastAsia="Arial" w:hAnsi="Arial"/>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5" w:lineRule="exact"/>
        <w:rPr>
          <w:sz w:val="20"/>
          <w:szCs w:val="20"/>
          <w:color w:val="auto"/>
        </w:rPr>
      </w:pPr>
    </w:p>
    <w:p>
      <w:pPr>
        <w:jc w:val="both"/>
        <w:ind w:left="720" w:firstLine="605"/>
        <w:spacing w:after="0" w:line="249" w:lineRule="auto"/>
        <w:tabs>
          <w:tab w:leader="none" w:pos="1752"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left="120" w:firstLine="605"/>
        <w:spacing w:after="0" w:line="223" w:lineRule="auto"/>
        <w:tabs>
          <w:tab w:leader="none" w:pos="115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Company, the Administrative Agent and, in the case that a Defaulting Lender is a Committed (USD) Lender, the Swing Line Lender and the L/C Issuer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Committed (USD) Facility, the funded and unfunded participations in Letters of Credit, Bankers’ Acceptances and Swing Line Loans to be held on a pro rata basis by the Lenders under such Facility in accordance with their Applicable Percentages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rFonts w:ascii="Arial" w:cs="Arial" w:eastAsia="Arial" w:hAnsi="Arial"/>
          <w:sz w:val="19"/>
          <w:szCs w:val="19"/>
          <w:color w:val="auto"/>
        </w:rPr>
      </w:pPr>
    </w:p>
    <w:p>
      <w:pPr>
        <w:jc w:val="both"/>
        <w:ind w:left="120" w:firstLine="605"/>
        <w:spacing w:after="0" w:line="234" w:lineRule="auto"/>
        <w:tabs>
          <w:tab w:leader="none" w:pos="1152"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New Swing Line Loans/Letters of Credit</w:t>
      </w:r>
      <w:r>
        <w:rPr>
          <w:rFonts w:ascii="Arial" w:cs="Arial" w:eastAsia="Arial" w:hAnsi="Arial"/>
          <w:sz w:val="19"/>
          <w:szCs w:val="19"/>
          <w:color w:val="auto"/>
        </w:rPr>
        <w:t>. So long as any Committed (USD)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24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8"/>
          <w:szCs w:val="18"/>
          <w:b w:val="1"/>
          <w:bCs w:val="1"/>
          <w:color w:val="auto"/>
        </w:rPr>
        <w:t>Extensions of Maturity Date.</w:t>
      </w:r>
    </w:p>
    <w:p>
      <w:pPr>
        <w:spacing w:after="0" w:line="213" w:lineRule="exact"/>
        <w:rPr>
          <w:sz w:val="20"/>
          <w:szCs w:val="20"/>
          <w:color w:val="auto"/>
        </w:rPr>
      </w:pPr>
    </w:p>
    <w:p>
      <w:pPr>
        <w:jc w:val="both"/>
        <w:ind w:left="120" w:firstLine="605"/>
        <w:spacing w:after="0"/>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u w:val="single" w:color="auto"/>
          <w:color w:val="auto"/>
        </w:rPr>
        <w:t>Extension Offer</w:t>
      </w:r>
      <w:r>
        <w:rPr>
          <w:rFonts w:ascii="Arial" w:cs="Arial" w:eastAsia="Arial" w:hAnsi="Arial"/>
          <w:sz w:val="18"/>
          <w:szCs w:val="18"/>
          <w:color w:val="auto"/>
        </w:rPr>
        <w:t>”) made from time to time by the Company to all Lenders of any tranche of MC Commitments or USD Commitments with a like maturity date, in each case on a pro rata basis (based on the aggregate outstanding principal amount of the respective tranche of MC Commitments or USD Commitments with a like maturity date, as the case may be) and on the same terms to each such Lender, each Borrower is hereby permitted to consummate from time to time transactions with individual Lenders that accept the terms contained in such Extension Offers to extend the maturity date of each such Lender’s MC Commitments or USD Commitments, as the case may be, of such tranche and otherwise modify the terms of such Commitments pursuant to the terms of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83" w:name="page184"/>
    <w:bookmarkEnd w:id="183"/>
    <w:p>
      <w:pPr>
        <w:jc w:val="both"/>
        <w:ind w:left="120"/>
        <w:spacing w:after="0" w:line="216" w:lineRule="auto"/>
        <w:rPr>
          <w:sz w:val="20"/>
          <w:szCs w:val="20"/>
          <w:color w:val="auto"/>
        </w:rPr>
      </w:pPr>
      <w:r>
        <w:rPr>
          <w:rFonts w:ascii="Arial" w:cs="Arial" w:eastAsia="Arial" w:hAnsi="Arial"/>
          <w:sz w:val="20"/>
          <w:szCs w:val="20"/>
          <w:color w:val="auto"/>
        </w:rPr>
        <w:t>relevant Extension Offer (including, without limitation, by increasing the interest rate or fees payable in respect of such Commitments (and related outstandings)) (each, an “</w:t>
      </w:r>
      <w:r>
        <w:rPr>
          <w:rFonts w:ascii="Arial" w:cs="Arial" w:eastAsia="Arial" w:hAnsi="Arial"/>
          <w:sz w:val="20"/>
          <w:szCs w:val="20"/>
          <w:u w:val="single" w:color="auto"/>
          <w:color w:val="auto"/>
        </w:rPr>
        <w:t>Extension</w:t>
      </w:r>
      <w:r>
        <w:rPr>
          <w:rFonts w:ascii="Arial" w:cs="Arial" w:eastAsia="Arial" w:hAnsi="Arial"/>
          <w:sz w:val="20"/>
          <w:szCs w:val="20"/>
          <w:color w:val="auto"/>
        </w:rPr>
        <w:t>”, and each group of MC Commitments or USD Commitments, as applicable, in each case as so extended, as well as the original MC Commitments and the original USD Commitments (in each case not so extended), being a separate “tranche”; any Extended MC Commitments shall constitute a separate tranche of MC Commitments from the tranche of MC Commitments from which they were converted and any Extended USD Commitments shall constitute a separate tranche of USD Commitments from the tranche of USD Commitments from which they were converted), so long as the following terms are satisfied:</w:t>
      </w:r>
    </w:p>
    <w:p>
      <w:pPr>
        <w:spacing w:after="0" w:line="174" w:lineRule="exact"/>
        <w:rPr>
          <w:sz w:val="20"/>
          <w:szCs w:val="20"/>
          <w:color w:val="auto"/>
        </w:rPr>
      </w:pPr>
    </w:p>
    <w:p>
      <w:pPr>
        <w:ind w:left="720" w:firstLine="605"/>
        <w:spacing w:after="0" w:line="236" w:lineRule="auto"/>
        <w:tabs>
          <w:tab w:leader="none" w:pos="174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 Default exists at the time the offering document in respect of an Extension Offer is delivered to the Lenders or immediately prior to the effectiveness of such Extension;</w:t>
      </w:r>
    </w:p>
    <w:p>
      <w:pPr>
        <w:spacing w:after="0" w:line="184" w:lineRule="exact"/>
        <w:rPr>
          <w:rFonts w:ascii="Arial" w:cs="Arial" w:eastAsia="Arial" w:hAnsi="Arial"/>
          <w:sz w:val="20"/>
          <w:szCs w:val="20"/>
          <w:color w:val="auto"/>
        </w:rPr>
      </w:pPr>
    </w:p>
    <w:p>
      <w:pPr>
        <w:jc w:val="both"/>
        <w:ind w:left="720" w:firstLine="605"/>
        <w:spacing w:after="0" w:line="227" w:lineRule="auto"/>
        <w:tabs>
          <w:tab w:leader="none" w:pos="175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except as to interest rates, fees and final maturity (which shall be determined by the Borrower and set forth in the relevant Extension Offer), the MC Commitment or USD Commitment, as the case may be, of any Lender that agrees to an Extension with respect to such Commitment (each,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extended pursuant to an Extension (each, an “</w:t>
      </w:r>
      <w:r>
        <w:rPr>
          <w:rFonts w:ascii="Arial" w:cs="Arial" w:eastAsia="Arial" w:hAnsi="Arial"/>
          <w:sz w:val="19"/>
          <w:szCs w:val="19"/>
          <w:u w:val="single" w:color="auto"/>
          <w:color w:val="auto"/>
        </w:rPr>
        <w:t>Extended MC Commitment</w:t>
      </w:r>
      <w:r>
        <w:rPr>
          <w:rFonts w:ascii="Arial" w:cs="Arial" w:eastAsia="Arial" w:hAnsi="Arial"/>
          <w:sz w:val="19"/>
          <w:szCs w:val="19"/>
          <w:color w:val="auto"/>
        </w:rPr>
        <w:t>” or “</w:t>
      </w:r>
      <w:r>
        <w:rPr>
          <w:rFonts w:ascii="Arial" w:cs="Arial" w:eastAsia="Arial" w:hAnsi="Arial"/>
          <w:sz w:val="19"/>
          <w:szCs w:val="19"/>
          <w:u w:val="single" w:color="auto"/>
          <w:color w:val="auto"/>
        </w:rPr>
        <w:t>Extended USD Commitment</w:t>
      </w:r>
      <w:r>
        <w:rPr>
          <w:rFonts w:ascii="Arial" w:cs="Arial" w:eastAsia="Arial" w:hAnsi="Arial"/>
          <w:sz w:val="19"/>
          <w:szCs w:val="19"/>
          <w:color w:val="auto"/>
        </w:rPr>
        <w:t xml:space="preserve">”, as applicable), and the related outstandings, shall be a MC Commitment (or related outstandings, as the case may be) or a USD Commitment (or related outstandings, as the case may be), as applicable, with the same terms as the original MC Commitments (and related outstandings) or the original USD Commitments (and related outstandings),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6" w:lineRule="exact"/>
        <w:rPr>
          <w:rFonts w:ascii="Arial" w:cs="Arial" w:eastAsia="Arial" w:hAnsi="Arial"/>
          <w:sz w:val="19"/>
          <w:szCs w:val="19"/>
          <w:color w:val="auto"/>
        </w:rPr>
      </w:pPr>
    </w:p>
    <w:p>
      <w:pPr>
        <w:jc w:val="both"/>
        <w:ind w:left="1320" w:firstLine="604"/>
        <w:spacing w:after="0" w:line="242" w:lineRule="auto"/>
        <w:tabs>
          <w:tab w:leader="none" w:pos="234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borrowing and repayment (except for (1) payments of interest and fees at different rates on Extended MC Commitments (and related outstandings) or Extended USD Commitments (and related outstandings), (2) repayments required upon the maturity date of the non-extending MC Commitments or USD Commitments and (3) repayment made in connection with a permanent repayment and termination of commitments) of Loans with respect to Extended MC Commitments or Extended USD Commitments after the applicable Extension date shall be made on a pro rata basis with all other MC Commitments or USD Commitments, as the case may be;</w:t>
      </w:r>
    </w:p>
    <w:p>
      <w:pPr>
        <w:spacing w:after="0" w:line="170" w:lineRule="exact"/>
        <w:rPr>
          <w:rFonts w:ascii="Arial" w:cs="Arial" w:eastAsia="Arial" w:hAnsi="Arial"/>
          <w:sz w:val="18"/>
          <w:szCs w:val="18"/>
          <w:color w:val="auto"/>
        </w:rPr>
      </w:pPr>
    </w:p>
    <w:p>
      <w:pPr>
        <w:ind w:left="1320" w:firstLine="604"/>
        <w:spacing w:after="0" w:line="236" w:lineRule="auto"/>
        <w:tabs>
          <w:tab w:leader="none" w:pos="2348"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all Swing Line Loans, Letters of Credit and Bankers’ Acceptances shall be participated on a pro rata basis by all Lenders with USD Commitments in accordance with their Applicable (USD) Percentages;</w:t>
      </w:r>
    </w:p>
    <w:p>
      <w:pPr>
        <w:spacing w:after="0" w:line="184" w:lineRule="exact"/>
        <w:rPr>
          <w:rFonts w:ascii="Arial" w:cs="Arial" w:eastAsia="Arial" w:hAnsi="Arial"/>
          <w:sz w:val="20"/>
          <w:szCs w:val="20"/>
          <w:color w:val="auto"/>
        </w:rPr>
      </w:pPr>
    </w:p>
    <w:p>
      <w:pPr>
        <w:jc w:val="both"/>
        <w:ind w:left="1320" w:firstLine="604"/>
        <w:spacing w:after="0" w:line="231" w:lineRule="auto"/>
        <w:tabs>
          <w:tab w:leader="none" w:pos="2348"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permanent repayment of Loans with respect to, and termination of, Extended MC Commitments or Extended USD Commitments after the applicable Extension date shall be made on a pro rata basis with all other MC Commitments or USD Commitments, as the case may be, except that the Borrowers shall be permitted to permanently repay and terminate commitments of any such tranche on a better than a pro rata basis as compared to any other tranche with a later maturity date than such tranche; and</w:t>
      </w:r>
    </w:p>
    <w:p>
      <w:pPr>
        <w:spacing w:after="0" w:line="184" w:lineRule="exact"/>
        <w:rPr>
          <w:rFonts w:ascii="Arial" w:cs="Arial" w:eastAsia="Arial" w:hAnsi="Arial"/>
          <w:sz w:val="19"/>
          <w:szCs w:val="19"/>
          <w:color w:val="auto"/>
        </w:rPr>
      </w:pPr>
    </w:p>
    <w:p>
      <w:pPr>
        <w:ind w:left="1320" w:firstLine="604"/>
        <w:spacing w:after="0" w:line="286" w:lineRule="auto"/>
        <w:tabs>
          <w:tab w:leader="none" w:pos="234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assignments and participations of Extended MC Commitments or Extended USD Commitments and extended Loans related thereto shall be governed by the same assignment and participation provisions applicable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84" w:name="page185"/>
    <w:bookmarkEnd w:id="184"/>
    <w:p>
      <w:pPr>
        <w:ind w:left="1320"/>
        <w:spacing w:after="0"/>
        <w:rPr>
          <w:sz w:val="20"/>
          <w:szCs w:val="20"/>
          <w:color w:val="auto"/>
        </w:rPr>
      </w:pPr>
      <w:r>
        <w:rPr>
          <w:rFonts w:ascii="Arial" w:cs="Arial" w:eastAsia="Arial" w:hAnsi="Arial"/>
          <w:sz w:val="20"/>
          <w:szCs w:val="20"/>
          <w:color w:val="auto"/>
        </w:rPr>
        <w:t>MC Commitments and Loans related thereto or USD Commitments and Loans related thereto, as applicable;</w:t>
      </w:r>
    </w:p>
    <w:p>
      <w:pPr>
        <w:spacing w:after="0" w:line="207" w:lineRule="exact"/>
        <w:rPr>
          <w:sz w:val="20"/>
          <w:szCs w:val="20"/>
          <w:color w:val="auto"/>
        </w:rPr>
      </w:pPr>
    </w:p>
    <w:p>
      <w:pPr>
        <w:jc w:val="both"/>
        <w:ind w:left="720" w:firstLine="605"/>
        <w:spacing w:after="0" w:line="215" w:lineRule="auto"/>
        <w:tabs>
          <w:tab w:leader="none" w:pos="174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if the aggregate principal amount of MC Commitments or USD Commitments, as the case may be, in respect of which Committed (MC) Lenders or Committed (USD) Lenders, as the case may be, shall have accepted the relevant Extension Offer shall exceed the maximum aggregate principal amount of MC Commitments or USD Commitments, as the case may be, offered to be extended by the Company pursuant to such Extension Offer, then the MC Commitments or USD Commitments, as the case may be, of such Committed (MC) Lenders or Committed (USD) Lenders, as the case may be, shall be extended ratably up to such maximum amount based on the respective principal amounts (but not to exceed actual holdings of record) with respect to which such Committed (MC) Lenders or Committed (USD) Lenders, as the case may be, have accepted such Extension Offer; and</w:t>
      </w:r>
    </w:p>
    <w:p>
      <w:pPr>
        <w:spacing w:after="0" w:line="236" w:lineRule="exact"/>
        <w:rPr>
          <w:rFonts w:ascii="Arial" w:cs="Arial" w:eastAsia="Arial" w:hAnsi="Arial"/>
          <w:sz w:val="20"/>
          <w:szCs w:val="20"/>
          <w:color w:val="auto"/>
        </w:rPr>
      </w:pPr>
    </w:p>
    <w:p>
      <w:pPr>
        <w:ind w:left="1760" w:hanging="435"/>
        <w:spacing w:after="0"/>
        <w:tabs>
          <w:tab w:leader="none" w:pos="176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all documentation in respect of such Extension shall be consistent with the foregoing.</w:t>
      </w:r>
    </w:p>
    <w:p>
      <w:pPr>
        <w:spacing w:after="0" w:line="206" w:lineRule="exact"/>
        <w:rPr>
          <w:rFonts w:ascii="Arial" w:cs="Arial" w:eastAsia="Arial" w:hAnsi="Arial"/>
          <w:sz w:val="20"/>
          <w:szCs w:val="20"/>
          <w:color w:val="auto"/>
        </w:rPr>
      </w:pPr>
    </w:p>
    <w:p>
      <w:pPr>
        <w:jc w:val="both"/>
        <w:ind w:left="120" w:firstLine="605"/>
        <w:spacing w:after="0" w:line="226" w:lineRule="auto"/>
        <w:tabs>
          <w:tab w:leader="none" w:pos="115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Borrowers pursuant to this Section, (i) such Extensions shall not constitute prepayments for purposes of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(ii) unless otherwise agreed to by the Administrative Agent, each Extension Offer shall be in a minimum principal amount (to be specified in the relevant Extension Offer) for the applicable tranche to be extended of (A) $30,000,000 with respect to MC Commitments and (B) $200,000,000 with respect to USD Commitments (in each case, or, if less, the remaining amount of such tranche). The Administrative Agent and the Lenders hereby consent to the transactions contemplated by this Section (including, for the avoidance of doubt, payment of any interest, fees or premium in respect of any Extended MC Commitments and/or Extended USD Commitments on the such terms as may be set forth in the relevant Extension Offer) and hereby waive the requirements of any provision of this Agreement or any other Loan Document that may otherwise prohibit any such Extension or any other transaction contemplated by this Section.</w:t>
      </w:r>
    </w:p>
    <w:p>
      <w:pPr>
        <w:spacing w:after="0" w:line="170" w:lineRule="exact"/>
        <w:rPr>
          <w:rFonts w:ascii="Arial" w:cs="Arial" w:eastAsia="Arial" w:hAnsi="Arial"/>
          <w:sz w:val="19"/>
          <w:szCs w:val="19"/>
          <w:color w:val="auto"/>
        </w:rPr>
      </w:pPr>
    </w:p>
    <w:p>
      <w:pPr>
        <w:jc w:val="both"/>
        <w:ind w:left="120" w:firstLine="605"/>
        <w:spacing w:after="0" w:line="235" w:lineRule="auto"/>
        <w:tabs>
          <w:tab w:leader="none" w:pos="1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No consent of any Lender or the Administrative Agent shall be required to effectuate any Extension, other than (i) the consent of each Lender agreeing to such Extension with respect to one or more of its MC Commitments and/or USD Commitments (or a portion thereof) and (ii) with respect to any Extension of the USD Commitments, the consent of the L/C Issuer and the Swing Line Lender, which consent shall not be unreasonably withheld, delayed or conditioned. All Extended MC Commitments, Extended USD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Borrowers as may be necessary in order to establish new tranches or sub-tranches in respect of MC Commitments or USD Commitments so extended and such technical amendments as may be necessary or appropriate in the reasonable opinion of the Administrative Agent and the Borrowers in connection with the establishment of such new tranches or sub-tranches, in each case on terms consistent with this Section. In addition, if so provided in such amendment and with the consent of the L/C Issuer, participations in Letters of Credit and Bankers’ Acceptances expiring on or after the Maturity Date in respect of the Committed (USD) Facility shall be re-allocated from Lenders holding USD Commitments to Lenders holding Extended USD Commitments in accordance with the terms of such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participation interests shall, upon receipt thereof by the relevant Lenders holding USD Commitments, be deemed to be participation interests 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85" w:name="page186"/>
    <w:bookmarkEnd w:id="185"/>
    <w:p>
      <w:pPr>
        <w:ind w:left="120"/>
        <w:spacing w:after="0" w:line="236" w:lineRule="auto"/>
        <w:rPr>
          <w:sz w:val="20"/>
          <w:szCs w:val="20"/>
          <w:color w:val="auto"/>
        </w:rPr>
      </w:pPr>
      <w:r>
        <w:rPr>
          <w:rFonts w:ascii="Arial" w:cs="Arial" w:eastAsia="Arial" w:hAnsi="Arial"/>
          <w:sz w:val="20"/>
          <w:szCs w:val="20"/>
          <w:color w:val="auto"/>
        </w:rPr>
        <w:t>respect of such USD Commitments and the terms of such participation interests (including, without limitation, the commission applicable thereto) shall be adjusted accordingly.</w:t>
      </w:r>
    </w:p>
    <w:p>
      <w:pPr>
        <w:spacing w:after="0" w:line="172" w:lineRule="exact"/>
        <w:rPr>
          <w:sz w:val="20"/>
          <w:szCs w:val="20"/>
          <w:color w:val="auto"/>
        </w:rPr>
      </w:pPr>
    </w:p>
    <w:p>
      <w:pPr>
        <w:jc w:val="both"/>
        <w:ind w:left="120" w:firstLine="605"/>
        <w:spacing w:after="0" w:line="227" w:lineRule="auto"/>
        <w:tabs>
          <w:tab w:leader="none" w:pos="115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connection with any Extension, the Company shall provide the Administrative Agent at least 20 Business Days (or such shorter period as may be agreed by the Administrative Agent) prior written notice thereof, and shall agree to such procedures (including, without limitation, regarding timing, rounding and other adjustments to ensure reasonable administrative management of the credit facilities hereunder after such Extension), if any, as may be established by, or acceptable to, the Administrative Agent, in each case acting reasonably to accomplish the purposes of this Section, and such reasonable increases in the annual administrative agency fee as the Administrative Agent shall reasonably request in order to fairly compensate the Administrative Agent for the additional administrative management of the credit facilities hereunder after such Extension.</w:t>
      </w:r>
    </w:p>
    <w:p>
      <w:pPr>
        <w:spacing w:after="0" w:line="183"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ESG Adjustments.</w:t>
      </w:r>
    </w:p>
    <w:p>
      <w:pPr>
        <w:spacing w:after="0" w:line="200" w:lineRule="exact"/>
        <w:rPr>
          <w:sz w:val="20"/>
          <w:szCs w:val="20"/>
          <w:color w:val="auto"/>
        </w:rPr>
      </w:pPr>
    </w:p>
    <w:p>
      <w:pPr>
        <w:jc w:val="both"/>
        <w:ind w:left="120" w:firstLine="605"/>
        <w:spacing w:after="0" w:line="234" w:lineRule="auto"/>
        <w:tabs>
          <w:tab w:leader="none" w:pos="11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After the Closing Date, the Company, in consultation with the Sustainability Coordinator, shall be entitled, in its sole discretion, to establish specified key performance indicators (“</w:t>
      </w:r>
      <w:r>
        <w:rPr>
          <w:rFonts w:ascii="Arial" w:cs="Arial" w:eastAsia="Arial" w:hAnsi="Arial"/>
          <w:sz w:val="18"/>
          <w:szCs w:val="18"/>
          <w:u w:val="single" w:color="auto"/>
          <w:color w:val="auto"/>
        </w:rPr>
        <w:t>KPIs</w:t>
      </w:r>
      <w:r>
        <w:rPr>
          <w:rFonts w:ascii="Arial" w:cs="Arial" w:eastAsia="Arial" w:hAnsi="Arial"/>
          <w:sz w:val="18"/>
          <w:szCs w:val="18"/>
          <w:color w:val="auto"/>
        </w:rPr>
        <w:t>”) with respect to certain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targets of the Company and its Subsidiaries. The Sustainability Coordinator and the Company may amend this Agreement (such amendment, an “</w:t>
      </w:r>
      <w:r>
        <w:rPr>
          <w:rFonts w:ascii="Arial" w:cs="Arial" w:eastAsia="Arial" w:hAnsi="Arial"/>
          <w:sz w:val="18"/>
          <w:szCs w:val="18"/>
          <w:u w:val="single" w:color="auto"/>
          <w:color w:val="auto"/>
        </w:rPr>
        <w:t>ESG Amendment</w:t>
      </w:r>
      <w:r>
        <w:rPr>
          <w:rFonts w:ascii="Arial" w:cs="Arial" w:eastAsia="Arial" w:hAnsi="Arial"/>
          <w:sz w:val="18"/>
          <w:szCs w:val="18"/>
          <w:color w:val="auto"/>
        </w:rPr>
        <w:t>”) solely for the purpose of incorporating the KPIs and other related provisions (the “</w:t>
      </w:r>
      <w:r>
        <w:rPr>
          <w:rFonts w:ascii="Arial" w:cs="Arial" w:eastAsia="Arial" w:hAnsi="Arial"/>
          <w:sz w:val="18"/>
          <w:szCs w:val="18"/>
          <w:u w:val="single" w:color="auto"/>
          <w:color w:val="auto"/>
        </w:rPr>
        <w:t>ESG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Pricing Provisions</w:t>
      </w:r>
      <w:r>
        <w:rPr>
          <w:rFonts w:ascii="Arial" w:cs="Arial" w:eastAsia="Arial" w:hAnsi="Arial"/>
          <w:sz w:val="18"/>
          <w:szCs w:val="18"/>
          <w:color w:val="auto"/>
        </w:rPr>
        <w:t>”) into this Agreement, and any such amendment shall become effective at 5:00 p.m. on the tenth (10th) Business Day after the Administrative Agent shall have posted such proposed amendment to all Lenders and the Company unless, prior to such time, Lenders comprising the Required Lenders have delivered to the Administrative Agent (who shall promptly notify the Company) written notice that such Required Lenders object to such ESG Amendment. In the event that Required Lenders deliver a written notice objecting to any such ESG Amendment, an alternative ESG Amendment may be effectuated with the consent of the Required Lenders, the Company and the Sustainability Coordinator. Upon the effectiveness of any such ESG Amendment, based on the Company’s performance against the KPIs, certain adjustments (increase, decrease or no adjustment) (such adjustments, the “</w:t>
      </w:r>
      <w:r>
        <w:rPr>
          <w:rFonts w:ascii="Arial" w:cs="Arial" w:eastAsia="Arial" w:hAnsi="Arial"/>
          <w:sz w:val="18"/>
          <w:szCs w:val="18"/>
          <w:u w:val="single" w:color="auto"/>
          <w:color w:val="auto"/>
        </w:rPr>
        <w:t>ESG Applicable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to the otherwise applicable Applicable Rate for Eurocurrency Rate Loans, Alternative Currency Term Rate Loans, Base Rate Loans, Letter of Credit Fees, BA Fees and the Commitment Fee will be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adjustments shall not exceed (i) in the case of the Applicable Rate for the Commitment Fee, an increase and/or decrease of 0.01% and (ii) in the case of the Applicable Rate for Eurocurrency Rate Loans, Alternative Currency Term Rate Loans, Base Rate Loans, Letter of Credit Fees and BA Fees, an increase and/or decrease of 0.05%;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the Applicable Rate for Eurocurrency Rate Loans, Alternative Currency Term Rate Loans, Base Rate Loans, Letter of Credit Fees, BA Fees or Commitment Fees be less than zero. The KPIs, the Company’s performance against the KPIs, and any related ESG Applicable Rate Pricing Adjustments resulting therefrom, will be determined based on certain certificates, reports and other documents, in each case, setting forth the calculation and measurement of the KPIs in a manner that is aligned with the Sustainability Linked Loan Principles and to be mutually agreed between the Company and the Sustainability Coordinator (each acting reasonably). Following the effectiveness of an ESG Amendment, any modification to the ESG Pricing Provisions shall be subject only to the consent of the Required Lenders so long as such modification does not have the effect of reducing the Applicable Rate for Eurocurrency Rate Loans, Alternative Currency Term Rate Loans, Base Rate Loans, Letter of Credit Fees and BA Fees to a level not otherwise permitted by this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86" w:name="page187"/>
    <w:bookmarkEnd w:id="186"/>
    <w:p>
      <w:pPr>
        <w:jc w:val="both"/>
        <w:ind w:left="120" w:firstLine="605"/>
        <w:spacing w:after="0" w:line="227" w:lineRule="auto"/>
        <w:tabs>
          <w:tab w:leader="none" w:pos="115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Sustainability Coordinator will (i) assist the Company in determining the ESG Pricing Provisions in connection with the ESG Amendment and (ii) assist the Company in preparing informational materials focused on ESG to be used in connection with the ESG Amendment.</w:t>
      </w:r>
    </w:p>
    <w:p>
      <w:pPr>
        <w:spacing w:after="0" w:line="183" w:lineRule="exact"/>
        <w:rPr>
          <w:rFonts w:ascii="Arial" w:cs="Arial" w:eastAsia="Arial" w:hAnsi="Arial"/>
          <w:sz w:val="20"/>
          <w:szCs w:val="20"/>
          <w:color w:val="auto"/>
        </w:rPr>
      </w:pPr>
    </w:p>
    <w:p>
      <w:pPr>
        <w:ind w:left="1320" w:hanging="595"/>
        <w:spacing w:after="0"/>
        <w:tabs>
          <w:tab w:leader="none" w:pos="13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89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87" w:name="page188"/>
    <w:bookmarkEnd w:id="187"/>
    <w:p>
      <w:pPr>
        <w:jc w:val="center"/>
        <w:ind w:right="-199"/>
        <w:spacing w:after="0"/>
        <w:rPr>
          <w:sz w:val="20"/>
          <w:szCs w:val="20"/>
          <w:color w:val="auto"/>
        </w:rPr>
      </w:pPr>
      <w:r>
        <w:rPr>
          <w:rFonts w:ascii="Arial" w:cs="Arial" w:eastAsia="Arial" w:hAnsi="Arial"/>
          <w:sz w:val="18"/>
          <w:szCs w:val="18"/>
          <w:b w:val="1"/>
          <w:bCs w:val="1"/>
          <w:color w:val="auto"/>
        </w:rPr>
        <w:t>ARTICLE III.</w:t>
      </w:r>
    </w:p>
    <w:p>
      <w:pPr>
        <w:jc w:val="center"/>
        <w:ind w:right="-19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8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7"/>
          <w:szCs w:val="17"/>
          <w:b w:val="1"/>
          <w:bCs w:val="1"/>
          <w:color w:val="auto"/>
        </w:rPr>
        <w:t>Taxes.</w:t>
      </w:r>
    </w:p>
    <w:p>
      <w:pPr>
        <w:spacing w:after="0" w:line="213" w:lineRule="exact"/>
        <w:rPr>
          <w:sz w:val="20"/>
          <w:szCs w:val="20"/>
          <w:color w:val="auto"/>
        </w:rPr>
      </w:pPr>
    </w:p>
    <w:p>
      <w:pPr>
        <w:ind w:left="1160" w:hanging="451"/>
        <w:spacing w:after="0"/>
        <w:tabs>
          <w:tab w:leader="none" w:pos="116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720" w:firstLine="605"/>
        <w:spacing w:after="0" w:line="217" w:lineRule="auto"/>
        <w:tabs>
          <w:tab w:leader="none" w:pos="1745" w:val="left"/>
        </w:tabs>
        <w:numPr>
          <w:ilvl w:val="2"/>
          <w:numId w:val="136"/>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the respective Borrowers hereunder or under any other Loan Document shall to the extent permitted by applicable Laws be made free and clear of and without deduction or withholding for any Taxes. If, however, applicable Laws require any Borrower or the Administrative Agent to withhold or deduct any Tax, such Tax shall be withheld or deducted in accordance with such Laws as determined by the Company or the Administrative Agent, as the case may be, upon the basis of the information and documentation to be delivered pursuant to subsection (e) below.</w:t>
      </w:r>
    </w:p>
    <w:p>
      <w:pPr>
        <w:spacing w:after="0" w:line="188" w:lineRule="exact"/>
        <w:rPr>
          <w:rFonts w:ascii="Arial" w:cs="Arial" w:eastAsia="Arial" w:hAnsi="Arial"/>
          <w:sz w:val="20"/>
          <w:szCs w:val="20"/>
          <w:color w:val="auto"/>
        </w:rPr>
      </w:pPr>
    </w:p>
    <w:p>
      <w:pPr>
        <w:jc w:val="both"/>
        <w:ind w:left="720" w:firstLine="605"/>
        <w:spacing w:after="0" w:line="237" w:lineRule="auto"/>
        <w:tabs>
          <w:tab w:leader="none" w:pos="175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If any Borrower or the Administrative Agent shall be required by the Code to withhold or deduct any Taxes, including both United States Federal backup withholding and withholding Taxes, from any payment, then (A) the Administrative Agent (acting on its own behalf and on behalf of such Borrower) shall withhold or make such deductions as are determined by the Administrative Agent and the Company to be required based upon the information and documentation they have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Administrative Agent (acting on its own behalf and on behalf of such Borrower)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Administrative Agent, Lender or L/C Issuer, as the case may be, receives an amount equal to the sum it would have received had no such withholding or deduction in respect of Indemnified Taxes or Other Taxes been made.</w:t>
      </w:r>
    </w:p>
    <w:p>
      <w:pPr>
        <w:spacing w:after="0" w:line="186" w:lineRule="exact"/>
        <w:rPr>
          <w:rFonts w:ascii="Arial" w:cs="Arial" w:eastAsia="Arial" w:hAnsi="Arial"/>
          <w:sz w:val="18"/>
          <w:szCs w:val="18"/>
          <w:color w:val="auto"/>
        </w:rPr>
      </w:pPr>
    </w:p>
    <w:p>
      <w:pPr>
        <w:jc w:val="both"/>
        <w:ind w:left="720" w:firstLine="605"/>
        <w:spacing w:after="0"/>
        <w:tabs>
          <w:tab w:leader="none" w:pos="1743"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any Borrower or the Administrative Agent shall be required by applicable Laws other than the Code to withhold or deduct any Taxes, including both United States Federal backup withholding and withholding Taxes, from any payment, then</w:t>
      </w:r>
    </w:p>
    <w:p>
      <w:pPr>
        <w:spacing w:after="0" w:line="1" w:lineRule="exact"/>
        <w:rPr>
          <w:rFonts w:ascii="Arial" w:cs="Arial" w:eastAsia="Arial" w:hAnsi="Arial"/>
          <w:sz w:val="18"/>
          <w:szCs w:val="18"/>
          <w:color w:val="auto"/>
        </w:rPr>
      </w:pPr>
    </w:p>
    <w:p>
      <w:pPr>
        <w:jc w:val="both"/>
        <w:ind w:left="720" w:firstLine="6"/>
        <w:spacing w:after="0" w:line="236" w:lineRule="auto"/>
        <w:tabs>
          <w:tab w:leader="none" w:pos="107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such Borrower or the Administrative Agent, as required by such Laws shall withhold or make such deductions as are determined by the Administrative Agent and the Company to be required based upon the information and documentation they have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Borrower or the Administrative Agent, to the extent required by such Laws,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Administrative Agent, Lender or L/C Issuer, as the case may be, receives an amount equal to the sum it would have received had no such withholding or deduction in respect of Indemnified Taxes or Other Taxes been made</w:t>
      </w:r>
    </w:p>
    <w:p>
      <w:pPr>
        <w:spacing w:after="0" w:line="174" w:lineRule="exact"/>
        <w:rPr>
          <w:rFonts w:ascii="Arial" w:cs="Arial" w:eastAsia="Arial" w:hAnsi="Arial"/>
          <w:sz w:val="18"/>
          <w:szCs w:val="18"/>
          <w:color w:val="auto"/>
        </w:rPr>
      </w:pPr>
    </w:p>
    <w:p>
      <w:pPr>
        <w:ind w:left="700" w:firstLine="9"/>
        <w:spacing w:after="0" w:line="258" w:lineRule="auto"/>
        <w:tabs>
          <w:tab w:leader="none" w:pos="1145"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Borrowers</w:t>
      </w:r>
      <w:r>
        <w:rPr>
          <w:rFonts w:ascii="Arial" w:cs="Arial" w:eastAsia="Arial" w:hAnsi="Arial"/>
          <w:sz w:val="19"/>
          <w:szCs w:val="19"/>
          <w:color w:val="auto"/>
        </w:rPr>
        <w:t>. Without limiting the provisions of subsection (a) above, each Borrower shall timely pay any Other Taxes to the relevant Governmental Authority in accordance with applicable Laws.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55" w:right="579" w:bottom="1440" w:gutter="0" w:footer="0" w:header="0"/>
        </w:sectPr>
      </w:pPr>
    </w:p>
    <w:bookmarkStart w:id="188" w:name="page189"/>
    <w:bookmarkEnd w:id="188"/>
    <w:p>
      <w:pPr>
        <w:spacing w:after="0" w:line="104" w:lineRule="exact"/>
        <w:rPr>
          <w:sz w:val="20"/>
          <w:szCs w:val="20"/>
          <w:color w:val="auto"/>
        </w:rPr>
      </w:pPr>
    </w:p>
    <w:p>
      <w:pPr>
        <w:ind w:left="1160" w:hanging="451"/>
        <w:spacing w:after="0"/>
        <w:tabs>
          <w:tab w:leader="none" w:pos="116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 Without limiting the provisions of subsection (a) or (b) above:</w:t>
      </w:r>
    </w:p>
    <w:p>
      <w:pPr>
        <w:spacing w:after="0" w:line="194" w:lineRule="exact"/>
        <w:rPr>
          <w:rFonts w:ascii="Arial" w:cs="Arial" w:eastAsia="Arial" w:hAnsi="Arial"/>
          <w:sz w:val="20"/>
          <w:szCs w:val="20"/>
          <w:color w:val="auto"/>
        </w:rPr>
      </w:pPr>
    </w:p>
    <w:p>
      <w:pPr>
        <w:jc w:val="both"/>
        <w:ind w:left="700" w:firstLine="458"/>
        <w:spacing w:after="0" w:line="227" w:lineRule="auto"/>
        <w:tabs>
          <w:tab w:leader="none" w:pos="1737"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 Each Borrower shall, and does hereby, indemnify the Administrative Agent, each Lender and the L/C Issuer, and shall make payment in respect thereof within 30 days after demand therefor, for the full amount of any Indemnified Taxes or Other Taxes (including Indemnified Taxes or Other Taxes imposed or asserted on or attributable to amounts payable under this Section) withheld or deducted by such Borrower or the Administrative Agent or paid by the Administrative Agent, such Lender or the L/C Issuer, as the case may be, and any penalties, interest and reasonable out of pocket expenses arising therefrom or with respect thereto, whether or not such Indemnified Taxes or Other Taxes were correctly or legally imposed or asserted by the relevant Governmental Authority.</w:t>
      </w:r>
    </w:p>
    <w:p>
      <w:pPr>
        <w:spacing w:after="0" w:line="176" w:lineRule="exact"/>
        <w:rPr>
          <w:rFonts w:ascii="Arial" w:cs="Arial" w:eastAsia="Arial" w:hAnsi="Arial"/>
          <w:sz w:val="19"/>
          <w:szCs w:val="19"/>
          <w:color w:val="auto"/>
        </w:rPr>
      </w:pPr>
    </w:p>
    <w:p>
      <w:pPr>
        <w:jc w:val="both"/>
        <w:ind w:left="1160" w:firstLine="598"/>
        <w:spacing w:after="0" w:line="239" w:lineRule="auto"/>
        <w:tabs>
          <w:tab w:leader="none" w:pos="235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Each Borrower shall also, and does hereby, indemnify the Administrative Agent, and shall make payment in respect thereof within 30 days after demand therefor, for any amount which a Lender or the L/C Issuer for any reason fails to pay indefeasibly to the Administrative Agent as required by clauseof this subsection; provided, that no Borrower shall be required to indemnify the Administrative Agent for any amount attributable to the Administrative Agent’s gross negligence or willful misconduct. Upon receipt of such indemnity payment and upon the request of the Borrower that made the indemnity payment, the Administrative Agent hereby agrees to assign to such Borrower any rights for compensation against such defaulting Lender or L/C Issuer (other than the right of set off pursuant to the penultimate sentence of Section 3.01(c)(ii) below) with respect to the amount it has been indemnified by the Borrower.</w:t>
      </w:r>
    </w:p>
    <w:p>
      <w:pPr>
        <w:spacing w:after="0" w:line="173" w:lineRule="exact"/>
        <w:rPr>
          <w:rFonts w:ascii="Arial" w:cs="Arial" w:eastAsia="Arial" w:hAnsi="Arial"/>
          <w:sz w:val="18"/>
          <w:szCs w:val="18"/>
          <w:color w:val="auto"/>
        </w:rPr>
      </w:pPr>
    </w:p>
    <w:p>
      <w:pPr>
        <w:jc w:val="both"/>
        <w:ind w:left="1160" w:firstLine="598"/>
        <w:spacing w:after="0" w:line="222" w:lineRule="auto"/>
        <w:tabs>
          <w:tab w:leader="none" w:pos="235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A certificate prepared in good faith as to the amount of any such payment or liability delivered to the Company on behalf of the relevant Borrower by a Lender or the L/C Issuer (with a copy to the Administrative Agent), or by the Administrative Agent on its own behalf or on behalf of a Lender or the L/C Issuer, shall be conclusive absent manifest error.</w:t>
      </w:r>
    </w:p>
    <w:p>
      <w:pPr>
        <w:spacing w:after="0" w:line="172" w:lineRule="exact"/>
        <w:rPr>
          <w:rFonts w:ascii="Arial" w:cs="Arial" w:eastAsia="Arial" w:hAnsi="Arial"/>
          <w:sz w:val="20"/>
          <w:szCs w:val="20"/>
          <w:color w:val="auto"/>
        </w:rPr>
      </w:pPr>
    </w:p>
    <w:p>
      <w:pPr>
        <w:jc w:val="both"/>
        <w:ind w:left="640" w:firstLine="518"/>
        <w:spacing w:after="0" w:line="236" w:lineRule="auto"/>
        <w:tabs>
          <w:tab w:leader="none" w:pos="146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subsection (a) or (b) above, each Lender and the L/C Issuer shall, and does hereby, indemnify each Borrower and the Administrative Agent, and shall make payment in respect thereof within 30 days after demand therefor, against any and all Taxes and any and all related losses, claims, liabilities, penalties, interest and expenses (including the fees, charges and disbursements of any counsel for any Borrower or the Administrative Agent) incurred by or asserted against any Borrower or the Administrative Agent by any Governmental Authority (A) as a result of the failure by such Lender or the L/C Issuer, as the case may be, to deliver, or as a result of the inaccuracy, inadequacy or deficiency of, any documentation required to be delivered by such Lender or the L/C Issuer, as the case may be, to such Borrower or the Administrative Agent pursuant to subsection (e), or (B) attributable to such Lender’s or L/C Issuer’s failure to comply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10.06(d)</w:t>
      </w:r>
      <w:r>
        <w:rPr>
          <w:rFonts w:ascii="Arial" w:cs="Arial" w:eastAsia="Arial" w:hAnsi="Arial"/>
          <w:sz w:val="18"/>
          <w:szCs w:val="18"/>
          <w:color w:val="auto"/>
        </w:rPr>
        <w:t xml:space="preserve"> relating to the maintenance of a Participant Register.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189" w:name="page190"/>
    <w:bookmarkEnd w:id="189"/>
    <w:p>
      <w:pPr>
        <w:ind w:left="640"/>
        <w:spacing w:after="0"/>
        <w:rPr>
          <w:sz w:val="20"/>
          <w:szCs w:val="20"/>
          <w:color w:val="auto"/>
        </w:rPr>
      </w:pPr>
      <w:r>
        <w:rPr>
          <w:rFonts w:ascii="Arial" w:cs="Arial" w:eastAsia="Arial" w:hAnsi="Arial"/>
          <w:sz w:val="20"/>
          <w:szCs w:val="20"/>
          <w:color w:val="auto"/>
        </w:rPr>
        <w:t>the termination of the Aggregate Commitments and the repayment, satisfaction or discharge of all other Obligations.</w:t>
      </w:r>
    </w:p>
    <w:p>
      <w:pPr>
        <w:spacing w:after="0" w:line="194" w:lineRule="exact"/>
        <w:rPr>
          <w:sz w:val="20"/>
          <w:szCs w:val="20"/>
          <w:color w:val="auto"/>
        </w:rPr>
      </w:pPr>
    </w:p>
    <w:p>
      <w:pPr>
        <w:jc w:val="both"/>
        <w:ind w:left="100" w:firstLine="534"/>
        <w:spacing w:after="0" w:line="216" w:lineRule="auto"/>
        <w:tabs>
          <w:tab w:leader="none" w:pos="1144"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Upon request by the Company on behalf of any Borrower or upon the request by the Administrative Agent, as the case may be, after any payment of Taxes by such Borrower or by the Administrative Agent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Company on behalf of such Borrower shall deliver to the Administrative Agent or the Administrative Agent shall deliver to the Company on behalf of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86" w:lineRule="exact"/>
        <w:rPr>
          <w:rFonts w:ascii="Arial" w:cs="Arial" w:eastAsia="Arial" w:hAnsi="Arial"/>
          <w:sz w:val="20"/>
          <w:szCs w:val="20"/>
          <w:color w:val="auto"/>
        </w:rPr>
      </w:pPr>
    </w:p>
    <w:p>
      <w:pPr>
        <w:ind w:left="1160" w:hanging="526"/>
        <w:spacing w:after="0"/>
        <w:tabs>
          <w:tab w:leader="none" w:pos="1160"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560" w:firstLine="598"/>
        <w:spacing w:after="0" w:line="236" w:lineRule="auto"/>
        <w:tabs>
          <w:tab w:leader="none" w:pos="1747" w:val="left"/>
        </w:tabs>
        <w:numPr>
          <w:ilvl w:val="2"/>
          <w:numId w:val="138"/>
        </w:numPr>
        <w:rPr>
          <w:rFonts w:ascii="Arial" w:cs="Arial" w:eastAsia="Arial" w:hAnsi="Arial"/>
          <w:sz w:val="18"/>
          <w:szCs w:val="18"/>
          <w:color w:val="auto"/>
        </w:rPr>
      </w:pPr>
      <w:r>
        <w:rPr>
          <w:rFonts w:ascii="Arial" w:cs="Arial" w:eastAsia="Arial" w:hAnsi="Arial"/>
          <w:sz w:val="18"/>
          <w:szCs w:val="18"/>
          <w:color w:val="auto"/>
        </w:rPr>
        <w:t>Each Lender and the L/C Issuer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w:t>
      </w:r>
    </w:p>
    <w:p>
      <w:pPr>
        <w:jc w:val="both"/>
        <w:ind w:left="560" w:hanging="1"/>
        <w:spacing w:after="0" w:line="216" w:lineRule="auto"/>
        <w:tabs>
          <w:tab w:leader="none" w:pos="91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whether or not payments made by the respective Borrowers hereunder or under any other Loan Document are subject to Taxes, (B) if applicable, the required rate of withholding or deduction, and (C) such Lender’s or the L/C Issuer’s entitlement to any available exemption from, or reduction of, applicable Taxes in respect of all payments to be made to such Lender or the L/C Issuer by the respective Borrowers pursuant to this Agreement or otherwise to establish such Lender’s or the L/C Issuer’s status for withholding Tax purposes in the applicable jurisdictions.</w:t>
      </w:r>
    </w:p>
    <w:p>
      <w:pPr>
        <w:spacing w:after="0" w:line="185" w:lineRule="exact"/>
        <w:rPr>
          <w:rFonts w:ascii="Arial" w:cs="Arial" w:eastAsia="Arial" w:hAnsi="Arial"/>
          <w:sz w:val="20"/>
          <w:szCs w:val="20"/>
          <w:color w:val="auto"/>
        </w:rPr>
      </w:pPr>
    </w:p>
    <w:p>
      <w:pPr>
        <w:ind w:left="1960" w:hanging="636"/>
        <w:spacing w:after="0"/>
        <w:tabs>
          <w:tab w:leader="none" w:pos="1960" w:val="left"/>
        </w:tabs>
        <w:numPr>
          <w:ilvl w:val="3"/>
          <w:numId w:val="139"/>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06" w:lineRule="exact"/>
        <w:rPr>
          <w:rFonts w:ascii="Arial" w:cs="Arial" w:eastAsia="Arial" w:hAnsi="Arial"/>
          <w:sz w:val="20"/>
          <w:szCs w:val="20"/>
          <w:color w:val="auto"/>
        </w:rPr>
      </w:pPr>
    </w:p>
    <w:p>
      <w:pPr>
        <w:jc w:val="both"/>
        <w:ind w:left="1320" w:firstLine="604"/>
        <w:spacing w:after="0" w:line="227" w:lineRule="auto"/>
        <w:tabs>
          <w:tab w:leader="none" w:pos="2346" w:val="left"/>
        </w:tabs>
        <w:numPr>
          <w:ilvl w:val="5"/>
          <w:numId w:val="139"/>
        </w:numPr>
        <w:rPr>
          <w:rFonts w:ascii="Arial" w:cs="Arial" w:eastAsia="Arial" w:hAnsi="Arial"/>
          <w:sz w:val="19"/>
          <w:szCs w:val="19"/>
          <w:color w:val="auto"/>
        </w:rPr>
      </w:pPr>
      <w:r>
        <w:rPr>
          <w:rFonts w:ascii="Arial" w:cs="Arial" w:eastAsia="Arial" w:hAnsi="Arial"/>
          <w:sz w:val="19"/>
          <w:szCs w:val="19"/>
          <w:color w:val="auto"/>
        </w:rPr>
        <w:t>The L/C Issuer and any Lender that is a “United States person” within the meaning of Section 7701(a)(30) of the Code shall deliver to the Company and the Administrative Agent (in such number of copies as shall be requested by the recipient), on or before the date it becomes a party to this Agreement, executed originals of Internal Revenue Service Form W-9, or any subsequent versions thereof or successors thereto, or such other documentation or information prescribed by applicable Laws or reasonably requested by the Company or the Administrative Agent as will enable such Borrower or the Administrative Agent, as the case may be, to determine whether or not such Lender is subject to backup withholding or information reporting requirements; and</w:t>
      </w:r>
    </w:p>
    <w:p>
      <w:pPr>
        <w:spacing w:after="0" w:line="176" w:lineRule="exact"/>
        <w:rPr>
          <w:rFonts w:ascii="Arial" w:cs="Arial" w:eastAsia="Arial" w:hAnsi="Arial"/>
          <w:sz w:val="19"/>
          <w:szCs w:val="19"/>
          <w:color w:val="auto"/>
        </w:rPr>
      </w:pPr>
    </w:p>
    <w:p>
      <w:pPr>
        <w:jc w:val="both"/>
        <w:ind w:left="1300" w:firstLine="607"/>
        <w:spacing w:after="0" w:line="229" w:lineRule="auto"/>
        <w:tabs>
          <w:tab w:leader="none" w:pos="2340" w:val="left"/>
        </w:tabs>
        <w:numPr>
          <w:ilvl w:val="4"/>
          <w:numId w:val="139"/>
        </w:numPr>
        <w:rPr>
          <w:rFonts w:ascii="Arial" w:cs="Arial" w:eastAsia="Arial" w:hAnsi="Arial"/>
          <w:sz w:val="19"/>
          <w:szCs w:val="19"/>
          <w:color w:val="auto"/>
        </w:rPr>
      </w:pPr>
      <w:r>
        <w:rPr>
          <w:rFonts w:ascii="Arial" w:cs="Arial" w:eastAsia="Arial" w:hAnsi="Arial"/>
          <w:sz w:val="19"/>
          <w:szCs w:val="19"/>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on behalf of any Borrower or the Administrative Agent, but only if such Foreign Lender is legally entitled to do so),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90" w:name="page191"/>
    <w:bookmarkEnd w:id="190"/>
    <w:p>
      <w:pPr>
        <w:jc w:val="both"/>
        <w:ind w:left="1900" w:firstLine="457"/>
        <w:spacing w:after="0" w:line="227" w:lineRule="auto"/>
        <w:tabs>
          <w:tab w:leader="none" w:pos="294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W- 8BEN-E (or W-8BEN, as applicable), or any subsequent versions thereof or successors thereto, claiming eligibility for benefits of an income tax treaty to which the United States is a party,</w:t>
      </w:r>
    </w:p>
    <w:p>
      <w:pPr>
        <w:spacing w:after="0" w:line="183" w:lineRule="exact"/>
        <w:rPr>
          <w:rFonts w:ascii="Arial" w:cs="Arial" w:eastAsia="Arial" w:hAnsi="Arial"/>
          <w:sz w:val="20"/>
          <w:szCs w:val="20"/>
          <w:color w:val="auto"/>
        </w:rPr>
      </w:pPr>
    </w:p>
    <w:p>
      <w:pPr>
        <w:ind w:left="1920" w:firstLine="453"/>
        <w:spacing w:after="0" w:line="236" w:lineRule="auto"/>
        <w:tabs>
          <w:tab w:leader="none" w:pos="294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W- 8ECI, or any subsequent versions thereof or successors thereto,</w:t>
      </w:r>
    </w:p>
    <w:p>
      <w:pPr>
        <w:spacing w:after="0" w:line="172" w:lineRule="exact"/>
        <w:rPr>
          <w:sz w:val="20"/>
          <w:szCs w:val="20"/>
          <w:color w:val="auto"/>
        </w:rPr>
      </w:pPr>
    </w:p>
    <w:p>
      <w:pPr>
        <w:ind w:left="1920" w:right="20" w:firstLine="453"/>
        <w:spacing w:after="0" w:line="236" w:lineRule="auto"/>
        <w:tabs>
          <w:tab w:leader="none" w:pos="295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W- 8IMY, or any subsequent versions thereof or successors thereto, and all required supporting documentation,</w:t>
      </w:r>
    </w:p>
    <w:p>
      <w:pPr>
        <w:spacing w:after="0" w:line="184" w:lineRule="exact"/>
        <w:rPr>
          <w:sz w:val="20"/>
          <w:szCs w:val="20"/>
          <w:color w:val="auto"/>
        </w:rPr>
      </w:pPr>
    </w:p>
    <w:p>
      <w:pPr>
        <w:jc w:val="both"/>
        <w:ind w:left="1920" w:firstLine="449"/>
        <w:spacing w:after="0" w:line="222" w:lineRule="auto"/>
        <w:rPr>
          <w:sz w:val="20"/>
          <w:szCs w:val="20"/>
          <w:color w:val="auto"/>
        </w:rPr>
      </w:pPr>
      <w:r>
        <w:rPr>
          <w:rFonts w:ascii="Arial" w:cs="Arial" w:eastAsia="Arial" w:hAnsi="Arial"/>
          <w:sz w:val="19"/>
          <w:szCs w:val="19"/>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a “bank” within the meaning of section 881(c)(3)(A) of the Code, (B) a “10 percent shareholder” of such Borrower within the meaning of section 881(c)(3)(B) of the Code, or (C)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w:t>
      </w:r>
    </w:p>
    <w:p>
      <w:pPr>
        <w:spacing w:after="0" w:line="4" w:lineRule="exact"/>
        <w:rPr>
          <w:sz w:val="20"/>
          <w:szCs w:val="20"/>
          <w:color w:val="auto"/>
        </w:rPr>
      </w:pPr>
    </w:p>
    <w:p>
      <w:pPr>
        <w:ind w:left="1920" w:right="20" w:firstLine="4"/>
        <w:spacing w:after="0" w:line="228" w:lineRule="auto"/>
        <w:tabs>
          <w:tab w:leader="none" w:pos="224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W-8BEN-E (or W-8BEN, as applicable), or any subsequent versions thereof or successors thereto, or</w:t>
      </w:r>
    </w:p>
    <w:p>
      <w:pPr>
        <w:spacing w:after="0" w:line="171" w:lineRule="exact"/>
        <w:rPr>
          <w:rFonts w:ascii="Arial" w:cs="Arial" w:eastAsia="Arial" w:hAnsi="Arial"/>
          <w:sz w:val="20"/>
          <w:szCs w:val="20"/>
          <w:color w:val="auto"/>
        </w:rPr>
      </w:pPr>
    </w:p>
    <w:p>
      <w:pPr>
        <w:jc w:val="both"/>
        <w:ind w:left="1920" w:firstLine="453"/>
        <w:spacing w:after="0" w:line="226" w:lineRule="auto"/>
        <w:tabs>
          <w:tab w:leader="none" w:pos="2946" w:val="left"/>
        </w:tabs>
        <w:numPr>
          <w:ilvl w:val="1"/>
          <w:numId w:val="142"/>
        </w:numPr>
        <w:rPr>
          <w:rFonts w:ascii="Arial" w:cs="Arial" w:eastAsia="Arial" w:hAnsi="Arial"/>
          <w:sz w:val="19"/>
          <w:szCs w:val="19"/>
          <w:color w:val="auto"/>
        </w:rPr>
      </w:pPr>
      <w:r>
        <w:rPr>
          <w:rFonts w:ascii="Arial" w:cs="Arial" w:eastAsia="Arial" w:hAnsi="Arial"/>
          <w:sz w:val="19"/>
          <w:szCs w:val="19"/>
          <w:color w:val="181818"/>
        </w:rPr>
        <w:t>to the extent a Foreign Lender is not the beneficial owner with respect to an interest in any Loan, executed originals of Internal Revenue Service Form W-8IMY, accompanied by Internal Revenue Service Form W-8ECI, Internal Revenue Service Form W-8BEN</w:t>
      </w:r>
      <w:r>
        <w:rPr>
          <w:rFonts w:ascii="Arial" w:cs="Arial" w:eastAsia="Arial" w:hAnsi="Arial"/>
          <w:sz w:val="19"/>
          <w:szCs w:val="19"/>
          <w:color w:val="000000"/>
        </w:rPr>
        <w:t>-E (or W- 8BEN, as applicable)</w:t>
      </w:r>
      <w:r>
        <w:rPr>
          <w:rFonts w:ascii="Arial" w:cs="Arial" w:eastAsia="Arial" w:hAnsi="Arial"/>
          <w:sz w:val="19"/>
          <w:szCs w:val="19"/>
          <w:color w:val="181818"/>
        </w:rPr>
        <w:t xml:space="preserve">, a U.S. Tax Compliance Certificate substantially in the form of </w:t>
      </w:r>
      <w:r>
        <w:rPr>
          <w:rFonts w:ascii="Arial" w:cs="Arial" w:eastAsia="Arial" w:hAnsi="Arial"/>
          <w:sz w:val="19"/>
          <w:szCs w:val="19"/>
          <w:u w:val="single" w:color="auto"/>
          <w:color w:val="181818"/>
        </w:rPr>
        <w:t>Exhibit F-2</w:t>
      </w:r>
      <w:r>
        <w:rPr>
          <w:rFonts w:ascii="Arial" w:cs="Arial" w:eastAsia="Arial" w:hAnsi="Arial"/>
          <w:sz w:val="19"/>
          <w:szCs w:val="19"/>
          <w:color w:val="181818"/>
        </w:rPr>
        <w:t xml:space="preserve"> or </w:t>
      </w:r>
      <w:r>
        <w:rPr>
          <w:rFonts w:ascii="Arial" w:cs="Arial" w:eastAsia="Arial" w:hAnsi="Arial"/>
          <w:sz w:val="19"/>
          <w:szCs w:val="19"/>
          <w:u w:val="single" w:color="auto"/>
          <w:color w:val="181818"/>
        </w:rPr>
        <w:t>Exhibit F-3</w:t>
      </w:r>
      <w:r>
        <w:rPr>
          <w:rFonts w:ascii="Arial" w:cs="Arial" w:eastAsia="Arial" w:hAnsi="Arial"/>
          <w:sz w:val="19"/>
          <w:szCs w:val="19"/>
          <w:color w:val="181818"/>
        </w:rPr>
        <w:t xml:space="preserve">, Internal Revenue Service Form W- 9,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181818"/>
        </w:rPr>
        <w:t>Exhibit F-4</w:t>
      </w:r>
      <w:r>
        <w:rPr>
          <w:rFonts w:ascii="Arial" w:cs="Arial" w:eastAsia="Arial" w:hAnsi="Arial"/>
          <w:sz w:val="19"/>
          <w:szCs w:val="19"/>
          <w:color w:val="181818"/>
        </w:rPr>
        <w:t xml:space="preserve"> on behalf of each such direct and indirect partner</w:t>
      </w:r>
      <w:r>
        <w:rPr>
          <w:rFonts w:ascii="Arial" w:cs="Arial" w:eastAsia="Arial" w:hAnsi="Arial"/>
          <w:sz w:val="19"/>
          <w:szCs w:val="19"/>
          <w:color w:val="000000"/>
        </w:rPr>
        <w:t>.</w:t>
      </w:r>
    </w:p>
    <w:p>
      <w:pPr>
        <w:spacing w:after="0" w:line="189" w:lineRule="exact"/>
        <w:rPr>
          <w:sz w:val="20"/>
          <w:szCs w:val="20"/>
          <w:color w:val="auto"/>
        </w:rPr>
      </w:pPr>
    </w:p>
    <w:p>
      <w:pPr>
        <w:jc w:val="both"/>
        <w:ind w:left="1320" w:firstLine="604"/>
        <w:spacing w:after="0"/>
        <w:tabs>
          <w:tab w:leader="none" w:pos="234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any Borrower or the Administrative Agent) 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w:t>
      </w:r>
    </w:p>
    <w:p>
      <w:pPr>
        <w:spacing w:after="0" w:line="174" w:lineRule="exact"/>
        <w:rPr>
          <w:rFonts w:ascii="Arial" w:cs="Arial" w:eastAsia="Arial" w:hAnsi="Arial"/>
          <w:sz w:val="18"/>
          <w:szCs w:val="18"/>
          <w:color w:val="auto"/>
        </w:rPr>
      </w:pPr>
    </w:p>
    <w:p>
      <w:pPr>
        <w:jc w:val="both"/>
        <w:ind w:left="720" w:firstLine="605"/>
        <w:spacing w:after="0" w:line="227" w:lineRule="auto"/>
        <w:tabs>
          <w:tab w:leader="none" w:pos="174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L/C Issuer and each Lender shall promptly (A) notify the Company and the Administrative Agent of any change in circumstances which would modify or render invalid any claimed exemption or reduction and (B) take such steps as shall not be materially disadvantageous to it, in the reasonable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91" w:name="page192"/>
    <w:bookmarkEnd w:id="191"/>
    <w:p>
      <w:pPr>
        <w:jc w:val="both"/>
        <w:ind w:left="720"/>
        <w:spacing w:after="0" w:line="227" w:lineRule="auto"/>
        <w:rPr>
          <w:sz w:val="20"/>
          <w:szCs w:val="20"/>
          <w:color w:val="auto"/>
        </w:rPr>
      </w:pPr>
      <w:r>
        <w:rPr>
          <w:rFonts w:ascii="Arial" w:cs="Arial" w:eastAsia="Arial" w:hAnsi="Arial"/>
          <w:sz w:val="20"/>
          <w:szCs w:val="20"/>
          <w:color w:val="auto"/>
        </w:rPr>
        <w:t>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spacing w:after="0" w:line="184" w:lineRule="exact"/>
        <w:rPr>
          <w:sz w:val="20"/>
          <w:szCs w:val="20"/>
          <w:color w:val="auto"/>
        </w:rPr>
      </w:pPr>
    </w:p>
    <w:p>
      <w:pPr>
        <w:jc w:val="both"/>
        <w:ind w:left="720" w:firstLine="605"/>
        <w:spacing w:after="0" w:line="224" w:lineRule="auto"/>
        <w:tabs>
          <w:tab w:leader="none" w:pos="174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 the Company and the Administrative Agent at the time or times prescribed by applicable Laws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recipient has complied with such recipient’s obligations under FATCA or to determine the amount to deduct and withhold from such payment. For purposes of this </w:t>
      </w:r>
      <w:r>
        <w:rPr>
          <w:rFonts w:ascii="Arial" w:cs="Arial" w:eastAsia="Arial" w:hAnsi="Arial"/>
          <w:sz w:val="19"/>
          <w:szCs w:val="19"/>
          <w:u w:val="single" w:color="auto"/>
          <w:color w:val="auto"/>
        </w:rPr>
        <w:t>Section 3.01</w:t>
      </w:r>
      <w:r>
        <w:rPr>
          <w:rFonts w:ascii="Arial" w:cs="Arial" w:eastAsia="Arial" w:hAnsi="Arial"/>
          <w:sz w:val="19"/>
          <w:szCs w:val="19"/>
          <w:color w:val="auto"/>
        </w:rPr>
        <w:t>, “Law” shall include FATCA, and, solely for purposes of this clause (iv), “FATCA” shall include any amendments made to FATCA after the date of this Agreement.</w:t>
      </w:r>
    </w:p>
    <w:p>
      <w:pPr>
        <w:spacing w:after="0" w:line="175" w:lineRule="exact"/>
        <w:rPr>
          <w:sz w:val="20"/>
          <w:szCs w:val="20"/>
          <w:color w:val="auto"/>
        </w:rPr>
      </w:pPr>
    </w:p>
    <w:p>
      <w:pPr>
        <w:jc w:val="both"/>
        <w:ind w:left="720" w:firstLine="599"/>
        <w:spacing w:after="0" w:line="234" w:lineRule="auto"/>
        <w:rPr>
          <w:sz w:val="20"/>
          <w:szCs w:val="20"/>
          <w:color w:val="auto"/>
        </w:rPr>
      </w:pPr>
      <w:r>
        <w:rPr>
          <w:rFonts w:ascii="Arial" w:cs="Arial" w:eastAsia="Arial" w:hAnsi="Arial"/>
          <w:sz w:val="19"/>
          <w:szCs w:val="19"/>
          <w:color w:val="auto"/>
        </w:rPr>
        <w:t>Each Lender, the L/C Issuer and any other recipient of any payment to be made by or on account of any obligation under this Agreement agrees that if any form or certification it previously delivered expires or becomes obsolete or inaccurate in any respect, it shall update and deliver to the Company and Administrative Agent such form or certification or promptly notify the Company and the Administrative Agent in writing of its legal inability to do so.</w:t>
      </w:r>
    </w:p>
    <w:p>
      <w:pPr>
        <w:spacing w:after="0" w:line="172" w:lineRule="exact"/>
        <w:rPr>
          <w:sz w:val="20"/>
          <w:szCs w:val="20"/>
          <w:color w:val="auto"/>
        </w:rPr>
      </w:pPr>
    </w:p>
    <w:p>
      <w:pPr>
        <w:jc w:val="both"/>
        <w:ind w:left="120" w:firstLine="605"/>
        <w:spacing w:after="0" w:line="235" w:lineRule="auto"/>
        <w:tabs>
          <w:tab w:leader="none" w:pos="11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w:t>
      </w:r>
      <w:r>
        <w:rPr>
          <w:rFonts w:ascii="Arial" w:cs="Arial" w:eastAsia="Arial" w:hAnsi="Arial"/>
          <w:sz w:val="18"/>
          <w:szCs w:val="18"/>
          <w:color w:val="181818"/>
        </w:rPr>
        <w:t>exercised in good faith</w:t>
      </w:r>
      <w:r>
        <w:rPr>
          <w:rFonts w:ascii="Arial" w:cs="Arial" w:eastAsia="Arial" w:hAnsi="Arial"/>
          <w:sz w:val="18"/>
          <w:szCs w:val="18"/>
          <w:color w:val="auto"/>
        </w:rPr>
        <w:t xml:space="preserve">, that it has received a refund of any Taxes or Other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Administrative Agent, any Lender or the L/C Issuer be required to pay any amount to any Borrower pursuant to this subsection the payment of which would place Administrative Agent, any Lender or the L/C Issuer in a less favorable net after-Tax position than such Person would have been in if the indemnification payments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92" w:name="page193"/>
    <w:bookmarkEnd w:id="192"/>
    <w:p>
      <w:pPr>
        <w:jc w:val="both"/>
        <w:ind w:left="120"/>
        <w:spacing w:after="0" w:line="227" w:lineRule="auto"/>
        <w:rPr>
          <w:sz w:val="20"/>
          <w:szCs w:val="20"/>
          <w:color w:val="auto"/>
        </w:rPr>
      </w:pPr>
      <w:r>
        <w:rPr>
          <w:rFonts w:ascii="Arial" w:cs="Arial" w:eastAsia="Arial" w:hAnsi="Arial"/>
          <w:sz w:val="20"/>
          <w:szCs w:val="20"/>
          <w:color w:val="auto"/>
        </w:rPr>
        <w:t>or additional amounts giving rise to such refund had never been paid. This subsection (f) shall not be construed to require the Administrative Agent, any Lender or the L/C Issuer to make available its Tax returns (or any other information relating to its Taxes that it deems confidential) to any Borrower or any other Person.</w:t>
      </w:r>
    </w:p>
    <w:p>
      <w:pPr>
        <w:spacing w:after="0" w:line="171" w:lineRule="exact"/>
        <w:rPr>
          <w:sz w:val="20"/>
          <w:szCs w:val="20"/>
          <w:color w:val="auto"/>
        </w:rPr>
      </w:pPr>
    </w:p>
    <w:p>
      <w:pPr>
        <w:jc w:val="both"/>
        <w:ind w:left="120" w:firstLine="605"/>
        <w:spacing w:after="0" w:line="239" w:lineRule="auto"/>
        <w:tabs>
          <w:tab w:leader="none" w:pos="1151"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Survival of Section 3.01</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shall survive the resignation and/or the replacement of the Administrative Agent, and any assignment of its rights by, or the replacement of a Lender or the L/C Issuer, the termination of the Aggregate Commitments, and the repayment, satisfaction or discharge of all other Obligations.</w:t>
      </w:r>
    </w:p>
    <w:p>
      <w:pPr>
        <w:spacing w:after="0" w:line="178" w:lineRule="exact"/>
        <w:rPr>
          <w:sz w:val="20"/>
          <w:szCs w:val="20"/>
          <w:color w:val="auto"/>
        </w:rPr>
      </w:pPr>
    </w:p>
    <w:p>
      <w:pPr>
        <w:jc w:val="both"/>
        <w:ind w:left="60" w:firstLine="601"/>
        <w:spacing w:after="0"/>
        <w:rPr>
          <w:sz w:val="20"/>
          <w:szCs w:val="20"/>
          <w:color w:val="auto"/>
        </w:rPr>
      </w:pPr>
      <w:r>
        <w:rPr>
          <w:rFonts w:ascii="Arial" w:cs="Arial" w:eastAsia="Arial" w:hAnsi="Arial"/>
          <w:sz w:val="18"/>
          <w:szCs w:val="18"/>
          <w:b w:val="1"/>
          <w:bCs w:val="1"/>
          <w:color w:val="auto"/>
        </w:rPr>
        <w:t xml:space="preserve">3.02 Illegality. </w:t>
      </w:r>
      <w:r>
        <w:rPr>
          <w:rFonts w:ascii="Arial" w:cs="Arial" w:eastAsia="Arial" w:hAnsi="Arial"/>
          <w:sz w:val="18"/>
          <w:szCs w:val="18"/>
          <w:color w:val="auto"/>
        </w:rPr>
        <w:t>If any Lender reasonably determines that any Law has made it unlawful, or that any Governmental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has asserted that it is unlawful, for any Lender or its applicable Lending Office to make, maintain or fund Loans whose interest is determined by reference to a Relevant Rate, or any Governmental Authority has imposed material restrictions on the authority of such Lender to determine or charge interest rates based upon a Relevant Rate or to purchase or sell, or to take deposits of, Dollars or any Alternative Currency in the applicable interbank market, then, on notice thereof by such Lender to the Company (through the Administrative Agent), (a) any obligation of such Lender to make or maintain Alternative Currency Term Rate Loans in the affected currency or currencies or, in the case of Eurocurrency Rate Loans, to convert Base Rate Committed (USD) Loans to Eurocurrency Rate Loans shall be, in each case, suspended, and (b)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Alternative Currency Term Rate Loans, as applicable, in the affected currency or currencies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in each case, immediately, or, in the case of Alternative Currency Term Rate Loans and Eurocurrency Rate Loans, on the last day of the Interest Period therefor if such Lender may lawfully continue to maintain such Alternative Currency Term Rate Loans or Eurocurrency Rate Loans, as applicable, to such day and (ii)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93" w:name="page194"/>
    <w:bookmarkEnd w:id="193"/>
    <w:p>
      <w:pPr>
        <w:ind w:left="660"/>
        <w:spacing w:after="0"/>
        <w:tabs>
          <w:tab w:leader="none" w:pos="130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p>
    <w:p>
      <w:pPr>
        <w:spacing w:after="0" w:line="213" w:lineRule="exact"/>
        <w:rPr>
          <w:sz w:val="20"/>
          <w:szCs w:val="20"/>
          <w:color w:val="auto"/>
        </w:rPr>
      </w:pPr>
    </w:p>
    <w:p>
      <w:pPr>
        <w:jc w:val="both"/>
        <w:ind w:left="120" w:firstLine="605"/>
        <w:spacing w:after="0"/>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in connection with any request for a Eurocurrency Rate Loan or an Alternative Currency Term Rate Loan or a conversion to or continuation thereof (i) the Administrative Agent determines that (A) deposits (whether in Dollars or an Alternative Currency) are not being offered to banks in the applicable interbank market for such currency for the applicable amount and Interest Period of such Eurocurrency Rate Loan or Alternative Currency Term Rate Loan, (B) adequate and reasonable means do not exist for determining the Relevant Rate for the applicable Agreed Currency for any requested Interest Period or determination date(s), as applicable, with respect to a proposed Eurocurrency Rate Loan or Alternative Currency Term Rate Loan or in connection with an existing or proposed Base Rate Loan or (C) a fundamental change has occurred in the foreign exchange or interbank markets with respect to such Alternative Currency (including, without limitation, changes in national or international financial, political or economic conditions or currency exchange rates or exchange controls) </w:t>
      </w:r>
      <w:r>
        <w:rPr>
          <w:rFonts w:ascii="Arial" w:cs="Arial" w:eastAsia="Arial" w:hAnsi="Arial"/>
          <w:sz w:val="18"/>
          <w:szCs w:val="18"/>
          <w:color w:val="181818"/>
        </w:rPr>
        <w:t>(in each case with respect to this clause (i), “</w:t>
      </w:r>
      <w:r>
        <w:rPr>
          <w:rFonts w:ascii="Arial" w:cs="Arial" w:eastAsia="Arial" w:hAnsi="Arial"/>
          <w:sz w:val="18"/>
          <w:szCs w:val="18"/>
          <w:u w:val="single" w:color="auto"/>
          <w:color w:val="181818"/>
        </w:rPr>
        <w:t>Impacted Loans</w:t>
      </w:r>
      <w:r>
        <w:rPr>
          <w:rFonts w:ascii="Arial" w:cs="Arial" w:eastAsia="Arial" w:hAnsi="Arial"/>
          <w:sz w:val="18"/>
          <w:szCs w:val="18"/>
          <w:color w:val="181818"/>
        </w:rPr>
        <w:t>”)</w:t>
      </w:r>
      <w:r>
        <w:rPr>
          <w:rFonts w:ascii="Arial" w:cs="Arial" w:eastAsia="Arial" w:hAnsi="Arial"/>
          <w:sz w:val="18"/>
          <w:szCs w:val="18"/>
          <w:color w:val="auto"/>
        </w:rPr>
        <w:t xml:space="preserve">, or (ii) the Administrative Agent or the Required (USD) Lenders, in the case of the Committed (USD) Facility, the Required (MC) Lenders, in the case of the Committed (MC) Facility, or the Required Term Loan Lenders, in the case of the Term Loan Facility, reasonably determine that for any reason the Relevant Rate with respect to a proposed Loan for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under the appropriate Facility to make or maintain Loans in the affected currency or currencies, as applicable, or to convert Base Rate Loans to Eurocurrency Rate Loans, shall be suspended (to the extent of the affected Eurocurrency Rate Loans, Alternative Currency Term Rate Loans, Interest Periods or determination date(s)),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(USD) Lenders, Required (MC) Lenders or Required Term Loan Lenders, as the case may be,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of this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until the Administrative Agent upon instruction of the Required (USD) Lenders, Required (MC) Lenders or Required Term Loan Lenders, as the case may be, revokes such notice. Upon receipt of such notice, (i) the Company may revoke any pending request for a Borrowing of or continuation of Eurocurrency Rate Loans or Alternative Currency Term Rate Loans or a conversion to Eurocurrency Rate Loans, (to the extent of the affected Eurocurrency Rate Loans, Alternative Currency Term Rate Loans, Interest Periods or determination date(s), as applicable) under the appropriate Facility or, failing that, will be deemed to have converted such request into a request for a Borrowing of Base Rate Loans denominated in Dollars under the appropriate Facility in the Dollar Equivalent of amount specified therein and (ii) (A) any outstanding Eurocurrency Rate Loans shall be deemed to have been converted to Base Rate Loans at the end of the applicable Interest Period and (B) any outstanding Alternative Currency Term Rate Loans, at the Company’s election, shall either (1) be converted into a Borrowing of Base Rate Loans denominated in Dollars in the Dollar Equivalent of the amount of such outstanding Alternative Currency Term Rate Loan at the end of the applicable Interest Period or (2) be prepaid in full at the end of the applicable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election is made by the Company by the last day of the current Interest Period for the Alternative Currency Term Rate Loan, the Company shall be deemed to have elected clause (1) above.</w:t>
      </w:r>
    </w:p>
    <w:p>
      <w:pPr>
        <w:spacing w:after="0" w:line="267" w:lineRule="exact"/>
        <w:rPr>
          <w:rFonts w:ascii="Arial" w:cs="Arial" w:eastAsia="Arial" w:hAnsi="Arial"/>
          <w:sz w:val="18"/>
          <w:szCs w:val="18"/>
          <w:color w:val="auto"/>
        </w:rPr>
      </w:pPr>
    </w:p>
    <w:p>
      <w:pPr>
        <w:ind w:left="120" w:firstLine="605"/>
        <w:spacing w:after="0" w:line="258" w:lineRule="auto"/>
        <w:tabs>
          <w:tab w:leader="none" w:pos="115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Administrative Agent has made the determination described in clause (i) of the first sentence of </w:t>
      </w:r>
      <w:r>
        <w:rPr>
          <w:rFonts w:ascii="Arial" w:cs="Arial" w:eastAsia="Arial" w:hAnsi="Arial"/>
          <w:sz w:val="19"/>
          <w:szCs w:val="19"/>
          <w:u w:val="single" w:color="auto"/>
          <w:color w:val="auto"/>
        </w:rPr>
        <w:t>Section 3.03(a)</w:t>
      </w:r>
      <w:r>
        <w:rPr>
          <w:rFonts w:ascii="Arial" w:cs="Arial" w:eastAsia="Arial" w:hAnsi="Arial"/>
          <w:sz w:val="19"/>
          <w:szCs w:val="19"/>
          <w:color w:val="auto"/>
        </w:rPr>
        <w:t>, the Administrative Agent, in consultation with the Borrowers and the affected Lenders, may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0" w:right="579" w:bottom="1440" w:gutter="0" w:footer="0" w:header="0"/>
        </w:sectPr>
      </w:pPr>
    </w:p>
    <w:bookmarkStart w:id="194" w:name="page195"/>
    <w:bookmarkEnd w:id="194"/>
    <w:p>
      <w:pPr>
        <w:jc w:val="both"/>
        <w:ind w:left="120"/>
        <w:spacing w:after="0" w:line="237" w:lineRule="auto"/>
        <w:rPr>
          <w:sz w:val="20"/>
          <w:szCs w:val="20"/>
          <w:color w:val="auto"/>
        </w:rPr>
      </w:pPr>
      <w:r>
        <w:rPr>
          <w:rFonts w:ascii="Arial" w:cs="Arial" w:eastAsia="Arial" w:hAnsi="Arial"/>
          <w:sz w:val="18"/>
          <w:szCs w:val="18"/>
          <w:color w:val="auto"/>
        </w:rPr>
        <w:t xml:space="preserve">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8"/>
          <w:szCs w:val="18"/>
          <w:u w:val="single" w:color="auto"/>
          <w:color w:val="auto"/>
        </w:rPr>
        <w:t>Section 3.03(a)</w:t>
      </w:r>
      <w:r>
        <w:rPr>
          <w:rFonts w:ascii="Arial" w:cs="Arial" w:eastAsia="Arial" w:hAnsi="Arial"/>
          <w:sz w:val="18"/>
          <w:szCs w:val="18"/>
          <w:color w:val="auto"/>
        </w:rPr>
        <w:t>, (ii) the Administrative Agent or the Required (USD) Lenders, in the case of the Committed (USD) Facility, the Required (MC) Lenders, in the case of the Committed (MC) Facility, or the Required Term Loan Lenders, in the case of the Term Loan Facility,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78" w:lineRule="exact"/>
        <w:rPr>
          <w:sz w:val="20"/>
          <w:szCs w:val="20"/>
          <w:color w:val="auto"/>
        </w:rPr>
      </w:pPr>
    </w:p>
    <w:p>
      <w:pPr>
        <w:ind w:left="120" w:firstLine="605"/>
        <w:spacing w:after="0" w:line="236" w:lineRule="auto"/>
        <w:tabs>
          <w:tab w:leader="none" w:pos="115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 and with respect to Loans denominated in Dollars:</w:t>
      </w:r>
    </w:p>
    <w:p>
      <w:pPr>
        <w:spacing w:after="0" w:line="184" w:lineRule="exact"/>
        <w:rPr>
          <w:rFonts w:ascii="Arial" w:cs="Arial" w:eastAsia="Arial" w:hAnsi="Arial"/>
          <w:sz w:val="20"/>
          <w:szCs w:val="20"/>
          <w:color w:val="auto"/>
        </w:rPr>
      </w:pPr>
    </w:p>
    <w:p>
      <w:pPr>
        <w:jc w:val="both"/>
        <w:ind w:left="720" w:firstLine="455"/>
        <w:spacing w:after="0" w:line="225" w:lineRule="auto"/>
        <w:tabs>
          <w:tab w:leader="none" w:pos="174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On March 5, 2021 the Financial Conduct Authority (“</w:t>
      </w:r>
      <w:r>
        <w:rPr>
          <w:rFonts w:ascii="Arial" w:cs="Arial" w:eastAsia="Arial" w:hAnsi="Arial"/>
          <w:sz w:val="19"/>
          <w:szCs w:val="19"/>
          <w:u w:val="single" w:color="auto"/>
          <w:color w:val="auto"/>
        </w:rPr>
        <w:t>FCA</w:t>
      </w:r>
      <w:r>
        <w:rPr>
          <w:rFonts w:ascii="Arial" w:cs="Arial" w:eastAsia="Arial" w:hAnsi="Arial"/>
          <w:sz w:val="19"/>
          <w:szCs w:val="19"/>
          <w:color w:val="auto"/>
        </w:rPr>
        <w:t>”), the regulatory supervisor of LIBOR’s administrator (“</w:t>
      </w:r>
      <w:r>
        <w:rPr>
          <w:rFonts w:ascii="Arial" w:cs="Arial" w:eastAsia="Arial" w:hAnsi="Arial"/>
          <w:sz w:val="19"/>
          <w:szCs w:val="19"/>
          <w:u w:val="single" w:color="auto"/>
          <w:color w:val="auto"/>
        </w:rPr>
        <w:t>IBA</w:t>
      </w:r>
      <w:r>
        <w:rPr>
          <w:rFonts w:ascii="Arial" w:cs="Arial" w:eastAsia="Arial" w:hAnsi="Arial"/>
          <w:sz w:val="19"/>
          <w:szCs w:val="19"/>
          <w:color w:val="auto"/>
        </w:rPr>
        <w:t>”), announced in a public statement the future cessation or loss of representativeness of overnight/Spot Next, 1-week, 1-month, 2-month, 3-month, 6-month and 12- month Dollar LIBOR tenor settings. On the earliest of (A) the date that all Available Tenors of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74" w:lineRule="exact"/>
        <w:rPr>
          <w:sz w:val="20"/>
          <w:szCs w:val="20"/>
          <w:color w:val="auto"/>
        </w:rPr>
      </w:pPr>
    </w:p>
    <w:p>
      <w:pPr>
        <w:jc w:val="both"/>
        <w:ind w:left="1160" w:hanging="2"/>
        <w:spacing w:after="0" w:line="237" w:lineRule="auto"/>
        <w:tabs>
          <w:tab w:leader="none" w:pos="175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in the event that the then-current Benchmark at the time of such Benchmark Transition Event is not a SOFR- based rate, the Benchmark Replacement therefor shall be determined in accordance with clause (1) of the definition of Benchmark Replacement unless the Administrative Agent determines that neither of such alternative rates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2" w:right="579" w:bottom="1440" w:gutter="0" w:footer="0" w:header="0"/>
        </w:sectPr>
      </w:pPr>
    </w:p>
    <w:bookmarkStart w:id="195" w:name="page196"/>
    <w:bookmarkEnd w:id="195"/>
    <w:p>
      <w:pPr>
        <w:jc w:val="both"/>
        <w:ind w:left="1320" w:firstLine="604"/>
        <w:spacing w:after="0" w:line="222" w:lineRule="auto"/>
        <w:tabs>
          <w:tab w:leader="none" w:pos="242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5" w:lineRule="exact"/>
        <w:rPr>
          <w:rFonts w:ascii="Arial" w:cs="Arial" w:eastAsia="Arial" w:hAnsi="Arial"/>
          <w:sz w:val="20"/>
          <w:szCs w:val="20"/>
          <w:color w:val="auto"/>
        </w:rPr>
      </w:pPr>
    </w:p>
    <w:p>
      <w:pPr>
        <w:jc w:val="both"/>
        <w:ind w:left="700" w:firstLine="608"/>
        <w:spacing w:after="0" w:line="238" w:lineRule="auto"/>
        <w:tabs>
          <w:tab w:leader="none" w:pos="174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Company may revoke any request for a borrowing of, conversion to or continuation of Loans to be made, converted or continued that would bear interest by reference to such Benchmark 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237" w:lineRule="exact"/>
        <w:rPr>
          <w:rFonts w:ascii="Arial" w:cs="Arial" w:eastAsia="Arial" w:hAnsi="Arial"/>
          <w:sz w:val="18"/>
          <w:szCs w:val="18"/>
          <w:color w:val="auto"/>
        </w:rPr>
      </w:pPr>
    </w:p>
    <w:p>
      <w:pPr>
        <w:jc w:val="both"/>
        <w:ind w:left="700" w:firstLine="608"/>
        <w:spacing w:after="0" w:line="249" w:lineRule="auto"/>
        <w:tabs>
          <w:tab w:leader="none" w:pos="17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7" w:lineRule="exact"/>
        <w:rPr>
          <w:rFonts w:ascii="Arial" w:cs="Arial" w:eastAsia="Arial" w:hAnsi="Arial"/>
          <w:sz w:val="18"/>
          <w:szCs w:val="18"/>
          <w:color w:val="auto"/>
        </w:rPr>
      </w:pPr>
    </w:p>
    <w:p>
      <w:pPr>
        <w:jc w:val="both"/>
        <w:ind w:left="700" w:firstLine="608"/>
        <w:spacing w:after="0" w:line="216" w:lineRule="auto"/>
        <w:tabs>
          <w:tab w:leader="none" w:pos="174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4" w:lineRule="exact"/>
        <w:rPr>
          <w:rFonts w:ascii="Arial" w:cs="Arial" w:eastAsia="Arial" w:hAnsi="Arial"/>
          <w:sz w:val="20"/>
          <w:szCs w:val="20"/>
          <w:color w:val="auto"/>
        </w:rPr>
      </w:pPr>
    </w:p>
    <w:p>
      <w:pPr>
        <w:jc w:val="both"/>
        <w:ind w:left="700" w:firstLine="608"/>
        <w:spacing w:after="0" w:line="219" w:lineRule="auto"/>
        <w:tabs>
          <w:tab w:leader="none" w:pos="1737"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59" w:lineRule="exact"/>
        <w:rPr>
          <w:rFonts w:ascii="Arial" w:cs="Arial" w:eastAsia="Arial" w:hAnsi="Arial"/>
          <w:sz w:val="20"/>
          <w:szCs w:val="20"/>
          <w:color w:val="auto"/>
        </w:rPr>
      </w:pPr>
    </w:p>
    <w:p>
      <w:pPr>
        <w:ind w:left="1760" w:hanging="452"/>
        <w:spacing w:after="0"/>
        <w:tabs>
          <w:tab w:leader="none" w:pos="17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As used herein, the following terms shall have the meanings set forth</w:t>
      </w:r>
    </w:p>
    <w:p>
      <w:pPr>
        <w:ind w:left="700"/>
        <w:spacing w:after="0"/>
        <w:rPr>
          <w:sz w:val="20"/>
          <w:szCs w:val="20"/>
          <w:color w:val="auto"/>
        </w:rPr>
      </w:pPr>
      <w:r>
        <w:rPr>
          <w:rFonts w:ascii="Arial" w:cs="Arial" w:eastAsia="Arial" w:hAnsi="Arial"/>
          <w:sz w:val="20"/>
          <w:szCs w:val="20"/>
          <w:color w:val="auto"/>
        </w:rPr>
        <w:t>below:</w:t>
      </w:r>
    </w:p>
    <w:p>
      <w:pPr>
        <w:spacing w:after="0" w:line="191" w:lineRule="exact"/>
        <w:rPr>
          <w:sz w:val="20"/>
          <w:szCs w:val="20"/>
          <w:color w:val="auto"/>
        </w:rPr>
      </w:pPr>
    </w:p>
    <w:p>
      <w:pPr>
        <w:ind w:left="72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means, as of any date of determination and with respect to the then-current Benchmark, as applicable, (x) if the then-current Benchmark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96" w:name="page197"/>
    <w:bookmarkEnd w:id="196"/>
    <w:p>
      <w:pPr>
        <w:jc w:val="both"/>
        <w:ind w:left="720"/>
        <w:spacing w:after="0" w:line="227" w:lineRule="auto"/>
        <w:rPr>
          <w:sz w:val="20"/>
          <w:szCs w:val="20"/>
          <w:color w:val="auto"/>
        </w:rPr>
      </w:pPr>
      <w:r>
        <w:rPr>
          <w:rFonts w:ascii="Arial" w:cs="Arial" w:eastAsia="Arial" w:hAnsi="Arial"/>
          <w:sz w:val="20"/>
          <w:szCs w:val="20"/>
          <w:color w:val="auto"/>
        </w:rPr>
        <w:t>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84" w:lineRule="exact"/>
        <w:rPr>
          <w:sz w:val="20"/>
          <w:szCs w:val="20"/>
          <w:color w:val="auto"/>
        </w:rPr>
      </w:pPr>
    </w:p>
    <w:p>
      <w:pPr>
        <w:jc w:val="both"/>
        <w:ind w:left="720" w:firstLine="59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replacement of the Benchmark has occurred pursuant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3"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w:t>
      </w:r>
    </w:p>
    <w:p>
      <w:pPr>
        <w:spacing w:after="0" w:line="207" w:lineRule="exact"/>
        <w:rPr>
          <w:sz w:val="20"/>
          <w:szCs w:val="20"/>
          <w:color w:val="auto"/>
        </w:rPr>
      </w:pPr>
    </w:p>
    <w:p>
      <w:pPr>
        <w:ind w:left="1300" w:right="1240" w:firstLine="14"/>
        <w:spacing w:after="0" w:line="236" w:lineRule="auto"/>
        <w:tabs>
          <w:tab w:leader="none" w:pos="173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3.03(c)(i)</w:t>
      </w:r>
      <w:r>
        <w:rPr>
          <w:rFonts w:ascii="Arial" w:cs="Arial" w:eastAsia="Arial" w:hAnsi="Arial"/>
          <w:sz w:val="20"/>
          <w:szCs w:val="20"/>
          <w:color w:val="auto"/>
        </w:rPr>
        <w:t>, the first alternative set forth below that can be determined by the Administrative Agent:</w:t>
      </w:r>
    </w:p>
    <w:p>
      <w:pPr>
        <w:spacing w:after="0" w:line="184" w:lineRule="exact"/>
        <w:rPr>
          <w:rFonts w:ascii="Arial" w:cs="Arial" w:eastAsia="Arial" w:hAnsi="Arial"/>
          <w:sz w:val="20"/>
          <w:szCs w:val="20"/>
          <w:color w:val="auto"/>
        </w:rPr>
      </w:pPr>
    </w:p>
    <w:p>
      <w:pPr>
        <w:jc w:val="both"/>
        <w:ind w:left="1320" w:firstLine="604"/>
        <w:spacing w:after="0" w:line="227" w:lineRule="auto"/>
        <w:tabs>
          <w:tab w:leader="none" w:pos="2341" w:val="left"/>
        </w:tabs>
        <w:numPr>
          <w:ilvl w:val="2"/>
          <w:numId w:val="153"/>
        </w:numPr>
        <w:rPr>
          <w:rFonts w:ascii="Arial" w:cs="Arial" w:eastAsia="Arial" w:hAnsi="Arial"/>
          <w:sz w:val="20"/>
          <w:szCs w:val="20"/>
          <w:color w:val="auto"/>
        </w:rPr>
      </w:pPr>
      <w:r>
        <w:rPr>
          <w:rFonts w:ascii="Arial" w:cs="Arial" w:eastAsia="Arial" w:hAnsi="Arial"/>
          <w:sz w:val="20"/>
          <w:szCs w:val="20"/>
          <w:color w:val="auto"/>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71" w:lineRule="exact"/>
        <w:rPr>
          <w:rFonts w:ascii="Arial" w:cs="Arial" w:eastAsia="Arial" w:hAnsi="Arial"/>
          <w:sz w:val="20"/>
          <w:szCs w:val="20"/>
          <w:color w:val="auto"/>
        </w:rPr>
      </w:pPr>
    </w:p>
    <w:p>
      <w:pPr>
        <w:jc w:val="both"/>
        <w:ind w:left="1320" w:firstLine="604"/>
        <w:spacing w:after="0"/>
        <w:tabs>
          <w:tab w:leader="none" w:pos="2352" w:val="left"/>
        </w:tabs>
        <w:numPr>
          <w:ilvl w:val="2"/>
          <w:numId w:val="153"/>
        </w:numPr>
        <w:rPr>
          <w:rFonts w:ascii="Arial" w:cs="Arial" w:eastAsia="Arial" w:hAnsi="Arial"/>
          <w:sz w:val="18"/>
          <w:szCs w:val="18"/>
          <w:color w:val="auto"/>
        </w:rPr>
      </w:pPr>
      <w:r>
        <w:rPr>
          <w:rFonts w:ascii="Arial" w:cs="Arial" w:eastAsia="Arial" w:hAnsi="Arial"/>
          <w:sz w:val="18"/>
          <w:szCs w:val="18"/>
          <w:color w:val="auto"/>
        </w:rPr>
        <w:t xml:space="preserve">the sum of: (i) Daily Simple SOFR and (ii) 0.11448% (11.448 basis points);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74" w:lineRule="exact"/>
        <w:rPr>
          <w:rFonts w:ascii="Arial" w:cs="Arial" w:eastAsia="Arial" w:hAnsi="Arial"/>
          <w:sz w:val="18"/>
          <w:szCs w:val="18"/>
          <w:color w:val="auto"/>
        </w:rPr>
      </w:pPr>
    </w:p>
    <w:p>
      <w:pPr>
        <w:jc w:val="both"/>
        <w:ind w:left="720" w:firstLine="605"/>
        <w:spacing w:after="0" w:line="226" w:lineRule="auto"/>
        <w:tabs>
          <w:tab w:leader="none" w:pos="1752"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3.03(c)(ii)</w:t>
      </w:r>
      <w:r>
        <w:rPr>
          <w:rFonts w:ascii="Arial" w:cs="Arial" w:eastAsia="Arial" w:hAnsi="Arial"/>
          <w:sz w:val="19"/>
          <w:szCs w:val="19"/>
          <w:color w:val="auto"/>
        </w:rPr>
        <w:t xml:space="preserve">,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Dollar-denominated syndicated credit facilities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Benchmark Replacement as determined pursuant to clause 0 or 0 above would be less than 0%, the Benchmark Replacement will be deemed to be 0% for the purposes of this Agreement and the other Loan Documents. Any Benchmark Replacement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83" w:lineRule="exact"/>
        <w:rPr>
          <w:sz w:val="20"/>
          <w:szCs w:val="20"/>
          <w:color w:val="auto"/>
        </w:rPr>
      </w:pPr>
    </w:p>
    <w:p>
      <w:pPr>
        <w:jc w:val="both"/>
        <w:ind w:left="720" w:firstLine="59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197" w:name="page198"/>
    <w:bookmarkEnd w:id="197"/>
    <w:p>
      <w:pPr>
        <w:jc w:val="both"/>
        <w:ind w:left="720"/>
        <w:spacing w:after="0" w:line="215" w:lineRule="auto"/>
        <w:rPr>
          <w:sz w:val="20"/>
          <w:szCs w:val="20"/>
          <w:color w:val="auto"/>
        </w:rPr>
      </w:pPr>
      <w:r>
        <w:rPr>
          <w:rFonts w:ascii="Arial" w:cs="Arial" w:eastAsia="Arial" w:hAnsi="Arial"/>
          <w:sz w:val="20"/>
          <w:szCs w:val="20"/>
          <w:color w:val="auto"/>
        </w:rPr>
        <w:t>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37" w:lineRule="exact"/>
        <w:rPr>
          <w:sz w:val="20"/>
          <w:szCs w:val="20"/>
          <w:color w:val="auto"/>
        </w:rPr>
      </w:pPr>
    </w:p>
    <w:p>
      <w:pPr>
        <w:jc w:val="both"/>
        <w:ind w:left="720" w:firstLine="59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83" w:lineRule="exact"/>
        <w:rPr>
          <w:sz w:val="20"/>
          <w:szCs w:val="20"/>
          <w:color w:val="auto"/>
        </w:rPr>
      </w:pPr>
    </w:p>
    <w:p>
      <w:pPr>
        <w:jc w:val="both"/>
        <w:ind w:left="720" w:firstLine="599"/>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with respect to any applicable determination date means the secured overnight financing rate (“</w:t>
      </w:r>
      <w:r>
        <w:rPr>
          <w:rFonts w:ascii="Arial" w:cs="Arial" w:eastAsia="Arial" w:hAnsi="Arial"/>
          <w:sz w:val="19"/>
          <w:szCs w:val="19"/>
          <w:u w:val="single" w:color="auto"/>
          <w:color w:val="auto"/>
        </w:rPr>
        <w:t>SOFR</w:t>
      </w:r>
      <w:r>
        <w:rPr>
          <w:rFonts w:ascii="Arial" w:cs="Arial" w:eastAsia="Arial" w:hAnsi="Arial"/>
          <w:sz w:val="19"/>
          <w:szCs w:val="19"/>
          <w:color w:val="auto"/>
        </w:rPr>
        <w:t>”)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jc w:val="both"/>
        <w:ind w:left="720" w:firstLine="59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65"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the occurrence of:</w:t>
      </w:r>
    </w:p>
    <w:p>
      <w:pPr>
        <w:spacing w:after="0" w:line="207" w:lineRule="exact"/>
        <w:rPr>
          <w:sz w:val="20"/>
          <w:szCs w:val="20"/>
          <w:color w:val="auto"/>
        </w:rPr>
      </w:pPr>
    </w:p>
    <w:p>
      <w:pPr>
        <w:jc w:val="both"/>
        <w:ind w:left="720" w:firstLine="605"/>
        <w:spacing w:after="0" w:line="222" w:lineRule="auto"/>
        <w:tabs>
          <w:tab w:leader="none" w:pos="174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a determination by the Administrative Agent, or a notification by the Company to the Administrative Agent that the Company has made a determination, that Dollar-denominated syndicated credit facilities currently being executed, or that include language similar to that contained in </w:t>
      </w:r>
      <w:r>
        <w:rPr>
          <w:rFonts w:ascii="Arial" w:cs="Arial" w:eastAsia="Arial" w:hAnsi="Arial"/>
          <w:sz w:val="20"/>
          <w:szCs w:val="20"/>
          <w:u w:val="single" w:color="auto"/>
          <w:color w:val="auto"/>
        </w:rPr>
        <w:t>Section 3.03(c)</w:t>
      </w:r>
      <w:r>
        <w:rPr>
          <w:rFonts w:ascii="Arial" w:cs="Arial" w:eastAsia="Arial" w:hAnsi="Arial"/>
          <w:sz w:val="20"/>
          <w:szCs w:val="20"/>
          <w:color w:val="auto"/>
        </w:rPr>
        <w:t>, are being executed or amended (as applicable) to incorporate or adopt a new benchmark interest rate to replace LIBOR, and</w:t>
      </w:r>
    </w:p>
    <w:p>
      <w:pPr>
        <w:spacing w:after="0" w:line="185" w:lineRule="exact"/>
        <w:rPr>
          <w:rFonts w:ascii="Arial" w:cs="Arial" w:eastAsia="Arial" w:hAnsi="Arial"/>
          <w:sz w:val="20"/>
          <w:szCs w:val="20"/>
          <w:color w:val="auto"/>
        </w:rPr>
      </w:pPr>
    </w:p>
    <w:p>
      <w:pPr>
        <w:ind w:left="720" w:firstLine="605"/>
        <w:spacing w:after="0" w:line="236" w:lineRule="auto"/>
        <w:tabs>
          <w:tab w:leader="none" w:pos="175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Company to replace LIBOR with a Benchmark Replacement and the provision by the Administrative Agent of written notice of such election to the Lenders.</w:t>
      </w:r>
    </w:p>
    <w:p>
      <w:pPr>
        <w:spacing w:after="0" w:line="172" w:lineRule="exact"/>
        <w:rPr>
          <w:sz w:val="20"/>
          <w:szCs w:val="20"/>
          <w:color w:val="auto"/>
        </w:rPr>
      </w:pPr>
    </w:p>
    <w:p>
      <w:pPr>
        <w:ind w:left="72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Rate Early Opt-in</w:t>
      </w:r>
      <w:r>
        <w:rPr>
          <w:rFonts w:ascii="Arial" w:cs="Arial" w:eastAsia="Arial" w:hAnsi="Arial"/>
          <w:sz w:val="20"/>
          <w:szCs w:val="20"/>
          <w:color w:val="auto"/>
        </w:rPr>
        <w:t>” means the Administrative Agent and the Company have elected to replace LIBOR with a Benchmark Replacement other than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198" w:name="page199"/>
    <w:bookmarkEnd w:id="198"/>
    <w:p>
      <w:pPr>
        <w:jc w:val="both"/>
        <w:ind w:left="720" w:right="140"/>
        <w:spacing w:after="0" w:line="236" w:lineRule="auto"/>
        <w:rPr>
          <w:sz w:val="20"/>
          <w:szCs w:val="20"/>
          <w:color w:val="auto"/>
        </w:rPr>
      </w:pPr>
      <w:r>
        <w:rPr>
          <w:rFonts w:ascii="Arial" w:cs="Arial" w:eastAsia="Arial" w:hAnsi="Arial"/>
          <w:sz w:val="20"/>
          <w:szCs w:val="20"/>
          <w:color w:val="auto"/>
        </w:rPr>
        <w:t xml:space="preserve">a SOFR-based rate pursuant to (1) an Early Opt-in Election and (2) </w:t>
      </w:r>
      <w:r>
        <w:rPr>
          <w:rFonts w:ascii="Arial" w:cs="Arial" w:eastAsia="Arial" w:hAnsi="Arial"/>
          <w:sz w:val="20"/>
          <w:szCs w:val="20"/>
          <w:u w:val="single" w:color="auto"/>
          <w:color w:val="auto"/>
        </w:rPr>
        <w:t>Section 3.03(c)(ii)</w:t>
      </w:r>
      <w:r>
        <w:rPr>
          <w:rFonts w:ascii="Arial" w:cs="Arial" w:eastAsia="Arial" w:hAnsi="Arial"/>
          <w:sz w:val="20"/>
          <w:szCs w:val="20"/>
          <w:color w:val="auto"/>
        </w:rPr>
        <w:t xml:space="preserve"> and paragraph (2) of the definition of “Benchmark Replacement”.</w:t>
      </w:r>
    </w:p>
    <w:p>
      <w:pPr>
        <w:spacing w:after="0" w:line="184" w:lineRule="exact"/>
        <w:rPr>
          <w:sz w:val="20"/>
          <w:szCs w:val="20"/>
          <w:color w:val="auto"/>
        </w:rPr>
      </w:pPr>
    </w:p>
    <w:p>
      <w:pPr>
        <w:jc w:val="both"/>
        <w:ind w:left="720" w:right="140" w:firstLine="599"/>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has the meaning assigned to that term in the definition of Daily Simple</w:t>
      </w:r>
    </w:p>
    <w:p>
      <w:pPr>
        <w:ind w:left="720"/>
        <w:spacing w:after="0"/>
        <w:rPr>
          <w:sz w:val="20"/>
          <w:szCs w:val="20"/>
          <w:color w:val="auto"/>
        </w:rPr>
      </w:pPr>
      <w:r>
        <w:rPr>
          <w:rFonts w:ascii="Arial" w:cs="Arial" w:eastAsia="Arial" w:hAnsi="Arial"/>
          <w:sz w:val="20"/>
          <w:szCs w:val="20"/>
          <w:color w:val="auto"/>
        </w:rPr>
        <w:t>SOFR.</w:t>
      </w:r>
    </w:p>
    <w:p>
      <w:pPr>
        <w:spacing w:after="0" w:line="177"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Early Opt-in</w:t>
      </w:r>
      <w:r>
        <w:rPr>
          <w:rFonts w:ascii="Arial" w:cs="Arial" w:eastAsia="Arial" w:hAnsi="Arial"/>
          <w:sz w:val="20"/>
          <w:szCs w:val="20"/>
          <w:color w:val="auto"/>
        </w:rPr>
        <w:t>” means the Administrative Agent and the Company have</w:t>
      </w:r>
    </w:p>
    <w:p>
      <w:pPr>
        <w:ind w:left="720"/>
        <w:spacing w:after="0" w:line="228" w:lineRule="auto"/>
        <w:rPr>
          <w:sz w:val="20"/>
          <w:szCs w:val="20"/>
          <w:color w:val="auto"/>
        </w:rPr>
      </w:pPr>
      <w:r>
        <w:rPr>
          <w:rFonts w:ascii="Arial" w:cs="Arial" w:eastAsia="Arial" w:hAnsi="Arial"/>
          <w:sz w:val="20"/>
          <w:szCs w:val="20"/>
          <w:color w:val="auto"/>
        </w:rPr>
        <w:t xml:space="preserve">elected to replace LIBOR pursuant to (1) an Early Opt-in Election and (2) </w:t>
      </w:r>
      <w:r>
        <w:rPr>
          <w:rFonts w:ascii="Arial" w:cs="Arial" w:eastAsia="Arial" w:hAnsi="Arial"/>
          <w:sz w:val="20"/>
          <w:szCs w:val="20"/>
          <w:u w:val="single" w:color="auto"/>
          <w:color w:val="auto"/>
        </w:rPr>
        <w:t>Section 3.03(c)(i)</w:t>
      </w:r>
      <w:r>
        <w:rPr>
          <w:rFonts w:ascii="Arial" w:cs="Arial" w:eastAsia="Arial" w:hAnsi="Arial"/>
          <w:sz w:val="20"/>
          <w:szCs w:val="20"/>
          <w:color w:val="auto"/>
        </w:rPr>
        <w:t xml:space="preserve"> and paragraph (1) of the definition of “Benchmark Replacement”.</w:t>
      </w:r>
    </w:p>
    <w:p>
      <w:pPr>
        <w:spacing w:after="0" w:line="184" w:lineRule="exact"/>
        <w:rPr>
          <w:sz w:val="20"/>
          <w:szCs w:val="20"/>
          <w:color w:val="auto"/>
        </w:rPr>
      </w:pPr>
    </w:p>
    <w:p>
      <w:pPr>
        <w:jc w:val="both"/>
        <w:ind w:left="720" w:right="140" w:firstLine="599"/>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 looking term rate based on SOFR that has been selected or recommended by the Relevant Governmental Body.</w:t>
      </w:r>
    </w:p>
    <w:p>
      <w:pPr>
        <w:spacing w:after="0" w:line="174" w:lineRule="exact"/>
        <w:rPr>
          <w:sz w:val="20"/>
          <w:szCs w:val="20"/>
          <w:color w:val="auto"/>
        </w:rPr>
      </w:pPr>
    </w:p>
    <w:p>
      <w:pPr>
        <w:jc w:val="both"/>
        <w:ind w:left="120" w:right="140" w:firstLine="605"/>
        <w:spacing w:after="0" w:line="222" w:lineRule="auto"/>
        <w:tabs>
          <w:tab w:leader="none" w:pos="115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 with respect to Alternative Currency Term Rate Loans,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247" w:lineRule="exact"/>
        <w:rPr>
          <w:rFonts w:ascii="Arial" w:cs="Arial" w:eastAsia="Arial" w:hAnsi="Arial"/>
          <w:sz w:val="20"/>
          <w:szCs w:val="20"/>
          <w:color w:val="auto"/>
        </w:rPr>
      </w:pPr>
    </w:p>
    <w:p>
      <w:pPr>
        <w:jc w:val="both"/>
        <w:ind w:left="720" w:right="140" w:firstLine="605"/>
        <w:spacing w:after="0" w:line="239" w:lineRule="auto"/>
        <w:tabs>
          <w:tab w:leader="none" w:pos="174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the Relevant Rate for an Agreed Currency (other than Dollars) because none of the tenors of such Relevant Rate (including any forward-looking term rate thereof) is available or published on a current basis and such circumstances are unlikely to be temporary; or</w:t>
      </w:r>
    </w:p>
    <w:p>
      <w:pPr>
        <w:spacing w:after="0" w:line="183" w:lineRule="exact"/>
        <w:rPr>
          <w:rFonts w:ascii="Arial" w:cs="Arial" w:eastAsia="Arial" w:hAnsi="Arial"/>
          <w:sz w:val="19"/>
          <w:szCs w:val="19"/>
          <w:color w:val="auto"/>
        </w:rPr>
      </w:pPr>
    </w:p>
    <w:p>
      <w:pPr>
        <w:jc w:val="both"/>
        <w:ind w:left="720" w:right="140" w:firstLine="605"/>
        <w:spacing w:after="0" w:line="215" w:lineRule="auto"/>
        <w:tabs>
          <w:tab w:leader="none" w:pos="175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 xml:space="preserve">the Applicable Authority has made a public statement identifying a specific date after which all tenors of the Relevant Rate for an Agreed Currency (other than Dollars) (including any forward-looking term rate thereof) shall or will no longer be representative or made available, or used for determining the interest rate of loans denominated in such Agreed Currency, or shall or will otherwise cease,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720" w:right="140" w:firstLine="605"/>
        <w:spacing w:after="0" w:line="286" w:lineRule="auto"/>
        <w:tabs>
          <w:tab w:leader="none" w:pos="174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syndicated loans currently being executed and agented in the U.S., are being executed or amended (as applicable) to incorporate or adopt a new benchmark interest rate to replace the Relevant Rate for an Agreed Currency (other than Dollars);</w:t>
      </w:r>
    </w:p>
    <w:p>
      <w:pPr>
        <w:spacing w:after="0" w:line="143" w:lineRule="exact"/>
        <w:rPr>
          <w:sz w:val="20"/>
          <w:szCs w:val="20"/>
          <w:color w:val="auto"/>
        </w:rPr>
      </w:pPr>
    </w:p>
    <w:p>
      <w:pPr>
        <w:ind w:left="120" w:right="140" w:firstLine="598"/>
        <w:spacing w:after="0" w:line="286" w:lineRule="auto"/>
        <w:rPr>
          <w:sz w:val="20"/>
          <w:szCs w:val="20"/>
          <w:color w:val="auto"/>
        </w:rPr>
      </w:pPr>
      <w:r>
        <w:rPr>
          <w:rFonts w:ascii="Arial" w:cs="Arial" w:eastAsia="Arial" w:hAnsi="Arial"/>
          <w:sz w:val="18"/>
          <w:szCs w:val="18"/>
          <w:color w:val="auto"/>
        </w:rPr>
        <w:t xml:space="preserve">or if the events or circumstances of the type described in </w:t>
      </w:r>
      <w:r>
        <w:rPr>
          <w:rFonts w:ascii="Arial" w:cs="Arial" w:eastAsia="Arial" w:hAnsi="Arial"/>
          <w:sz w:val="18"/>
          <w:szCs w:val="18"/>
          <w:u w:val="single" w:color="auto"/>
          <w:color w:val="auto"/>
        </w:rPr>
        <w:t>Section 3.03(d)(i)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have occurred with respect to the Successor Rate then in effect, then, the Administrative Agent and the Company may amend this Agreement solely for the purpose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00"/>
          </w:cols>
          <w:pgMar w:left="360" w:top="1306" w:right="439" w:bottom="1440" w:gutter="0" w:footer="0" w:header="0"/>
        </w:sectPr>
      </w:pPr>
    </w:p>
    <w:bookmarkStart w:id="199" w:name="page200"/>
    <w:bookmarkEnd w:id="199"/>
    <w:p>
      <w:pPr>
        <w:jc w:val="both"/>
        <w:ind w:left="120"/>
        <w:spacing w:after="0" w:line="237" w:lineRule="auto"/>
        <w:rPr>
          <w:sz w:val="20"/>
          <w:szCs w:val="20"/>
          <w:color w:val="auto"/>
        </w:rPr>
      </w:pPr>
      <w:r>
        <w:rPr>
          <w:rFonts w:ascii="Arial" w:cs="Arial" w:eastAsia="Arial" w:hAnsi="Arial"/>
          <w:sz w:val="18"/>
          <w:szCs w:val="18"/>
          <w:color w:val="auto"/>
        </w:rPr>
        <w:t xml:space="preserve">of replacing the Relevant Rate for an Agreed Currency (other than Dollars) or any then current Successor Rate for an Agreed Currency (other than Dollars)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8"/>
          <w:szCs w:val="18"/>
          <w:u w:val="single" w:color="auto"/>
          <w:color w:val="auto"/>
        </w:rPr>
        <w:t>Successor Rate</w:t>
      </w:r>
      <w:r>
        <w:rPr>
          <w:rFonts w:ascii="Arial" w:cs="Arial" w:eastAsia="Arial" w:hAnsi="Arial"/>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6"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20"/>
          <w:szCs w:val="20"/>
          <w:color w:val="auto"/>
        </w:rPr>
        <w:t>The Administrative Agent will promptly (in one or more notices) notify the Company and each Lender of the implementation of any Successor Rate.</w:t>
      </w:r>
    </w:p>
    <w:p>
      <w:pPr>
        <w:spacing w:after="0" w:line="172"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4"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184"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color w:val="auto"/>
        </w:rPr>
        <w:t xml:space="preserve">In connection with the implementation of a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Successor Rate Conforming Changes to the Company and the Lenders reasonably promptly after such amendment becomes effective.</w:t>
      </w:r>
    </w:p>
    <w:p>
      <w:pPr>
        <w:spacing w:after="0" w:line="176"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Successor Rate Conforming Changes</w:t>
      </w:r>
      <w:r>
        <w:rPr>
          <w:rFonts w:ascii="Arial" w:cs="Arial" w:eastAsia="Arial" w:hAnsi="Arial"/>
          <w:sz w:val="19"/>
          <w:szCs w:val="19"/>
          <w:color w:val="auto"/>
        </w:rPr>
        <w:t>” means, with respect to the use, administration of or any conventions associated with any proposed Successor Rate for an Agreed Currency (other than Dollars), any conforming changes to the definitions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00" w:name="page201"/>
    <w:bookmarkEnd w:id="200"/>
    <w:p>
      <w:pPr>
        <w:spacing w:after="0" w:line="148"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7"/>
          <w:szCs w:val="17"/>
          <w:b w:val="1"/>
          <w:bCs w:val="1"/>
          <w:color w:val="auto"/>
        </w:rPr>
        <w:t>Increased Costs; Reserves on Eurocurrency Rate Loans.</w:t>
      </w:r>
    </w:p>
    <w:p>
      <w:pPr>
        <w:spacing w:after="0" w:line="213" w:lineRule="exact"/>
        <w:rPr>
          <w:sz w:val="20"/>
          <w:szCs w:val="20"/>
          <w:color w:val="auto"/>
        </w:rPr>
      </w:pPr>
    </w:p>
    <w:p>
      <w:pPr>
        <w:ind w:left="1320" w:hanging="595"/>
        <w:spacing w:after="0"/>
        <w:tabs>
          <w:tab w:leader="none" w:pos="132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06"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 or the L/C Issuer;</w:t>
      </w:r>
    </w:p>
    <w:p>
      <w:pPr>
        <w:spacing w:after="0" w:line="171" w:lineRule="exact"/>
        <w:rPr>
          <w:rFonts w:ascii="Arial" w:cs="Arial" w:eastAsia="Arial" w:hAnsi="Arial"/>
          <w:sz w:val="20"/>
          <w:szCs w:val="20"/>
          <w:color w:val="auto"/>
        </w:rPr>
      </w:pPr>
    </w:p>
    <w:p>
      <w:pPr>
        <w:jc w:val="both"/>
        <w:ind w:left="720" w:firstLine="605"/>
        <w:spacing w:after="0" w:line="219" w:lineRule="auto"/>
        <w:tabs>
          <w:tab w:leader="none" w:pos="175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subject any Lender or the L/C Issuer to any Tax of any kind whatsoever with respect to this Agreement, any Letter of Credit, any Bankers’ Acceptance, any participation in a Letter of Credit or Bankers’ Acceptance or any Eurocurrency Rate Loan or Alternative Currency Term Rate Loan made by it, or change the basis of taxation of payments to such Lender or the L/C Issuer in respect thereof (except for (A) Indemnified Taxes, (B) Taxes described in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the definition of Excluded Taxes and (C) Connection Income Taxes); or</w:t>
      </w:r>
    </w:p>
    <w:p>
      <w:pPr>
        <w:spacing w:after="0" w:line="174" w:lineRule="exact"/>
        <w:rPr>
          <w:rFonts w:ascii="Arial" w:cs="Arial" w:eastAsia="Arial" w:hAnsi="Arial"/>
          <w:sz w:val="20"/>
          <w:szCs w:val="20"/>
          <w:color w:val="auto"/>
        </w:rPr>
      </w:pPr>
    </w:p>
    <w:p>
      <w:pPr>
        <w:jc w:val="both"/>
        <w:ind w:left="720" w:firstLine="605"/>
        <w:spacing w:after="0" w:line="227" w:lineRule="auto"/>
        <w:tabs>
          <w:tab w:leader="none" w:pos="1743" w:val="left"/>
        </w:tabs>
        <w:numPr>
          <w:ilvl w:val="1"/>
          <w:numId w:val="156"/>
        </w:numPr>
        <w:rPr>
          <w:rFonts w:ascii="Arial" w:cs="Arial" w:eastAsia="Arial" w:hAnsi="Arial"/>
          <w:sz w:val="20"/>
          <w:szCs w:val="20"/>
          <w:color w:val="auto"/>
        </w:rPr>
      </w:pPr>
      <w:r>
        <w:rPr>
          <w:rFonts w:ascii="Arial" w:cs="Arial" w:eastAsia="Arial" w:hAnsi="Arial"/>
          <w:sz w:val="20"/>
          <w:szCs w:val="20"/>
          <w:color w:val="auto"/>
        </w:rPr>
        <w:t>impose on any Lender or the L/C Issuer or any applicable interbank market any other condition, cost or expense (other than any Tax) affecting this Agreement or Eurocurrency Rate Loans or Alternative Currency Term Rate Loans made by such Lender or any Letter of Credit or Bankers’ Acceptance or participation therein;</w:t>
      </w:r>
    </w:p>
    <w:p>
      <w:pPr>
        <w:spacing w:after="0" w:line="17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(or of maintaining its obligation to make any Loan), or to increase the cost to such Lender or the L/C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87" w:lineRule="exact"/>
        <w:rPr>
          <w:sz w:val="20"/>
          <w:szCs w:val="20"/>
          <w:color w:val="auto"/>
        </w:rPr>
      </w:pPr>
    </w:p>
    <w:p>
      <w:pPr>
        <w:jc w:val="both"/>
        <w:ind w:left="120" w:firstLine="605"/>
        <w:spacing w:after="0" w:line="237" w:lineRule="auto"/>
        <w:tabs>
          <w:tab w:leader="none" w:pos="115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L/C Issuer reasonably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Bankers’ Acceptances or Swing Line Loans held by, such Lender, or the Letters of Credit or Bankers’ Acceptances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01" w:name="page202"/>
    <w:bookmarkEnd w:id="201"/>
    <w:p>
      <w:pPr>
        <w:jc w:val="both"/>
        <w:ind w:left="120" w:firstLine="605"/>
        <w:spacing w:after="0" w:line="219" w:lineRule="auto"/>
        <w:tabs>
          <w:tab w:leader="none" w:pos="1152"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or the L/C Issuer setting forth the amount or amounts necessary to compensate such Lender or the L/C Issuer or its holding company, as the case may be, as specified in subsection (a) or (b) of this Section and delivered to the Company shall be conclusive absent manifest error. The Company shall pay (or cause the applicable Borrower to pay) such Lender or the L/C Issuer, as the case may be, the amount shown as due on any such certificate within 10 Business Days after receipt thereof.</w:t>
      </w:r>
    </w:p>
    <w:p>
      <w:pPr>
        <w:spacing w:after="0" w:line="186" w:lineRule="exact"/>
        <w:rPr>
          <w:rFonts w:ascii="Arial" w:cs="Arial" w:eastAsia="Arial" w:hAnsi="Arial"/>
          <w:sz w:val="20"/>
          <w:szCs w:val="20"/>
          <w:color w:val="auto"/>
        </w:rPr>
      </w:pPr>
    </w:p>
    <w:p>
      <w:pPr>
        <w:jc w:val="both"/>
        <w:ind w:left="120" w:firstLine="605"/>
        <w:spacing w:after="0" w:line="215" w:lineRule="auto"/>
        <w:tabs>
          <w:tab w:leader="none" w:pos="1151"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Borrower shall be required to compensate a Lender or the L/C Issuer pursuant to the foregoing provisions of this Section for any increased costs incurred or reductions suffered more than six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4" w:lineRule="exact"/>
        <w:rPr>
          <w:rFonts w:ascii="Arial" w:cs="Arial" w:eastAsia="Arial" w:hAnsi="Arial"/>
          <w:sz w:val="20"/>
          <w:szCs w:val="20"/>
          <w:color w:val="auto"/>
        </w:rPr>
      </w:pPr>
    </w:p>
    <w:p>
      <w:pPr>
        <w:jc w:val="both"/>
        <w:ind w:left="120" w:firstLine="605"/>
        <w:spacing w:after="0" w:line="223" w:lineRule="auto"/>
        <w:tabs>
          <w:tab w:leader="none" w:pos="1152"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Additional Reserve Requirements</w:t>
      </w:r>
      <w:r>
        <w:rPr>
          <w:rFonts w:ascii="Arial" w:cs="Arial" w:eastAsia="Arial" w:hAnsi="Arial"/>
          <w:sz w:val="19"/>
          <w:szCs w:val="19"/>
          <w:color w:val="auto"/>
        </w:rPr>
        <w:t xml:space="preserve">. The Company shall pay (or cause the applicable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reasonably determined by such Lender in good faith, which determination shall be conclusive, which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Company shall have received at least 10 Business Days’ prior notice (with a copy to the Administrative Agent) of such additional costs from such Lender. If a Lender fails to give notice 10 Business Days prior to the relevant Interest Payment Date, such additional costs shall be due and payable 10 Business Days from receipt of such notice.</w:t>
      </w:r>
    </w:p>
    <w:p>
      <w:pPr>
        <w:spacing w:after="0" w:line="182" w:lineRule="exact"/>
        <w:rPr>
          <w:rFonts w:ascii="Arial" w:cs="Arial" w:eastAsia="Arial" w:hAnsi="Arial"/>
          <w:sz w:val="19"/>
          <w:szCs w:val="19"/>
          <w:color w:val="auto"/>
        </w:rPr>
      </w:pPr>
    </w:p>
    <w:p>
      <w:pPr>
        <w:jc w:val="both"/>
        <w:ind w:left="120" w:firstLine="605"/>
        <w:spacing w:after="0" w:line="231" w:lineRule="auto"/>
        <w:tabs>
          <w:tab w:leader="none" w:pos="1143"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Certain Limitations</w:t>
      </w:r>
      <w:r>
        <w:rPr>
          <w:rFonts w:ascii="Arial" w:cs="Arial" w:eastAsia="Arial" w:hAnsi="Arial"/>
          <w:sz w:val="19"/>
          <w:szCs w:val="19"/>
          <w:color w:val="auto"/>
        </w:rPr>
        <w:t xml:space="preserve">. Notwithstanding any other provision of this Section, no Lender or L/C Issuer shall demand compensation for any increased cost or reduction pursuant to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if it shall not at the time be the general policy or practice of such Lender or L/C Issuer to demand such compensation from similarly situated customers under comparable provisions of similar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shall require any Lender or any L/C Issuer to disclose any confidential information related to similarly situated customers, comparable provisions of similar agreements or otherwise.</w:t>
      </w:r>
    </w:p>
    <w:p>
      <w:pPr>
        <w:spacing w:after="0" w:line="228"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3.05 Compensation for Losses. </w:t>
      </w:r>
      <w:r>
        <w:rPr>
          <w:rFonts w:ascii="Arial" w:cs="Arial" w:eastAsia="Arial" w:hAnsi="Arial"/>
          <w:sz w:val="20"/>
          <w:szCs w:val="20"/>
          <w:color w:val="auto"/>
        </w:rPr>
        <w:t>Upon demand of any Lender (with a copy to the Administrative Agent) from time to time,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 promptly compensate (or cause the applicable Borrower to compensate) such Lender for and hold such Lender harmless from any loss, cost or expense incurred by it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02" w:name="page203"/>
    <w:bookmarkEnd w:id="202"/>
    <w:p>
      <w:pPr>
        <w:ind w:left="120" w:firstLine="605"/>
        <w:spacing w:after="0" w:line="286" w:lineRule="auto"/>
        <w:tabs>
          <w:tab w:leader="none" w:pos="11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43" w:lineRule="exact"/>
        <w:rPr>
          <w:rFonts w:ascii="Arial" w:cs="Arial" w:eastAsia="Arial" w:hAnsi="Arial"/>
          <w:sz w:val="18"/>
          <w:szCs w:val="18"/>
          <w:color w:val="auto"/>
        </w:rPr>
      </w:pPr>
    </w:p>
    <w:p>
      <w:pPr>
        <w:jc w:val="both"/>
        <w:ind w:left="120" w:firstLine="605"/>
        <w:spacing w:after="0" w:line="227" w:lineRule="auto"/>
        <w:tabs>
          <w:tab w:leader="none" w:pos="115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Borrower;</w:t>
      </w:r>
    </w:p>
    <w:p>
      <w:pPr>
        <w:spacing w:after="0" w:line="171" w:lineRule="exact"/>
        <w:rPr>
          <w:rFonts w:ascii="Arial" w:cs="Arial" w:eastAsia="Arial" w:hAnsi="Arial"/>
          <w:sz w:val="20"/>
          <w:szCs w:val="20"/>
          <w:color w:val="auto"/>
        </w:rPr>
      </w:pPr>
    </w:p>
    <w:p>
      <w:pPr>
        <w:jc w:val="both"/>
        <w:ind w:left="120" w:right="20" w:firstLine="605"/>
        <w:spacing w:after="0" w:line="227" w:lineRule="auto"/>
        <w:tabs>
          <w:tab w:leader="none" w:pos="115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failure by any Borrower to make payment of any Loan or drawing under any Letter of Credit or Bankers’ Acceptance (or interest due thereon) denominated in an Alternative Currency on its scheduled due date or any payment thereof in a different currency; or</w:t>
      </w:r>
    </w:p>
    <w:p>
      <w:pPr>
        <w:spacing w:after="0" w:line="183" w:lineRule="exact"/>
        <w:rPr>
          <w:rFonts w:ascii="Arial" w:cs="Arial" w:eastAsia="Arial" w:hAnsi="Arial"/>
          <w:sz w:val="20"/>
          <w:szCs w:val="20"/>
          <w:color w:val="auto"/>
        </w:rPr>
      </w:pPr>
    </w:p>
    <w:p>
      <w:pPr>
        <w:ind w:left="120" w:firstLine="605"/>
        <w:spacing w:after="0" w:line="236" w:lineRule="auto"/>
        <w:tabs>
          <w:tab w:leader="none" w:pos="115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or an Alternative Currency Term Rate Loan on a day other than the last day of the Interest Period therefor as a result of a request by the Company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72" w:lineRule="exact"/>
        <w:rPr>
          <w:sz w:val="20"/>
          <w:szCs w:val="20"/>
          <w:color w:val="auto"/>
        </w:rPr>
      </w:pPr>
    </w:p>
    <w:p>
      <w:pPr>
        <w:jc w:val="both"/>
        <w:ind w:left="100"/>
        <w:spacing w:after="0" w:line="234" w:lineRule="auto"/>
        <w:rPr>
          <w:sz w:val="20"/>
          <w:szCs w:val="20"/>
          <w:color w:val="auto"/>
        </w:rPr>
      </w:pPr>
      <w:r>
        <w:rPr>
          <w:rFonts w:ascii="Arial" w:cs="Arial" w:eastAsia="Arial" w:hAnsi="Arial"/>
          <w:sz w:val="19"/>
          <w:szCs w:val="19"/>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184" w:lineRule="exact"/>
        <w:rPr>
          <w:sz w:val="20"/>
          <w:szCs w:val="20"/>
          <w:color w:val="auto"/>
        </w:rPr>
      </w:pPr>
    </w:p>
    <w:p>
      <w:pPr>
        <w:jc w:val="both"/>
        <w:ind w:left="120"/>
        <w:spacing w:after="0" w:line="231" w:lineRule="auto"/>
        <w:rPr>
          <w:sz w:val="20"/>
          <w:szCs w:val="20"/>
          <w:color w:val="auto"/>
        </w:rPr>
      </w:pPr>
      <w:r>
        <w:rPr>
          <w:rFonts w:ascii="Arial" w:cs="Arial" w:eastAsia="Arial" w:hAnsi="Arial"/>
          <w:sz w:val="19"/>
          <w:szCs w:val="19"/>
          <w:color w:val="auto"/>
        </w:rPr>
        <w:t xml:space="preserve">For purposes of calculating amounts payable by the Company (or the applicable Borrower)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Eurocurrency Rate Loan or Alternative Currency Term Rate Loan made by it at the Eurocurrency Rate or Alternative Currency Term Rate, as the case may be, for such Loan by a matching deposit or other borrowing in the interbank market for such currency for a comparable amount and for a comparable period, whether or not such Eurocurrency Rate Loan or Alternative Currency Term Rate Loan was in fact so funded.</w:t>
      </w:r>
    </w:p>
    <w:p>
      <w:pPr>
        <w:spacing w:after="0" w:line="16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8"/>
          <w:szCs w:val="18"/>
          <w:b w:val="1"/>
          <w:bCs w:val="1"/>
          <w:color w:val="auto"/>
        </w:rPr>
        <w:t>Mitigation Obligations; Replacement of Lenders.</w:t>
      </w:r>
    </w:p>
    <w:p>
      <w:pPr>
        <w:spacing w:after="0" w:line="213" w:lineRule="exact"/>
        <w:rPr>
          <w:sz w:val="20"/>
          <w:szCs w:val="20"/>
          <w:color w:val="auto"/>
        </w:rPr>
      </w:pPr>
    </w:p>
    <w:p>
      <w:pPr>
        <w:jc w:val="both"/>
        <w:ind w:left="120" w:firstLine="605"/>
        <w:spacing w:after="0" w:line="223" w:lineRule="auto"/>
        <w:tabs>
          <w:tab w:leader="none" w:pos="1152"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Each Lender may make any Credit Extension to any Borrower through any Lending Office, provided that the exercise of this option shall not affect the obligation of the Borrowers to repay the Credit Extension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Borrower is required to pay any additional amount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03" w:name="page204"/>
    <w:bookmarkEnd w:id="203"/>
    <w:p>
      <w:pPr>
        <w:jc w:val="both"/>
        <w:ind w:left="120" w:firstLine="605"/>
        <w:spacing w:after="0" w:line="222" w:lineRule="auto"/>
        <w:tabs>
          <w:tab w:leader="none" w:pos="1151"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any Borrower is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the Company may replace such Lender in accordance with Section 10.13.</w:t>
      </w:r>
    </w:p>
    <w:p>
      <w:pPr>
        <w:spacing w:after="0" w:line="179" w:lineRule="exact"/>
        <w:rPr>
          <w:sz w:val="20"/>
          <w:szCs w:val="20"/>
          <w:color w:val="auto"/>
        </w:rPr>
      </w:pPr>
    </w:p>
    <w:p>
      <w:pPr>
        <w:ind w:left="120" w:firstLine="598"/>
        <w:spacing w:after="0" w:line="239" w:lineRule="auto"/>
        <w:rPr>
          <w:sz w:val="20"/>
          <w:szCs w:val="20"/>
          <w:color w:val="auto"/>
        </w:rPr>
      </w:pPr>
      <w:r>
        <w:rPr>
          <w:rFonts w:ascii="Arial" w:cs="Arial" w:eastAsia="Arial" w:hAnsi="Arial"/>
          <w:sz w:val="20"/>
          <w:szCs w:val="20"/>
          <w:b w:val="1"/>
          <w:bCs w:val="1"/>
          <w:color w:val="auto"/>
        </w:rPr>
        <w:t xml:space="preserve">3.07 Survival. </w:t>
      </w:r>
      <w:r>
        <w:rPr>
          <w:rFonts w:ascii="Arial" w:cs="Arial" w:eastAsia="Arial" w:hAnsi="Arial"/>
          <w:sz w:val="20"/>
          <w:szCs w:val="20"/>
          <w:color w:val="auto"/>
        </w:rPr>
        <w:t>All of the Borrowers’ obligations under this Article III shall survive termination of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repayment of all other Obligations hereunder and resignation of the Administrative Agent.</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IV.</w:t>
      </w:r>
    </w:p>
    <w:p>
      <w:pPr>
        <w:jc w:val="center"/>
        <w:ind w:right="-19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68" w:lineRule="exact"/>
        <w:rPr>
          <w:sz w:val="20"/>
          <w:szCs w:val="20"/>
          <w:color w:val="auto"/>
        </w:rPr>
      </w:pPr>
    </w:p>
    <w:p>
      <w:pPr>
        <w:ind w:left="120" w:firstLine="598"/>
        <w:spacing w:after="0" w:line="239" w:lineRule="auto"/>
        <w:rPr>
          <w:sz w:val="20"/>
          <w:szCs w:val="20"/>
          <w:color w:val="auto"/>
        </w:rPr>
      </w:pPr>
      <w:r>
        <w:rPr>
          <w:rFonts w:ascii="Arial" w:cs="Arial" w:eastAsia="Arial" w:hAnsi="Arial"/>
          <w:sz w:val="20"/>
          <w:szCs w:val="20"/>
          <w:b w:val="1"/>
          <w:bCs w:val="1"/>
          <w:color w:val="auto"/>
        </w:rPr>
        <w:t xml:space="preserve">4.01 Conditions of Initial Credit Extension. </w:t>
      </w:r>
      <w:r>
        <w:rPr>
          <w:rFonts w:ascii="Arial" w:cs="Arial" w:eastAsia="Arial" w:hAnsi="Arial"/>
          <w:sz w:val="20"/>
          <w:szCs w:val="20"/>
          <w:color w:val="auto"/>
        </w:rPr>
        <w:t>The obligation of the L/C Issuer and each Lender to make its initial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 hereunder is subject to satisfaction of the following conditions precedent:</w:t>
      </w:r>
    </w:p>
    <w:p>
      <w:pPr>
        <w:spacing w:after="0" w:line="185" w:lineRule="exact"/>
        <w:rPr>
          <w:sz w:val="20"/>
          <w:szCs w:val="20"/>
          <w:color w:val="auto"/>
        </w:rPr>
      </w:pPr>
    </w:p>
    <w:p>
      <w:pPr>
        <w:jc w:val="both"/>
        <w:ind w:left="120" w:firstLine="605"/>
        <w:spacing w:after="0" w:line="219" w:lineRule="auto"/>
        <w:tabs>
          <w:tab w:leader="none" w:pos="115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originals or facsimiles or electronic copies (including “PDF” and “TIFF” files)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6" w:lineRule="exact"/>
        <w:rPr>
          <w:rFonts w:ascii="Arial" w:cs="Arial" w:eastAsia="Arial" w:hAnsi="Arial"/>
          <w:sz w:val="20"/>
          <w:szCs w:val="20"/>
          <w:color w:val="auto"/>
        </w:rPr>
      </w:pPr>
    </w:p>
    <w:p>
      <w:pPr>
        <w:ind w:left="1680" w:hanging="522"/>
        <w:spacing w:after="0"/>
        <w:tabs>
          <w:tab w:leader="none" w:pos="16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executed counterparts of this Agreement and the Subsidiary Guaranty;</w:t>
      </w:r>
    </w:p>
    <w:p>
      <w:pPr>
        <w:spacing w:after="0" w:line="180" w:lineRule="exact"/>
        <w:rPr>
          <w:rFonts w:ascii="Arial" w:cs="Arial" w:eastAsia="Arial" w:hAnsi="Arial"/>
          <w:sz w:val="20"/>
          <w:szCs w:val="20"/>
          <w:color w:val="auto"/>
        </w:rPr>
      </w:pPr>
    </w:p>
    <w:p>
      <w:pPr>
        <w:ind w:left="1680" w:hanging="522"/>
        <w:spacing w:after="0"/>
        <w:tabs>
          <w:tab w:leader="none" w:pos="16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Note executed by each Borrower in favor of each Lender requesting a</w:t>
      </w:r>
    </w:p>
    <w:p>
      <w:pPr>
        <w:ind w:left="720"/>
        <w:spacing w:after="0"/>
        <w:rPr>
          <w:sz w:val="20"/>
          <w:szCs w:val="20"/>
          <w:color w:val="auto"/>
        </w:rPr>
      </w:pPr>
      <w:r>
        <w:rPr>
          <w:rFonts w:ascii="Arial" w:cs="Arial" w:eastAsia="Arial" w:hAnsi="Arial"/>
          <w:sz w:val="20"/>
          <w:szCs w:val="20"/>
          <w:color w:val="auto"/>
        </w:rPr>
        <w:t>Note;</w:t>
      </w:r>
    </w:p>
    <w:p>
      <w:pPr>
        <w:spacing w:after="0" w:line="177" w:lineRule="exact"/>
        <w:rPr>
          <w:sz w:val="20"/>
          <w:szCs w:val="20"/>
          <w:color w:val="auto"/>
        </w:rPr>
      </w:pPr>
    </w:p>
    <w:p>
      <w:pPr>
        <w:ind w:left="1680" w:hanging="522"/>
        <w:spacing w:after="0"/>
        <w:tabs>
          <w:tab w:leader="none" w:pos="16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w:t>
      </w:r>
    </w:p>
    <w:p>
      <w:pPr>
        <w:jc w:val="both"/>
        <w:ind w:left="720"/>
        <w:spacing w:after="0" w:line="233" w:lineRule="auto"/>
        <w:rPr>
          <w:sz w:val="20"/>
          <w:szCs w:val="20"/>
          <w:color w:val="auto"/>
        </w:rPr>
      </w:pPr>
      <w:r>
        <w:rPr>
          <w:rFonts w:ascii="Arial" w:cs="Arial" w:eastAsia="Arial" w:hAnsi="Arial"/>
          <w:sz w:val="19"/>
          <w:szCs w:val="19"/>
          <w:color w:val="auto"/>
        </w:rPr>
        <w:t>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84" w:lineRule="exact"/>
        <w:rPr>
          <w:sz w:val="20"/>
          <w:szCs w:val="20"/>
          <w:color w:val="auto"/>
        </w:rPr>
      </w:pPr>
    </w:p>
    <w:p>
      <w:pPr>
        <w:jc w:val="both"/>
        <w:ind w:left="720" w:firstLine="380"/>
        <w:spacing w:after="0" w:line="227" w:lineRule="auto"/>
        <w:tabs>
          <w:tab w:leader="none" w:pos="174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that each Loan Party is validly existing and in good standing in its jurisdiction of organization;</w:t>
      </w:r>
    </w:p>
    <w:p>
      <w:pPr>
        <w:spacing w:after="0" w:line="233" w:lineRule="exact"/>
        <w:rPr>
          <w:rFonts w:ascii="Arial" w:cs="Arial" w:eastAsia="Arial" w:hAnsi="Arial"/>
          <w:sz w:val="20"/>
          <w:szCs w:val="20"/>
          <w:color w:val="auto"/>
        </w:rPr>
      </w:pPr>
    </w:p>
    <w:p>
      <w:pPr>
        <w:jc w:val="both"/>
        <w:ind w:left="720" w:firstLine="380"/>
        <w:spacing w:after="0" w:line="258" w:lineRule="auto"/>
        <w:tabs>
          <w:tab w:leader="none" w:pos="17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favorable opinions of Fried, Frank, Harris, Shriver and Jacobson LLP and such local counsel as the Administrative Agent shall request, in each case addressed to the Administrative Agent, each Lender and the L/C Issuer, as to such matters concerning the Loan Parties and the Loan Documents as the Required Lenders may reasonably request;</w:t>
      </w:r>
    </w:p>
    <w:p>
      <w:pPr>
        <w:spacing w:after="0" w:line="168" w:lineRule="exact"/>
        <w:rPr>
          <w:rFonts w:ascii="Arial" w:cs="Arial" w:eastAsia="Arial" w:hAnsi="Arial"/>
          <w:sz w:val="18"/>
          <w:szCs w:val="18"/>
          <w:color w:val="auto"/>
        </w:rPr>
      </w:pPr>
    </w:p>
    <w:p>
      <w:pPr>
        <w:jc w:val="both"/>
        <w:ind w:left="720" w:firstLine="455"/>
        <w:spacing w:after="0" w:line="234" w:lineRule="auto"/>
        <w:tabs>
          <w:tab w:leader="none" w:pos="1745"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04" w:name="page205"/>
    <w:bookmarkEnd w:id="204"/>
    <w:p>
      <w:pPr>
        <w:spacing w:after="0" w:line="104" w:lineRule="exact"/>
        <w:rPr>
          <w:sz w:val="20"/>
          <w:szCs w:val="20"/>
          <w:color w:val="auto"/>
        </w:rPr>
      </w:pPr>
    </w:p>
    <w:p>
      <w:pPr>
        <w:jc w:val="both"/>
        <w:ind w:left="720" w:firstLine="455"/>
        <w:spacing w:after="0" w:line="226" w:lineRule="auto"/>
        <w:tabs>
          <w:tab w:leader="none" w:pos="175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Company certifying (A)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(B) that there has been no event or circumstance since the date of the Audited Financial Statements that has had or could be reasonably expected to have, either individually or in the aggregate, a Material Adverse Effect, (C) that the Loan Party EBITDA for the period of four consecutive fiscal quarters of the Company ending June 30, 2021 represents at least 80% of Adjusted Consolidated EBITDA for such period (including the amount and percentage of Adjusted Consolidated EBITDA contributed by each Loan Party for such period), (D) that there is no Subsidiary that would constitute a Material Subsidiary as of the end of the period of four consecutive fiscal quarters of the Company ending June 30, 2021 that is not a Loan Party as of the Closing Date and (E) as to a true, correct and complete copy of the Indemnity Agreement and all amendments, joinders or modifications thereto; and</w:t>
      </w:r>
    </w:p>
    <w:p>
      <w:pPr>
        <w:spacing w:after="0" w:line="170" w:lineRule="exact"/>
        <w:rPr>
          <w:rFonts w:ascii="Arial" w:cs="Arial" w:eastAsia="Arial" w:hAnsi="Arial"/>
          <w:sz w:val="19"/>
          <w:szCs w:val="19"/>
          <w:color w:val="auto"/>
        </w:rPr>
      </w:pPr>
    </w:p>
    <w:p>
      <w:pPr>
        <w:ind w:left="720" w:firstLine="455"/>
        <w:spacing w:after="0" w:line="236" w:lineRule="auto"/>
        <w:tabs>
          <w:tab w:leader="none" w:pos="1743" w:val="left"/>
        </w:tabs>
        <w:numPr>
          <w:ilvl w:val="1"/>
          <w:numId w:val="165"/>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the L/C Issuer, the Swing Line Lender or the Lenders reasonably may require.</w:t>
      </w:r>
    </w:p>
    <w:p>
      <w:pPr>
        <w:spacing w:after="0" w:line="184" w:lineRule="exact"/>
        <w:rPr>
          <w:rFonts w:ascii="Arial" w:cs="Arial" w:eastAsia="Arial" w:hAnsi="Arial"/>
          <w:sz w:val="20"/>
          <w:szCs w:val="20"/>
          <w:color w:val="auto"/>
        </w:rPr>
      </w:pPr>
    </w:p>
    <w:p>
      <w:pPr>
        <w:ind w:left="120" w:right="20" w:firstLine="605"/>
        <w:spacing w:after="0" w:line="236" w:lineRule="auto"/>
        <w:tabs>
          <w:tab w:leader="none" w:pos="115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Any fees required to be paid to the Administrative Agent, any Arranger or any Lender on or before the Closing Date shall have been paid.</w:t>
      </w:r>
    </w:p>
    <w:p>
      <w:pPr>
        <w:spacing w:after="0" w:line="184" w:lineRule="exact"/>
        <w:rPr>
          <w:rFonts w:ascii="Arial" w:cs="Arial" w:eastAsia="Arial" w:hAnsi="Arial"/>
          <w:sz w:val="20"/>
          <w:szCs w:val="20"/>
          <w:color w:val="auto"/>
        </w:rPr>
      </w:pPr>
    </w:p>
    <w:p>
      <w:pPr>
        <w:jc w:val="both"/>
        <w:ind w:left="120" w:firstLine="605"/>
        <w:spacing w:after="0" w:line="225" w:lineRule="auto"/>
        <w:tabs>
          <w:tab w:leader="none" w:pos="115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Unless waived by the Administrative Agent, the Company shall have paid all reasonable and out-of-pocket fees, charges and disbursements of counsel to the Administrative Agent (directly to such counsel if requested by the Administrative Agent) to the extent invoiced in reasonable detail at least 2 Business Days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9"/>
          <w:szCs w:val="19"/>
          <w:u w:val="single" w:color="auto"/>
          <w:color w:val="auto"/>
        </w:rPr>
        <w:t>provided t</w:t>
      </w:r>
      <w:r>
        <w:rPr>
          <w:rFonts w:ascii="Arial" w:cs="Arial" w:eastAsia="Arial" w:hAnsi="Arial"/>
          <w:sz w:val="19"/>
          <w:szCs w:val="19"/>
          <w:color w:val="auto"/>
        </w:rPr>
        <w:t xml:space="preserve">hat such estimate shall not thereafter preclude a final settling of accounts between the Company and the Administrative Agent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shall not be required under this clause (c)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 the Administrative Agent (and which may include a single local counsel acting in multiple jurisdictions)).</w:t>
      </w:r>
    </w:p>
    <w:p>
      <w:pPr>
        <w:spacing w:after="0" w:line="236" w:lineRule="exact"/>
        <w:rPr>
          <w:rFonts w:ascii="Arial" w:cs="Arial" w:eastAsia="Arial" w:hAnsi="Arial"/>
          <w:sz w:val="19"/>
          <w:szCs w:val="19"/>
          <w:color w:val="auto"/>
        </w:rPr>
      </w:pPr>
    </w:p>
    <w:p>
      <w:pPr>
        <w:jc w:val="both"/>
        <w:ind w:left="120" w:firstLine="605"/>
        <w:spacing w:after="0" w:line="222" w:lineRule="auto"/>
        <w:tabs>
          <w:tab w:leader="none" w:pos="115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that, substantially simultaneously with the initial funding of Loans on the Closing Date, (i) all outstanding obligations under the Existing Credit Agreement shall be paid in full, (ii) all Liens securing, and all guaranties of, obligations under the Existing Credit Agreement shall be terminated and released and (iii) all commitments under the Existing Credit Agreement shall be terminated.</w:t>
      </w:r>
    </w:p>
    <w:p>
      <w:pPr>
        <w:spacing w:after="0" w:line="185" w:lineRule="exact"/>
        <w:rPr>
          <w:rFonts w:ascii="Arial" w:cs="Arial" w:eastAsia="Arial" w:hAnsi="Arial"/>
          <w:sz w:val="20"/>
          <w:szCs w:val="20"/>
          <w:color w:val="auto"/>
        </w:rPr>
      </w:pPr>
    </w:p>
    <w:p>
      <w:pPr>
        <w:jc w:val="both"/>
        <w:ind w:left="120" w:firstLine="605"/>
        <w:spacing w:after="0"/>
        <w:tabs>
          <w:tab w:leader="none" w:pos="11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Each Loan Party shall have provided to the Administrative Agent and the Lenders the documentation and other information requested by the Administrative Agent and the Lenders in order to comply with requirements of the Act, applicable “know your customer” rules and regulations and Anti-Money Laundering Laws, and each Loan Party that qualifies as a “legal entity customer” under the Beneficial Ownership Regulation shall have delivered, to each Lender that so requests, a Beneficial Ownership Certification in relation to such Loan Party. Without limiting the generality of the provisions of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05" w:name="page206"/>
    <w:bookmarkEnd w:id="205"/>
    <w:p>
      <w:pPr>
        <w:jc w:val="both"/>
        <w:ind w:left="120" w:right="240"/>
        <w:spacing w:after="0" w:line="258" w:lineRule="auto"/>
        <w:rPr>
          <w:sz w:val="20"/>
          <w:szCs w:val="20"/>
          <w:color w:val="auto"/>
        </w:rPr>
      </w:pPr>
      <w:r>
        <w:rPr>
          <w:rFonts w:ascii="Arial" w:cs="Arial" w:eastAsia="Arial" w:hAnsi="Arial"/>
          <w:sz w:val="19"/>
          <w:szCs w:val="19"/>
          <w:color w:val="auto"/>
        </w:rPr>
        <w:t>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61" w:lineRule="exact"/>
        <w:rPr>
          <w:sz w:val="20"/>
          <w:szCs w:val="20"/>
          <w:color w:val="auto"/>
        </w:rPr>
      </w:pPr>
    </w:p>
    <w:p>
      <w:pPr>
        <w:jc w:val="both"/>
        <w:ind w:left="120" w:right="240" w:firstLine="598"/>
        <w:spacing w:after="0" w:line="262" w:lineRule="auto"/>
        <w:rPr>
          <w:sz w:val="20"/>
          <w:szCs w:val="20"/>
          <w:color w:val="auto"/>
        </w:rPr>
      </w:pPr>
      <w:r>
        <w:rPr>
          <w:rFonts w:ascii="Arial" w:cs="Arial" w:eastAsia="Arial" w:hAnsi="Arial"/>
          <w:sz w:val="18"/>
          <w:szCs w:val="18"/>
          <w:b w:val="1"/>
          <w:bCs w:val="1"/>
          <w:color w:val="auto"/>
        </w:rPr>
        <w:t xml:space="preserve">4.02 Conditions to all Credit Extensions.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 the obligation of each Lender and each L/C Issuer to honor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 for Credit Extension (other than a Loan Notice requesting only a conversion of Loans to the other Type, or a continuation of Eurocurrency Rate Loans or Alternative Currency Term Rate Loans) is subject to the following conditions precedent:</w:t>
      </w:r>
    </w:p>
    <w:p>
      <w:pPr>
        <w:spacing w:after="0" w:line="152" w:lineRule="exact"/>
        <w:rPr>
          <w:sz w:val="20"/>
          <w:szCs w:val="20"/>
          <w:color w:val="auto"/>
        </w:rPr>
      </w:pPr>
    </w:p>
    <w:p>
      <w:pPr>
        <w:jc w:val="both"/>
        <w:ind w:left="100" w:firstLine="609"/>
        <w:spacing w:after="0" w:line="238" w:lineRule="auto"/>
        <w:tabs>
          <w:tab w:leader="none" w:pos="11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each Borrower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that (A) 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 (C)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(a), (b) and (c)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160" w:hanging="435"/>
        <w:spacing w:after="0"/>
        <w:tabs>
          <w:tab w:leader="none" w:pos="116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the application of the proceeds thereof.</w:t>
      </w:r>
    </w:p>
    <w:p>
      <w:pPr>
        <w:spacing w:after="0" w:line="218" w:lineRule="exact"/>
        <w:rPr>
          <w:rFonts w:ascii="Arial" w:cs="Arial" w:eastAsia="Arial" w:hAnsi="Arial"/>
          <w:sz w:val="19"/>
          <w:szCs w:val="19"/>
          <w:color w:val="auto"/>
        </w:rPr>
      </w:pPr>
    </w:p>
    <w:p>
      <w:pPr>
        <w:ind w:left="120" w:right="240" w:firstLine="605"/>
        <w:spacing w:after="0" w:line="236" w:lineRule="auto"/>
        <w:tabs>
          <w:tab w:leader="none" w:pos="1152"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 Line Lender shall have received a Request for Credit Extension in accordance with the requirements hereof.</w:t>
      </w:r>
    </w:p>
    <w:p>
      <w:pPr>
        <w:spacing w:after="0" w:line="234" w:lineRule="exact"/>
        <w:rPr>
          <w:rFonts w:ascii="Arial" w:cs="Arial" w:eastAsia="Arial" w:hAnsi="Arial"/>
          <w:sz w:val="20"/>
          <w:szCs w:val="20"/>
          <w:color w:val="auto"/>
        </w:rPr>
      </w:pPr>
    </w:p>
    <w:p>
      <w:pPr>
        <w:ind w:left="1160" w:hanging="435"/>
        <w:spacing w:after="0"/>
        <w:tabs>
          <w:tab w:leader="none" w:pos="11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there shall not have occurred any change</w:t>
      </w:r>
    </w:p>
    <w:p>
      <w:pPr>
        <w:spacing w:after="0" w:line="9" w:lineRule="exact"/>
        <w:rPr>
          <w:sz w:val="20"/>
          <w:szCs w:val="20"/>
          <w:color w:val="auto"/>
        </w:rPr>
      </w:pPr>
    </w:p>
    <w:p>
      <w:pPr>
        <w:jc w:val="both"/>
        <w:ind w:left="120" w:right="240"/>
        <w:spacing w:after="0" w:line="223" w:lineRule="auto"/>
        <w:rPr>
          <w:sz w:val="20"/>
          <w:szCs w:val="20"/>
          <w:color w:val="auto"/>
        </w:rPr>
      </w:pPr>
      <w:r>
        <w:rPr>
          <w:rFonts w:ascii="Arial" w:cs="Arial" w:eastAsia="Arial" w:hAnsi="Arial"/>
          <w:sz w:val="19"/>
          <w:szCs w:val="19"/>
          <w:color w:val="auto"/>
        </w:rPr>
        <w:t xml:space="preserve">in national or international financial, political or economic conditions or currency exchange rates or exchange controls which in the reasonable opinion of the Administrative Agent, the Required (MC) Lenders (in the case of any Loans to be denominated in an Alternative Currency) or the L/C Issuer (in the case of any Letter of Credit or Bankers’ Acceptance to be denominated in an Alternative Currency) would make it impracticable for such Credit Extension to be denominated in such Alternative Currency. Notwithstanding the foregoing, neither any Lender nor the L/C Issuer shall be absolved from any obligation to honor any Request for Credit Extension as a result of this </w:t>
      </w:r>
      <w:r>
        <w:rPr>
          <w:rFonts w:ascii="Arial" w:cs="Arial" w:eastAsia="Arial" w:hAnsi="Arial"/>
          <w:sz w:val="19"/>
          <w:szCs w:val="19"/>
          <w:u w:val="single" w:color="auto"/>
          <w:color w:val="auto"/>
        </w:rPr>
        <w:t>Section 4.02(d)</w:t>
      </w:r>
      <w:r>
        <w:rPr>
          <w:rFonts w:ascii="Arial" w:cs="Arial" w:eastAsia="Arial" w:hAnsi="Arial"/>
          <w:sz w:val="19"/>
          <w:szCs w:val="19"/>
          <w:color w:val="auto"/>
        </w:rPr>
        <w:t xml:space="preserve"> unless any of the Administrative Agent, the Required (MC) Lenders or the L/C Issuer, as applicable, is generally electing not to make extensions of credit of the type referred to herein to similarly situated customers under similar agreements as a result of one or more of the events described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shall require the Administrative Agent, any Lender or the L/C Issuer to disclose any confidential information related to similarly situated customers, comparable provisions of similar agreements or otherwise.</w:t>
      </w:r>
    </w:p>
    <w:p>
      <w:pPr>
        <w:spacing w:after="0" w:line="176" w:lineRule="exact"/>
        <w:rPr>
          <w:sz w:val="20"/>
          <w:szCs w:val="20"/>
          <w:color w:val="auto"/>
        </w:rPr>
      </w:pPr>
    </w:p>
    <w:p>
      <w:pPr>
        <w:jc w:val="both"/>
        <w:ind w:left="120" w:right="240" w:firstLine="598"/>
        <w:spacing w:after="0" w:line="222"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Eurocurrency Rate Loans or Alternative Currency Term Rate Loans) submitted by the Company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200"/>
          </w:cols>
          <w:pgMar w:left="360" w:top="1307" w:right="339" w:bottom="1440" w:gutter="0" w:footer="0" w:header="0"/>
        </w:sectPr>
      </w:pPr>
    </w:p>
    <w:bookmarkStart w:id="206" w:name="page207"/>
    <w:bookmarkEnd w:id="206"/>
    <w:p>
      <w:pPr>
        <w:spacing w:after="0" w:line="78"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V.</w:t>
      </w:r>
    </w:p>
    <w:p>
      <w:pPr>
        <w:jc w:val="center"/>
        <w:ind w:right="-199"/>
        <w:spacing w:after="0"/>
        <w:rPr>
          <w:sz w:val="20"/>
          <w:szCs w:val="20"/>
          <w:color w:val="auto"/>
        </w:rPr>
      </w:pPr>
      <w:r>
        <w:rPr>
          <w:rFonts w:ascii="Arial" w:cs="Arial" w:eastAsia="Arial" w:hAnsi="Arial"/>
          <w:sz w:val="20"/>
          <w:szCs w:val="20"/>
          <w:b w:val="1"/>
          <w:bCs w:val="1"/>
          <w:color w:val="auto"/>
        </w:rPr>
        <w:t>REPRESENTATIONS AND WARRANTIES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Each Borrower represents and warrants to the Administrative Agent and the Lenders that:</w:t>
      </w:r>
    </w:p>
    <w:p>
      <w:pPr>
        <w:spacing w:after="0" w:line="188" w:lineRule="exact"/>
        <w:rPr>
          <w:sz w:val="20"/>
          <w:szCs w:val="20"/>
          <w:color w:val="auto"/>
        </w:rPr>
      </w:pPr>
    </w:p>
    <w:p>
      <w:pPr>
        <w:jc w:val="both"/>
        <w:ind w:left="120" w:firstLine="598"/>
        <w:spacing w:after="0" w:line="241" w:lineRule="auto"/>
        <w:rPr>
          <w:sz w:val="20"/>
          <w:szCs w:val="20"/>
          <w:color w:val="auto"/>
        </w:rPr>
      </w:pPr>
      <w:r>
        <w:rPr>
          <w:rFonts w:ascii="Arial" w:cs="Arial" w:eastAsia="Arial" w:hAnsi="Arial"/>
          <w:sz w:val="18"/>
          <w:szCs w:val="18"/>
          <w:b w:val="1"/>
          <w:bCs w:val="1"/>
          <w:color w:val="auto"/>
        </w:rPr>
        <w:t xml:space="preserve">5.01 Existence, Qualification and Power. </w:t>
      </w:r>
      <w:r>
        <w:rPr>
          <w:rFonts w:ascii="Arial" w:cs="Arial" w:eastAsia="Arial" w:hAnsi="Arial"/>
          <w:sz w:val="18"/>
          <w:szCs w:val="18"/>
          <w:color w:val="auto"/>
        </w:rPr>
        <w:t>Each Loan Party and each Restricted Subsidiary (a) is duly organized or formed,</w:t>
      </w:r>
      <w:r>
        <w:rPr>
          <w:rFonts w:ascii="Arial" w:cs="Arial" w:eastAsia="Arial" w:hAnsi="Arial"/>
          <w:sz w:val="18"/>
          <w:szCs w:val="18"/>
          <w:b w:val="1"/>
          <w:bCs w:val="1"/>
          <w:color w:val="auto"/>
        </w:rPr>
        <w:t xml:space="preserve"> </w:t>
      </w:r>
      <w:r>
        <w:rPr>
          <w:rFonts w:ascii="Arial" w:cs="Arial" w:eastAsia="Arial" w:hAnsi="Arial"/>
          <w:sz w:val="18"/>
          <w:szCs w:val="18"/>
          <w:color w:val="auto"/>
        </w:rPr>
        <w:t>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1"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19"/>
          <w:szCs w:val="19"/>
          <w:b w:val="1"/>
          <w:bCs w:val="1"/>
          <w:color w:val="auto"/>
        </w:rPr>
        <w:t xml:space="preserve">5.02 Authorization; No Contravention. </w:t>
      </w:r>
      <w:r>
        <w:rPr>
          <w:rFonts w:ascii="Arial" w:cs="Arial" w:eastAsia="Arial" w:hAnsi="Arial"/>
          <w:sz w:val="19"/>
          <w:szCs w:val="19"/>
          <w:color w:val="auto"/>
        </w:rPr>
        <w:t>The execution, delivery and performance by each Loan Party and the US Holdco,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clause (b) or (c), to the extent that could not reasonably be expected to have a Material Adverse Effect.</w:t>
      </w:r>
    </w:p>
    <w:p>
      <w:pPr>
        <w:spacing w:after="0" w:line="244" w:lineRule="exact"/>
        <w:rPr>
          <w:sz w:val="20"/>
          <w:szCs w:val="20"/>
          <w:color w:val="auto"/>
        </w:rPr>
      </w:pPr>
    </w:p>
    <w:p>
      <w:pPr>
        <w:jc w:val="both"/>
        <w:ind w:left="120" w:firstLine="598"/>
        <w:spacing w:after="0" w:line="221" w:lineRule="auto"/>
        <w:rPr>
          <w:sz w:val="20"/>
          <w:szCs w:val="20"/>
          <w:color w:val="auto"/>
        </w:rPr>
      </w:pPr>
      <w:r>
        <w:rPr>
          <w:rFonts w:ascii="Arial" w:cs="Arial" w:eastAsia="Arial" w:hAnsi="Arial"/>
          <w:sz w:val="20"/>
          <w:szCs w:val="20"/>
          <w:b w:val="1"/>
          <w:bCs w:val="1"/>
          <w:color w:val="auto"/>
        </w:rPr>
        <w:t xml:space="preserve">5.03 Governmental Authorization; Other Consents. </w:t>
      </w:r>
      <w:r>
        <w:rPr>
          <w:rFonts w:ascii="Arial" w:cs="Arial" w:eastAsia="Arial" w:hAnsi="Arial"/>
          <w:sz w:val="20"/>
          <w:szCs w:val="20"/>
          <w:color w:val="auto"/>
        </w:rPr>
        <w:t>No approval, consent, exemption, authorization, or other action by, or</w:t>
      </w:r>
      <w:r>
        <w:rPr>
          <w:rFonts w:ascii="Arial" w:cs="Arial" w:eastAsia="Arial" w:hAnsi="Arial"/>
          <w:sz w:val="20"/>
          <w:szCs w:val="20"/>
          <w:b w:val="1"/>
          <w:bCs w:val="1"/>
          <w:color w:val="auto"/>
        </w:rPr>
        <w:t xml:space="preserve"> </w:t>
      </w:r>
      <w:r>
        <w:rPr>
          <w:rFonts w:ascii="Arial" w:cs="Arial" w:eastAsia="Arial" w:hAnsi="Arial"/>
          <w:sz w:val="20"/>
          <w:szCs w:val="20"/>
          <w:color w:val="auto"/>
        </w:rPr>
        <w:t>notice to, or filing with, any Governmental Authority or any other Person is necessary or required in connection with the execution, delivery or performance by, or enforcement against, any Loan Party or US Holdco, as applicable, of this Agreement or any other Loan Document, except for the authorizations, approvals, actions, notices and filings which have been duly obtained, taken, given or made and are in full force and effect.</w:t>
      </w:r>
    </w:p>
    <w:p>
      <w:pPr>
        <w:spacing w:after="0" w:line="177" w:lineRule="exact"/>
        <w:rPr>
          <w:sz w:val="20"/>
          <w:szCs w:val="20"/>
          <w:color w:val="auto"/>
        </w:rPr>
      </w:pPr>
    </w:p>
    <w:p>
      <w:pPr>
        <w:jc w:val="both"/>
        <w:ind w:left="120" w:firstLine="598"/>
        <w:spacing w:after="0" w:line="232" w:lineRule="auto"/>
        <w:rPr>
          <w:sz w:val="20"/>
          <w:szCs w:val="20"/>
          <w:color w:val="auto"/>
        </w:rPr>
      </w:pPr>
      <w:r>
        <w:rPr>
          <w:rFonts w:ascii="Arial" w:cs="Arial" w:eastAsia="Arial" w:hAnsi="Arial"/>
          <w:sz w:val="19"/>
          <w:szCs w:val="19"/>
          <w:b w:val="1"/>
          <w:bCs w:val="1"/>
          <w:color w:val="auto"/>
        </w:rPr>
        <w:t xml:space="preserve">5.04 Binding Effect. </w:t>
      </w:r>
      <w:r>
        <w:rPr>
          <w:rFonts w:ascii="Arial" w:cs="Arial" w:eastAsia="Arial" w:hAnsi="Arial"/>
          <w:sz w:val="19"/>
          <w:szCs w:val="19"/>
          <w:color w:val="auto"/>
        </w:rPr>
        <w:t>This Agreement has been, and each other Loan Document, when delivered hereunder, will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enforcement may be limited by equitable principles relating to or limiting creditors’ rights generally or by bankruptcy, insolvency, reorganization, moratorium or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07" w:name="page208"/>
    <w:bookmarkEnd w:id="207"/>
    <w:p>
      <w:pPr>
        <w:ind w:left="720"/>
        <w:spacing w:after="0"/>
        <w:tabs>
          <w:tab w:leader="none" w:pos="130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color w:val="auto"/>
        </w:rPr>
        <w:t>Financial Statements; No Material Adverse Effect.</w:t>
      </w:r>
    </w:p>
    <w:p>
      <w:pPr>
        <w:spacing w:after="0" w:line="213" w:lineRule="exact"/>
        <w:rPr>
          <w:sz w:val="20"/>
          <w:szCs w:val="20"/>
          <w:color w:val="auto"/>
        </w:rPr>
      </w:pPr>
    </w:p>
    <w:p>
      <w:pPr>
        <w:jc w:val="both"/>
        <w:ind w:left="120" w:firstLine="605"/>
        <w:spacing w:after="0" w:line="242" w:lineRule="auto"/>
        <w:tabs>
          <w:tab w:leader="none" w:pos="11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material Taxes, commitments and Indebtedness.</w:t>
      </w:r>
    </w:p>
    <w:p>
      <w:pPr>
        <w:spacing w:after="0" w:line="170" w:lineRule="exact"/>
        <w:rPr>
          <w:rFonts w:ascii="Arial" w:cs="Arial" w:eastAsia="Arial" w:hAnsi="Arial"/>
          <w:sz w:val="18"/>
          <w:szCs w:val="18"/>
          <w:color w:val="auto"/>
        </w:rPr>
      </w:pPr>
    </w:p>
    <w:p>
      <w:pPr>
        <w:jc w:val="both"/>
        <w:ind w:left="120" w:firstLine="605"/>
        <w:spacing w:after="0" w:line="214" w:lineRule="auto"/>
        <w:tabs>
          <w:tab w:leader="none" w:pos="1151"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The unaudited consolidated balance sheet of the Company and its Subsidiaries dated June 30, 2021, and the related consolidated statement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clauses (i) and (ii), to the absence of footnotes and to normal year-end audit adjustments. </w:t>
      </w:r>
      <w:r>
        <w:rPr>
          <w:rFonts w:ascii="Arial" w:cs="Arial" w:eastAsia="Arial" w:hAnsi="Arial"/>
          <w:sz w:val="20"/>
          <w:szCs w:val="20"/>
          <w:u w:val="single" w:color="auto"/>
          <w:color w:val="auto"/>
        </w:rPr>
        <w:t>Schedule 5.05</w:t>
      </w:r>
      <w:r>
        <w:rPr>
          <w:rFonts w:ascii="Arial" w:cs="Arial" w:eastAsia="Arial" w:hAnsi="Arial"/>
          <w:sz w:val="20"/>
          <w:szCs w:val="20"/>
          <w:color w:val="auto"/>
        </w:rPr>
        <w:t xml:space="preserve"> sets forth all material indebtedness and other liabilities, direct or contingent, of the Company and its consolidated Subsidiaries as of the date of such financial statements delivered to the Administrative Agent prior to the Closing Date, including liabilities for material Taxes, commitments and Indebtedness.</w:t>
      </w:r>
    </w:p>
    <w:p>
      <w:pPr>
        <w:spacing w:after="0" w:line="176" w:lineRule="exact"/>
        <w:rPr>
          <w:rFonts w:ascii="Arial" w:cs="Arial" w:eastAsia="Arial" w:hAnsi="Arial"/>
          <w:sz w:val="20"/>
          <w:szCs w:val="20"/>
          <w:color w:val="auto"/>
        </w:rPr>
      </w:pPr>
    </w:p>
    <w:p>
      <w:pPr>
        <w:jc w:val="both"/>
        <w:ind w:left="120" w:firstLine="605"/>
        <w:spacing w:after="0" w:line="231" w:lineRule="auto"/>
        <w:tabs>
          <w:tab w:leader="none" w:pos="115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Any Reconciliations delivered with respect to the financial statements described in clauses (a) and (b) above (i) were prepared in accordance with GAAP consistently applied throughout the period covered thereby, except as otherwise expressly noted therein and (ii) fairly present in all material respects the financial condition of the Company and its Restricted Subsidiaries as of the date thereof and their results of operations for the period covered thereby, subject, in the case of the financial statements described in clause (b), to the absence of footnotes and to normal year-end audit adjustments.</w:t>
      </w:r>
    </w:p>
    <w:p>
      <w:pPr>
        <w:spacing w:after="0" w:line="184" w:lineRule="exact"/>
        <w:rPr>
          <w:rFonts w:ascii="Arial" w:cs="Arial" w:eastAsia="Arial" w:hAnsi="Arial"/>
          <w:sz w:val="19"/>
          <w:szCs w:val="19"/>
          <w:color w:val="auto"/>
        </w:rPr>
      </w:pPr>
    </w:p>
    <w:p>
      <w:pPr>
        <w:ind w:left="120" w:firstLine="605"/>
        <w:spacing w:after="0" w:line="236" w:lineRule="auto"/>
        <w:tabs>
          <w:tab w:leader="none" w:pos="1151" w:val="left"/>
        </w:tabs>
        <w:numPr>
          <w:ilvl w:val="0"/>
          <w:numId w:val="168"/>
        </w:numPr>
        <w:rPr>
          <w:rFonts w:ascii="Arial" w:cs="Arial" w:eastAsia="Arial" w:hAnsi="Arial"/>
          <w:sz w:val="20"/>
          <w:szCs w:val="20"/>
          <w:color w:val="auto"/>
        </w:rPr>
      </w:pPr>
      <w:r>
        <w:rPr>
          <w:rFonts w:ascii="Arial" w:cs="Arial" w:eastAsia="Arial" w:hAnsi="Arial"/>
          <w:sz w:val="20"/>
          <w:szCs w:val="20"/>
          <w:color w:val="auto"/>
        </w:rPr>
        <w:t>Since December 31, 2020, there has been no event or circumstance, either individually or in the aggregate, that has had or could reasonably be expected to have a Material Adverse Effect.</w:t>
      </w:r>
    </w:p>
    <w:p>
      <w:pPr>
        <w:spacing w:after="0" w:line="184" w:lineRule="exact"/>
        <w:rPr>
          <w:rFonts w:ascii="Arial" w:cs="Arial" w:eastAsia="Arial" w:hAnsi="Arial"/>
          <w:sz w:val="20"/>
          <w:szCs w:val="20"/>
          <w:color w:val="auto"/>
        </w:rPr>
      </w:pPr>
    </w:p>
    <w:p>
      <w:pPr>
        <w:jc w:val="both"/>
        <w:ind w:left="120" w:firstLine="605"/>
        <w:spacing w:after="0" w:line="214" w:lineRule="auto"/>
        <w:tabs>
          <w:tab w:leader="none" w:pos="115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The consolidated forecasted balance sheet and statements of income and cash flows of the Company and its Restricted Subsidiaries delivered pursuant to </w:t>
      </w:r>
      <w:r>
        <w:rPr>
          <w:rFonts w:ascii="Arial" w:cs="Arial" w:eastAsia="Arial" w:hAnsi="Arial"/>
          <w:sz w:val="20"/>
          <w:szCs w:val="20"/>
          <w:u w:val="single" w:color="auto"/>
          <w:color w:val="auto"/>
        </w:rPr>
        <w:t>Section 6.01(c)</w:t>
      </w:r>
      <w:r>
        <w:rPr>
          <w:rFonts w:ascii="Arial" w:cs="Arial" w:eastAsia="Arial" w:hAnsi="Arial"/>
          <w:sz w:val="20"/>
          <w:szCs w:val="20"/>
          <w:color w:val="auto"/>
        </w:rPr>
        <w:t xml:space="preserve"> were prepared in good faith on the basis of the assumptions stated therein, which assumptions were fair in light of the conditions existing at the time of delivery of such forecasts, and represented, at the time of delivery, the Company’s best estimate of its future financial condition and performance (it being understood that projected financial information is as to future events and are not to be viewed as facts, projected financial information is subject to significant uncertainties and contingencies, many of which are beyond the control of the Company and its Restricted Subsidiaries,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w:t>
      </w:r>
    </w:p>
    <w:p>
      <w:pPr>
        <w:spacing w:after="0" w:line="171"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5.06 Litigation. </w:t>
      </w:r>
      <w:r>
        <w:rPr>
          <w:rFonts w:ascii="Arial" w:cs="Arial" w:eastAsia="Arial" w:hAnsi="Arial"/>
          <w:sz w:val="20"/>
          <w:szCs w:val="20"/>
          <w:color w:val="auto"/>
        </w:rPr>
        <w:t>There are no actions, suits, proceedings, claims or disputes pending or, to the knowledge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threatened or contemplated, at law, in equity, in arbitration or before any Governmental Authority, by or against the Company or any of 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0" w:right="579" w:bottom="1440" w:gutter="0" w:footer="0" w:header="0"/>
        </w:sectPr>
      </w:pPr>
    </w:p>
    <w:bookmarkStart w:id="208" w:name="page209"/>
    <w:bookmarkEnd w:id="208"/>
    <w:p>
      <w:pPr>
        <w:jc w:val="both"/>
        <w:ind w:left="120"/>
        <w:spacing w:after="0" w:line="227" w:lineRule="auto"/>
        <w:rPr>
          <w:sz w:val="20"/>
          <w:szCs w:val="20"/>
          <w:color w:val="auto"/>
        </w:rPr>
      </w:pPr>
      <w:r>
        <w:rPr>
          <w:rFonts w:ascii="Arial" w:cs="Arial" w:eastAsia="Arial" w:hAnsi="Arial"/>
          <w:sz w:val="20"/>
          <w:szCs w:val="20"/>
          <w:color w:val="auto"/>
        </w:rPr>
        <w:t>Restricted Subsidiaries or against any of their respective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78"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5.07 No Default. </w:t>
      </w:r>
      <w:r>
        <w:rPr>
          <w:rFonts w:ascii="Arial" w:cs="Arial" w:eastAsia="Arial" w:hAnsi="Arial"/>
          <w:sz w:val="20"/>
          <w:szCs w:val="20"/>
          <w:color w:val="auto"/>
        </w:rPr>
        <w:t>Neither the Company nor any of its Restricted Subsidiaries is in default under or with respect to (a) any</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Obligation the breach of which could, either individually or in the aggregate, reasonably be expected to have a Material Adverse Effect or (b) any Senior Notes Document. No Default has occurred and is continuing or would result from the consummation of the transactions contemplated by this Agreement or any other Loan Document.</w:t>
      </w:r>
    </w:p>
    <w:p>
      <w:pPr>
        <w:spacing w:after="0" w:line="165" w:lineRule="exact"/>
        <w:rPr>
          <w:sz w:val="20"/>
          <w:szCs w:val="20"/>
          <w:color w:val="auto"/>
        </w:rPr>
      </w:pPr>
    </w:p>
    <w:p>
      <w:pPr>
        <w:jc w:val="both"/>
        <w:ind w:left="120" w:firstLine="598"/>
        <w:spacing w:after="0" w:line="252" w:lineRule="auto"/>
        <w:rPr>
          <w:sz w:val="20"/>
          <w:szCs w:val="20"/>
          <w:color w:val="auto"/>
        </w:rPr>
      </w:pPr>
      <w:r>
        <w:rPr>
          <w:rFonts w:ascii="Arial" w:cs="Arial" w:eastAsia="Arial" w:hAnsi="Arial"/>
          <w:sz w:val="18"/>
          <w:szCs w:val="18"/>
          <w:b w:val="1"/>
          <w:bCs w:val="1"/>
          <w:color w:val="auto"/>
        </w:rPr>
        <w:t xml:space="preserve">5.08 Ownership of Property; Liens. </w:t>
      </w:r>
      <w:r>
        <w:rPr>
          <w:rFonts w:ascii="Arial" w:cs="Arial" w:eastAsia="Arial" w:hAnsi="Arial"/>
          <w:sz w:val="18"/>
          <w:szCs w:val="18"/>
          <w:color w:val="auto"/>
        </w:rPr>
        <w:t>The Company and each of its Restricted Subsidiaries has good record and marketable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Company and each of its Restricted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67" w:lineRule="exact"/>
        <w:rPr>
          <w:sz w:val="20"/>
          <w:szCs w:val="20"/>
          <w:color w:val="auto"/>
        </w:rPr>
      </w:pPr>
    </w:p>
    <w:p>
      <w:pPr>
        <w:jc w:val="both"/>
        <w:ind w:left="120" w:firstLine="598"/>
        <w:spacing w:after="0" w:line="242" w:lineRule="auto"/>
        <w:rPr>
          <w:sz w:val="20"/>
          <w:szCs w:val="20"/>
          <w:color w:val="auto"/>
        </w:rPr>
      </w:pPr>
      <w:r>
        <w:rPr>
          <w:rFonts w:ascii="Arial" w:cs="Arial" w:eastAsia="Arial" w:hAnsi="Arial"/>
          <w:sz w:val="19"/>
          <w:szCs w:val="19"/>
          <w:b w:val="1"/>
          <w:bCs w:val="1"/>
          <w:color w:val="auto"/>
        </w:rPr>
        <w:t xml:space="preserve">5.09 Environmental Compliance. </w:t>
      </w:r>
      <w:r>
        <w:rPr>
          <w:rFonts w:ascii="Arial" w:cs="Arial" w:eastAsia="Arial" w:hAnsi="Arial"/>
          <w:sz w:val="19"/>
          <w:szCs w:val="19"/>
          <w:color w:val="auto"/>
        </w:rPr>
        <w:t>The Company has reasonably concluded that existing Environmental Laws and claims</w:t>
      </w:r>
      <w:r>
        <w:rPr>
          <w:rFonts w:ascii="Arial" w:cs="Arial" w:eastAsia="Arial" w:hAnsi="Arial"/>
          <w:sz w:val="19"/>
          <w:szCs w:val="19"/>
          <w:b w:val="1"/>
          <w:bCs w:val="1"/>
          <w:color w:val="auto"/>
        </w:rPr>
        <w:t xml:space="preserve"> </w:t>
      </w:r>
      <w:r>
        <w:rPr>
          <w:rFonts w:ascii="Arial" w:cs="Arial" w:eastAsia="Arial" w:hAnsi="Arial"/>
          <w:sz w:val="19"/>
          <w:szCs w:val="19"/>
          <w:color w:val="auto"/>
        </w:rPr>
        <w:t>alleging potential liability or responsibility for violation of any Environmental Law on their respective businesses, operations and properties could not, individually or in the aggregate, reasonably be expected to have a Material Adverse Effect.</w:t>
      </w:r>
    </w:p>
    <w:p>
      <w:pPr>
        <w:spacing w:after="0" w:line="225" w:lineRule="exact"/>
        <w:rPr>
          <w:sz w:val="20"/>
          <w:szCs w:val="20"/>
          <w:color w:val="auto"/>
        </w:rPr>
      </w:pPr>
    </w:p>
    <w:p>
      <w:pPr>
        <w:jc w:val="both"/>
        <w:ind w:left="120" w:firstLine="598"/>
        <w:spacing w:after="0" w:line="232" w:lineRule="auto"/>
        <w:rPr>
          <w:sz w:val="20"/>
          <w:szCs w:val="20"/>
          <w:color w:val="auto"/>
        </w:rPr>
      </w:pPr>
      <w:r>
        <w:rPr>
          <w:rFonts w:ascii="Arial" w:cs="Arial" w:eastAsia="Arial" w:hAnsi="Arial"/>
          <w:sz w:val="19"/>
          <w:szCs w:val="19"/>
          <w:b w:val="1"/>
          <w:bCs w:val="1"/>
          <w:color w:val="auto"/>
        </w:rPr>
        <w:t xml:space="preserve">5.10 Insurance. </w:t>
      </w:r>
      <w:r>
        <w:rPr>
          <w:rFonts w:ascii="Arial" w:cs="Arial" w:eastAsia="Arial" w:hAnsi="Arial"/>
          <w:sz w:val="19"/>
          <w:szCs w:val="19"/>
          <w:color w:val="auto"/>
        </w:rPr>
        <w:t>The properties of the Company and its Restricted Subsidiaries are insured with (a) financially sound and</w:t>
      </w:r>
      <w:r>
        <w:rPr>
          <w:rFonts w:ascii="Arial" w:cs="Arial" w:eastAsia="Arial" w:hAnsi="Arial"/>
          <w:sz w:val="19"/>
          <w:szCs w:val="19"/>
          <w:b w:val="1"/>
          <w:bCs w:val="1"/>
          <w:color w:val="auto"/>
        </w:rPr>
        <w:t xml:space="preserve"> </w:t>
      </w:r>
      <w:r>
        <w:rPr>
          <w:rFonts w:ascii="Arial" w:cs="Arial" w:eastAsia="Arial" w:hAnsi="Arial"/>
          <w:sz w:val="19"/>
          <w:szCs w:val="19"/>
          <w:color w:val="auto"/>
        </w:rPr>
        <w:t>reputable insurance companies not Affiliates of the Company and/or (b) a Captive Insurance Subsidiary,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Restricted Subsidiary operates and as otherwise required by the applicable provisions of this Agreement.</w:t>
      </w:r>
    </w:p>
    <w:p>
      <w:pPr>
        <w:spacing w:after="0" w:line="180"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b w:val="1"/>
          <w:bCs w:val="1"/>
          <w:color w:val="auto"/>
        </w:rPr>
        <w:t xml:space="preserve">5.11 Taxes. </w:t>
      </w:r>
      <w:r>
        <w:rPr>
          <w:rFonts w:ascii="Arial" w:cs="Arial" w:eastAsia="Arial" w:hAnsi="Arial"/>
          <w:sz w:val="20"/>
          <w:szCs w:val="20"/>
          <w:color w:val="auto"/>
        </w:rPr>
        <w:t>The Company and its Subsidiaries have filed all U.S. Federal and all other material Tax returns and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filed, and have paid all U.S. Federal and all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in writing against the Company or any Restricted Subsidiary that would, if made, have a Material Adverse Effect. Neither the Company nor any Restricted Subsidiary is party to any Tax sharing agreement with any Person that is not a Loan Party.</w:t>
      </w:r>
    </w:p>
    <w:p>
      <w:pPr>
        <w:spacing w:after="0" w:line="167"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p>
    <w:p>
      <w:pPr>
        <w:spacing w:after="0" w:line="213" w:lineRule="exact"/>
        <w:rPr>
          <w:sz w:val="20"/>
          <w:szCs w:val="20"/>
          <w:color w:val="auto"/>
        </w:rPr>
      </w:pPr>
    </w:p>
    <w:p>
      <w:pPr>
        <w:jc w:val="both"/>
        <w:ind w:left="120" w:firstLine="605"/>
        <w:spacing w:after="0" w:line="231" w:lineRule="auto"/>
        <w:tabs>
          <w:tab w:leader="none" w:pos="115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upon an opinion letter or advisory opinion issued by the Internal Revenue Service with respect to a prototype plan document, to the effect that the form of such Plan is qualified under Section 401(a) of the Code and the trust related thereto has been determined by the Internal Revenue Service 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09" w:name="page210"/>
    <w:bookmarkEnd w:id="209"/>
    <w:p>
      <w:pPr>
        <w:jc w:val="both"/>
        <w:ind w:left="120"/>
        <w:spacing w:after="0" w:line="227" w:lineRule="auto"/>
        <w:rPr>
          <w:sz w:val="20"/>
          <w:szCs w:val="20"/>
          <w:color w:val="auto"/>
        </w:rPr>
      </w:pPr>
      <w:r>
        <w:rPr>
          <w:rFonts w:ascii="Arial" w:cs="Arial" w:eastAsia="Arial" w:hAnsi="Arial"/>
          <w:sz w:val="20"/>
          <w:szCs w:val="20"/>
          <w:color w:val="auto"/>
        </w:rPr>
        <w:t>be exempt from Federal income Tax under Section 501(a) of the Code, or an application for such a letter is currently being processed by the Internal Revenue Service. To the best knowledge of the Company, nothing has occurred that would prevent or cause the loss of such tax-qualified status.</w:t>
      </w:r>
    </w:p>
    <w:p>
      <w:pPr>
        <w:spacing w:after="0" w:line="184" w:lineRule="exact"/>
        <w:rPr>
          <w:sz w:val="20"/>
          <w:szCs w:val="20"/>
          <w:color w:val="auto"/>
        </w:rPr>
      </w:pPr>
    </w:p>
    <w:p>
      <w:pPr>
        <w:jc w:val="both"/>
        <w:ind w:left="120" w:firstLine="605"/>
        <w:spacing w:after="0" w:line="222" w:lineRule="auto"/>
        <w:tabs>
          <w:tab w:leader="none" w:pos="115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2" w:lineRule="exact"/>
        <w:rPr>
          <w:rFonts w:ascii="Arial" w:cs="Arial" w:eastAsia="Arial" w:hAnsi="Arial"/>
          <w:sz w:val="20"/>
          <w:szCs w:val="20"/>
          <w:color w:val="auto"/>
        </w:rPr>
      </w:pPr>
    </w:p>
    <w:p>
      <w:pPr>
        <w:jc w:val="both"/>
        <w:ind w:left="120" w:firstLine="605"/>
        <w:spacing w:after="0" w:line="235"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 Other than those listed on </w:t>
      </w:r>
      <w:r>
        <w:rPr>
          <w:rFonts w:ascii="Arial" w:cs="Arial" w:eastAsia="Arial" w:hAnsi="Arial"/>
          <w:sz w:val="18"/>
          <w:szCs w:val="18"/>
          <w:u w:val="single" w:color="auto"/>
          <w:color w:val="auto"/>
        </w:rPr>
        <w:t>Schedule 5.12(c)</w:t>
      </w:r>
      <w:r>
        <w:rPr>
          <w:rFonts w:ascii="Arial" w:cs="Arial" w:eastAsia="Arial" w:hAnsi="Arial"/>
          <w:sz w:val="18"/>
          <w:szCs w:val="18"/>
          <w:color w:val="auto"/>
        </w:rPr>
        <w:t xml:space="preserve"> hereto,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Single Employer Pension Plan (and to the actual knowledge of the Company and its ERISA Affiliates, in respect of each Multiemployer Plan and Multiple Employer Plan) and no waiver of the minimum funding standards under the Pension Funding Rules has been applied for or obtained with respect to any Single Employer Pension Plan (and to the actual knowledge of the Company and its ERISA Affiliate, with respect to any Multiemployer Plan and Multiple Employer Plan); (iii) as of the most recent valuation date for any Single Employer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3" w:lineRule="exact"/>
        <w:rPr>
          <w:rFonts w:ascii="Arial" w:cs="Arial" w:eastAsia="Arial" w:hAnsi="Arial"/>
          <w:sz w:val="18"/>
          <w:szCs w:val="18"/>
          <w:color w:val="auto"/>
        </w:rPr>
      </w:pPr>
    </w:p>
    <w:p>
      <w:pPr>
        <w:jc w:val="both"/>
        <w:ind w:left="120" w:firstLine="605"/>
        <w:spacing w:after="0" w:line="227" w:lineRule="auto"/>
        <w:tabs>
          <w:tab w:leader="none" w:pos="115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Neither the Company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20"/>
          <w:szCs w:val="20"/>
          <w:u w:val="single" w:color="auto"/>
          <w:color w:val="auto"/>
        </w:rPr>
        <w:t>Schedule 5.12(d)</w:t>
      </w:r>
      <w:r>
        <w:rPr>
          <w:rFonts w:ascii="Arial" w:cs="Arial" w:eastAsia="Arial" w:hAnsi="Arial"/>
          <w:sz w:val="20"/>
          <w:szCs w:val="20"/>
          <w:color w:val="auto"/>
        </w:rPr>
        <w:t xml:space="preserve"> hereto and (B) thereafter, Pension Plans not otherwise prohibited by this Agreement.</w:t>
      </w:r>
    </w:p>
    <w:p>
      <w:pPr>
        <w:spacing w:after="0" w:line="183" w:lineRule="exact"/>
        <w:rPr>
          <w:rFonts w:ascii="Arial" w:cs="Arial" w:eastAsia="Arial" w:hAnsi="Arial"/>
          <w:sz w:val="20"/>
          <w:szCs w:val="20"/>
          <w:color w:val="auto"/>
        </w:rPr>
      </w:pPr>
    </w:p>
    <w:p>
      <w:pPr>
        <w:jc w:val="both"/>
        <w:ind w:left="120" w:firstLine="605"/>
        <w:spacing w:after="0" w:line="239" w:lineRule="auto"/>
        <w:tabs>
          <w:tab w:leader="none" w:pos="115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With respect to each scheme or arrangement mandated by a government other than the United States (a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Government Scheme or Arrangement</w:t>
      </w:r>
      <w:r>
        <w:rPr>
          <w:rFonts w:ascii="Arial" w:cs="Arial" w:eastAsia="Arial" w:hAnsi="Arial"/>
          <w:sz w:val="19"/>
          <w:szCs w:val="19"/>
          <w:color w:val="auto"/>
        </w:rPr>
        <w:t>”) and with respect to each employee benefit plan maintained or contributed to by any Loan Party or any Restricted Subsidiary of any Loan Party that is not subject to United States law (a “</w:t>
      </w:r>
      <w:r>
        <w:rPr>
          <w:rFonts w:ascii="Arial" w:cs="Arial" w:eastAsia="Arial" w:hAnsi="Arial"/>
          <w:sz w:val="19"/>
          <w:szCs w:val="19"/>
          <w:u w:val="single" w:color="auto"/>
          <w:color w:val="auto"/>
        </w:rPr>
        <w:t>Foreign Plan</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720" w:firstLine="605"/>
        <w:spacing w:after="0" w:line="222" w:lineRule="auto"/>
        <w:tabs>
          <w:tab w:leader="none" w:pos="1745"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10" w:name="page211"/>
    <w:bookmarkEnd w:id="210"/>
    <w:p>
      <w:pPr>
        <w:jc w:val="both"/>
        <w:ind w:left="720" w:firstLine="605"/>
        <w:spacing w:after="0" w:line="229" w:lineRule="auto"/>
        <w:tabs>
          <w:tab w:leader="none" w:pos="175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247" w:lineRule="exact"/>
        <w:rPr>
          <w:rFonts w:ascii="Arial" w:cs="Arial" w:eastAsia="Arial" w:hAnsi="Arial"/>
          <w:sz w:val="19"/>
          <w:szCs w:val="19"/>
          <w:color w:val="auto"/>
        </w:rPr>
      </w:pPr>
    </w:p>
    <w:p>
      <w:pPr>
        <w:jc w:val="both"/>
        <w:ind w:left="720" w:firstLine="605"/>
        <w:spacing w:after="0" w:line="227" w:lineRule="auto"/>
        <w:tabs>
          <w:tab w:leader="none" w:pos="174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183" w:lineRule="exact"/>
        <w:rPr>
          <w:rFonts w:ascii="Arial" w:cs="Arial" w:eastAsia="Arial" w:hAnsi="Arial"/>
          <w:sz w:val="20"/>
          <w:szCs w:val="20"/>
          <w:color w:val="auto"/>
        </w:rPr>
      </w:pPr>
    </w:p>
    <w:p>
      <w:pPr>
        <w:jc w:val="both"/>
        <w:ind w:left="120" w:firstLine="605"/>
        <w:spacing w:after="0" w:line="227" w:lineRule="auto"/>
        <w:tabs>
          <w:tab w:leader="none" w:pos="114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Each Borrower represents and warrants as of the Closing Date that such Borrower is not and will not be using “plan assets” (within the meaning of 29 CFR § 2510.3-101, as modified by Section 3(42) of ERISA, or otherwise) of one or more Benefit Plans in connection with the Loans, the Letters of Credit or the Commitments.</w:t>
      </w:r>
    </w:p>
    <w:p>
      <w:pPr>
        <w:spacing w:after="0" w:line="228"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18"/>
          <w:szCs w:val="18"/>
          <w:b w:val="1"/>
          <w:bCs w:val="1"/>
          <w:color w:val="auto"/>
        </w:rPr>
        <w:t xml:space="preserve">5.13 Subsidiaries; Equity Interests; Loan Parties. </w:t>
      </w:r>
      <w:r>
        <w:rPr>
          <w:rFonts w:ascii="Arial" w:cs="Arial" w:eastAsia="Arial" w:hAnsi="Arial"/>
          <w:sz w:val="18"/>
          <w:szCs w:val="18"/>
          <w:color w:val="auto"/>
        </w:rPr>
        <w:t>As of the Closing Date, the Company has no Subsidiaries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specifically disclosed in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all of the outstanding Equity Interests in such Subsidiaries have been validly issued, are fully paid and nonassessable and are owned by the Persons in the amounts specified on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except Liens permitted by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As of the Closing Date, the Company has no equity investments in any other corporation or entity other than those separately disclosed in the Schedule of Investments provided to the Administrative Agent and the Lenders on the Closing Date. All of the outstanding Equity Interests in the Company have been validly issued and are fully paid and nonassessable. Set forth on Part (b)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all Loan Parties as of the Closing Date,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Set forth on Part (c)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all Restricted Subsidiaries (other than Loan Parties) and all Unrestricted Subsidiaries as of the Closing Date. The copy of the charter of each Loan Party and each amendment thereto provided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is a true and correct copy of each such document, each of which is valid and in full force and effect.</w:t>
      </w:r>
    </w:p>
    <w:p>
      <w:pPr>
        <w:spacing w:after="0" w:line="175"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Investment Company Act.</w:t>
      </w:r>
    </w:p>
    <w:p>
      <w:pPr>
        <w:spacing w:after="0" w:line="213" w:lineRule="exact"/>
        <w:rPr>
          <w:sz w:val="20"/>
          <w:szCs w:val="20"/>
          <w:color w:val="auto"/>
        </w:rPr>
      </w:pPr>
    </w:p>
    <w:p>
      <w:pPr>
        <w:jc w:val="both"/>
        <w:ind w:left="120" w:firstLine="605"/>
        <w:spacing w:after="0" w:line="227" w:lineRule="auto"/>
        <w:tabs>
          <w:tab w:leader="none" w:pos="115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71" w:lineRule="exact"/>
        <w:rPr>
          <w:rFonts w:ascii="Arial" w:cs="Arial" w:eastAsia="Arial" w:hAnsi="Arial"/>
          <w:sz w:val="20"/>
          <w:szCs w:val="20"/>
          <w:color w:val="auto"/>
        </w:rPr>
      </w:pPr>
    </w:p>
    <w:p>
      <w:pPr>
        <w:ind w:left="120" w:firstLine="605"/>
        <w:spacing w:after="0" w:line="236" w:lineRule="auto"/>
        <w:tabs>
          <w:tab w:leader="none" w:pos="115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None of the Company, any Person Controlling the Company, or any Subsidiary is or is required to be registered as an “investment company” under the Investment Company Act of 1940.</w:t>
      </w:r>
    </w:p>
    <w:p>
      <w:pPr>
        <w:spacing w:after="0" w:line="241"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5.15 Disclosure. </w:t>
      </w:r>
      <w:r>
        <w:rPr>
          <w:rFonts w:ascii="Arial" w:cs="Arial" w:eastAsia="Arial" w:hAnsi="Arial"/>
          <w:sz w:val="20"/>
          <w:szCs w:val="20"/>
          <w:color w:val="auto"/>
        </w:rPr>
        <w:t>The Company has disclosed to the Administrative Agent and the Lenders all agreements, instruments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corporate or other restrictions to which it or any of its Subsidiaries is subject, and all other matters known to it, that, individually or in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11" w:name="page212"/>
    <w:bookmarkEnd w:id="211"/>
    <w:p>
      <w:pPr>
        <w:jc w:val="both"/>
        <w:ind w:left="120"/>
        <w:spacing w:after="0" w:line="223" w:lineRule="auto"/>
        <w:rPr>
          <w:sz w:val="20"/>
          <w:szCs w:val="20"/>
          <w:color w:val="auto"/>
        </w:rPr>
      </w:pPr>
      <w:r>
        <w:rPr>
          <w:rFonts w:ascii="Arial" w:cs="Arial" w:eastAsia="Arial" w:hAnsi="Arial"/>
          <w:sz w:val="19"/>
          <w:szCs w:val="19"/>
          <w:color w:val="auto"/>
        </w:rPr>
        <w:t xml:space="preserve">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written information so furnished) contains any material misstatement of fact or omits to state any material fact necessary to make the statements therein, taken as a whole and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no actual or purported oral statement shall be deemed to modify or qualify any written statement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with respect to projected financial information, the Borrowers represent only that such information was prepared in good faith based upon assumptions believed to be reasonable at the time (it being understood that projected financial information is as to future events and are not to be viewed as facts, projected financial information is subject to significant uncertainties and contingencies, many of which are beyond the control of the Borrowers,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w:t>
      </w:r>
    </w:p>
    <w:p>
      <w:pPr>
        <w:spacing w:after="0" w:line="189" w:lineRule="exact"/>
        <w:rPr>
          <w:sz w:val="20"/>
          <w:szCs w:val="20"/>
          <w:color w:val="auto"/>
        </w:rPr>
      </w:pPr>
    </w:p>
    <w:p>
      <w:pPr>
        <w:jc w:val="both"/>
        <w:ind w:left="120" w:firstLine="598"/>
        <w:spacing w:after="0" w:line="221" w:lineRule="auto"/>
        <w:rPr>
          <w:sz w:val="20"/>
          <w:szCs w:val="20"/>
          <w:color w:val="auto"/>
        </w:rPr>
      </w:pPr>
      <w:r>
        <w:rPr>
          <w:rFonts w:ascii="Arial" w:cs="Arial" w:eastAsia="Arial" w:hAnsi="Arial"/>
          <w:sz w:val="20"/>
          <w:szCs w:val="20"/>
          <w:b w:val="1"/>
          <w:bCs w:val="1"/>
          <w:color w:val="auto"/>
        </w:rPr>
        <w:t xml:space="preserve">5.16 Compliance with Laws. </w:t>
      </w:r>
      <w:r>
        <w:rPr>
          <w:rFonts w:ascii="Arial" w:cs="Arial" w:eastAsia="Arial" w:hAnsi="Arial"/>
          <w:sz w:val="20"/>
          <w:szCs w:val="20"/>
          <w:color w:val="auto"/>
        </w:rPr>
        <w:t>Each Loan Party and each Subsidiary is in compliance in all material respects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5" w:lineRule="exact"/>
        <w:rPr>
          <w:sz w:val="20"/>
          <w:szCs w:val="20"/>
          <w:color w:val="auto"/>
        </w:rPr>
      </w:pPr>
    </w:p>
    <w:p>
      <w:pPr>
        <w:jc w:val="both"/>
        <w:ind w:left="120" w:right="20" w:firstLine="598"/>
        <w:spacing w:after="0" w:line="239" w:lineRule="auto"/>
        <w:rPr>
          <w:sz w:val="20"/>
          <w:szCs w:val="20"/>
          <w:color w:val="auto"/>
        </w:rPr>
      </w:pPr>
      <w:r>
        <w:rPr>
          <w:rFonts w:ascii="Arial" w:cs="Arial" w:eastAsia="Arial" w:hAnsi="Arial"/>
          <w:sz w:val="20"/>
          <w:szCs w:val="20"/>
          <w:b w:val="1"/>
          <w:bCs w:val="1"/>
          <w:color w:val="auto"/>
        </w:rPr>
        <w:t xml:space="preserve">5.17 Taxpayer Identification Number; Other Identifying Information. </w:t>
      </w:r>
      <w:r>
        <w:rPr>
          <w:rFonts w:ascii="Arial" w:cs="Arial" w:eastAsia="Arial" w:hAnsi="Arial"/>
          <w:sz w:val="20"/>
          <w:szCs w:val="20"/>
          <w:color w:val="auto"/>
        </w:rPr>
        <w:t>The true and correct U.S. taxpayer identification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number of the Company is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w:t>
      </w:r>
    </w:p>
    <w:p>
      <w:pPr>
        <w:spacing w:after="0" w:line="179"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b w:val="1"/>
          <w:bCs w:val="1"/>
          <w:color w:val="auto"/>
        </w:rPr>
        <w:t xml:space="preserve">5.18 Intellectual Property; Licenses, Etc. </w:t>
      </w:r>
      <w:r>
        <w:rPr>
          <w:rFonts w:ascii="Arial" w:cs="Arial" w:eastAsia="Arial" w:hAnsi="Arial"/>
          <w:sz w:val="18"/>
          <w:szCs w:val="18"/>
          <w:color w:val="auto"/>
        </w:rPr>
        <w:t>To the best knowledge of the Company and except where failure to do so could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have a Material Adverse Effect, (i) the Company and its Restricted Subsidiaries own, or possess the right to use, all of the trademarks, service marks, trade names, copyrights, patents, patent rights, franchises, licenses and other intellectual property rights (collectively, “</w:t>
      </w:r>
      <w:r>
        <w:rPr>
          <w:rFonts w:ascii="Arial" w:cs="Arial" w:eastAsia="Arial" w:hAnsi="Arial"/>
          <w:sz w:val="18"/>
          <w:szCs w:val="18"/>
          <w:u w:val="single" w:color="auto"/>
          <w:color w:val="auto"/>
        </w:rPr>
        <w:t>IP Rights</w:t>
      </w:r>
      <w:r>
        <w:rPr>
          <w:rFonts w:ascii="Arial" w:cs="Arial" w:eastAsia="Arial" w:hAnsi="Arial"/>
          <w:sz w:val="18"/>
          <w:szCs w:val="18"/>
          <w:color w:val="auto"/>
        </w:rPr>
        <w:t>”) that are reasonably necessary for the operation of their respective businesses, without conflict with the rights of any other Person and (ii)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242"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5.19 Solvency. </w:t>
      </w:r>
      <w:r>
        <w:rPr>
          <w:rFonts w:ascii="Arial" w:cs="Arial" w:eastAsia="Arial" w:hAnsi="Arial"/>
          <w:sz w:val="20"/>
          <w:szCs w:val="20"/>
          <w:color w:val="auto"/>
        </w:rPr>
        <w:t>The Company is, together with its Restricted Subsidiaries on a consolidated basis, Solvent, and the Loan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are, on a consolidated basis, Solvent.</w:t>
      </w:r>
    </w:p>
    <w:p>
      <w:pPr>
        <w:spacing w:after="0" w:line="179"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5.20 Casualty, Etc. </w:t>
      </w:r>
      <w:r>
        <w:rPr>
          <w:rFonts w:ascii="Arial" w:cs="Arial" w:eastAsia="Arial" w:hAnsi="Arial"/>
          <w:sz w:val="20"/>
          <w:szCs w:val="20"/>
          <w:color w:val="auto"/>
        </w:rPr>
        <w:t>Neither the businesses nor the properties of any Loan Party or any Restricted Subsidiary are affected by</w:t>
      </w:r>
      <w:r>
        <w:rPr>
          <w:rFonts w:ascii="Arial" w:cs="Arial" w:eastAsia="Arial" w:hAnsi="Arial"/>
          <w:sz w:val="20"/>
          <w:szCs w:val="20"/>
          <w:b w:val="1"/>
          <w:bCs w:val="1"/>
          <w:color w:val="auto"/>
        </w:rPr>
        <w:t xml:space="preserve"> </w:t>
      </w:r>
      <w:r>
        <w:rPr>
          <w:rFonts w:ascii="Arial" w:cs="Arial" w:eastAsia="Arial" w:hAnsi="Arial"/>
          <w:sz w:val="20"/>
          <w:szCs w:val="20"/>
          <w:color w:val="auto"/>
        </w:rPr>
        <w:t>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1" w:right="579" w:bottom="1440" w:gutter="0" w:footer="0" w:header="0"/>
        </w:sectPr>
      </w:pPr>
    </w:p>
    <w:bookmarkStart w:id="212" w:name="page213"/>
    <w:bookmarkEnd w:id="212"/>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5.21 Labor Matters. </w:t>
      </w:r>
      <w:r>
        <w:rPr>
          <w:rFonts w:ascii="Arial" w:cs="Arial" w:eastAsia="Arial" w:hAnsi="Arial"/>
          <w:sz w:val="20"/>
          <w:szCs w:val="20"/>
          <w:color w:val="auto"/>
        </w:rPr>
        <w:t>Except as specifically disclosed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5.21</w:t>
      </w:r>
      <w:r>
        <w:rPr>
          <w:rFonts w:ascii="Arial" w:cs="Arial" w:eastAsia="Arial" w:hAnsi="Arial"/>
          <w:sz w:val="20"/>
          <w:szCs w:val="20"/>
          <w:color w:val="auto"/>
        </w:rPr>
        <w:t>, there are no collective bargaining agreements or</w:t>
      </w:r>
      <w:r>
        <w:rPr>
          <w:rFonts w:ascii="Arial" w:cs="Arial" w:eastAsia="Arial" w:hAnsi="Arial"/>
          <w:sz w:val="20"/>
          <w:szCs w:val="20"/>
          <w:b w:val="1"/>
          <w:bCs w:val="1"/>
          <w:color w:val="auto"/>
        </w:rPr>
        <w:t xml:space="preserve"> </w:t>
      </w:r>
      <w:r>
        <w:rPr>
          <w:rFonts w:ascii="Arial" w:cs="Arial" w:eastAsia="Arial" w:hAnsi="Arial"/>
          <w:sz w:val="20"/>
          <w:szCs w:val="20"/>
          <w:color w:val="auto"/>
        </w:rPr>
        <w:t>Multiemployer Plans covering the employees of the Company or any of its Restricted Subsidiaries as of the Closing Date and neither the Company nor any of its Restricted Subsidiaries has suffered any strikes, walkouts, work stoppages or other material labor difficulty within the last five years.</w:t>
      </w:r>
    </w:p>
    <w:p>
      <w:pPr>
        <w:spacing w:after="0" w:line="178"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5.22</w:t>
      </w:r>
      <w:r>
        <w:rPr>
          <w:sz w:val="20"/>
          <w:szCs w:val="20"/>
          <w:color w:val="auto"/>
        </w:rPr>
        <w:tab/>
      </w:r>
      <w:r>
        <w:rPr>
          <w:rFonts w:ascii="Arial" w:cs="Arial" w:eastAsia="Arial" w:hAnsi="Arial"/>
          <w:sz w:val="17"/>
          <w:szCs w:val="17"/>
          <w:b w:val="1"/>
          <w:bCs w:val="1"/>
          <w:color w:val="auto"/>
        </w:rPr>
        <w:t>[Reserved].</w:t>
      </w:r>
    </w:p>
    <w:p>
      <w:pPr>
        <w:spacing w:after="0" w:line="194"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5.23</w:t>
      </w:r>
      <w:r>
        <w:rPr>
          <w:sz w:val="20"/>
          <w:szCs w:val="20"/>
          <w:color w:val="auto"/>
        </w:rPr>
        <w:tab/>
      </w:r>
      <w:r>
        <w:rPr>
          <w:rFonts w:ascii="Arial" w:cs="Arial" w:eastAsia="Arial" w:hAnsi="Arial"/>
          <w:sz w:val="18"/>
          <w:szCs w:val="18"/>
          <w:b w:val="1"/>
          <w:bCs w:val="1"/>
          <w:color w:val="auto"/>
        </w:rPr>
        <w:t>OFAC; Anti-Corruption Laws.</w:t>
      </w:r>
    </w:p>
    <w:p>
      <w:pPr>
        <w:spacing w:after="0" w:line="213" w:lineRule="exact"/>
        <w:rPr>
          <w:sz w:val="20"/>
          <w:szCs w:val="20"/>
          <w:color w:val="auto"/>
        </w:rPr>
      </w:pPr>
    </w:p>
    <w:p>
      <w:pPr>
        <w:jc w:val="both"/>
        <w:ind w:left="120" w:firstLine="605"/>
        <w:spacing w:after="0" w:line="245"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Neither any Borrower nor any of its Subsidiaries, nor, to the knowledge of any Borrower and its Subsidiaries, any director, officer, employee, agent, or representative thereof, is an individual or entity that is or is owned or controlled by any individual or entity that is, (i) currently the subject or target of any applicable Sanctions, (ii) included on OFAC’s List of Specially Designated Nationals, Her Majesty’s Treasury’s Consolidated List of Financial Sanctions Targets and the Investment Ban List, or any similar list enforced by any other relevant sanctions authority or (iii) located, organized or resident in a Designated Jurisdiction.</w:t>
      </w:r>
    </w:p>
    <w:p>
      <w:pPr>
        <w:spacing w:after="0" w:line="179" w:lineRule="exact"/>
        <w:rPr>
          <w:rFonts w:ascii="Arial" w:cs="Arial" w:eastAsia="Arial" w:hAnsi="Arial"/>
          <w:sz w:val="18"/>
          <w:szCs w:val="18"/>
          <w:color w:val="auto"/>
        </w:rPr>
      </w:pPr>
    </w:p>
    <w:p>
      <w:pPr>
        <w:jc w:val="both"/>
        <w:ind w:left="120" w:firstLine="605"/>
        <w:spacing w:after="0" w:line="222" w:lineRule="auto"/>
        <w:tabs>
          <w:tab w:leader="none" w:pos="115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Company and its Subsidiaries have conducted their businesses in compliance in all material respects with all Anti-Corruption Laws and Sanctions and, to the extent applicable, Anti-Money Laundering Laws and have instituted and maintained policies and procedures reasonably designed to promote and achieve compliance with such Anti-Corruption Laws, such Anti-Money Laundering Laws and Sanctions.</w:t>
      </w:r>
    </w:p>
    <w:p>
      <w:pPr>
        <w:spacing w:after="0" w:line="167"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5.24 Excluded Subsidiaries. </w:t>
      </w:r>
      <w:r>
        <w:rPr>
          <w:rFonts w:ascii="Arial" w:cs="Arial" w:eastAsia="Arial" w:hAnsi="Arial"/>
          <w:sz w:val="20"/>
          <w:szCs w:val="20"/>
          <w:color w:val="auto"/>
        </w:rPr>
        <w:t>None of the Excluded Subsidiaries is currently engaged in any business activity or owns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assets, except as set forth on </w:t>
      </w:r>
      <w:r>
        <w:rPr>
          <w:rFonts w:ascii="Arial" w:cs="Arial" w:eastAsia="Arial" w:hAnsi="Arial"/>
          <w:sz w:val="20"/>
          <w:szCs w:val="20"/>
          <w:u w:val="single" w:color="auto"/>
          <w:color w:val="auto"/>
        </w:rPr>
        <w:t>Schedule 6.12(c)</w:t>
      </w:r>
      <w:r>
        <w:rPr>
          <w:rFonts w:ascii="Arial" w:cs="Arial" w:eastAsia="Arial" w:hAnsi="Arial"/>
          <w:sz w:val="20"/>
          <w:szCs w:val="20"/>
          <w:color w:val="auto"/>
        </w:rPr>
        <w:t>.</w:t>
      </w:r>
    </w:p>
    <w:p>
      <w:pPr>
        <w:spacing w:after="0" w:line="17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5.25</w:t>
      </w:r>
      <w:r>
        <w:rPr>
          <w:sz w:val="20"/>
          <w:szCs w:val="20"/>
          <w:color w:val="auto"/>
        </w:rPr>
        <w:tab/>
      </w:r>
      <w:r>
        <w:rPr>
          <w:rFonts w:ascii="Arial" w:cs="Arial" w:eastAsia="Arial" w:hAnsi="Arial"/>
          <w:sz w:val="18"/>
          <w:szCs w:val="18"/>
          <w:b w:val="1"/>
          <w:bCs w:val="1"/>
          <w:color w:val="auto"/>
        </w:rPr>
        <w:t xml:space="preserve">EEA Financial Institution. </w:t>
      </w:r>
      <w:r>
        <w:rPr>
          <w:rFonts w:ascii="Arial" w:cs="Arial" w:eastAsia="Arial" w:hAnsi="Arial"/>
          <w:sz w:val="18"/>
          <w:szCs w:val="18"/>
          <w:color w:val="auto"/>
        </w:rPr>
        <w:t>No Loan Party is an EEA Financial Institution.</w:t>
      </w:r>
    </w:p>
    <w:p>
      <w:pPr>
        <w:spacing w:after="0" w:line="207"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5.26 Beneficial Ownership Certification. </w:t>
      </w:r>
      <w:r>
        <w:rPr>
          <w:rFonts w:ascii="Arial" w:cs="Arial" w:eastAsia="Arial" w:hAnsi="Arial"/>
          <w:sz w:val="20"/>
          <w:szCs w:val="20"/>
          <w:color w:val="auto"/>
        </w:rPr>
        <w:t>As of the Closing Date, the information included in any Beneficial 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Certification, if applicable, is true and correct in all material respects.</w:t>
      </w:r>
    </w:p>
    <w:p>
      <w:pPr>
        <w:spacing w:after="0" w:line="16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5.27</w:t>
      </w:r>
      <w:r>
        <w:rPr>
          <w:sz w:val="20"/>
          <w:szCs w:val="20"/>
          <w:color w:val="auto"/>
        </w:rPr>
        <w:tab/>
      </w:r>
      <w:r>
        <w:rPr>
          <w:rFonts w:ascii="Arial" w:cs="Arial" w:eastAsia="Arial" w:hAnsi="Arial"/>
          <w:sz w:val="18"/>
          <w:szCs w:val="18"/>
          <w:b w:val="1"/>
          <w:bCs w:val="1"/>
          <w:color w:val="auto"/>
        </w:rPr>
        <w:t xml:space="preserve">Covered Entities. </w:t>
      </w:r>
      <w:r>
        <w:rPr>
          <w:rFonts w:ascii="Arial" w:cs="Arial" w:eastAsia="Arial" w:hAnsi="Arial"/>
          <w:sz w:val="18"/>
          <w:szCs w:val="18"/>
          <w:color w:val="auto"/>
        </w:rPr>
        <w:t>No Loan Party is a Covered Entity.</w:t>
      </w: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VI.</w:t>
      </w:r>
    </w:p>
    <w:p>
      <w:pPr>
        <w:jc w:val="center"/>
        <w:ind w:right="-199"/>
        <w:spacing w:after="0"/>
        <w:rPr>
          <w:sz w:val="20"/>
          <w:szCs w:val="20"/>
          <w:color w:val="auto"/>
        </w:rPr>
      </w:pPr>
      <w:r>
        <w:rPr>
          <w:rFonts w:ascii="Arial" w:cs="Arial" w:eastAsia="Arial" w:hAnsi="Arial"/>
          <w:sz w:val="20"/>
          <w:szCs w:val="20"/>
          <w:b w:val="1"/>
          <w:bCs w:val="1"/>
          <w:color w:val="auto"/>
        </w:rPr>
        <w:t>AFFIRMATIVE COVENANTS</w:t>
      </w:r>
    </w:p>
    <w:p>
      <w:pPr>
        <w:spacing w:after="0" w:line="191"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and shall (except in the case of the covenants set forth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Restricted Subsidiary to:</w:t>
      </w:r>
    </w:p>
    <w:p>
      <w:pPr>
        <w:spacing w:after="0" w:line="179"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6.01 Financial Statements. </w:t>
      </w:r>
      <w:r>
        <w:rPr>
          <w:rFonts w:ascii="Arial" w:cs="Arial" w:eastAsia="Arial" w:hAnsi="Arial"/>
          <w:sz w:val="20"/>
          <w:szCs w:val="20"/>
          <w:color w:val="auto"/>
        </w:rPr>
        <w:t>Deliver to the Administrative Agent and each Lender, in form and detail reasonably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w:t>
      </w:r>
    </w:p>
    <w:p>
      <w:pPr>
        <w:spacing w:after="0" w:line="172" w:lineRule="exact"/>
        <w:rPr>
          <w:sz w:val="20"/>
          <w:szCs w:val="20"/>
          <w:color w:val="auto"/>
        </w:rPr>
      </w:pPr>
    </w:p>
    <w:p>
      <w:pPr>
        <w:jc w:val="both"/>
        <w:ind w:left="120" w:firstLine="605"/>
        <w:spacing w:after="0" w:line="219" w:lineRule="auto"/>
        <w:tabs>
          <w:tab w:leader="none" w:pos="115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as soon as available, but in any event within 90 days after the end of each fiscal year of the Company (or, if earlier, 15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(commencing with the fiscal year ended December 31, 2021), (i) a consolidated balance sheet of the Company and its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13" w:name="page214"/>
    <w:bookmarkEnd w:id="213"/>
    <w:p>
      <w:pPr>
        <w:jc w:val="both"/>
        <w:ind w:left="120"/>
        <w:spacing w:after="0" w:line="236" w:lineRule="auto"/>
        <w:rPr>
          <w:sz w:val="20"/>
          <w:szCs w:val="20"/>
          <w:color w:val="auto"/>
        </w:rPr>
      </w:pPr>
      <w:r>
        <w:rPr>
          <w:rFonts w:ascii="Arial" w:cs="Arial" w:eastAsia="Arial" w:hAnsi="Arial"/>
          <w:sz w:val="18"/>
          <w:szCs w:val="18"/>
          <w:color w:val="auto"/>
        </w:rPr>
        <w:t>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BDO USA, LLP or another independent certified public accountant of nationally recognized standing, which report and opinion shall be prepared in accordance with generally accepted auditing standards and shall not be subject to any “going concern” or like qualification or exception (other than with respect to, or resulting from, a current debt maturity) or any qualification or exception as to the scope of such audit, (ii) to the extent there are any Unrestricted Subsidiaries as of the end of such fiscal year,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year;</w:t>
      </w:r>
    </w:p>
    <w:p>
      <w:pPr>
        <w:spacing w:after="0" w:line="192" w:lineRule="exact"/>
        <w:rPr>
          <w:sz w:val="20"/>
          <w:szCs w:val="20"/>
          <w:color w:val="auto"/>
        </w:rPr>
      </w:pPr>
    </w:p>
    <w:p>
      <w:pPr>
        <w:jc w:val="both"/>
        <w:ind w:left="120" w:firstLine="605"/>
        <w:spacing w:after="0" w:line="235" w:lineRule="auto"/>
        <w:tabs>
          <w:tab w:leader="none" w:pos="11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end of each of the first three fiscal quarters of each fiscal year of the Company (or, if earlier, 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(i) a consolidated balance sheet of the Company and its Subsidiaries as at the end of such fiscal quarter, and the related consolidated statement of income or operations for such fiscal quarter and for the portion of the Company’s fiscal year then ended, and the related consolidated statement of changes in shareholders’ equity, and cash flows for the portion of the Company’s fiscal year then ended, in each case setting forth in each case in comparative form, as applicable,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Subsidiaries in accordance with GAAP, subject only to normal year-end audit adjustments and the absence of footnotes, (ii) to the extent there are any Unrestricted Subsidiaries as of the end of such fiscal quarter,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quarter; and</w:t>
      </w:r>
    </w:p>
    <w:p>
      <w:pPr>
        <w:spacing w:after="0" w:line="174" w:lineRule="exact"/>
        <w:rPr>
          <w:rFonts w:ascii="Arial" w:cs="Arial" w:eastAsia="Arial" w:hAnsi="Arial"/>
          <w:sz w:val="18"/>
          <w:szCs w:val="18"/>
          <w:color w:val="auto"/>
        </w:rPr>
      </w:pPr>
    </w:p>
    <w:p>
      <w:pPr>
        <w:jc w:val="both"/>
        <w:ind w:left="120" w:firstLine="605"/>
        <w:spacing w:after="0" w:line="249"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no later than the date on which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are required to be delivered for any fiscal year of the Company, forecasts prepared by management of the Company of consolidated balance sheets and statements of income or operations and cash flows of the Company and its Restricted Subsidiaries on a quarterly basis for the immediately following such fiscal year (including the fiscal year in which the latest Maturity Date occurs).</w:t>
      </w:r>
    </w:p>
    <w:p>
      <w:pPr>
        <w:spacing w:after="0" w:line="165" w:lineRule="exact"/>
        <w:rPr>
          <w:sz w:val="20"/>
          <w:szCs w:val="20"/>
          <w:color w:val="auto"/>
        </w:rPr>
      </w:pPr>
    </w:p>
    <w:p>
      <w:pPr>
        <w:ind w:left="100"/>
        <w:spacing w:after="0" w:line="236"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the Company shall not be separately required to furnish such information under clause (a) or (b)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14" w:name="page215"/>
    <w:bookmarkEnd w:id="214"/>
    <w:p>
      <w:pPr>
        <w:ind w:left="100"/>
        <w:spacing w:after="0" w:line="236" w:lineRule="auto"/>
        <w:rPr>
          <w:sz w:val="20"/>
          <w:szCs w:val="20"/>
          <w:color w:val="auto"/>
        </w:rPr>
      </w:pPr>
      <w:r>
        <w:rPr>
          <w:rFonts w:ascii="Arial" w:cs="Arial" w:eastAsia="Arial" w:hAnsi="Arial"/>
          <w:sz w:val="20"/>
          <w:szCs w:val="20"/>
          <w:color w:val="auto"/>
        </w:rPr>
        <w:t>above, but the foregoing shall not be in derogation of the obligation of the Company to furnish the information and materials described in clauses (a) and (b) above at the times specified therein.</w:t>
      </w:r>
    </w:p>
    <w:p>
      <w:pPr>
        <w:spacing w:after="0" w:line="22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6.02 Certificates; Other Information. </w:t>
      </w:r>
      <w:r>
        <w:rPr>
          <w:rFonts w:ascii="Arial" w:cs="Arial" w:eastAsia="Arial" w:hAnsi="Arial"/>
          <w:sz w:val="20"/>
          <w:szCs w:val="20"/>
          <w:color w:val="auto"/>
        </w:rPr>
        <w:t>Deliver to the Administrative Agent and each Lender:</w:t>
      </w:r>
    </w:p>
    <w:p>
      <w:pPr>
        <w:spacing w:after="0" w:line="213" w:lineRule="exact"/>
        <w:rPr>
          <w:sz w:val="20"/>
          <w:szCs w:val="20"/>
          <w:color w:val="auto"/>
        </w:rPr>
      </w:pPr>
    </w:p>
    <w:p>
      <w:pPr>
        <w:jc w:val="both"/>
        <w:ind w:left="120" w:firstLine="605"/>
        <w:spacing w:after="0" w:line="222" w:lineRule="auto"/>
        <w:tabs>
          <w:tab w:leader="none" w:pos="115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the chief executive officer, chief financial officer, treasurer or controller of the Company (which delivery may, unless the Administrative Agent, or a Lender requests executed originals, be by electronic communication including fax or email and shall be deemed to be an original authentic counterpart thereof for all purposes);</w:t>
      </w:r>
    </w:p>
    <w:p>
      <w:pPr>
        <w:spacing w:after="0" w:line="185" w:lineRule="exact"/>
        <w:rPr>
          <w:rFonts w:ascii="Arial" w:cs="Arial" w:eastAsia="Arial" w:hAnsi="Arial"/>
          <w:sz w:val="20"/>
          <w:szCs w:val="20"/>
          <w:color w:val="auto"/>
        </w:rPr>
      </w:pPr>
    </w:p>
    <w:p>
      <w:pPr>
        <w:jc w:val="both"/>
        <w:ind w:left="120" w:right="20" w:firstLine="605"/>
        <w:spacing w:after="0" w:line="222" w:lineRule="auto"/>
        <w:tabs>
          <w:tab w:leader="none" w:pos="115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72" w:lineRule="exact"/>
        <w:rPr>
          <w:rFonts w:ascii="Arial" w:cs="Arial" w:eastAsia="Arial" w:hAnsi="Arial"/>
          <w:sz w:val="20"/>
          <w:szCs w:val="20"/>
          <w:color w:val="auto"/>
        </w:rPr>
      </w:pPr>
    </w:p>
    <w:p>
      <w:pPr>
        <w:jc w:val="both"/>
        <w:ind w:left="120" w:firstLine="605"/>
        <w:spacing w:after="0" w:line="234" w:lineRule="auto"/>
        <w:tabs>
          <w:tab w:leader="none" w:pos="115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71" w:lineRule="exact"/>
        <w:rPr>
          <w:rFonts w:ascii="Arial" w:cs="Arial" w:eastAsia="Arial" w:hAnsi="Arial"/>
          <w:sz w:val="19"/>
          <w:szCs w:val="19"/>
          <w:color w:val="auto"/>
        </w:rPr>
      </w:pPr>
    </w:p>
    <w:p>
      <w:pPr>
        <w:jc w:val="both"/>
        <w:ind w:left="120" w:firstLine="605"/>
        <w:spacing w:after="0" w:line="219" w:lineRule="auto"/>
        <w:tabs>
          <w:tab w:leader="none" w:pos="115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promptly after the furnishing thereof, copies of any material statement or report furnished to any holder of debt securities of any Loan Party or any Restricted Subsidiary pursuant to the terms of any indenture, loan or credit or similar agreement, in each case, evidencing Indebtedness in excess of $40,000,000 (including, without limitation, copies of all material notices and other information delivered to or received from the Surety) and not otherwise required to be furnished to the Lenders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any other clause of this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120" w:firstLine="605"/>
        <w:spacing w:after="0" w:line="222" w:lineRule="auto"/>
        <w:tabs>
          <w:tab w:leader="none" w:pos="115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the Company or any Restricted Subsidiary,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Restricted Subsidiary;</w:t>
      </w:r>
    </w:p>
    <w:p>
      <w:pPr>
        <w:spacing w:after="0" w:line="185" w:lineRule="exact"/>
        <w:rPr>
          <w:rFonts w:ascii="Arial" w:cs="Arial" w:eastAsia="Arial" w:hAnsi="Arial"/>
          <w:sz w:val="20"/>
          <w:szCs w:val="20"/>
          <w:color w:val="auto"/>
        </w:rPr>
      </w:pPr>
    </w:p>
    <w:p>
      <w:pPr>
        <w:jc w:val="both"/>
        <w:ind w:left="120" w:firstLine="605"/>
        <w:spacing w:after="0" w:line="227" w:lineRule="auto"/>
        <w:tabs>
          <w:tab w:leader="none" w:pos="114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rules and regulations and Anti-Money Laundering Laws, including, without limitation, the Act and the Beneficial Ownership Regulation; and</w:t>
      </w:r>
    </w:p>
    <w:p>
      <w:pPr>
        <w:spacing w:after="0" w:line="171"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Company or any Restricted Subsidiary, or compliance with the terms of the Loan Documents, as the Administrative Agent or any Lender (acting through the Administrative Agent) may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15" w:name="page216"/>
    <w:bookmarkEnd w:id="215"/>
    <w:p>
      <w:pPr>
        <w:jc w:val="both"/>
        <w:ind w:left="120" w:firstLine="598"/>
        <w:spacing w:after="0" w:line="237"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deliver paper copies or soft copies (i.e. by electronic mail) of such documents to the Administrative Agent or any Lender upon its request to the Company to deliver such paper copies or soft copies.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91" w:lineRule="exact"/>
        <w:rPr>
          <w:sz w:val="20"/>
          <w:szCs w:val="20"/>
          <w:color w:val="auto"/>
        </w:rPr>
      </w:pPr>
    </w:p>
    <w:p>
      <w:pPr>
        <w:jc w:val="both"/>
        <w:ind w:left="120" w:right="60" w:firstLine="598"/>
        <w:spacing w:after="0" w:line="223" w:lineRule="auto"/>
        <w:rPr>
          <w:sz w:val="20"/>
          <w:szCs w:val="20"/>
          <w:color w:val="auto"/>
        </w:rPr>
      </w:pPr>
      <w:r>
        <w:rPr>
          <w:rFonts w:ascii="Arial" w:cs="Arial" w:eastAsia="Arial" w:hAnsi="Arial"/>
          <w:sz w:val="19"/>
          <w:szCs w:val="19"/>
          <w:color w:val="auto"/>
        </w:rPr>
        <w:t>Each Borrower hereby acknowledges that (a) the Administrative Agent and/or an Arranger may, but shall not be obligated to, make available to the Lenders and the L/C Issuer materials and/or information provided by or on behalf of the Borrowers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Debt Domain, IntraLinks, SyndTrak or another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66" w:lineRule="exact"/>
        <w:rPr>
          <w:sz w:val="20"/>
          <w:szCs w:val="20"/>
          <w:color w:val="auto"/>
        </w:rPr>
      </w:pPr>
    </w:p>
    <w:p>
      <w:pPr>
        <w:jc w:val="both"/>
        <w:ind w:left="120" w:right="60" w:firstLine="598"/>
        <w:spacing w:after="0" w:line="242" w:lineRule="auto"/>
        <w:rPr>
          <w:sz w:val="20"/>
          <w:szCs w:val="20"/>
          <w:color w:val="auto"/>
        </w:rPr>
      </w:pPr>
      <w:r>
        <w:rPr>
          <w:rFonts w:ascii="Arial" w:cs="Arial" w:eastAsia="Arial" w:hAnsi="Arial"/>
          <w:sz w:val="19"/>
          <w:szCs w:val="19"/>
          <w:b w:val="1"/>
          <w:bCs w:val="1"/>
          <w:color w:val="auto"/>
        </w:rPr>
        <w:t xml:space="preserve">6.03 Notices. </w:t>
      </w:r>
      <w:r>
        <w:rPr>
          <w:rFonts w:ascii="Arial" w:cs="Arial" w:eastAsia="Arial" w:hAnsi="Arial"/>
          <w:sz w:val="19"/>
          <w:szCs w:val="19"/>
          <w:color w:val="auto"/>
        </w:rPr>
        <w:t>Reasonably promptly (and in any event within 5 Business Days) after any Loan Party obtains knowledge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notify the Administrative Agent and each Lender (it being agreed that notice to the Lenders may be accomplished by the Administrative Agent posting such information on the Platform to the extent requested by the Company):</w:t>
      </w:r>
    </w:p>
    <w:p>
      <w:pPr>
        <w:spacing w:after="0" w:line="182" w:lineRule="exact"/>
        <w:rPr>
          <w:sz w:val="20"/>
          <w:szCs w:val="20"/>
          <w:color w:val="auto"/>
        </w:rPr>
      </w:pPr>
    </w:p>
    <w:p>
      <w:pPr>
        <w:ind w:left="1320" w:hanging="595"/>
        <w:spacing w:after="0"/>
        <w:tabs>
          <w:tab w:leader="none" w:pos="132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06" w:lineRule="exact"/>
        <w:rPr>
          <w:rFonts w:ascii="Arial" w:cs="Arial" w:eastAsia="Arial" w:hAnsi="Arial"/>
          <w:sz w:val="20"/>
          <w:szCs w:val="20"/>
          <w:color w:val="auto"/>
        </w:rPr>
      </w:pPr>
    </w:p>
    <w:p>
      <w:pPr>
        <w:jc w:val="both"/>
        <w:ind w:left="120" w:right="60" w:firstLine="605"/>
        <w:spacing w:after="0" w:line="249" w:lineRule="auto"/>
        <w:tabs>
          <w:tab w:leader="none" w:pos="11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a Material Adverse Effect that has resulted, or could reasonably be expected to result, from (i) a breach or non-performance of, or any default under, a Contractual Obligation of the Company or any Restricted Subsidiary; (ii) any dispute, litigation, investigation, proceeding or suspension between the Company or any Subsidiary and any Governmental Authority; or (iii) the commencement of, or any material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20"/>
          </w:cols>
          <w:pgMar w:left="360" w:top="1306" w:right="519" w:bottom="1440" w:gutter="0" w:footer="0" w:header="0"/>
        </w:sectPr>
      </w:pPr>
    </w:p>
    <w:bookmarkStart w:id="216" w:name="page217"/>
    <w:bookmarkEnd w:id="216"/>
    <w:p>
      <w:pPr>
        <w:ind w:left="120"/>
        <w:spacing w:after="0" w:line="236" w:lineRule="auto"/>
        <w:rPr>
          <w:sz w:val="20"/>
          <w:szCs w:val="20"/>
          <w:color w:val="auto"/>
        </w:rPr>
      </w:pPr>
      <w:r>
        <w:rPr>
          <w:rFonts w:ascii="Arial" w:cs="Arial" w:eastAsia="Arial" w:hAnsi="Arial"/>
          <w:sz w:val="20"/>
          <w:szCs w:val="20"/>
          <w:color w:val="auto"/>
        </w:rPr>
        <w:t>development in, any litigation or proceeding affecting the Company or any Restricted Subsidiary, including pursuant to any applicable Environmental Laws;</w:t>
      </w:r>
    </w:p>
    <w:p>
      <w:pPr>
        <w:spacing w:after="0" w:line="184" w:lineRule="exact"/>
        <w:rPr>
          <w:sz w:val="20"/>
          <w:szCs w:val="20"/>
          <w:color w:val="auto"/>
        </w:rPr>
      </w:pPr>
    </w:p>
    <w:p>
      <w:pPr>
        <w:ind w:left="1320" w:hanging="595"/>
        <w:spacing w:after="0"/>
        <w:tabs>
          <w:tab w:leader="none" w:pos="13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194" w:lineRule="exact"/>
        <w:rPr>
          <w:rFonts w:ascii="Arial" w:cs="Arial" w:eastAsia="Arial" w:hAnsi="Arial"/>
          <w:sz w:val="20"/>
          <w:szCs w:val="20"/>
          <w:color w:val="auto"/>
        </w:rPr>
      </w:pPr>
    </w:p>
    <w:p>
      <w:pPr>
        <w:ind w:left="120" w:firstLine="605"/>
        <w:spacing w:after="0" w:line="236" w:lineRule="auto"/>
        <w:tabs>
          <w:tab w:leader="none" w:pos="115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the Company or any Restricted Subsidiary, including any determination by the Company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1320" w:hanging="595"/>
        <w:spacing w:after="0"/>
        <w:tabs>
          <w:tab w:leader="none" w:pos="13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of any default under any Senior Notes Document; and</w:t>
      </w:r>
    </w:p>
    <w:p>
      <w:pPr>
        <w:spacing w:after="0" w:line="206" w:lineRule="exact"/>
        <w:rPr>
          <w:rFonts w:ascii="Arial" w:cs="Arial" w:eastAsia="Arial" w:hAnsi="Arial"/>
          <w:sz w:val="20"/>
          <w:szCs w:val="20"/>
          <w:color w:val="auto"/>
        </w:rPr>
      </w:pPr>
    </w:p>
    <w:p>
      <w:pPr>
        <w:jc w:val="both"/>
        <w:ind w:left="120" w:firstLine="605"/>
        <w:spacing w:after="0" w:line="239" w:lineRule="auto"/>
        <w:tabs>
          <w:tab w:leader="none" w:pos="114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of the addition of any Restricted Subsidiary as an Indemnitor under the Indemnity Agreement and of the occurrence of (i) any Default under and as defined in the Indemnity Agreement or (ii) of any fact, condition or event that only with the giving of notice or the passage of time or both, would become a Default under and as defined in the Indemnity Agreement.</w:t>
      </w:r>
    </w:p>
    <w:p>
      <w:pPr>
        <w:spacing w:after="0" w:line="171"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 Each notice pursuant to </w:t>
      </w:r>
      <w:r>
        <w:rPr>
          <w:rFonts w:ascii="Arial" w:cs="Arial" w:eastAsia="Arial" w:hAnsi="Arial"/>
          <w:sz w:val="20"/>
          <w:szCs w:val="20"/>
          <w:u w:val="single" w:color="auto"/>
          <w:color w:val="auto"/>
        </w:rPr>
        <w:t>Section 6.03(f)</w:t>
      </w:r>
      <w:r>
        <w:rPr>
          <w:rFonts w:ascii="Arial" w:cs="Arial" w:eastAsia="Arial" w:hAnsi="Arial"/>
          <w:sz w:val="20"/>
          <w:szCs w:val="20"/>
          <w:color w:val="auto"/>
        </w:rPr>
        <w:t xml:space="preserve"> shall describe with particularity any and all provisions of any Surety Credit Documents that have been breached.</w:t>
      </w:r>
    </w:p>
    <w:p>
      <w:pPr>
        <w:spacing w:after="0" w:line="181" w:lineRule="exact"/>
        <w:rPr>
          <w:sz w:val="20"/>
          <w:szCs w:val="20"/>
          <w:color w:val="auto"/>
        </w:rPr>
      </w:pPr>
    </w:p>
    <w:p>
      <w:pPr>
        <w:jc w:val="both"/>
        <w:ind w:left="120" w:firstLine="598"/>
        <w:spacing w:after="0" w:line="221" w:lineRule="auto"/>
        <w:rPr>
          <w:sz w:val="20"/>
          <w:szCs w:val="20"/>
          <w:color w:val="auto"/>
        </w:rPr>
      </w:pPr>
      <w:r>
        <w:rPr>
          <w:rFonts w:ascii="Arial" w:cs="Arial" w:eastAsia="Arial" w:hAnsi="Arial"/>
          <w:sz w:val="20"/>
          <w:szCs w:val="20"/>
          <w:b w:val="1"/>
          <w:bCs w:val="1"/>
          <w:color w:val="auto"/>
        </w:rPr>
        <w:t xml:space="preserve">6.04 Payment of Obligations. </w:t>
      </w:r>
      <w:r>
        <w:rPr>
          <w:rFonts w:ascii="Arial" w:cs="Arial" w:eastAsia="Arial" w:hAnsi="Arial"/>
          <w:sz w:val="20"/>
          <w:szCs w:val="20"/>
          <w:color w:val="auto"/>
        </w:rPr>
        <w:t>Pay and discharge as the same shall become due and payable (a) all U.S. Federal and all other</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and (b) all lawful material claims which, if unpaid, would by law become a Lien upon its property.</w:t>
      </w:r>
    </w:p>
    <w:p>
      <w:pPr>
        <w:spacing w:after="0" w:line="177"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b w:val="1"/>
          <w:bCs w:val="1"/>
          <w:color w:val="auto"/>
        </w:rPr>
        <w:t xml:space="preserve">6.05 Preservation of Existence, Etc. </w:t>
      </w:r>
      <w:r>
        <w:rPr>
          <w:rFonts w:ascii="Arial" w:cs="Arial" w:eastAsia="Arial" w:hAnsi="Arial"/>
          <w:sz w:val="20"/>
          <w:szCs w:val="20"/>
          <w:color w:val="auto"/>
        </w:rPr>
        <w:t>(a) Preserve, renew and maintain in full force and effect its legal existence and good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standing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except to the extent a failure to maintain good standing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67"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6.06 Maintenance of Properties. </w:t>
      </w:r>
      <w:r>
        <w:rPr>
          <w:rFonts w:ascii="Arial" w:cs="Arial" w:eastAsia="Arial" w:hAnsi="Arial"/>
          <w:sz w:val="20"/>
          <w:szCs w:val="20"/>
          <w:color w:val="auto"/>
        </w:rPr>
        <w:t>Except where the failure to do so could not reasonably be expected to have a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Adverse Effect, (a) maintain, preserve and protect all of its material properties and equipment necessary in the operation of its business in good working order and condition, ordinary wear and tear excepted; and (b) make all necessary repairs thereto and renewals and replacements thereof.</w:t>
      </w:r>
    </w:p>
    <w:p>
      <w:pPr>
        <w:spacing w:after="0" w:line="240" w:lineRule="exact"/>
        <w:rPr>
          <w:sz w:val="20"/>
          <w:szCs w:val="20"/>
          <w:color w:val="auto"/>
        </w:rPr>
      </w:pPr>
    </w:p>
    <w:p>
      <w:pPr>
        <w:jc w:val="both"/>
        <w:ind w:left="120" w:firstLine="598"/>
        <w:spacing w:after="0" w:line="242" w:lineRule="auto"/>
        <w:rPr>
          <w:sz w:val="20"/>
          <w:szCs w:val="20"/>
          <w:color w:val="auto"/>
        </w:rPr>
      </w:pPr>
      <w:r>
        <w:rPr>
          <w:rFonts w:ascii="Arial" w:cs="Arial" w:eastAsia="Arial" w:hAnsi="Arial"/>
          <w:sz w:val="19"/>
          <w:szCs w:val="19"/>
          <w:b w:val="1"/>
          <w:bCs w:val="1"/>
          <w:color w:val="auto"/>
        </w:rPr>
        <w:t xml:space="preserve">6.07 Maintenance of Insurance. </w:t>
      </w:r>
      <w:r>
        <w:rPr>
          <w:rFonts w:ascii="Arial" w:cs="Arial" w:eastAsia="Arial" w:hAnsi="Arial"/>
          <w:sz w:val="19"/>
          <w:szCs w:val="19"/>
          <w:color w:val="auto"/>
        </w:rPr>
        <w:t>Maintain with (a) financially sound and reputable insurance companies not Affiliates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and/or (b) a Captive Insurance Subsidiary, (i) insurance with respect to its properties and business against loss or damage of the kinds customarily insured against by Persons engaged in the same or similar business,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17" w:name="page218"/>
    <w:bookmarkEnd w:id="217"/>
    <w:p>
      <w:pPr>
        <w:jc w:val="both"/>
        <w:ind w:left="120"/>
        <w:spacing w:after="0" w:line="227" w:lineRule="auto"/>
        <w:rPr>
          <w:sz w:val="20"/>
          <w:szCs w:val="20"/>
          <w:color w:val="auto"/>
        </w:rPr>
      </w:pPr>
      <w:r>
        <w:rPr>
          <w:rFonts w:ascii="Arial" w:cs="Arial" w:eastAsia="Arial" w:hAnsi="Arial"/>
          <w:sz w:val="20"/>
          <w:szCs w:val="20"/>
          <w:color w:val="auto"/>
        </w:rPr>
        <w:t>of such types and in such amounts (after giving effect to any self-insurance compatible with the following standards) as are customarily carried under similar circumstances by such other Persons and (ii) business interruption insurance in an amount not less than $3,000,000 per occurrence.</w:t>
      </w:r>
    </w:p>
    <w:p>
      <w:pPr>
        <w:spacing w:after="0" w:line="178" w:lineRule="exact"/>
        <w:rPr>
          <w:sz w:val="20"/>
          <w:szCs w:val="20"/>
          <w:color w:val="auto"/>
        </w:rPr>
      </w:pPr>
    </w:p>
    <w:p>
      <w:pPr>
        <w:jc w:val="both"/>
        <w:ind w:left="120" w:firstLine="598"/>
        <w:spacing w:after="0" w:line="232" w:lineRule="auto"/>
        <w:rPr>
          <w:sz w:val="20"/>
          <w:szCs w:val="20"/>
          <w:color w:val="auto"/>
        </w:rPr>
      </w:pPr>
      <w:r>
        <w:rPr>
          <w:rFonts w:ascii="Arial" w:cs="Arial" w:eastAsia="Arial" w:hAnsi="Arial"/>
          <w:sz w:val="19"/>
          <w:szCs w:val="19"/>
          <w:b w:val="1"/>
          <w:bCs w:val="1"/>
          <w:color w:val="auto"/>
        </w:rPr>
        <w:t xml:space="preserve">6.08 Compliance with Laws. </w:t>
      </w:r>
      <w:r>
        <w:rPr>
          <w:rFonts w:ascii="Arial" w:cs="Arial" w:eastAsia="Arial" w:hAnsi="Arial"/>
          <w:sz w:val="19"/>
          <w:szCs w:val="19"/>
          <w:color w:val="auto"/>
        </w:rPr>
        <w:t>Comply in all material respects with the requirements of all Laws and all orders, writs,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and its Subsidiaries shall comply with all Laws, orders, writs, injunctions and decrees described in </w:t>
      </w:r>
      <w:r>
        <w:rPr>
          <w:rFonts w:ascii="Arial" w:cs="Arial" w:eastAsia="Arial" w:hAnsi="Arial"/>
          <w:sz w:val="19"/>
          <w:szCs w:val="19"/>
          <w:u w:val="single" w:color="auto"/>
          <w:color w:val="auto"/>
        </w:rPr>
        <w:t>Section 5.23</w:t>
      </w:r>
      <w:r>
        <w:rPr>
          <w:rFonts w:ascii="Arial" w:cs="Arial" w:eastAsia="Arial" w:hAnsi="Arial"/>
          <w:sz w:val="19"/>
          <w:szCs w:val="19"/>
          <w:color w:val="auto"/>
        </w:rPr>
        <w:t xml:space="preserve"> in all respects.</w:t>
      </w:r>
    </w:p>
    <w:p>
      <w:pPr>
        <w:spacing w:after="0" w:line="167"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6.09 Books and Records. </w:t>
      </w:r>
      <w:r>
        <w:rPr>
          <w:rFonts w:ascii="Arial" w:cs="Arial" w:eastAsia="Arial" w:hAnsi="Arial"/>
          <w:sz w:val="20"/>
          <w:szCs w:val="20"/>
          <w:color w:val="auto"/>
        </w:rPr>
        <w:t>Maintain proper books of record and account, in which full, true and correct entries in conformity</w:t>
      </w:r>
      <w:r>
        <w:rPr>
          <w:rFonts w:ascii="Arial" w:cs="Arial" w:eastAsia="Arial" w:hAnsi="Arial"/>
          <w:sz w:val="20"/>
          <w:szCs w:val="20"/>
          <w:b w:val="1"/>
          <w:bCs w:val="1"/>
          <w:color w:val="auto"/>
        </w:rPr>
        <w:t xml:space="preserve"> </w:t>
      </w:r>
      <w:r>
        <w:rPr>
          <w:rFonts w:ascii="Arial" w:cs="Arial" w:eastAsia="Arial" w:hAnsi="Arial"/>
          <w:sz w:val="20"/>
          <w:szCs w:val="20"/>
          <w:color w:val="auto"/>
        </w:rPr>
        <w:t>with GAAP consistently applied shall be made of all financial transactions and matters involving the assets and business of the Company or such Restricted Subsidiary, as the case may be.</w:t>
      </w:r>
    </w:p>
    <w:p>
      <w:pPr>
        <w:spacing w:after="0" w:line="178"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b w:val="1"/>
          <w:bCs w:val="1"/>
          <w:color w:val="auto"/>
        </w:rPr>
        <w:t xml:space="preserve">6.10 Inspection Rights. </w:t>
      </w:r>
      <w:r>
        <w:rPr>
          <w:rFonts w:ascii="Arial" w:cs="Arial" w:eastAsia="Arial" w:hAnsi="Arial"/>
          <w:sz w:val="18"/>
          <w:szCs w:val="18"/>
          <w:color w:val="auto"/>
        </w:rPr>
        <w:t>Permit representatives and independent contractors of the Administrative Agent to visit and inspect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representatives and independent contractors of each Lender may accompany the representatives and independent contractors of the Administrative Agent on each such visit and inspection and participate therein, but at such Lender’s own expense,</w:t>
      </w:r>
    </w:p>
    <w:p>
      <w:pPr>
        <w:ind w:left="420" w:hanging="294"/>
        <w:spacing w:after="0" w:line="236" w:lineRule="auto"/>
        <w:tabs>
          <w:tab w:leader="none" w:pos="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unless an Event of Default exists, only one such visit, inspection, examination or discussion may be conducted per fiscal year and</w:t>
      </w:r>
    </w:p>
    <w:p>
      <w:pPr>
        <w:jc w:val="both"/>
        <w:ind w:left="120" w:firstLine="6"/>
        <w:spacing w:after="0" w:line="221" w:lineRule="auto"/>
        <w:tabs>
          <w:tab w:leader="none" w:pos="399"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when an Event of Default exists the Administrative Agent or any Lender (or any of their respective representatives or independent contractors) may do any of the foregoing as often as may be reasonably desired at the expense of the Company at any time during normal business hours and without advance notice.</w:t>
      </w:r>
    </w:p>
    <w:p>
      <w:pPr>
        <w:spacing w:after="0" w:line="167" w:lineRule="exact"/>
        <w:rPr>
          <w:sz w:val="20"/>
          <w:szCs w:val="20"/>
          <w:color w:val="auto"/>
        </w:rPr>
      </w:pPr>
    </w:p>
    <w:p>
      <w:pPr>
        <w:jc w:val="both"/>
        <w:ind w:left="120" w:firstLine="598"/>
        <w:spacing w:after="0" w:line="221" w:lineRule="auto"/>
        <w:rPr>
          <w:sz w:val="20"/>
          <w:szCs w:val="20"/>
          <w:color w:val="auto"/>
        </w:rPr>
      </w:pPr>
      <w:r>
        <w:rPr>
          <w:rFonts w:ascii="Arial" w:cs="Arial" w:eastAsia="Arial" w:hAnsi="Arial"/>
          <w:sz w:val="20"/>
          <w:szCs w:val="20"/>
          <w:b w:val="1"/>
          <w:bCs w:val="1"/>
          <w:color w:val="auto"/>
        </w:rPr>
        <w:t xml:space="preserve">6.11 Use of Proceeds. </w:t>
      </w:r>
      <w:r>
        <w:rPr>
          <w:rFonts w:ascii="Arial" w:cs="Arial" w:eastAsia="Arial" w:hAnsi="Arial"/>
          <w:sz w:val="20"/>
          <w:szCs w:val="20"/>
          <w:color w:val="auto"/>
        </w:rPr>
        <w:t>Use the proceeds of the Credit Extensions (a) for working capital, capital expenditures and other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corporate purposes not in contravention of any Law or of any Loan Document, (b) to finance Permitted Acquisitions, (c) to repay, prepay, redeem or repurchase the Senior Notes Indebtedness or any Indebtedness to the extent that such repayment, prepayment, redemption or repurchase is permitted by </w:t>
      </w:r>
      <w:r>
        <w:rPr>
          <w:rFonts w:ascii="Arial" w:cs="Arial" w:eastAsia="Arial" w:hAnsi="Arial"/>
          <w:sz w:val="20"/>
          <w:szCs w:val="20"/>
          <w:u w:val="single" w:color="auto"/>
          <w:color w:val="auto"/>
        </w:rPr>
        <w:t>Section 7.15</w:t>
      </w:r>
      <w:r>
        <w:rPr>
          <w:rFonts w:ascii="Arial" w:cs="Arial" w:eastAsia="Arial" w:hAnsi="Arial"/>
          <w:sz w:val="20"/>
          <w:szCs w:val="20"/>
          <w:color w:val="auto"/>
        </w:rPr>
        <w:t xml:space="preserve"> and (d) in the case of the Loans advanced on the Closing Date, to repay in full all obligations outstanding under the Existing Credit Agreement.</w:t>
      </w:r>
    </w:p>
    <w:p>
      <w:pPr>
        <w:spacing w:after="0" w:line="177"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8"/>
          <w:szCs w:val="18"/>
          <w:b w:val="1"/>
          <w:bCs w:val="1"/>
          <w:color w:val="auto"/>
        </w:rPr>
        <w:t>Covenant to Guarantee Obligations.</w:t>
      </w:r>
    </w:p>
    <w:p>
      <w:pPr>
        <w:spacing w:after="0" w:line="213" w:lineRule="exact"/>
        <w:rPr>
          <w:sz w:val="20"/>
          <w:szCs w:val="20"/>
          <w:color w:val="auto"/>
        </w:rPr>
      </w:pPr>
    </w:p>
    <w:p>
      <w:pPr>
        <w:jc w:val="both"/>
        <w:ind w:left="120" w:firstLine="605"/>
        <w:spacing w:after="0" w:line="216" w:lineRule="auto"/>
        <w:tabs>
          <w:tab w:leader="none" w:pos="115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Subject to the provisos at the end of this clause (a) and clause (b)(ii) of this </w:t>
      </w:r>
      <w:r>
        <w:rPr>
          <w:rFonts w:ascii="Arial" w:cs="Arial" w:eastAsia="Arial" w:hAnsi="Arial"/>
          <w:sz w:val="20"/>
          <w:szCs w:val="20"/>
          <w:u w:val="single" w:color="auto"/>
          <w:color w:val="auto"/>
        </w:rPr>
        <w:t>Section 6.12</w:t>
      </w:r>
      <w:r>
        <w:rPr>
          <w:rFonts w:ascii="Arial" w:cs="Arial" w:eastAsia="Arial" w:hAnsi="Arial"/>
          <w:sz w:val="20"/>
          <w:szCs w:val="20"/>
          <w:color w:val="auto"/>
        </w:rPr>
        <w:t>, if any Person becomes (I) a Restricted Subsidiary (other than an Immaterial Subsidiary), whether upon formation or acquisition or upon the Company’s re-designation of any Unrestricted Subsidiary as a Restricted Subsidiary, or (II) a Material Subsidiary, the Company will (x) promptly notify the Administrative Agent thereof and, (y) as soon as practicable but in any event within 60 days of such Person becoming such a Restricted Subsidiary or Material Subsidiary (or, such longer period as may be approved by the Administrative Agent in its sole discretion), deliver or cause to be delivered to the Administrative Agent each of the following documents (collectively, the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Guarantor Deliverables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218" w:name="page219"/>
    <w:bookmarkEnd w:id="218"/>
    <w:p>
      <w:pPr>
        <w:spacing w:after="0" w:line="104" w:lineRule="exact"/>
        <w:rPr>
          <w:sz w:val="20"/>
          <w:szCs w:val="20"/>
          <w:color w:val="auto"/>
        </w:rPr>
      </w:pPr>
    </w:p>
    <w:p>
      <w:pPr>
        <w:ind w:left="1760" w:hanging="435"/>
        <w:spacing w:after="0"/>
        <w:tabs>
          <w:tab w:leader="none" w:pos="17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 Subsidiary Guaranty Joinder Agreement duly executed by such Subsidiary;</w:t>
      </w:r>
    </w:p>
    <w:p>
      <w:pPr>
        <w:spacing w:after="0" w:line="194" w:lineRule="exact"/>
        <w:rPr>
          <w:rFonts w:ascii="Arial" w:cs="Arial" w:eastAsia="Arial" w:hAnsi="Arial"/>
          <w:sz w:val="20"/>
          <w:szCs w:val="20"/>
          <w:color w:val="auto"/>
        </w:rPr>
      </w:pPr>
    </w:p>
    <w:p>
      <w:pPr>
        <w:jc w:val="both"/>
        <w:ind w:left="720" w:firstLine="605"/>
        <w:spacing w:after="0" w:line="231" w:lineRule="auto"/>
        <w:tabs>
          <w:tab w:leader="none" w:pos="175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current copies of the Organization Documents of such Subsidiary and resolutions of the board of directors, or equivalent governing body, of such Subsidiary, together with such other documents and certificates as the Administrative Agent or its counsel may reasonably request relating to the organization, existence and good standing (or the local equivalent) of such Subsidiary, the authorization of the transactions contemplated by the Loan Documents and any other legal matters relating to such Subsidiary, the Loan Documents or the transactions contemplated thereby;</w:t>
      </w:r>
    </w:p>
    <w:p>
      <w:pPr>
        <w:spacing w:after="0" w:line="171" w:lineRule="exact"/>
        <w:rPr>
          <w:rFonts w:ascii="Arial" w:cs="Arial" w:eastAsia="Arial" w:hAnsi="Arial"/>
          <w:sz w:val="19"/>
          <w:szCs w:val="19"/>
          <w:color w:val="auto"/>
        </w:rPr>
      </w:pPr>
    </w:p>
    <w:p>
      <w:pPr>
        <w:jc w:val="both"/>
        <w:ind w:left="720" w:firstLine="605"/>
        <w:spacing w:after="0" w:line="258" w:lineRule="auto"/>
        <w:tabs>
          <w:tab w:leader="none" w:pos="174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if requested by the Administrative Agent, opinions of counsel to the applicable Loan Parties and such Subsidiary with respect to the documents delivered and the transactions contemplated by this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substantially similar in form and substance to the opinion(s) of counsel delivered on the Closing Date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and</w:t>
      </w:r>
    </w:p>
    <w:p>
      <w:pPr>
        <w:spacing w:after="0" w:line="168" w:lineRule="exact"/>
        <w:rPr>
          <w:rFonts w:ascii="Arial" w:cs="Arial" w:eastAsia="Arial" w:hAnsi="Arial"/>
          <w:sz w:val="18"/>
          <w:szCs w:val="18"/>
          <w:color w:val="auto"/>
        </w:rPr>
      </w:pPr>
    </w:p>
    <w:p>
      <w:pPr>
        <w:jc w:val="both"/>
        <w:ind w:left="720" w:firstLine="605"/>
        <w:spacing w:after="0" w:line="227" w:lineRule="auto"/>
        <w:tabs>
          <w:tab w:leader="none" w:pos="174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such documentation and other information requested by the Administrative Agent or any Lender in order to comply with requirements of the Act, applicable “know your customer” rules and regulations and Anti-Money Laundering Laws.</w:t>
      </w:r>
    </w:p>
    <w:p>
      <w:pPr>
        <w:spacing w:after="0" w:line="184" w:lineRule="exact"/>
        <w:rPr>
          <w:sz w:val="20"/>
          <w:szCs w:val="20"/>
          <w:color w:val="auto"/>
        </w:rPr>
      </w:pPr>
    </w:p>
    <w:p>
      <w:pPr>
        <w:jc w:val="both"/>
        <w:ind w:left="100"/>
        <w:spacing w:after="0" w:line="22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so long as the 80% Guaranty Threshold is otherwise satisfied without such Subsidiary becoming a Loan Party, the Company may elect not to join such Subsidiary as a Loan Party and the Subsidiary Guarantor Deliverables will not be required with respect to such Subsidiary, in each case unless and until such time as such Subsidiary becomes or is otherwise required to become a Loan Party in accordance with </w:t>
      </w:r>
      <w:r>
        <w:rPr>
          <w:rFonts w:ascii="Arial" w:cs="Arial" w:eastAsia="Arial" w:hAnsi="Arial"/>
          <w:sz w:val="20"/>
          <w:szCs w:val="20"/>
          <w:u w:val="single" w:color="auto"/>
          <w:color w:val="auto"/>
        </w:rPr>
        <w:t>Section 6.12(b)</w:t>
      </w:r>
      <w:r>
        <w:rPr>
          <w:rFonts w:ascii="Arial" w:cs="Arial" w:eastAsia="Arial" w:hAnsi="Arial"/>
          <w:sz w:val="20"/>
          <w:szCs w:val="20"/>
          <w:color w:val="auto"/>
        </w:rPr>
        <w:t>.</w:t>
      </w:r>
    </w:p>
    <w:p>
      <w:pPr>
        <w:spacing w:after="0" w:line="248" w:lineRule="exact"/>
        <w:rPr>
          <w:sz w:val="20"/>
          <w:szCs w:val="20"/>
          <w:color w:val="auto"/>
        </w:rPr>
      </w:pPr>
    </w:p>
    <w:p>
      <w:pPr>
        <w:jc w:val="both"/>
        <w:ind w:left="120" w:firstLine="605"/>
        <w:spacing w:after="0" w:line="223" w:lineRule="auto"/>
        <w:tabs>
          <w:tab w:leader="none" w:pos="115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 Notwithstanding the foregoing (but subject to the exceptions in </w:t>
      </w:r>
      <w:r>
        <w:rPr>
          <w:rFonts w:ascii="Arial" w:cs="Arial" w:eastAsia="Arial" w:hAnsi="Arial"/>
          <w:sz w:val="19"/>
          <w:szCs w:val="19"/>
          <w:u w:val="single" w:color="auto"/>
          <w:color w:val="auto"/>
        </w:rPr>
        <w:t>Section 6.12(b)(ii)</w:t>
      </w:r>
      <w:r>
        <w:rPr>
          <w:rFonts w:ascii="Arial" w:cs="Arial" w:eastAsia="Arial" w:hAnsi="Arial"/>
          <w:sz w:val="19"/>
          <w:szCs w:val="19"/>
          <w:color w:val="auto"/>
        </w:rPr>
        <w:t xml:space="preserve"> below), if as of the end of any period of four consecutive fiscal quarters of the Company, the Loan Party EBITDA for such period does not represent at least 80% of the Adjusted Consolidated EBITDA for such period (the “</w:t>
      </w:r>
      <w:r>
        <w:rPr>
          <w:rFonts w:ascii="Arial" w:cs="Arial" w:eastAsia="Arial" w:hAnsi="Arial"/>
          <w:sz w:val="19"/>
          <w:szCs w:val="19"/>
          <w:u w:val="single" w:color="auto"/>
          <w:color w:val="auto"/>
        </w:rPr>
        <w:t>80% Guaranty Threshold</w:t>
      </w:r>
      <w:r>
        <w:rPr>
          <w:rFonts w:ascii="Arial" w:cs="Arial" w:eastAsia="Arial" w:hAnsi="Arial"/>
          <w:sz w:val="19"/>
          <w:szCs w:val="19"/>
          <w:color w:val="auto"/>
        </w:rPr>
        <w:t xml:space="preserve">”), then the Company shall (A) promptly notify the Administrative Agent that the 80% Guaranty Threshold is not satisfied and (B) as soon as practicable but in any event, within 60 days after the delivery of the Compliance Certificate for such period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(or such longer period as may be approved by the Administrative Agent in its sole discretion), cause one or more Subsidiaries that is not then a Loan Party (other than any such Subsidiary that is a CFC, CFC Holdco, a Subsidiary of a CFC or a Prohibited Subsidiary) to become a Subsidiary Guarantor and satisfy the Subsidiary Guarantor Deliverables, as if such Subsidiaries were Material Subsidiaries, such that upon such Subsidiaries becoming Subsidiary Guarantors, the 80% Guaranty Threshold would have been satisfied for such period, as evidenced in a certificate of a Responsible Officer setting forth the calculation of Loan Party EBITDA and Adjusted Consolidated EBITDA in detail reasonably satisfactory to the Administrative Agent. No Subsidiary Guarantor that is a Foreign Subsidiary shall be included in the calculation of Loan Party EBITDA unless the Administrative Agent has received evidence reasonably satisfactory to it (following due diligence to be completed at the Company’s expense) that the Administrative Agent will be able to enforce and collect on the Guarantee of the Obligations from such Subsidiary Guarantor with practical results generally consistent with enforcement and collection by a lender in the United States. The Loan Parties shall in good faith satisfy the terms of this </w:t>
      </w:r>
      <w:r>
        <w:rPr>
          <w:rFonts w:ascii="Arial" w:cs="Arial" w:eastAsia="Arial" w:hAnsi="Arial"/>
          <w:sz w:val="19"/>
          <w:szCs w:val="19"/>
          <w:u w:val="single" w:color="auto"/>
          <w:color w:val="auto"/>
        </w:rPr>
        <w:t>Section 6.12(b)</w:t>
      </w:r>
      <w:r>
        <w:rPr>
          <w:rFonts w:ascii="Arial" w:cs="Arial" w:eastAsia="Arial" w:hAnsi="Arial"/>
          <w:sz w:val="19"/>
          <w:szCs w:val="19"/>
          <w:color w:val="auto"/>
        </w:rPr>
        <w:t xml:space="preserve"> by using commercially reasonable efforts to, to the extent the 80%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19" w:name="page220"/>
    <w:bookmarkEnd w:id="219"/>
    <w:p>
      <w:pPr>
        <w:jc w:val="both"/>
        <w:ind w:left="120"/>
        <w:spacing w:after="0" w:line="227" w:lineRule="auto"/>
        <w:rPr>
          <w:sz w:val="20"/>
          <w:szCs w:val="20"/>
          <w:color w:val="auto"/>
        </w:rPr>
      </w:pPr>
      <w:r>
        <w:rPr>
          <w:rFonts w:ascii="Arial" w:cs="Arial" w:eastAsia="Arial" w:hAnsi="Arial"/>
          <w:sz w:val="20"/>
          <w:szCs w:val="20"/>
          <w:color w:val="auto"/>
        </w:rPr>
        <w:t>Guaranty Threshold is satisfied by Foreign Subsidiaries being included as Loan Parties, include first those Foreign Subsidiaries not (or least) subject to prior Liens with respect to the Obligations and not (or least) subject to legal impediments to providing a Guarantee of the Obligations in ways comparable to Domestic Subsidiaries.</w:t>
      </w:r>
    </w:p>
    <w:p>
      <w:pPr>
        <w:spacing w:after="0" w:line="184" w:lineRule="exact"/>
        <w:rPr>
          <w:sz w:val="20"/>
          <w:szCs w:val="20"/>
          <w:color w:val="auto"/>
        </w:rPr>
      </w:pPr>
    </w:p>
    <w:p>
      <w:pPr>
        <w:jc w:val="both"/>
        <w:ind w:left="720" w:firstLine="605"/>
        <w:spacing w:after="0" w:line="237" w:lineRule="auto"/>
        <w:tabs>
          <w:tab w:leader="none" w:pos="165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Notwithstanding the foregoing, no Prohibited Subsidiary and, subject to the proviso to this sentence, no CFC, Subsidiary of a CFC or CFC Holdco shall be required to become a Subsidiary Guarantor or deliver the Subsidiary Guarantor Deliverables in order to satisfy the 80% Guaranty Threshold at any time and the 80% Guaranty Threshold shall be deemed to be satisfied at such time if 100% of all Domestic Subsidiaries (other than a Subsidiary of a CFC, a CFC Holdco or a Prohibited Subsidiary) are Loan Parties and have delivered all documentation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at the time of any Permitted Acquisition of a Foreign Subsidiary the Loan Party EBITDA for the period of four consecutive fiscal quarters of the Company most recently ended for which financial statements are available does not represent at least 70% of the Adjusted Consolidated EBITDA for such period (such calculations to be made on a Pro Forma Basis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 (the “</w:t>
      </w:r>
      <w:r>
        <w:rPr>
          <w:rFonts w:ascii="Arial" w:cs="Arial" w:eastAsia="Arial" w:hAnsi="Arial"/>
          <w:sz w:val="18"/>
          <w:szCs w:val="18"/>
          <w:u w:val="single" w:color="auto"/>
          <w:color w:val="auto"/>
        </w:rPr>
        <w:t>70%</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Guaranty Threshold</w:t>
      </w:r>
      <w:r>
        <w:rPr>
          <w:rFonts w:ascii="Arial" w:cs="Arial" w:eastAsia="Arial" w:hAnsi="Arial"/>
          <w:sz w:val="18"/>
          <w:szCs w:val="18"/>
          <w:color w:val="auto"/>
        </w:rPr>
        <w:t>”), then such Foreign Subsidiary shall be required to become a Subsidiary Guarantor and deliver the Subsidiary Guarantor Deliverables (or the equivalent thereof in the respective foreign jurisdiction) without regard to any adverse Tax consequences which may result therefrom.</w:t>
      </w:r>
    </w:p>
    <w:p>
      <w:pPr>
        <w:spacing w:after="0" w:line="173" w:lineRule="exact"/>
        <w:rPr>
          <w:rFonts w:ascii="Arial" w:cs="Arial" w:eastAsia="Arial" w:hAnsi="Arial"/>
          <w:sz w:val="18"/>
          <w:szCs w:val="18"/>
          <w:color w:val="auto"/>
        </w:rPr>
      </w:pPr>
    </w:p>
    <w:p>
      <w:pPr>
        <w:jc w:val="both"/>
        <w:ind w:left="120" w:firstLine="605"/>
        <w:spacing w:after="0" w:line="216" w:lineRule="auto"/>
        <w:tabs>
          <w:tab w:leader="none" w:pos="115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Notwithstanding the foregoing, if at any time a Subsidiary that is not a Loan Party becomes a guarantor of any Indebtedness (other than Indebtedness under the Loan Documents) of any Loan Party, then the Company shall (i) promptly notify the Administrative Agent thereof and (ii) as soon as practicable but in any event within 60 days after such Subsidiary becomes such a guarantor (or such longer period as may be approved by the Administrative Agent in its sole discretion), cause such Subsidiary to become a Subsidiary Guarantor and to deliver the Subsidiary Guarantor Deliverables as if such Subsidiary were a Material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the Subsidiaries listed on </w:t>
      </w:r>
      <w:r>
        <w:rPr>
          <w:rFonts w:ascii="Arial" w:cs="Arial" w:eastAsia="Arial" w:hAnsi="Arial"/>
          <w:sz w:val="20"/>
          <w:szCs w:val="20"/>
          <w:u w:val="single" w:color="auto"/>
          <w:color w:val="auto"/>
        </w:rPr>
        <w:t>Schedule 6.12(c)</w:t>
      </w:r>
      <w:r>
        <w:rPr>
          <w:rFonts w:ascii="Arial" w:cs="Arial" w:eastAsia="Arial" w:hAnsi="Arial"/>
          <w:sz w:val="20"/>
          <w:szCs w:val="20"/>
          <w:color w:val="auto"/>
        </w:rPr>
        <w:t xml:space="preserve"> (“</w:t>
      </w:r>
      <w:r>
        <w:rPr>
          <w:rFonts w:ascii="Arial" w:cs="Arial" w:eastAsia="Arial" w:hAnsi="Arial"/>
          <w:sz w:val="20"/>
          <w:szCs w:val="20"/>
          <w:u w:val="single" w:color="auto"/>
          <w:color w:val="auto"/>
        </w:rPr>
        <w:t>Excluded Subsidiaries</w:t>
      </w:r>
      <w:r>
        <w:rPr>
          <w:rFonts w:ascii="Arial" w:cs="Arial" w:eastAsia="Arial" w:hAnsi="Arial"/>
          <w:sz w:val="20"/>
          <w:szCs w:val="20"/>
          <w:color w:val="auto"/>
        </w:rPr>
        <w:t>”) notwithstanding the fact that such Subsidiaries guarantee the Senior Notes.</w:t>
      </w:r>
    </w:p>
    <w:p>
      <w:pPr>
        <w:spacing w:after="0" w:line="186" w:lineRule="exact"/>
        <w:rPr>
          <w:rFonts w:ascii="Arial" w:cs="Arial" w:eastAsia="Arial" w:hAnsi="Arial"/>
          <w:sz w:val="20"/>
          <w:szCs w:val="20"/>
          <w:color w:val="auto"/>
        </w:rPr>
      </w:pPr>
    </w:p>
    <w:p>
      <w:pPr>
        <w:jc w:val="both"/>
        <w:ind w:left="120" w:firstLine="605"/>
        <w:spacing w:after="0" w:line="223" w:lineRule="auto"/>
        <w:tabs>
          <w:tab w:leader="none" w:pos="115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Company may at any time designate any Restricted Subsidiary (as used in this clause (d) a “</w:t>
      </w:r>
      <w:r>
        <w:rPr>
          <w:rFonts w:ascii="Arial" w:cs="Arial" w:eastAsia="Arial" w:hAnsi="Arial"/>
          <w:sz w:val="19"/>
          <w:szCs w:val="19"/>
          <w:u w:val="single" w:color="auto"/>
          <w:color w:val="auto"/>
        </w:rPr>
        <w:t>Proposed Re-Designated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that is not a Borrower or a Material Subsidiary and has not previously been an Unrestricted Subsidiary as an Unrestricted Subsidiary and, if such Restricted Subsidiary is also a Subsidiary Guarantor, release it from its Subsidiary Guaranty; in each case, so long as (i) immediately before and after such designation, no Default shall have occurred and be continuing, (ii) no such Proposed Re-Designated Subsidiary may be designated as an Unrestricted Subsidiary if any of its Subsidiaries is a Restricted Subsidiary or a Loan Party (in either case unless such Subsidiaries are also Proposed Re-Designated Subsidiaries being designated as Unrestricted Subsidiaries simultaneously therewith), (iii) immediately after giving effect to such designation the Company and its Restricted Subsidiaries shall be in compliance, calculated on a Pro Forma Basis pursuant to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with the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7.11</w:t>
      </w:r>
      <w:r>
        <w:rPr>
          <w:rFonts w:ascii="Arial" w:cs="Arial" w:eastAsia="Arial" w:hAnsi="Arial"/>
          <w:sz w:val="19"/>
          <w:szCs w:val="19"/>
          <w:color w:val="auto"/>
        </w:rPr>
        <w:t>, (iv) to the extent such Proposed Re-Designated Subsidiary is a Subsidiary Guarantor, (A) after giving pro forma effect to the release of such Proposed Re-Designated Subsidiary as a Subsidiary Guarantor, the 80% Guaranty Threshold would continue to have been met as of the four quarter period most recently ended, and (B) of the remaining Wholly-Owned Loan Parties, those that were Loan Parties as of the Closing Date must have, by themselves, (without the Proposed Re-Designated Subsidiary) satisfied the 80% Guaranty Threshold as of the Closing Date, (v) such Proposed Re-Designated Subsidiary would not constitute a Material Subsidiary as of the end of the period of twelve consecutive months most recently ended (such determination being made on the consolidated EBITDA for such twelve month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2" w:right="579" w:bottom="1440" w:gutter="0" w:footer="0" w:header="0"/>
        </w:sectPr>
      </w:pPr>
    </w:p>
    <w:bookmarkStart w:id="220" w:name="page221"/>
    <w:bookmarkEnd w:id="220"/>
    <w:p>
      <w:pPr>
        <w:jc w:val="both"/>
        <w:ind w:left="120"/>
        <w:spacing w:after="0" w:line="225" w:lineRule="auto"/>
        <w:rPr>
          <w:sz w:val="20"/>
          <w:szCs w:val="20"/>
          <w:color w:val="auto"/>
        </w:rPr>
      </w:pPr>
      <w:r>
        <w:rPr>
          <w:rFonts w:ascii="Arial" w:cs="Arial" w:eastAsia="Arial" w:hAnsi="Arial"/>
          <w:sz w:val="19"/>
          <w:szCs w:val="19"/>
          <w:color w:val="auto"/>
        </w:rPr>
        <w:t>period), (vi) any direct or indirect Borrowings by any such Proposed Re-Designated Subsidiary under this Agreement shall have been repaid prior to such designation, and (vii) prior to the effectiveness of any such designation, the Company shall deliver to the Administrative Agent a certificate in form and substance reasonably acceptable to the Administrative Agent setting forth in reasonable detail the calculations demonstrating compliance with the preceding clauses (iii) through (vi). 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168"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18"/>
          <w:szCs w:val="18"/>
          <w:b w:val="1"/>
          <w:bCs w:val="1"/>
          <w:color w:val="auto"/>
        </w:rPr>
        <w:t xml:space="preserve">6.13 Compliance with Environmental Laws. </w:t>
      </w:r>
      <w:r>
        <w:rPr>
          <w:rFonts w:ascii="Arial" w:cs="Arial" w:eastAsia="Arial" w:hAnsi="Arial"/>
          <w:sz w:val="18"/>
          <w:szCs w:val="18"/>
          <w:color w:val="auto"/>
        </w:rPr>
        <w:t>Except where the failure to do so would not reasonably be expected to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 Adverse Effect,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applicable Environmental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Company nor any of its Restricted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67" w:lineRule="exact"/>
        <w:rPr>
          <w:sz w:val="20"/>
          <w:szCs w:val="20"/>
          <w:color w:val="auto"/>
        </w:rPr>
      </w:pPr>
    </w:p>
    <w:p>
      <w:pPr>
        <w:jc w:val="both"/>
        <w:ind w:left="120" w:firstLine="598"/>
        <w:spacing w:after="0" w:line="218" w:lineRule="auto"/>
        <w:rPr>
          <w:sz w:val="20"/>
          <w:szCs w:val="20"/>
          <w:color w:val="auto"/>
        </w:rPr>
      </w:pPr>
      <w:r>
        <w:rPr>
          <w:rFonts w:ascii="Arial" w:cs="Arial" w:eastAsia="Arial" w:hAnsi="Arial"/>
          <w:sz w:val="20"/>
          <w:szCs w:val="20"/>
          <w:b w:val="1"/>
          <w:bCs w:val="1"/>
          <w:color w:val="auto"/>
        </w:rPr>
        <w:t xml:space="preserve">6.14 Further Assurances. </w:t>
      </w:r>
      <w:r>
        <w:rPr>
          <w:rFonts w:ascii="Arial" w:cs="Arial" w:eastAsia="Arial" w:hAnsi="Arial"/>
          <w:sz w:val="20"/>
          <w:szCs w:val="20"/>
          <w:color w:val="auto"/>
        </w:rPr>
        <w:t>Promptly upon request by the Administrative Agent, or any Lender through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(a) correct any material defect or error that may be discovered in any Loan Document or in the execution, acknowledgment, filing or recordation thereof, and (b) do, execute, acknowledge, deliver, record, re-record, file, re-file, register and re- register any and all such further acts, deeds, certificates, assurances and other instruments as the Administrative Agent, or any Lender through the Administrative Agent, may reasonably require from time to time in order to carry out more effectively the purposes of the Loan Documents.</w:t>
      </w:r>
    </w:p>
    <w:p>
      <w:pPr>
        <w:spacing w:after="0" w:line="232"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6.15 Material Contracts. </w:t>
      </w:r>
      <w:r>
        <w:rPr>
          <w:rFonts w:ascii="Arial" w:cs="Arial" w:eastAsia="Arial" w:hAnsi="Arial"/>
          <w:sz w:val="20"/>
          <w:szCs w:val="20"/>
          <w:color w:val="auto"/>
        </w:rPr>
        <w:t>Except as could not reasonably be expected to have a Material Adverse Effect, perform and observe</w:t>
      </w:r>
      <w:r>
        <w:rPr>
          <w:rFonts w:ascii="Arial" w:cs="Arial" w:eastAsia="Arial" w:hAnsi="Arial"/>
          <w:sz w:val="20"/>
          <w:szCs w:val="20"/>
          <w:b w:val="1"/>
          <w:bCs w:val="1"/>
          <w:color w:val="auto"/>
        </w:rPr>
        <w:t xml:space="preserve"> </w:t>
      </w:r>
      <w:r>
        <w:rPr>
          <w:rFonts w:ascii="Arial" w:cs="Arial" w:eastAsia="Arial" w:hAnsi="Arial"/>
          <w:sz w:val="20"/>
          <w:szCs w:val="20"/>
          <w:color w:val="auto"/>
        </w:rPr>
        <w:t>all the terms and provisions of each Material Contract to be performed or observed by it.</w:t>
      </w:r>
    </w:p>
    <w:p>
      <w:pPr>
        <w:spacing w:after="0" w:line="179"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6.16 Designation as Senior Debt. </w:t>
      </w:r>
      <w:r>
        <w:rPr>
          <w:rFonts w:ascii="Arial" w:cs="Arial" w:eastAsia="Arial" w:hAnsi="Arial"/>
          <w:sz w:val="20"/>
          <w:szCs w:val="20"/>
          <w:color w:val="auto"/>
        </w:rPr>
        <w:t>Designate all Obligations as “Designated Senior Indebtedness” (or any similar term) under,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defined in, any documentation evidencing any other Indebtedness of the Company or any of its Restricted Subsidiaries in which such concept is applicable.</w:t>
      </w:r>
    </w:p>
    <w:p>
      <w:pPr>
        <w:spacing w:after="0" w:line="178"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6.17</w:t>
      </w:r>
      <w:r>
        <w:rPr>
          <w:sz w:val="20"/>
          <w:szCs w:val="20"/>
          <w:color w:val="auto"/>
        </w:rPr>
        <w:tab/>
      </w:r>
      <w:r>
        <w:rPr>
          <w:rFonts w:ascii="Arial" w:cs="Arial" w:eastAsia="Arial" w:hAnsi="Arial"/>
          <w:sz w:val="17"/>
          <w:szCs w:val="17"/>
          <w:b w:val="1"/>
          <w:bCs w:val="1"/>
          <w:color w:val="auto"/>
        </w:rPr>
        <w:t>[Reserved.]</w:t>
      </w:r>
    </w:p>
    <w:p>
      <w:pPr>
        <w:spacing w:after="0" w:line="194" w:lineRule="exact"/>
        <w:rPr>
          <w:sz w:val="20"/>
          <w:szCs w:val="20"/>
          <w:color w:val="auto"/>
        </w:rPr>
      </w:pPr>
    </w:p>
    <w:p>
      <w:pPr>
        <w:jc w:val="both"/>
        <w:ind w:left="120" w:firstLine="598"/>
        <w:spacing w:after="0" w:line="293" w:lineRule="auto"/>
        <w:rPr>
          <w:sz w:val="20"/>
          <w:szCs w:val="20"/>
          <w:color w:val="auto"/>
        </w:rPr>
      </w:pPr>
      <w:r>
        <w:rPr>
          <w:rFonts w:ascii="Arial" w:cs="Arial" w:eastAsia="Arial" w:hAnsi="Arial"/>
          <w:sz w:val="18"/>
          <w:szCs w:val="18"/>
          <w:b w:val="1"/>
          <w:bCs w:val="1"/>
          <w:color w:val="auto"/>
        </w:rPr>
        <w:t>6.18 Foreign Finance Company Plan</w:t>
      </w:r>
      <w:r>
        <w:rPr>
          <w:rFonts w:ascii="Arial" w:cs="Arial" w:eastAsia="Arial" w:hAnsi="Arial"/>
          <w:sz w:val="18"/>
          <w:szCs w:val="18"/>
          <w:color w:val="auto"/>
        </w:rPr>
        <w:t>. Cause all interest payments made on the FFC Notes to be paid to Luxco, as the holder</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notes, and immediately transferred to US Holdco as a Restricted Payment and immediately transferred to the Company as 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1" w:name="page222"/>
    <w:bookmarkEnd w:id="221"/>
    <w:p>
      <w:pPr>
        <w:ind w:left="120"/>
        <w:spacing w:after="0"/>
        <w:rPr>
          <w:sz w:val="20"/>
          <w:szCs w:val="20"/>
          <w:color w:val="auto"/>
        </w:rPr>
      </w:pPr>
      <w:r>
        <w:rPr>
          <w:rFonts w:ascii="Arial" w:cs="Arial" w:eastAsia="Arial" w:hAnsi="Arial"/>
          <w:sz w:val="19"/>
          <w:szCs w:val="19"/>
          <w:color w:val="auto"/>
        </w:rPr>
        <w:t>Restricted Payment, such that all such transfers are made within a single Business Day to the extent commercially feasible.</w:t>
      </w:r>
    </w:p>
    <w:p>
      <w:pPr>
        <w:spacing w:after="0" w:line="200"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6.19 Anti-Corruption Laws; Anti-Money Laundering Laws; Sanctions. </w:t>
      </w:r>
      <w:r>
        <w:rPr>
          <w:rFonts w:ascii="Arial" w:cs="Arial" w:eastAsia="Arial" w:hAnsi="Arial"/>
          <w:sz w:val="20"/>
          <w:szCs w:val="20"/>
          <w:color w:val="auto"/>
        </w:rPr>
        <w:t>Conduct its businesses in compliance in all</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respects with all Anti-Corruption Laws and, to the extent applicable, all Anti-Money Laundering Laws, and maintain policies and procedures reasonably designed to promote and achieve compliance with such Laws and Sanctions.</w:t>
      </w: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VII.</w:t>
      </w:r>
    </w:p>
    <w:p>
      <w:pPr>
        <w:jc w:val="center"/>
        <w:ind w:right="-199"/>
        <w:spacing w:after="0"/>
        <w:rPr>
          <w:sz w:val="20"/>
          <w:szCs w:val="20"/>
          <w:color w:val="auto"/>
        </w:rPr>
      </w:pPr>
      <w:r>
        <w:rPr>
          <w:rFonts w:ascii="Arial" w:cs="Arial" w:eastAsia="Arial" w:hAnsi="Arial"/>
          <w:sz w:val="20"/>
          <w:szCs w:val="20"/>
          <w:b w:val="1"/>
          <w:bCs w:val="1"/>
          <w:color w:val="auto"/>
        </w:rPr>
        <w:t>NEGATIVE COVENANTS</w:t>
      </w:r>
    </w:p>
    <w:p>
      <w:pPr>
        <w:spacing w:after="0" w:line="191"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not, nor shall it permit any Restricted Subsidiary to, directly or indirectly, and solely in the case of </w:t>
      </w:r>
      <w:r>
        <w:rPr>
          <w:rFonts w:ascii="Arial" w:cs="Arial" w:eastAsia="Arial" w:hAnsi="Arial"/>
          <w:sz w:val="20"/>
          <w:szCs w:val="20"/>
          <w:u w:val="single" w:color="auto"/>
          <w:color w:val="auto"/>
        </w:rPr>
        <w:t>Section 7.19</w:t>
      </w:r>
      <w:r>
        <w:rPr>
          <w:rFonts w:ascii="Arial" w:cs="Arial" w:eastAsia="Arial" w:hAnsi="Arial"/>
          <w:sz w:val="20"/>
          <w:szCs w:val="20"/>
          <w:color w:val="auto"/>
        </w:rPr>
        <w:t>, the Company shall not:</w:t>
      </w:r>
    </w:p>
    <w:p>
      <w:pPr>
        <w:spacing w:after="0" w:line="167" w:lineRule="exact"/>
        <w:rPr>
          <w:sz w:val="20"/>
          <w:szCs w:val="20"/>
          <w:color w:val="auto"/>
        </w:rPr>
      </w:pPr>
    </w:p>
    <w:p>
      <w:pPr>
        <w:jc w:val="both"/>
        <w:ind w:left="120" w:right="20" w:firstLine="598"/>
        <w:spacing w:after="0" w:line="239" w:lineRule="auto"/>
        <w:rPr>
          <w:sz w:val="20"/>
          <w:szCs w:val="20"/>
          <w:color w:val="auto"/>
        </w:rPr>
      </w:pPr>
      <w:r>
        <w:rPr>
          <w:rFonts w:ascii="Arial" w:cs="Arial" w:eastAsia="Arial" w:hAnsi="Arial"/>
          <w:sz w:val="20"/>
          <w:szCs w:val="20"/>
          <w:b w:val="1"/>
          <w:bCs w:val="1"/>
          <w:color w:val="auto"/>
        </w:rPr>
        <w:t xml:space="preserve">7.01 Liens. </w:t>
      </w:r>
      <w:r>
        <w:rPr>
          <w:rFonts w:ascii="Arial" w:cs="Arial" w:eastAsia="Arial" w:hAnsi="Arial"/>
          <w:sz w:val="20"/>
          <w:szCs w:val="20"/>
          <w:color w:val="auto"/>
        </w:rPr>
        <w:t>Create, incur, assume or suffer to exist any Lien upon any of its property, assets or revenues, whether now owned</w:t>
      </w:r>
      <w:r>
        <w:rPr>
          <w:rFonts w:ascii="Arial" w:cs="Arial" w:eastAsia="Arial" w:hAnsi="Arial"/>
          <w:sz w:val="20"/>
          <w:szCs w:val="20"/>
          <w:b w:val="1"/>
          <w:bCs w:val="1"/>
          <w:color w:val="auto"/>
        </w:rPr>
        <w:t xml:space="preserve"> </w:t>
      </w:r>
      <w:r>
        <w:rPr>
          <w:rFonts w:ascii="Arial" w:cs="Arial" w:eastAsia="Arial" w:hAnsi="Arial"/>
          <w:sz w:val="20"/>
          <w:szCs w:val="20"/>
          <w:color w:val="auto"/>
        </w:rPr>
        <w:t>or hereafter acquired, other than the following:</w:t>
      </w:r>
    </w:p>
    <w:p>
      <w:pPr>
        <w:spacing w:after="0" w:line="185" w:lineRule="exact"/>
        <w:rPr>
          <w:sz w:val="20"/>
          <w:szCs w:val="20"/>
          <w:color w:val="auto"/>
        </w:rPr>
      </w:pPr>
    </w:p>
    <w:p>
      <w:pPr>
        <w:ind w:left="1160" w:hanging="451"/>
        <w:spacing w:after="0"/>
        <w:tabs>
          <w:tab w:leader="none" w:pos="116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06" w:lineRule="exact"/>
        <w:rPr>
          <w:rFonts w:ascii="Arial" w:cs="Arial" w:eastAsia="Arial" w:hAnsi="Arial"/>
          <w:sz w:val="20"/>
          <w:szCs w:val="20"/>
          <w:color w:val="auto"/>
        </w:rPr>
      </w:pPr>
    </w:p>
    <w:p>
      <w:pPr>
        <w:jc w:val="both"/>
        <w:ind w:left="120" w:firstLine="605"/>
        <w:spacing w:after="0" w:line="222" w:lineRule="auto"/>
        <w:tabs>
          <w:tab w:leader="none" w:pos="1151" w:val="left"/>
        </w:tabs>
        <w:numPr>
          <w:ilvl w:val="1"/>
          <w:numId w:val="186"/>
        </w:numPr>
        <w:rPr>
          <w:rFonts w:ascii="Arial" w:cs="Arial" w:eastAsia="Arial" w:hAnsi="Arial"/>
          <w:sz w:val="20"/>
          <w:szCs w:val="20"/>
          <w:color w:val="auto"/>
        </w:rPr>
      </w:pPr>
      <w:r>
        <w:rPr>
          <w:rFonts w:ascii="Arial" w:cs="Arial" w:eastAsia="Arial" w:hAnsi="Arial"/>
          <w:sz w:val="20"/>
          <w:szCs w:val="20"/>
          <w:color w:val="auto"/>
        </w:rPr>
        <w:t xml:space="preserve">Liens existing on the date hereof and listed on </w:t>
      </w:r>
      <w:r>
        <w:rPr>
          <w:rFonts w:ascii="Arial" w:cs="Arial" w:eastAsia="Arial" w:hAnsi="Arial"/>
          <w:sz w:val="20"/>
          <w:szCs w:val="20"/>
          <w:u w:val="single" w:color="auto"/>
          <w:color w:val="auto"/>
        </w:rPr>
        <w:t>Schedule 7.01(b)</w:t>
      </w:r>
      <w:r>
        <w:rPr>
          <w:rFonts w:ascii="Arial" w:cs="Arial" w:eastAsia="Arial" w:hAnsi="Arial"/>
          <w:sz w:val="20"/>
          <w:szCs w:val="20"/>
          <w:color w:val="auto"/>
        </w:rPr>
        <w:t xml:space="preserve"> and any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property covered thereby is not changed, (ii) the amount secured or benefited thereby is not increased except as contemplated by </w:t>
      </w:r>
      <w:r>
        <w:rPr>
          <w:rFonts w:ascii="Arial" w:cs="Arial" w:eastAsia="Arial" w:hAnsi="Arial"/>
          <w:sz w:val="20"/>
          <w:szCs w:val="20"/>
          <w:u w:val="single" w:color="auto"/>
          <w:color w:val="auto"/>
        </w:rPr>
        <w:t>Section 7.03(d)</w:t>
      </w:r>
      <w:r>
        <w:rPr>
          <w:rFonts w:ascii="Arial" w:cs="Arial" w:eastAsia="Arial" w:hAnsi="Arial"/>
          <w:sz w:val="20"/>
          <w:szCs w:val="20"/>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20"/>
          <w:szCs w:val="20"/>
          <w:u w:val="single" w:color="auto"/>
          <w:color w:val="auto"/>
        </w:rPr>
        <w:t>Section 7.03(d)</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120" w:firstLine="605"/>
        <w:spacing w:after="0" w:line="286" w:lineRule="auto"/>
        <w:tabs>
          <w:tab w:leader="none" w:pos="115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205" w:lineRule="exact"/>
        <w:rPr>
          <w:rFonts w:ascii="Arial" w:cs="Arial" w:eastAsia="Arial" w:hAnsi="Arial"/>
          <w:sz w:val="18"/>
          <w:szCs w:val="18"/>
          <w:color w:val="auto"/>
        </w:rPr>
      </w:pPr>
    </w:p>
    <w:p>
      <w:pPr>
        <w:jc w:val="both"/>
        <w:ind w:left="120" w:firstLine="605"/>
        <w:spacing w:after="0" w:line="222" w:lineRule="auto"/>
        <w:tabs>
          <w:tab w:leader="none" w:pos="1151" w:val="left"/>
        </w:tabs>
        <w:numPr>
          <w:ilvl w:val="1"/>
          <w:numId w:val="186"/>
        </w:numPr>
        <w:rPr>
          <w:rFonts w:ascii="Arial" w:cs="Arial" w:eastAsia="Arial" w:hAnsi="Arial"/>
          <w:sz w:val="20"/>
          <w:szCs w:val="20"/>
          <w:color w:val="auto"/>
        </w:rPr>
      </w:pPr>
      <w:r>
        <w:rPr>
          <w:rFonts w:ascii="Arial" w:cs="Arial" w:eastAsia="Arial" w:hAnsi="Arial"/>
          <w:sz w:val="20"/>
          <w:szCs w:val="20"/>
          <w:color w:val="auto"/>
        </w:rPr>
        <w:t>statutory and common law liens of landlords and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72" w:lineRule="exact"/>
        <w:rPr>
          <w:rFonts w:ascii="Arial" w:cs="Arial" w:eastAsia="Arial" w:hAnsi="Arial"/>
          <w:sz w:val="20"/>
          <w:szCs w:val="20"/>
          <w:color w:val="auto"/>
        </w:rPr>
      </w:pPr>
    </w:p>
    <w:p>
      <w:pPr>
        <w:ind w:left="120" w:right="20" w:firstLine="605"/>
        <w:spacing w:after="0" w:line="236" w:lineRule="auto"/>
        <w:tabs>
          <w:tab w:leader="none" w:pos="1152" w:val="left"/>
        </w:tabs>
        <w:numPr>
          <w:ilvl w:val="1"/>
          <w:numId w:val="186"/>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84" w:lineRule="exact"/>
        <w:rPr>
          <w:rFonts w:ascii="Arial" w:cs="Arial" w:eastAsia="Arial" w:hAnsi="Arial"/>
          <w:sz w:val="20"/>
          <w:szCs w:val="20"/>
          <w:color w:val="auto"/>
        </w:rPr>
      </w:pPr>
    </w:p>
    <w:p>
      <w:pPr>
        <w:jc w:val="both"/>
        <w:ind w:left="120" w:firstLine="605"/>
        <w:spacing w:after="0" w:line="227" w:lineRule="auto"/>
        <w:tabs>
          <w:tab w:leader="none" w:pos="1143" w:val="left"/>
        </w:tabs>
        <w:numPr>
          <w:ilvl w:val="1"/>
          <w:numId w:val="186"/>
        </w:numPr>
        <w:rPr>
          <w:rFonts w:ascii="Arial" w:cs="Arial" w:eastAsia="Arial" w:hAnsi="Arial"/>
          <w:sz w:val="20"/>
          <w:szCs w:val="20"/>
          <w:color w:val="auto"/>
        </w:rPr>
      </w:pPr>
      <w:r>
        <w:rPr>
          <w:rFonts w:ascii="Arial" w:cs="Arial" w:eastAsia="Arial" w:hAnsi="Arial"/>
          <w:sz w:val="20"/>
          <w:szCs w:val="20"/>
          <w:color w:val="auto"/>
        </w:rPr>
        <w:t>deposits to secure the performance of tenders, bids, trade contracts and leases (other than Indebtedness), statutory or regulatory obligations, bankers’ acceptances, appeal bonds, government contracts, and other obligations of a like nature incurred in the ordinary course of business;</w:t>
      </w:r>
    </w:p>
    <w:p>
      <w:pPr>
        <w:spacing w:after="0" w:line="183" w:lineRule="exact"/>
        <w:rPr>
          <w:rFonts w:ascii="Arial" w:cs="Arial" w:eastAsia="Arial" w:hAnsi="Arial"/>
          <w:sz w:val="20"/>
          <w:szCs w:val="20"/>
          <w:color w:val="auto"/>
        </w:rPr>
      </w:pPr>
    </w:p>
    <w:p>
      <w:pPr>
        <w:ind w:left="120" w:firstLine="605"/>
        <w:spacing w:after="0" w:line="236" w:lineRule="auto"/>
        <w:tabs>
          <w:tab w:leader="none" w:pos="1151" w:val="left"/>
        </w:tabs>
        <w:numPr>
          <w:ilvl w:val="1"/>
          <w:numId w:val="186"/>
        </w:numPr>
        <w:rPr>
          <w:rFonts w:ascii="Arial" w:cs="Arial" w:eastAsia="Arial" w:hAnsi="Arial"/>
          <w:sz w:val="20"/>
          <w:szCs w:val="20"/>
          <w:color w:val="auto"/>
        </w:rPr>
      </w:pPr>
      <w:r>
        <w:rPr>
          <w:rFonts w:ascii="Arial" w:cs="Arial" w:eastAsia="Arial" w:hAnsi="Arial"/>
          <w:sz w:val="20"/>
          <w:szCs w:val="20"/>
          <w:color w:val="auto"/>
        </w:rPr>
        <w:t>easements, rights-of-way, restrictions, municipal and zoning ordinances and other similar encumbrances affecting real property which, in the aggregate, are not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22" w:name="page223"/>
    <w:bookmarkEnd w:id="222"/>
    <w:p>
      <w:pPr>
        <w:ind w:left="120"/>
        <w:spacing w:after="0"/>
        <w:rPr>
          <w:sz w:val="20"/>
          <w:szCs w:val="20"/>
          <w:color w:val="auto"/>
        </w:rPr>
      </w:pPr>
      <w:r>
        <w:rPr>
          <w:rFonts w:ascii="Arial" w:cs="Arial" w:eastAsia="Arial" w:hAnsi="Arial"/>
          <w:sz w:val="19"/>
          <w:szCs w:val="19"/>
          <w:color w:val="auto"/>
        </w:rPr>
        <w:t>substantial in amount, and which do not materially interfere with the ordinary conduct of the business of the applicable Person;</w:t>
      </w:r>
    </w:p>
    <w:p>
      <w:pPr>
        <w:spacing w:after="0" w:line="218" w:lineRule="exact"/>
        <w:rPr>
          <w:sz w:val="20"/>
          <w:szCs w:val="20"/>
          <w:color w:val="auto"/>
        </w:rPr>
      </w:pPr>
    </w:p>
    <w:p>
      <w:pPr>
        <w:ind w:left="1160" w:hanging="435"/>
        <w:spacing w:after="0"/>
        <w:tabs>
          <w:tab w:leader="none" w:pos="11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120" w:firstLine="605"/>
        <w:spacing w:after="0" w:line="222" w:lineRule="auto"/>
        <w:tabs>
          <w:tab w:leader="none" w:pos="114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property other than the property financed by such Indebtedness and (ii) the Indebtedness secured thereby does not exceed the cost or fair market value (as determined by the Company in good faith), whichever is lower, of the property being acquired on the date of acquisition;</w:t>
      </w:r>
    </w:p>
    <w:p>
      <w:pPr>
        <w:spacing w:after="0" w:line="185" w:lineRule="exact"/>
        <w:rPr>
          <w:rFonts w:ascii="Arial" w:cs="Arial" w:eastAsia="Arial" w:hAnsi="Arial"/>
          <w:sz w:val="20"/>
          <w:szCs w:val="20"/>
          <w:color w:val="auto"/>
        </w:rPr>
      </w:pPr>
    </w:p>
    <w:p>
      <w:pPr>
        <w:ind w:left="120" w:right="20" w:firstLine="605"/>
        <w:spacing w:after="0" w:line="236" w:lineRule="auto"/>
        <w:tabs>
          <w:tab w:leader="none" w:pos="114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normal and customary rights of setoff upon deposits of cash in favor of banks and other depositary institutions and Liens of a collecting bank arising under the UCC on checks and other items of payment in the course of collection;</w:t>
      </w:r>
    </w:p>
    <w:p>
      <w:pPr>
        <w:spacing w:after="0" w:line="184" w:lineRule="exact"/>
        <w:rPr>
          <w:rFonts w:ascii="Arial" w:cs="Arial" w:eastAsia="Arial" w:hAnsi="Arial"/>
          <w:sz w:val="20"/>
          <w:szCs w:val="20"/>
          <w:color w:val="auto"/>
        </w:rPr>
      </w:pPr>
    </w:p>
    <w:p>
      <w:pPr>
        <w:ind w:left="120" w:firstLine="605"/>
        <w:spacing w:after="0" w:line="236" w:lineRule="auto"/>
        <w:tabs>
          <w:tab w:leader="none" w:pos="1151"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solely on Receivables sold in a Permitted Receivables Transaction arising solely as a result of a judicial or arbitral re-characterization of such Permitted Receivables Transaction;</w:t>
      </w:r>
    </w:p>
    <w:p>
      <w:pPr>
        <w:spacing w:after="0" w:line="171" w:lineRule="exact"/>
        <w:rPr>
          <w:rFonts w:ascii="Arial" w:cs="Arial" w:eastAsia="Arial" w:hAnsi="Arial"/>
          <w:sz w:val="20"/>
          <w:szCs w:val="20"/>
          <w:color w:val="auto"/>
        </w:rPr>
      </w:pPr>
    </w:p>
    <w:p>
      <w:pPr>
        <w:jc w:val="both"/>
        <w:ind w:left="120" w:firstLine="605"/>
        <w:spacing w:after="0" w:line="227" w:lineRule="auto"/>
        <w:tabs>
          <w:tab w:leader="none" w:pos="114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arising as a matter of law which secure the obligations of the Company or any Restricted Subsidiary (including any Person that becomes a Restricted Subsidiary pursuant to a Permitted Acquisition or an Investment permitted by this Agreement) under any surety bond provided in the ordinary course of business;</w:t>
      </w:r>
    </w:p>
    <w:p>
      <w:pPr>
        <w:spacing w:after="0" w:line="183" w:lineRule="exact"/>
        <w:rPr>
          <w:rFonts w:ascii="Arial" w:cs="Arial" w:eastAsia="Arial" w:hAnsi="Arial"/>
          <w:sz w:val="20"/>
          <w:szCs w:val="20"/>
          <w:color w:val="auto"/>
        </w:rPr>
      </w:pPr>
    </w:p>
    <w:p>
      <w:pPr>
        <w:ind w:left="1320" w:hanging="595"/>
        <w:spacing w:after="0"/>
        <w:tabs>
          <w:tab w:leader="none" w:pos="13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[Reserved];</w:t>
      </w:r>
    </w:p>
    <w:p>
      <w:pPr>
        <w:spacing w:after="0" w:line="194"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Liens on cash set aside with respect to any Indebtedness in connection with a prepayment permitted hereunder (subject, in the case of the Senior Notes Indebtedness and any Indebtedness incurred pursuant to </w:t>
      </w:r>
      <w:r>
        <w:rPr>
          <w:rFonts w:ascii="Arial" w:cs="Arial" w:eastAsia="Arial" w:hAnsi="Arial"/>
          <w:sz w:val="19"/>
          <w:szCs w:val="19"/>
          <w:u w:val="single" w:color="auto"/>
          <w:color w:val="auto"/>
        </w:rPr>
        <w:t>Section 7.03(r)</w:t>
      </w:r>
      <w:r>
        <w:rPr>
          <w:rFonts w:ascii="Arial" w:cs="Arial" w:eastAsia="Arial" w:hAnsi="Arial"/>
          <w:sz w:val="19"/>
          <w:szCs w:val="19"/>
          <w:color w:val="auto"/>
        </w:rPr>
        <w:t xml:space="preserve">, to satisfaction of the requirements of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as if such cash defeasance constituted a prepayment on the date of such defeasance), or government securities purchased with such cash, in either case, to the extent but only to the extent that such cash or government securities pre-fund the payment of principal and/or interest on such Indebtedness and are held in a collateral or escrow account or similar arrangement to be applied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permitted to be defeased under the terms thereof at the time such cash is set aside or securities are purchased;</w:t>
      </w:r>
    </w:p>
    <w:p>
      <w:pPr>
        <w:spacing w:after="0" w:line="188" w:lineRule="exact"/>
        <w:rPr>
          <w:rFonts w:ascii="Arial" w:cs="Arial" w:eastAsia="Arial" w:hAnsi="Arial"/>
          <w:sz w:val="19"/>
          <w:szCs w:val="19"/>
          <w:color w:val="auto"/>
        </w:rPr>
      </w:pPr>
    </w:p>
    <w:p>
      <w:pPr>
        <w:ind w:left="120" w:firstLine="605"/>
        <w:spacing w:after="0" w:line="236" w:lineRule="auto"/>
        <w:tabs>
          <w:tab w:leader="none" w:pos="1151"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leases or subleases granted to others that do not materially interfere with the ordinary course of business of the Company and its Restricted Subsidiaries, taken as a whole;</w:t>
      </w:r>
    </w:p>
    <w:p>
      <w:pPr>
        <w:spacing w:after="0" w:line="184" w:lineRule="exact"/>
        <w:rPr>
          <w:rFonts w:ascii="Arial" w:cs="Arial" w:eastAsia="Arial" w:hAnsi="Arial"/>
          <w:sz w:val="20"/>
          <w:szCs w:val="20"/>
          <w:color w:val="auto"/>
        </w:rPr>
      </w:pPr>
    </w:p>
    <w:p>
      <w:pPr>
        <w:ind w:left="120" w:right="20" w:firstLine="605"/>
        <w:spacing w:after="0" w:line="236" w:lineRule="auto"/>
        <w:tabs>
          <w:tab w:leader="none" w:pos="1151"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of lessors in any property subject to any operating lease, including Liens arising from precautionary UCC financing statements or similar filings made in respect of such leases;</w:t>
      </w:r>
    </w:p>
    <w:p>
      <w:pPr>
        <w:spacing w:after="0" w:line="246" w:lineRule="exact"/>
        <w:rPr>
          <w:rFonts w:ascii="Arial" w:cs="Arial" w:eastAsia="Arial" w:hAnsi="Arial"/>
          <w:sz w:val="20"/>
          <w:szCs w:val="20"/>
          <w:color w:val="auto"/>
        </w:rPr>
      </w:pPr>
    </w:p>
    <w:p>
      <w:pPr>
        <w:ind w:left="1320" w:hanging="595"/>
        <w:spacing w:after="0"/>
        <w:tabs>
          <w:tab w:leader="none" w:pos="13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[Reserved];</w:t>
      </w:r>
    </w:p>
    <w:p>
      <w:pPr>
        <w:spacing w:after="0" w:line="194" w:lineRule="exact"/>
        <w:rPr>
          <w:rFonts w:ascii="Arial" w:cs="Arial" w:eastAsia="Arial" w:hAnsi="Arial"/>
          <w:sz w:val="20"/>
          <w:szCs w:val="20"/>
          <w:color w:val="auto"/>
        </w:rPr>
      </w:pPr>
    </w:p>
    <w:p>
      <w:pPr>
        <w:ind w:left="1320" w:hanging="595"/>
        <w:spacing w:after="0"/>
        <w:tabs>
          <w:tab w:leader="none" w:pos="13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in favor of any Loan Party;</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23" w:name="page224"/>
    <w:bookmarkEnd w:id="223"/>
    <w:p>
      <w:pPr>
        <w:ind w:left="120" w:firstLine="605"/>
        <w:spacing w:after="0" w:line="236" w:lineRule="auto"/>
        <w:tabs>
          <w:tab w:leader="none" w:pos="1151" w:val="left"/>
        </w:tabs>
        <w:numPr>
          <w:ilvl w:val="1"/>
          <w:numId w:val="188"/>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84" w:lineRule="exact"/>
        <w:rPr>
          <w:rFonts w:ascii="Arial" w:cs="Arial" w:eastAsia="Arial" w:hAnsi="Arial"/>
          <w:sz w:val="20"/>
          <w:szCs w:val="20"/>
          <w:color w:val="auto"/>
        </w:rPr>
      </w:pPr>
    </w:p>
    <w:p>
      <w:pPr>
        <w:ind w:left="1160" w:hanging="451"/>
        <w:spacing w:after="0"/>
        <w:tabs>
          <w:tab w:leader="none" w:pos="11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[Reserved];</w:t>
      </w:r>
    </w:p>
    <w:p>
      <w:pPr>
        <w:spacing w:after="0" w:line="194" w:lineRule="exact"/>
        <w:rPr>
          <w:rFonts w:ascii="Arial" w:cs="Arial" w:eastAsia="Arial" w:hAnsi="Arial"/>
          <w:sz w:val="20"/>
          <w:szCs w:val="20"/>
          <w:color w:val="auto"/>
        </w:rPr>
      </w:pPr>
    </w:p>
    <w:p>
      <w:pPr>
        <w:jc w:val="both"/>
        <w:ind w:left="120" w:firstLine="605"/>
        <w:spacing w:after="0" w:line="227" w:lineRule="auto"/>
        <w:tabs>
          <w:tab w:leader="none" w:pos="1145" w:val="left"/>
        </w:tabs>
        <w:numPr>
          <w:ilvl w:val="1"/>
          <w:numId w:val="189"/>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the Company or any of its Restricted Subsidiaries in the ordinary course of business in accordance with the past practices of the Company and its Restricted Subsidiaries prior to the Closing Date;</w:t>
      </w:r>
    </w:p>
    <w:p>
      <w:pPr>
        <w:spacing w:after="0" w:line="183" w:lineRule="exact"/>
        <w:rPr>
          <w:rFonts w:ascii="Arial" w:cs="Arial" w:eastAsia="Arial" w:hAnsi="Arial"/>
          <w:sz w:val="20"/>
          <w:szCs w:val="20"/>
          <w:color w:val="auto"/>
        </w:rPr>
      </w:pPr>
    </w:p>
    <w:p>
      <w:pPr>
        <w:ind w:left="120" w:firstLine="605"/>
        <w:spacing w:after="0" w:line="236" w:lineRule="auto"/>
        <w:tabs>
          <w:tab w:leader="none" w:pos="1151" w:val="left"/>
        </w:tabs>
        <w:numPr>
          <w:ilvl w:val="1"/>
          <w:numId w:val="189"/>
        </w:numPr>
        <w:rPr>
          <w:rFonts w:ascii="Arial" w:cs="Arial" w:eastAsia="Arial" w:hAnsi="Arial"/>
          <w:sz w:val="20"/>
          <w:szCs w:val="20"/>
          <w:color w:val="auto"/>
        </w:rPr>
      </w:pPr>
      <w:r>
        <w:rPr>
          <w:rFonts w:ascii="Arial" w:cs="Arial" w:eastAsia="Arial" w:hAnsi="Arial"/>
          <w:sz w:val="20"/>
          <w:szCs w:val="20"/>
          <w:color w:val="auto"/>
        </w:rPr>
        <w:t>Liens solely on cash earnest money deposits made in connection with any letter of intent or purchase agreement in connection with an Investment permitted hereunder;</w:t>
      </w:r>
    </w:p>
    <w:p>
      <w:pPr>
        <w:spacing w:after="0" w:line="184" w:lineRule="exact"/>
        <w:rPr>
          <w:rFonts w:ascii="Arial" w:cs="Arial" w:eastAsia="Arial" w:hAnsi="Arial"/>
          <w:sz w:val="20"/>
          <w:szCs w:val="20"/>
          <w:color w:val="auto"/>
        </w:rPr>
      </w:pPr>
    </w:p>
    <w:p>
      <w:pPr>
        <w:jc w:val="both"/>
        <w:ind w:left="120" w:firstLine="605"/>
        <w:spacing w:after="0" w:line="222" w:lineRule="auto"/>
        <w:tabs>
          <w:tab w:leader="none" w:pos="1151" w:val="left"/>
        </w:tabs>
        <w:numPr>
          <w:ilvl w:val="1"/>
          <w:numId w:val="189"/>
        </w:numPr>
        <w:rPr>
          <w:rFonts w:ascii="Arial" w:cs="Arial" w:eastAsia="Arial" w:hAnsi="Arial"/>
          <w:sz w:val="20"/>
          <w:szCs w:val="20"/>
          <w:color w:val="auto"/>
        </w:rPr>
      </w:pPr>
      <w:r>
        <w:rPr>
          <w:rFonts w:ascii="Arial" w:cs="Arial" w:eastAsia="Arial" w:hAnsi="Arial"/>
          <w:sz w:val="20"/>
          <w:szCs w:val="20"/>
          <w:color w:val="auto"/>
        </w:rPr>
        <w:t xml:space="preserve">any encumbrance or restriction (including put and call arrangements) with respect to capital stock of any joint venture or similar arrangement pursuant to any joint venture or similar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encumbrance or restriction does not prohibit the granting of a Lien by a Loan Party on any Collateral and any entity formed as part of such joint venture remains subject to the provisions of this Agreement to the extent provided herein;</w:t>
      </w:r>
    </w:p>
    <w:p>
      <w:pPr>
        <w:spacing w:after="0" w:line="172" w:lineRule="exact"/>
        <w:rPr>
          <w:rFonts w:ascii="Arial" w:cs="Arial" w:eastAsia="Arial" w:hAnsi="Arial"/>
          <w:sz w:val="20"/>
          <w:szCs w:val="20"/>
          <w:color w:val="auto"/>
        </w:rPr>
      </w:pPr>
    </w:p>
    <w:p>
      <w:pPr>
        <w:jc w:val="both"/>
        <w:ind w:left="120" w:firstLine="605"/>
        <w:spacing w:after="0" w:line="222" w:lineRule="auto"/>
        <w:tabs>
          <w:tab w:leader="none" w:pos="1152" w:val="left"/>
        </w:tabs>
        <w:numPr>
          <w:ilvl w:val="1"/>
          <w:numId w:val="189"/>
        </w:numPr>
        <w:rPr>
          <w:rFonts w:ascii="Arial" w:cs="Arial" w:eastAsia="Arial" w:hAnsi="Arial"/>
          <w:sz w:val="20"/>
          <w:szCs w:val="20"/>
          <w:color w:val="auto"/>
        </w:rPr>
      </w:pPr>
      <w:r>
        <w:rPr>
          <w:rFonts w:ascii="Arial" w:cs="Arial" w:eastAsia="Arial" w:hAnsi="Arial"/>
          <w:sz w:val="20"/>
          <w:szCs w:val="20"/>
          <w:color w:val="auto"/>
        </w:rPr>
        <w:t xml:space="preserve">Liens on cash reserves securing Indebtedness of the Company and its Subsidiaries in respect of surety bonds permitted by </w:t>
      </w:r>
      <w:r>
        <w:rPr>
          <w:rFonts w:ascii="Arial" w:cs="Arial" w:eastAsia="Arial" w:hAnsi="Arial"/>
          <w:sz w:val="20"/>
          <w:szCs w:val="20"/>
          <w:u w:val="single" w:color="auto"/>
          <w:color w:val="auto"/>
        </w:rPr>
        <w:t>Section 7.03(o)(i)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deposits and cash reserves provided by the Company and its Subsidiaries in respect of surety bonds permitted by </w:t>
      </w:r>
      <w:r>
        <w:rPr>
          <w:rFonts w:ascii="Arial" w:cs="Arial" w:eastAsia="Arial" w:hAnsi="Arial"/>
          <w:sz w:val="20"/>
          <w:szCs w:val="20"/>
          <w:u w:val="single" w:color="auto"/>
          <w:color w:val="auto"/>
        </w:rPr>
        <w:t>Section 7.03(o)(i)</w:t>
      </w:r>
      <w:r>
        <w:rPr>
          <w:rFonts w:ascii="Arial" w:cs="Arial" w:eastAsia="Arial" w:hAnsi="Arial"/>
          <w:sz w:val="20"/>
          <w:szCs w:val="20"/>
          <w:color w:val="auto"/>
        </w:rPr>
        <w:t xml:space="preserve"> shall not, at any time, exceed 10% of the aggregate amount of all such surety bonds; and</w:t>
      </w:r>
    </w:p>
    <w:p>
      <w:pPr>
        <w:spacing w:after="0" w:line="173" w:lineRule="exact"/>
        <w:rPr>
          <w:sz w:val="20"/>
          <w:szCs w:val="20"/>
          <w:color w:val="auto"/>
        </w:rPr>
      </w:pPr>
    </w:p>
    <w:p>
      <w:pPr>
        <w:ind w:left="120" w:right="180" w:firstLine="605"/>
        <w:spacing w:after="0" w:line="239" w:lineRule="auto"/>
        <w:tabs>
          <w:tab w:leader="none" w:pos="122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other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amount of all Priority Indebtedness shall not exceed, at the time of creation, incurrence or assumption of such Lien (and after giving effect thereto), the greater of (i) $400,000,000 and (ii) an amount equal to 10% of Consolidated Net Tangible Assets at the time of such creation, incurrence or assumption.</w:t>
      </w:r>
    </w:p>
    <w:p>
      <w:pPr>
        <w:spacing w:after="0" w:line="178"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8"/>
          <w:szCs w:val="18"/>
          <w:b w:val="1"/>
          <w:bCs w:val="1"/>
          <w:color w:val="auto"/>
        </w:rPr>
        <w:t xml:space="preserve">Investments. </w:t>
      </w:r>
      <w:r>
        <w:rPr>
          <w:rFonts w:ascii="Arial" w:cs="Arial" w:eastAsia="Arial" w:hAnsi="Arial"/>
          <w:sz w:val="18"/>
          <w:szCs w:val="18"/>
          <w:color w:val="auto"/>
        </w:rPr>
        <w:t>Make or hold any Investments, except:</w:t>
      </w:r>
    </w:p>
    <w:p>
      <w:pPr>
        <w:spacing w:after="0" w:line="213" w:lineRule="exact"/>
        <w:rPr>
          <w:sz w:val="20"/>
          <w:szCs w:val="20"/>
          <w:color w:val="auto"/>
        </w:rPr>
      </w:pPr>
    </w:p>
    <w:p>
      <w:pPr>
        <w:ind w:left="1320" w:hanging="595"/>
        <w:spacing w:after="0"/>
        <w:tabs>
          <w:tab w:leader="none" w:pos="13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Investments in the form of Cash Equivalents;</w:t>
      </w:r>
    </w:p>
    <w:p>
      <w:pPr>
        <w:spacing w:after="0" w:line="194"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advances to officers, directors and employees of the Company and Restricted Subsidiaries for travel, entertainment, relocation and other matters that are reasonably expected at the time of such advances ultimately to be treated as expenses in accordance with GAAP;</w:t>
      </w:r>
    </w:p>
    <w:p>
      <w:pPr>
        <w:spacing w:after="0" w:line="183" w:lineRule="exact"/>
        <w:rPr>
          <w:rFonts w:ascii="Arial" w:cs="Arial" w:eastAsia="Arial" w:hAnsi="Arial"/>
          <w:sz w:val="20"/>
          <w:szCs w:val="20"/>
          <w:color w:val="auto"/>
        </w:rPr>
      </w:pPr>
    </w:p>
    <w:p>
      <w:pPr>
        <w:jc w:val="both"/>
        <w:ind w:left="120" w:firstLine="605"/>
        <w:spacing w:after="0" w:line="249" w:lineRule="auto"/>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Investments by the Company and its Restricted Subsidiaries in their respective Subsidiaries and joint ventures outstanding on the date hereof and disclosed to the Lenders, (ii) additional Investments by the Company and its Restricted Subsidiaries in Loan Parties and (iii) additional Investments by Restricted Subsidiaries that are not Loan Parties in other Restricted Subsidiaries that are not Loan Parties, other than, in the case of (i), (ii) and (iii), Investments in Excluded Subsidiaries or Prohibited Subsidiaries;</w:t>
      </w:r>
    </w:p>
    <w:p>
      <w:pPr>
        <w:spacing w:after="0" w:line="164" w:lineRule="exact"/>
        <w:rPr>
          <w:rFonts w:ascii="Arial" w:cs="Arial" w:eastAsia="Arial" w:hAnsi="Arial"/>
          <w:sz w:val="18"/>
          <w:szCs w:val="18"/>
          <w:color w:val="auto"/>
        </w:rPr>
      </w:pPr>
    </w:p>
    <w:p>
      <w:pPr>
        <w:ind w:left="120" w:firstLine="605"/>
        <w:spacing w:after="0" w:line="236" w:lineRule="auto"/>
        <w:tabs>
          <w:tab w:leader="none" w:pos="1151"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Investments by the Company and its Restricted Subsidiaries in entities other than their respective Subsidiaries existing on the date hereof and disclosed to the Lenders;</w:t>
      </w:r>
    </w:p>
    <w:p>
      <w:pPr>
        <w:spacing w:after="0" w:line="184" w:lineRule="exact"/>
        <w:rPr>
          <w:rFonts w:ascii="Arial" w:cs="Arial" w:eastAsia="Arial" w:hAnsi="Arial"/>
          <w:sz w:val="20"/>
          <w:szCs w:val="20"/>
          <w:color w:val="auto"/>
        </w:rPr>
      </w:pPr>
    </w:p>
    <w:p>
      <w:pPr>
        <w:ind w:left="120" w:firstLine="605"/>
        <w:spacing w:after="0" w:line="286" w:lineRule="auto"/>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4" w:name="page225"/>
    <w:bookmarkEnd w:id="224"/>
    <w:p>
      <w:pPr>
        <w:ind w:left="120"/>
        <w:spacing w:after="0"/>
        <w:rPr>
          <w:sz w:val="20"/>
          <w:szCs w:val="20"/>
          <w:color w:val="auto"/>
        </w:rPr>
      </w:pPr>
      <w:r>
        <w:rPr>
          <w:rFonts w:ascii="Arial" w:cs="Arial" w:eastAsia="Arial" w:hAnsi="Arial"/>
          <w:sz w:val="20"/>
          <w:szCs w:val="20"/>
          <w:color w:val="auto"/>
        </w:rPr>
        <w:t>financially troubled account debtors to the extent reasonably necessary in order to prevent or limit loss;</w:t>
      </w:r>
    </w:p>
    <w:p>
      <w:pPr>
        <w:spacing w:after="0" w:line="207" w:lineRule="exact"/>
        <w:rPr>
          <w:sz w:val="20"/>
          <w:szCs w:val="20"/>
          <w:color w:val="auto"/>
        </w:rPr>
      </w:pPr>
    </w:p>
    <w:p>
      <w:pPr>
        <w:ind w:left="120" w:firstLine="605"/>
        <w:spacing w:after="0" w:line="236" w:lineRule="auto"/>
        <w:tabs>
          <w:tab w:leader="none" w:pos="114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Guarantees permitted by </w:t>
      </w:r>
      <w:r>
        <w:rPr>
          <w:rFonts w:ascii="Arial" w:cs="Arial" w:eastAsia="Arial" w:hAnsi="Arial"/>
          <w:sz w:val="20"/>
          <w:szCs w:val="20"/>
          <w:u w:val="single" w:color="auto"/>
          <w:color w:val="auto"/>
        </w:rPr>
        <w:t>Section 7.03(e)</w:t>
      </w:r>
      <w:r>
        <w:rPr>
          <w:rFonts w:ascii="Arial" w:cs="Arial" w:eastAsia="Arial" w:hAnsi="Arial"/>
          <w:sz w:val="20"/>
          <w:szCs w:val="20"/>
          <w:color w:val="auto"/>
        </w:rPr>
        <w:t xml:space="preserve"> and guarantees of obligations of the Company or its Restricted Subsidiaries that do not constitute Indebtedness that are otherwise permitted under this Agreement;</w:t>
      </w:r>
    </w:p>
    <w:p>
      <w:pPr>
        <w:spacing w:after="0" w:line="171" w:lineRule="exact"/>
        <w:rPr>
          <w:rFonts w:ascii="Arial" w:cs="Arial" w:eastAsia="Arial" w:hAnsi="Arial"/>
          <w:sz w:val="20"/>
          <w:szCs w:val="20"/>
          <w:color w:val="auto"/>
        </w:rPr>
      </w:pPr>
    </w:p>
    <w:p>
      <w:pPr>
        <w:ind w:left="1320" w:hanging="595"/>
        <w:spacing w:after="0"/>
        <w:tabs>
          <w:tab w:leader="none" w:pos="13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Investments made as part of the Foreign Finance Company Plan;</w:t>
      </w:r>
    </w:p>
    <w:p>
      <w:pPr>
        <w:spacing w:after="0" w:line="206" w:lineRule="exact"/>
        <w:rPr>
          <w:rFonts w:ascii="Arial" w:cs="Arial" w:eastAsia="Arial" w:hAnsi="Arial"/>
          <w:sz w:val="20"/>
          <w:szCs w:val="20"/>
          <w:color w:val="auto"/>
        </w:rPr>
      </w:pPr>
    </w:p>
    <w:p>
      <w:pPr>
        <w:jc w:val="both"/>
        <w:ind w:left="120" w:firstLine="605"/>
        <w:spacing w:after="0" w:line="219" w:lineRule="auto"/>
        <w:tabs>
          <w:tab w:leader="none" w:pos="114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so long as no Default then exists or would result therefrom, other Investments so long as the aggregate amount of such Investments at the time of incurrence (after giving effect to such Investment) does not exceed the sum of (i) the greater of (A) $500,000,000 and (B) an amount equal to 10% of Consolidated Total Assets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Excess Cash Flow Basket for each fiscal year ending after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Excess Cash Flow Basket shall not be less than zero in any relevant fiscal year for purposes of this clause (i);</w:t>
      </w:r>
    </w:p>
    <w:p>
      <w:pPr>
        <w:spacing w:after="0" w:line="174" w:lineRule="exact"/>
        <w:rPr>
          <w:rFonts w:ascii="Arial" w:cs="Arial" w:eastAsia="Arial" w:hAnsi="Arial"/>
          <w:sz w:val="20"/>
          <w:szCs w:val="20"/>
          <w:color w:val="auto"/>
        </w:rPr>
      </w:pPr>
    </w:p>
    <w:p>
      <w:pPr>
        <w:ind w:left="1320" w:hanging="595"/>
        <w:spacing w:after="0"/>
        <w:tabs>
          <w:tab w:leader="none" w:pos="13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stock, obligations or securities received in satisfaction of judgments;</w:t>
      </w:r>
    </w:p>
    <w:p>
      <w:pPr>
        <w:spacing w:after="0" w:line="194" w:lineRule="exact"/>
        <w:rPr>
          <w:rFonts w:ascii="Arial" w:cs="Arial" w:eastAsia="Arial" w:hAnsi="Arial"/>
          <w:sz w:val="20"/>
          <w:szCs w:val="20"/>
          <w:color w:val="auto"/>
        </w:rPr>
      </w:pPr>
    </w:p>
    <w:p>
      <w:pPr>
        <w:ind w:left="1320" w:hanging="595"/>
        <w:spacing w:after="0"/>
        <w:tabs>
          <w:tab w:leader="none" w:pos="13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Investments in Captive Insurance Subsidiaries;</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Swap Contracts permitted pursuant to </w:t>
      </w:r>
      <w:r>
        <w:rPr>
          <w:rFonts w:ascii="Arial" w:cs="Arial" w:eastAsia="Arial" w:hAnsi="Arial"/>
          <w:sz w:val="20"/>
          <w:szCs w:val="20"/>
          <w:u w:val="single" w:color="auto"/>
          <w:color w:val="auto"/>
        </w:rPr>
        <w:t>Section 7.03(f)</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120" w:firstLine="605"/>
        <w:spacing w:after="0" w:line="227" w:lineRule="auto"/>
        <w:tabs>
          <w:tab w:leader="none" w:pos="114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loans to employees and officers of the Company or a Restricted Subsidiary made in the ordinary course of business not to exceed $2,000,000 in the aggregate at any one time outstanding in respect of the Company and all Restricted Subsidiaries taken together;</w:t>
      </w:r>
    </w:p>
    <w:p>
      <w:pPr>
        <w:spacing w:after="0" w:line="183" w:lineRule="exact"/>
        <w:rPr>
          <w:rFonts w:ascii="Arial" w:cs="Arial" w:eastAsia="Arial" w:hAnsi="Arial"/>
          <w:sz w:val="20"/>
          <w:szCs w:val="20"/>
          <w:color w:val="auto"/>
        </w:rPr>
      </w:pPr>
    </w:p>
    <w:p>
      <w:pPr>
        <w:ind w:left="120" w:firstLine="605"/>
        <w:spacing w:after="0" w:line="236" w:lineRule="auto"/>
        <w:tabs>
          <w:tab w:leader="none" w:pos="115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Investments made by the Company or its Restricted Subsidiaries consisting of consideration received in connection with a Disposition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120" w:firstLine="605"/>
        <w:spacing w:after="0" w:line="249" w:lineRule="auto"/>
        <w:tabs>
          <w:tab w:leader="none" w:pos="115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Investments of a Person or any of its Subsidiaries existing at the time such Person becomes a Restricted Subsidiary of the Company or at the time such Person merges or consolidates with the Company or any of its Restricted Subsidiaries, in either case, in compliance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were not made by such Person in connection with, or in anticipation or contemplation of, such Person becoming a Restricted Subsidiary of the Company or such merger or consolidation; and</w:t>
      </w:r>
    </w:p>
    <w:p>
      <w:pPr>
        <w:spacing w:after="0" w:line="164" w:lineRule="exact"/>
        <w:rPr>
          <w:rFonts w:ascii="Arial" w:cs="Arial" w:eastAsia="Arial" w:hAnsi="Arial"/>
          <w:sz w:val="18"/>
          <w:szCs w:val="18"/>
          <w:color w:val="auto"/>
        </w:rPr>
      </w:pPr>
    </w:p>
    <w:p>
      <w:pPr>
        <w:ind w:left="1160" w:hanging="435"/>
        <w:spacing w:after="0"/>
        <w:tabs>
          <w:tab w:leader="none" w:pos="11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repurchases of any Indebtedness to the extent such repurchase is permitted by this Agreement.</w:t>
      </w:r>
    </w:p>
    <w:p>
      <w:pPr>
        <w:spacing w:after="0" w:line="20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7"/>
          <w:szCs w:val="17"/>
          <w:b w:val="1"/>
          <w:bCs w:val="1"/>
          <w:color w:val="auto"/>
        </w:rPr>
        <w:t xml:space="preserve">Indebtedness. </w:t>
      </w:r>
      <w:r>
        <w:rPr>
          <w:rFonts w:ascii="Arial" w:cs="Arial" w:eastAsia="Arial" w:hAnsi="Arial"/>
          <w:sz w:val="17"/>
          <w:szCs w:val="17"/>
          <w:color w:val="auto"/>
        </w:rPr>
        <w:t>Create, incur, assume or suffer to exist any Indebtedness, except:</w:t>
      </w:r>
    </w:p>
    <w:p>
      <w:pPr>
        <w:spacing w:after="0" w:line="213" w:lineRule="exact"/>
        <w:rPr>
          <w:sz w:val="20"/>
          <w:szCs w:val="20"/>
          <w:color w:val="auto"/>
        </w:rPr>
      </w:pPr>
    </w:p>
    <w:p>
      <w:pPr>
        <w:ind w:left="1320" w:hanging="595"/>
        <w:spacing w:after="0"/>
        <w:tabs>
          <w:tab w:leader="none" w:pos="132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194" w:lineRule="exact"/>
        <w:rPr>
          <w:rFonts w:ascii="Arial" w:cs="Arial" w:eastAsia="Arial" w:hAnsi="Arial"/>
          <w:sz w:val="20"/>
          <w:szCs w:val="20"/>
          <w:color w:val="auto"/>
        </w:rPr>
      </w:pPr>
    </w:p>
    <w:p>
      <w:pPr>
        <w:ind w:left="1320" w:hanging="595"/>
        <w:spacing w:after="0"/>
        <w:tabs>
          <w:tab w:leader="none" w:pos="132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Senior Notes Indebtedness;</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[Reserved];</w:t>
      </w:r>
    </w:p>
    <w:p>
      <w:pPr>
        <w:spacing w:after="0" w:line="206" w:lineRule="exact"/>
        <w:rPr>
          <w:rFonts w:ascii="Arial" w:cs="Arial" w:eastAsia="Arial" w:hAnsi="Arial"/>
          <w:sz w:val="20"/>
          <w:szCs w:val="20"/>
          <w:color w:val="auto"/>
        </w:rPr>
      </w:pPr>
    </w:p>
    <w:p>
      <w:pPr>
        <w:ind w:left="1160" w:hanging="435"/>
        <w:spacing w:after="0"/>
        <w:tabs>
          <w:tab w:leader="none" w:pos="11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Indebtedness outstanding on the date hereof and listed on </w:t>
      </w:r>
      <w:r>
        <w:rPr>
          <w:rFonts w:ascii="Arial" w:cs="Arial" w:eastAsia="Arial" w:hAnsi="Arial"/>
          <w:sz w:val="19"/>
          <w:szCs w:val="19"/>
          <w:u w:val="single" w:color="auto"/>
          <w:color w:val="auto"/>
        </w:rPr>
        <w:t>Schedule 7.03</w:t>
      </w:r>
      <w:r>
        <w:rPr>
          <w:rFonts w:ascii="Arial" w:cs="Arial" w:eastAsia="Arial" w:hAnsi="Arial"/>
          <w:sz w:val="19"/>
          <w:szCs w:val="19"/>
          <w:color w:val="auto"/>
        </w:rPr>
        <w:t xml:space="preserve"> and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5" w:name="page226"/>
    <w:bookmarkEnd w:id="225"/>
    <w:p>
      <w:pPr>
        <w:jc w:val="both"/>
        <w:ind w:left="120" w:firstLine="605"/>
        <w:spacing w:after="0" w:line="227" w:lineRule="auto"/>
        <w:tabs>
          <w:tab w:leader="none" w:pos="1152" w:val="left"/>
        </w:tabs>
        <w:numPr>
          <w:ilvl w:val="1"/>
          <w:numId w:val="194"/>
        </w:numPr>
        <w:rPr>
          <w:rFonts w:ascii="Arial" w:cs="Arial" w:eastAsia="Arial" w:hAnsi="Arial"/>
          <w:sz w:val="20"/>
          <w:szCs w:val="20"/>
          <w:color w:val="auto"/>
        </w:rPr>
      </w:pPr>
      <w:r>
        <w:rPr>
          <w:rFonts w:ascii="Arial" w:cs="Arial" w:eastAsia="Arial" w:hAnsi="Arial"/>
          <w:sz w:val="20"/>
          <w:szCs w:val="20"/>
          <w:color w:val="auto"/>
        </w:rPr>
        <w:t>(i) Guarantees of the Company or any Loan Party in respect of Indebtedness otherwise permitted hereunder of the Company or any other Loan Party and (ii) Guarantees of any Restricted Subsidiary that is not a Loan Party in respect of Indebtedness otherwise permitted hereunder of any other Restricted Subsidiary that is not a Loan Party;</w:t>
      </w:r>
    </w:p>
    <w:p>
      <w:pPr>
        <w:spacing w:after="0" w:line="183" w:lineRule="exact"/>
        <w:rPr>
          <w:rFonts w:ascii="Arial" w:cs="Arial" w:eastAsia="Arial" w:hAnsi="Arial"/>
          <w:sz w:val="20"/>
          <w:szCs w:val="20"/>
          <w:color w:val="auto"/>
        </w:rPr>
      </w:pPr>
    </w:p>
    <w:p>
      <w:pPr>
        <w:jc w:val="both"/>
        <w:ind w:left="120" w:firstLine="605"/>
        <w:spacing w:after="0" w:line="229" w:lineRule="auto"/>
        <w:tabs>
          <w:tab w:leader="none" w:pos="1143"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obligations (contingent or otherwise) of the Company or any Restricted Subsidiary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and (ii) in the case of any Secured Hedge Agreement, such Swap Contract does not contain any provision exonerating the non-defaulting party from its obligation to make payments on outstanding transactions to the defaulting party;</w:t>
      </w:r>
    </w:p>
    <w:p>
      <w:pPr>
        <w:spacing w:after="0" w:line="172" w:lineRule="exact"/>
        <w:rPr>
          <w:rFonts w:ascii="Arial" w:cs="Arial" w:eastAsia="Arial" w:hAnsi="Arial"/>
          <w:sz w:val="19"/>
          <w:szCs w:val="19"/>
          <w:color w:val="auto"/>
        </w:rPr>
      </w:pPr>
    </w:p>
    <w:p>
      <w:pPr>
        <w:jc w:val="both"/>
        <w:ind w:left="120" w:firstLine="605"/>
        <w:spacing w:after="0" w:line="219" w:lineRule="auto"/>
        <w:tabs>
          <w:tab w:leader="none" w:pos="1151" w:val="left"/>
        </w:tabs>
        <w:numPr>
          <w:ilvl w:val="1"/>
          <w:numId w:val="194"/>
        </w:numPr>
        <w:rPr>
          <w:rFonts w:ascii="Arial" w:cs="Arial" w:eastAsia="Arial" w:hAnsi="Arial"/>
          <w:sz w:val="20"/>
          <w:szCs w:val="20"/>
          <w:color w:val="auto"/>
        </w:rPr>
      </w:pPr>
      <w:r>
        <w:rPr>
          <w:rFonts w:ascii="Arial" w:cs="Arial" w:eastAsia="Arial" w:hAnsi="Arial"/>
          <w:sz w:val="20"/>
          <w:szCs w:val="20"/>
          <w:color w:val="auto"/>
        </w:rPr>
        <w:t xml:space="preserve">(i) Indebtedness in respect of Capital Leases, Synthetic Lease Obligations and purchase money obligations for fixed or capital assets within the limitations set forth in </w:t>
      </w:r>
      <w:r>
        <w:rPr>
          <w:rFonts w:ascii="Arial" w:cs="Arial" w:eastAsia="Arial" w:hAnsi="Arial"/>
          <w:sz w:val="20"/>
          <w:szCs w:val="20"/>
          <w:u w:val="single" w:color="auto"/>
          <w:color w:val="auto"/>
        </w:rPr>
        <w:t>Section 7.01(i)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amount of all such Indebtedness, together with the aggregate amount of all Indebtedness outstanding pursuant to subclause (ii) of this clause (g), outstanding at the time of such incurrence (after giving effect to such Indebtedness) shall not exceed an amount equal to 10% of Consolidated Total Assets at the time of such incurrence; and</w:t>
      </w:r>
    </w:p>
    <w:p>
      <w:pPr>
        <w:spacing w:after="0" w:line="249" w:lineRule="exact"/>
        <w:rPr>
          <w:rFonts w:ascii="Arial" w:cs="Arial" w:eastAsia="Arial" w:hAnsi="Arial"/>
          <w:sz w:val="20"/>
          <w:szCs w:val="20"/>
          <w:color w:val="auto"/>
        </w:rPr>
      </w:pPr>
    </w:p>
    <w:p>
      <w:pPr>
        <w:ind w:left="400" w:hanging="290"/>
        <w:spacing w:after="0"/>
        <w:tabs>
          <w:tab w:leader="none" w:pos="4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Permitted Refinancings of Indebtedness incurred pursuant to the foregoing subclause (i) of this clause (g);</w:t>
      </w:r>
    </w:p>
    <w:p>
      <w:pPr>
        <w:spacing w:after="0" w:line="194" w:lineRule="exact"/>
        <w:rPr>
          <w:rFonts w:ascii="Arial" w:cs="Arial" w:eastAsia="Arial" w:hAnsi="Arial"/>
          <w:sz w:val="20"/>
          <w:szCs w:val="20"/>
          <w:color w:val="auto"/>
        </w:rPr>
      </w:pPr>
    </w:p>
    <w:p>
      <w:pPr>
        <w:ind w:left="1320" w:hanging="595"/>
        <w:spacing w:after="0"/>
        <w:tabs>
          <w:tab w:leader="none" w:pos="132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[Reserved];</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[Reserved];</w:t>
      </w:r>
    </w:p>
    <w:p>
      <w:pPr>
        <w:spacing w:after="0" w:line="206" w:lineRule="exact"/>
        <w:rPr>
          <w:rFonts w:ascii="Arial" w:cs="Arial" w:eastAsia="Arial" w:hAnsi="Arial"/>
          <w:sz w:val="20"/>
          <w:szCs w:val="20"/>
          <w:color w:val="auto"/>
        </w:rPr>
      </w:pPr>
    </w:p>
    <w:p>
      <w:pPr>
        <w:jc w:val="both"/>
        <w:ind w:left="120" w:firstLine="605"/>
        <w:spacing w:after="0" w:line="216" w:lineRule="auto"/>
        <w:tabs>
          <w:tab w:leader="none" w:pos="114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unsecured Indebtedness of any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 immediately after giving effect to the incurrence of any such Indebtedness, the Company will be in compliance, calculated on a Pro Forma Basis pursuant to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(ii) such Indebtedness shall not mature earlier than the date that is 91 days after the latest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Indebtedness consisting of a customary bridge facility shall be deemed to satisfy this requirement so long as such Indebtedness automatically converts into long-term debt which satisfies this clause (ii), and (iii) such Indebtedness shall not be subject to any financial covenant which is more restrictive than the financial covenants in the Loan Documents at the time of the incurrence of such Indebtedness;</w:t>
      </w:r>
    </w:p>
    <w:p>
      <w:pPr>
        <w:spacing w:after="0" w:line="174" w:lineRule="exact"/>
        <w:rPr>
          <w:rFonts w:ascii="Arial" w:cs="Arial" w:eastAsia="Arial" w:hAnsi="Arial"/>
          <w:sz w:val="20"/>
          <w:szCs w:val="20"/>
          <w:color w:val="auto"/>
        </w:rPr>
      </w:pPr>
    </w:p>
    <w:p>
      <w:pPr>
        <w:ind w:left="120" w:firstLine="605"/>
        <w:spacing w:after="0" w:line="236" w:lineRule="auto"/>
        <w:tabs>
          <w:tab w:leader="none" w:pos="1151"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Indebtedness (which is unsecured if owed by a Loan Party) owed (i) to a Loan Party or (ii) to any other Restricted Subsidiary to the extent such Indebtedness is permitted as an Investment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left="120" w:firstLine="605"/>
        <w:spacing w:after="0" w:line="227" w:lineRule="auto"/>
        <w:tabs>
          <w:tab w:leader="none" w:pos="114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Indebtedness arising from the honoring by a bank or other financial institution of a check, draft or similar instrument inadvertently drawn against insufficient funds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Indebtedness is extinguished within five Business Days of incurrence;</w:t>
      </w:r>
    </w:p>
    <w:p>
      <w:pPr>
        <w:spacing w:after="0" w:line="183" w:lineRule="exact"/>
        <w:rPr>
          <w:rFonts w:ascii="Arial" w:cs="Arial" w:eastAsia="Arial" w:hAnsi="Arial"/>
          <w:sz w:val="20"/>
          <w:szCs w:val="20"/>
          <w:color w:val="auto"/>
        </w:rPr>
      </w:pPr>
    </w:p>
    <w:p>
      <w:pPr>
        <w:jc w:val="both"/>
        <w:ind w:left="120" w:firstLine="605"/>
        <w:spacing w:after="0" w:line="227" w:lineRule="auto"/>
        <w:tabs>
          <w:tab w:leader="none" w:pos="114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indemnification, adjustment of purchase price, earnout or similar obligations (including any Earnout Obligations), in each case, on customary terms incurred or assumed in connection with any Permitted Acquisition or permitted Disposition of any business or assets of any Restricted Subsidiary or Equity Interests of a Restricted Subsidiary;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6" w:name="page227"/>
    <w:bookmarkEnd w:id="226"/>
    <w:p>
      <w:pPr>
        <w:spacing w:after="0" w:line="104" w:lineRule="exact"/>
        <w:rPr>
          <w:sz w:val="20"/>
          <w:szCs w:val="20"/>
          <w:color w:val="auto"/>
        </w:rPr>
      </w:pPr>
    </w:p>
    <w:p>
      <w:pPr>
        <w:ind w:left="1160" w:hanging="435"/>
        <w:spacing w:after="0"/>
        <w:tabs>
          <w:tab w:leader="none" w:pos="116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customer deposits and advance payments received in the ordinary course of business;</w:t>
      </w:r>
    </w:p>
    <w:p>
      <w:pPr>
        <w:spacing w:after="0" w:line="194" w:lineRule="exact"/>
        <w:rPr>
          <w:rFonts w:ascii="Arial" w:cs="Arial" w:eastAsia="Arial" w:hAnsi="Arial"/>
          <w:sz w:val="20"/>
          <w:szCs w:val="20"/>
          <w:color w:val="auto"/>
        </w:rPr>
      </w:pPr>
    </w:p>
    <w:p>
      <w:pPr>
        <w:jc w:val="both"/>
        <w:ind w:left="120" w:firstLine="605"/>
        <w:spacing w:after="0" w:line="225" w:lineRule="auto"/>
        <w:tabs>
          <w:tab w:leader="none" w:pos="1151"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(i) obligations of any Borrower or any Restricted Subsidiary under surety bonds provided in the ordinary course of business (and indemnity and reimbursement obligations related thereto), (ii) obligations of the Company and its Restricted Subsidiaries under any Surety Credit Documents, and (iii) obligations of any Restricted Subsidiary of the Company (including any Person with which such Restricted Subsidiary is merged or consolidated pursuant to the applicable Permitted Acquisition or other Investment permitted by this Agreement) that in either case is acquired subsequent to the Closing Date pursuant to a Permitted Acquisition or other Investment permitted by this Agreement with respect to any surety bonds in existence at the time of the applicable Permitted Acquisition or other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surety bonds (x) were provided in the ordinary course of business or (y) are released or replaced with surety bonds issued pursuant to Surety Credit Documents in accordance with this Credit Agreement, or replaced with surety bonds provided in the ordinary course of business, within two hundred twenty-five (225) days of the date of such Permitted Acquisition or other Investment;</w:t>
      </w:r>
    </w:p>
    <w:p>
      <w:pPr>
        <w:spacing w:after="0" w:line="248" w:lineRule="exact"/>
        <w:rPr>
          <w:rFonts w:ascii="Arial" w:cs="Arial" w:eastAsia="Arial" w:hAnsi="Arial"/>
          <w:sz w:val="19"/>
          <w:szCs w:val="19"/>
          <w:color w:val="auto"/>
        </w:rPr>
      </w:pPr>
    </w:p>
    <w:p>
      <w:pPr>
        <w:ind w:left="1320" w:hanging="595"/>
        <w:spacing w:after="0"/>
        <w:tabs>
          <w:tab w:leader="none" w:pos="132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[Reserved];</w:t>
      </w:r>
    </w:p>
    <w:p>
      <w:pPr>
        <w:spacing w:after="0" w:line="194" w:lineRule="exact"/>
        <w:rPr>
          <w:rFonts w:ascii="Arial" w:cs="Arial" w:eastAsia="Arial" w:hAnsi="Arial"/>
          <w:sz w:val="20"/>
          <w:szCs w:val="20"/>
          <w:color w:val="auto"/>
        </w:rPr>
      </w:pPr>
    </w:p>
    <w:p>
      <w:pPr>
        <w:ind w:left="120" w:firstLine="605"/>
        <w:spacing w:after="0" w:line="236" w:lineRule="auto"/>
        <w:tabs>
          <w:tab w:leader="none" w:pos="1151" w:val="left"/>
        </w:tabs>
        <w:numPr>
          <w:ilvl w:val="1"/>
          <w:numId w:val="196"/>
        </w:numPr>
        <w:rPr>
          <w:rFonts w:ascii="Arial" w:cs="Arial" w:eastAsia="Arial" w:hAnsi="Arial"/>
          <w:sz w:val="20"/>
          <w:szCs w:val="20"/>
          <w:color w:val="auto"/>
        </w:rPr>
      </w:pPr>
      <w:r>
        <w:rPr>
          <w:rFonts w:ascii="Arial" w:cs="Arial" w:eastAsia="Arial" w:hAnsi="Arial"/>
          <w:sz w:val="20"/>
          <w:szCs w:val="20"/>
          <w:color w:val="auto"/>
        </w:rPr>
        <w:t>any repurchase or indemnification obligations arising as a result of any breach of any covenant or representation made as part of any Permitted Receivables Transaction; and</w:t>
      </w:r>
    </w:p>
    <w:p>
      <w:pPr>
        <w:spacing w:after="0" w:line="184" w:lineRule="exact"/>
        <w:rPr>
          <w:rFonts w:ascii="Arial" w:cs="Arial" w:eastAsia="Arial" w:hAnsi="Arial"/>
          <w:sz w:val="20"/>
          <w:szCs w:val="20"/>
          <w:color w:val="auto"/>
        </w:rPr>
      </w:pPr>
    </w:p>
    <w:p>
      <w:pPr>
        <w:jc w:val="both"/>
        <w:ind w:left="120" w:firstLine="605"/>
        <w:spacing w:after="0"/>
        <w:tabs>
          <w:tab w:leader="none" w:pos="114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all Priority Indebtedness shall not exceed, at the time of creation, incurrence or assumption of such Indebtedness (and after giving effect thereto), the greater of (i) $400,000,000 and</w:t>
      </w:r>
    </w:p>
    <w:p>
      <w:pPr>
        <w:spacing w:after="0" w:line="1" w:lineRule="exact"/>
        <w:rPr>
          <w:rFonts w:ascii="Arial" w:cs="Arial" w:eastAsia="Arial" w:hAnsi="Arial"/>
          <w:sz w:val="18"/>
          <w:szCs w:val="18"/>
          <w:color w:val="auto"/>
        </w:rPr>
      </w:pPr>
    </w:p>
    <w:p>
      <w:pPr>
        <w:ind w:left="420" w:hanging="294"/>
        <w:spacing w:after="0"/>
        <w:tabs>
          <w:tab w:leader="none" w:pos="4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 amount equal to 10% of Consolidated Net Tangible Assets at the time of such creation, incurrence or assumption.</w:t>
      </w:r>
    </w:p>
    <w:p>
      <w:pPr>
        <w:spacing w:after="0" w:line="185"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7.04 Fundamental Changes. </w:t>
      </w:r>
      <w:r>
        <w:rPr>
          <w:rFonts w:ascii="Arial" w:cs="Arial" w:eastAsia="Arial" w:hAnsi="Arial"/>
          <w:sz w:val="20"/>
          <w:szCs w:val="20"/>
          <w:color w:val="auto"/>
        </w:rPr>
        <w:t>Merge, dissolve, liquidate, consolidate with or into another Person, or Dispose of (whether in</w:t>
      </w:r>
      <w:r>
        <w:rPr>
          <w:rFonts w:ascii="Arial" w:cs="Arial" w:eastAsia="Arial" w:hAnsi="Arial"/>
          <w:sz w:val="20"/>
          <w:szCs w:val="20"/>
          <w:b w:val="1"/>
          <w:bCs w:val="1"/>
          <w:color w:val="auto"/>
        </w:rPr>
        <w:t xml:space="preserve"> </w:t>
      </w:r>
      <w:r>
        <w:rPr>
          <w:rFonts w:ascii="Arial" w:cs="Arial" w:eastAsia="Arial" w:hAnsi="Arial"/>
          <w:sz w:val="20"/>
          <w:szCs w:val="20"/>
          <w:color w:val="auto"/>
        </w:rPr>
        <w:t>one transaction or in a series of transactions) all or substantially all of its assets (whether now owned or hereafter acquired) to or in favor of any Person, except that, so long as no Default exists or would result therefrom and all representations and warranties hereunder would remain true and correct after giving effect to such transactions:</w:t>
      </w:r>
    </w:p>
    <w:p>
      <w:pPr>
        <w:spacing w:after="0" w:line="171" w:lineRule="exact"/>
        <w:rPr>
          <w:sz w:val="20"/>
          <w:szCs w:val="20"/>
          <w:color w:val="auto"/>
        </w:rPr>
      </w:pPr>
    </w:p>
    <w:p>
      <w:pPr>
        <w:jc w:val="both"/>
        <w:ind w:left="120" w:firstLine="605"/>
        <w:spacing w:after="0" w:line="217" w:lineRule="auto"/>
        <w:tabs>
          <w:tab w:leader="none" w:pos="115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any Restricted Subsidiary may merge into or consolidate with (i)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the continuing or surviving Person, or (ii) any one or more other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any Subsidiary Guarantor is merging into or consolidating with another Restricted Subsidiary that is not a Subsidiary Guarantor, the Subsidiary Guarantor shall be the continuing or surviving Person (unless simultaneously with the consummation of the closing of such merger or consolidation the Restricted Subsidiary shall become a Subsidiary Guarantor in which case the Restricted Subsidiary may be permitted to be the continuing or surviving Person);</w:t>
      </w:r>
    </w:p>
    <w:p>
      <w:pPr>
        <w:spacing w:after="0" w:line="175"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any Restricted Subsidiary may Dispose of all or substantially all of its assets (upon voluntary liquidation or otherwise) to the Company or to another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Loan Party, then the transferee must either be the Company or another Loan Party;</w:t>
      </w:r>
    </w:p>
    <w:p>
      <w:pPr>
        <w:spacing w:after="0" w:line="183" w:lineRule="exact"/>
        <w:rPr>
          <w:rFonts w:ascii="Arial" w:cs="Arial" w:eastAsia="Arial" w:hAnsi="Arial"/>
          <w:sz w:val="20"/>
          <w:szCs w:val="20"/>
          <w:color w:val="auto"/>
        </w:rPr>
      </w:pPr>
    </w:p>
    <w:p>
      <w:pPr>
        <w:ind w:left="120" w:firstLine="605"/>
        <w:spacing w:after="0" w:line="236" w:lineRule="auto"/>
        <w:tabs>
          <w:tab w:leader="none" w:pos="115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 connection with any Permitted Acquisition, any Restricted Subsidiary of the Company may merge into or consolidate with any other Person or permit any other 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129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27" w:name="page228"/>
    <w:bookmarkEnd w:id="227"/>
    <w:p>
      <w:pPr>
        <w:jc w:val="both"/>
        <w:ind w:left="120"/>
        <w:spacing w:after="0" w:line="217" w:lineRule="auto"/>
        <w:rPr>
          <w:sz w:val="20"/>
          <w:szCs w:val="20"/>
          <w:color w:val="auto"/>
        </w:rPr>
      </w:pPr>
      <w:r>
        <w:rPr>
          <w:rFonts w:ascii="Arial" w:cs="Arial" w:eastAsia="Arial" w:hAnsi="Arial"/>
          <w:sz w:val="20"/>
          <w:szCs w:val="20"/>
          <w:color w:val="auto"/>
        </w:rPr>
        <w:t xml:space="preserve">to merge into or consolidate with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Person surviving such merger or consolidation shall be a Restricted Subsidiary of the Company and (ii) in the case of any such merger or consolidation to which any Subsidiary Guarantor is a party, the Subsidiary Guarantor shall be the continuing or surviving Person (unless simultaneously with the consummation of the closing of such merger or consolidation the other merging or consolidating Person shall become a Subsidiary Guarantor and shall deliver all of the documentation required by </w:t>
      </w:r>
      <w:r>
        <w:rPr>
          <w:rFonts w:ascii="Arial" w:cs="Arial" w:eastAsia="Arial" w:hAnsi="Arial"/>
          <w:sz w:val="20"/>
          <w:szCs w:val="20"/>
          <w:u w:val="single" w:color="auto"/>
          <w:color w:val="auto"/>
        </w:rPr>
        <w:t>Section 6.12(a)</w:t>
      </w:r>
      <w:r>
        <w:rPr>
          <w:rFonts w:ascii="Arial" w:cs="Arial" w:eastAsia="Arial" w:hAnsi="Arial"/>
          <w:sz w:val="20"/>
          <w:szCs w:val="20"/>
          <w:color w:val="auto"/>
        </w:rPr>
        <w:t>, in which case such merging or consolidating Person may be permitted to be the continuing or surviving Person); and</w:t>
      </w:r>
    </w:p>
    <w:p>
      <w:pPr>
        <w:spacing w:after="0" w:line="176" w:lineRule="exact"/>
        <w:rPr>
          <w:sz w:val="20"/>
          <w:szCs w:val="20"/>
          <w:color w:val="auto"/>
        </w:rPr>
      </w:pPr>
    </w:p>
    <w:p>
      <w:pPr>
        <w:jc w:val="both"/>
        <w:ind w:left="120" w:firstLine="605"/>
        <w:spacing w:after="0" w:line="236" w:lineRule="auto"/>
        <w:tabs>
          <w:tab w:leader="none" w:pos="11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each of the Company and any of its Restricted Subsidiaries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merger or consolidation is a permitted Investment under </w:t>
      </w:r>
      <w:r>
        <w:rPr>
          <w:rFonts w:ascii="Arial" w:cs="Arial" w:eastAsia="Arial" w:hAnsi="Arial"/>
          <w:sz w:val="18"/>
          <w:szCs w:val="18"/>
          <w:u w:val="single" w:color="auto"/>
          <w:color w:val="auto"/>
        </w:rPr>
        <w:t>Section 7.02(g)</w:t>
      </w:r>
      <w:r>
        <w:rPr>
          <w:rFonts w:ascii="Arial" w:cs="Arial" w:eastAsia="Arial" w:hAnsi="Arial"/>
          <w:sz w:val="18"/>
          <w:szCs w:val="18"/>
          <w:color w:val="auto"/>
        </w:rPr>
        <w:t xml:space="preserve"> or (i) (and, if under </w:t>
      </w:r>
      <w:r>
        <w:rPr>
          <w:rFonts w:ascii="Arial" w:cs="Arial" w:eastAsia="Arial" w:hAnsi="Arial"/>
          <w:sz w:val="18"/>
          <w:szCs w:val="18"/>
          <w:u w:val="single" w:color="auto"/>
          <w:color w:val="auto"/>
        </w:rPr>
        <w:t>Section 7.02(i)</w:t>
      </w:r>
      <w:r>
        <w:rPr>
          <w:rFonts w:ascii="Arial" w:cs="Arial" w:eastAsia="Arial" w:hAnsi="Arial"/>
          <w:sz w:val="18"/>
          <w:szCs w:val="18"/>
          <w:color w:val="auto"/>
        </w:rPr>
        <w:t xml:space="preserve">, such merger or consolidation is part of a transaction or series of transactions that would satisfy the requirements set forth in the definition of “Permitted Acquisition”, if such merger or consolidation were an Acquisition, and does not conflict with any other provision of this Agreement)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each case, immediately after giving effect thereto (i) in the case of any such merger or consolidation to which the Company is a party, the Company is the surviving Person and (ii) in the case of any merger or consolidation to which the Company is not a party, (A) the Person surviving such merger or consolidation shall be a Restricted Subsidiary and (B) in the case of any such merger or consolidation to which any Subsidiary Guarantor is a party, the Subsidiary Guarantor shall be the continuing or surviving Person (unless simultaneously with the consummation of the closing of such merger or consolidation the other merging or consolidating Person shall become a Subsidiary Guarantor and shall deliver all of the documentation required by </w:t>
      </w:r>
      <w:r>
        <w:rPr>
          <w:rFonts w:ascii="Arial" w:cs="Arial" w:eastAsia="Arial" w:hAnsi="Arial"/>
          <w:sz w:val="18"/>
          <w:szCs w:val="18"/>
          <w:u w:val="single" w:color="auto"/>
          <w:color w:val="auto"/>
        </w:rPr>
        <w:t>Section 6.12(a)</w:t>
      </w:r>
      <w:r>
        <w:rPr>
          <w:rFonts w:ascii="Arial" w:cs="Arial" w:eastAsia="Arial" w:hAnsi="Arial"/>
          <w:sz w:val="18"/>
          <w:szCs w:val="18"/>
          <w:color w:val="auto"/>
        </w:rPr>
        <w:t>, in which case such merging or consolidating Person may be permitted to be the continuing or surviving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-1165225</wp:posOffset>
            </wp:positionV>
            <wp:extent cx="15113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7.05 Dispositions. </w:t>
      </w:r>
      <w:r>
        <w:rPr>
          <w:rFonts w:ascii="Arial" w:cs="Arial" w:eastAsia="Arial" w:hAnsi="Arial"/>
          <w:sz w:val="20"/>
          <w:szCs w:val="20"/>
          <w:color w:val="auto"/>
        </w:rPr>
        <w:t>Make any Disposition or enter into any agreement to make any Disposition, except:</w:t>
      </w:r>
    </w:p>
    <w:p>
      <w:pPr>
        <w:spacing w:after="0" w:line="200" w:lineRule="exact"/>
        <w:rPr>
          <w:sz w:val="20"/>
          <w:szCs w:val="20"/>
          <w:color w:val="auto"/>
        </w:rPr>
      </w:pPr>
    </w:p>
    <w:p>
      <w:pPr>
        <w:ind w:left="120" w:firstLine="605"/>
        <w:spacing w:after="0" w:line="236" w:lineRule="auto"/>
        <w:tabs>
          <w:tab w:leader="none" w:pos="1152"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Dispositions of obsolete, worn out, excess, surplus or idle property or property no longer used in the business of such Person, whether now owned or hereafter acquired, in the ordinary course of business;</w:t>
      </w:r>
    </w:p>
    <w:p>
      <w:pPr>
        <w:spacing w:after="0" w:line="184" w:lineRule="exact"/>
        <w:rPr>
          <w:rFonts w:ascii="Arial" w:cs="Arial" w:eastAsia="Arial" w:hAnsi="Arial"/>
          <w:sz w:val="20"/>
          <w:szCs w:val="20"/>
          <w:color w:val="auto"/>
        </w:rPr>
      </w:pPr>
    </w:p>
    <w:p>
      <w:pPr>
        <w:ind w:left="1320" w:hanging="595"/>
        <w:spacing w:after="0"/>
        <w:tabs>
          <w:tab w:leader="none" w:pos="132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06" w:lineRule="exact"/>
        <w:rPr>
          <w:rFonts w:ascii="Arial" w:cs="Arial" w:eastAsia="Arial" w:hAnsi="Arial"/>
          <w:sz w:val="20"/>
          <w:szCs w:val="20"/>
          <w:color w:val="auto"/>
        </w:rPr>
      </w:pPr>
    </w:p>
    <w:p>
      <w:pPr>
        <w:jc w:val="both"/>
        <w:ind w:left="120" w:firstLine="605"/>
        <w:spacing w:after="0" w:line="227" w:lineRule="auto"/>
        <w:tabs>
          <w:tab w:leader="none" w:pos="1152"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1"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Dispositions of property by any Restricted Subsidiary to the Company or to a Restricted Subsidiary (other than an Excluded Subsidiary or a Prohibited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of such property is a Loan Party, the transferee thereof must either be the Company or another Loan Party;</w:t>
      </w:r>
    </w:p>
    <w:p>
      <w:pPr>
        <w:spacing w:after="0" w:line="183" w:lineRule="exact"/>
        <w:rPr>
          <w:rFonts w:ascii="Arial" w:cs="Arial" w:eastAsia="Arial" w:hAnsi="Arial"/>
          <w:sz w:val="20"/>
          <w:szCs w:val="20"/>
          <w:color w:val="auto"/>
        </w:rPr>
      </w:pPr>
    </w:p>
    <w:p>
      <w:pPr>
        <w:ind w:left="1320" w:hanging="595"/>
        <w:spacing w:after="0"/>
        <w:tabs>
          <w:tab w:leader="none" w:pos="132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ind w:left="1320" w:hanging="595"/>
        <w:spacing w:after="0"/>
        <w:tabs>
          <w:tab w:leader="none" w:pos="132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Dispositions made as part of the Foreign Finance Company Plan;</w:t>
      </w:r>
    </w:p>
    <w:p>
      <w:pPr>
        <w:spacing w:after="0" w:line="194" w:lineRule="exact"/>
        <w:rPr>
          <w:rFonts w:ascii="Arial" w:cs="Arial" w:eastAsia="Arial" w:hAnsi="Arial"/>
          <w:sz w:val="20"/>
          <w:szCs w:val="20"/>
          <w:color w:val="auto"/>
        </w:rPr>
      </w:pPr>
    </w:p>
    <w:p>
      <w:pPr>
        <w:jc w:val="both"/>
        <w:ind w:left="120" w:firstLine="605"/>
        <w:spacing w:after="0" w:line="227" w:lineRule="auto"/>
        <w:tabs>
          <w:tab w:leader="none" w:pos="115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Dispositions by the Company and its Restricted Subsidiaries not otherwise permitted under this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Disposition, (i) no Default shall exist or would result from such Disposition, (ii) the aggregate book value of all property Disposed of in reliance on this clause (g) (after giving effect to such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8" w:name="page229"/>
    <w:bookmarkEnd w:id="228"/>
    <w:p>
      <w:pPr>
        <w:jc w:val="both"/>
        <w:ind w:left="120"/>
        <w:spacing w:after="0" w:line="219" w:lineRule="auto"/>
        <w:rPr>
          <w:sz w:val="20"/>
          <w:szCs w:val="20"/>
          <w:color w:val="auto"/>
        </w:rPr>
      </w:pPr>
      <w:r>
        <w:rPr>
          <w:rFonts w:ascii="Arial" w:cs="Arial" w:eastAsia="Arial" w:hAnsi="Arial"/>
          <w:sz w:val="20"/>
          <w:szCs w:val="20"/>
          <w:color w:val="auto"/>
        </w:rPr>
        <w:t xml:space="preserve">Disposition) after the Closing Date shall not exceed an amount equal to 35% of Consolidated Total Assets at the time of such Disposition and (iii) the aggregate book value of all property Disposed of in reliance on this clause (g) (after giving effect to such Disposition) after the Closing Date in a single Disposition transaction shall not exceed an amount equal to 20% of Consolidated Total Assets at the time of such Disposition;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Disposition under this clause (g) may be made to any Excluded Subsidiary or any Prohibited Subsidiary;</w:t>
      </w:r>
    </w:p>
    <w:p>
      <w:pPr>
        <w:spacing w:after="0" w:line="187" w:lineRule="exact"/>
        <w:rPr>
          <w:sz w:val="20"/>
          <w:szCs w:val="20"/>
          <w:color w:val="auto"/>
        </w:rPr>
      </w:pPr>
    </w:p>
    <w:p>
      <w:pPr>
        <w:jc w:val="both"/>
        <w:ind w:left="120" w:firstLine="605"/>
        <w:spacing w:after="0" w:line="227" w:lineRule="auto"/>
        <w:tabs>
          <w:tab w:leader="none" w:pos="1151" w:val="left"/>
        </w:tabs>
        <w:numPr>
          <w:ilvl w:val="0"/>
          <w:numId w:val="201"/>
        </w:numPr>
        <w:rPr>
          <w:rFonts w:ascii="Arial" w:cs="Arial" w:eastAsia="Arial" w:hAnsi="Arial"/>
          <w:sz w:val="20"/>
          <w:szCs w:val="20"/>
          <w:color w:val="auto"/>
        </w:rPr>
      </w:pPr>
      <w:r>
        <w:rPr>
          <w:rFonts w:ascii="Arial" w:cs="Arial" w:eastAsia="Arial" w:hAnsi="Arial"/>
          <w:sz w:val="20"/>
          <w:szCs w:val="20"/>
          <w:color w:val="auto"/>
        </w:rPr>
        <w:t>non-exclusive licenses or sublicenses of IP Rights in the ordinary course of business and substantially consistent with past practice, and leases or subleases granted to others that do not materially interfere with the ordinary course of business of the Company or any of its Restricted Subsidiaries;</w:t>
      </w:r>
    </w:p>
    <w:p>
      <w:pPr>
        <w:spacing w:after="0" w:line="171" w:lineRule="exact"/>
        <w:rPr>
          <w:rFonts w:ascii="Arial" w:cs="Arial" w:eastAsia="Arial" w:hAnsi="Arial"/>
          <w:sz w:val="20"/>
          <w:szCs w:val="20"/>
          <w:color w:val="auto"/>
        </w:rPr>
      </w:pPr>
    </w:p>
    <w:p>
      <w:pPr>
        <w:jc w:val="both"/>
        <w:ind w:left="120" w:firstLine="605"/>
        <w:spacing w:after="0" w:line="222" w:lineRule="auto"/>
        <w:tabs>
          <w:tab w:leader="none" w:pos="1144"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Dispositions of non-core assets acquired in a Permitted Acquisition by the Company or any of its Restricted Subsidiaries within 18 months of such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non-core assets, in the aggregate, do not exceed 40% of the consolidated net assets (measured using the definition of “Consolidated Net Assets”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and measured as of the date of such Permitted Acquisition) acquired pursuant to such Permitted Acquisition;</w:t>
      </w:r>
    </w:p>
    <w:p>
      <w:pPr>
        <w:spacing w:after="0" w:line="185" w:lineRule="exact"/>
        <w:rPr>
          <w:rFonts w:ascii="Arial" w:cs="Arial" w:eastAsia="Arial" w:hAnsi="Arial"/>
          <w:sz w:val="20"/>
          <w:szCs w:val="20"/>
          <w:color w:val="auto"/>
        </w:rPr>
      </w:pPr>
    </w:p>
    <w:p>
      <w:pPr>
        <w:ind w:left="120" w:firstLine="605"/>
        <w:spacing w:after="0" w:line="286" w:lineRule="auto"/>
        <w:tabs>
          <w:tab w:leader="none" w:pos="11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settlement of or payment in respect of, or series of settlements or payments in respect of, any property or casualty insurance claim or any condemnation proceeding relating to any asset of the Company or any of its Restricted Subsidiaries;</w:t>
      </w:r>
    </w:p>
    <w:p>
      <w:pPr>
        <w:spacing w:after="0" w:line="143" w:lineRule="exact"/>
        <w:rPr>
          <w:rFonts w:ascii="Arial" w:cs="Arial" w:eastAsia="Arial" w:hAnsi="Arial"/>
          <w:sz w:val="18"/>
          <w:szCs w:val="18"/>
          <w:color w:val="auto"/>
        </w:rPr>
      </w:pPr>
    </w:p>
    <w:p>
      <w:pPr>
        <w:ind w:left="120" w:firstLine="605"/>
        <w:spacing w:after="0" w:line="236" w:lineRule="auto"/>
        <w:tabs>
          <w:tab w:leader="none" w:pos="1151"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Dispositions of property constituting the making of Investments permitted under Section 7.02 and Dispositions of property constituting the making of Restricted Payments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120" w:firstLine="605"/>
        <w:spacing w:after="0" w:line="236" w:lineRule="auto"/>
        <w:tabs>
          <w:tab w:leader="none" w:pos="1144"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 the sale of past due accounts receivable in the ordinary course of business consistent with the practices of similarly situated companies and (ii) Dispositions made as part of a Permitted Receivables Transaction; and</w:t>
      </w:r>
    </w:p>
    <w:p>
      <w:pPr>
        <w:spacing w:after="0" w:line="184" w:lineRule="exact"/>
        <w:rPr>
          <w:rFonts w:ascii="Arial" w:cs="Arial" w:eastAsia="Arial" w:hAnsi="Arial"/>
          <w:sz w:val="20"/>
          <w:szCs w:val="20"/>
          <w:color w:val="auto"/>
        </w:rPr>
      </w:pPr>
    </w:p>
    <w:p>
      <w:pPr>
        <w:ind w:left="1320" w:hanging="595"/>
        <w:spacing w:after="0"/>
        <w:tabs>
          <w:tab w:leader="none" w:pos="13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Sale Leaseback Transactions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-814705</wp:posOffset>
            </wp:positionV>
            <wp:extent cx="72898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Disposition pursuant to clauses (a) through (m) shall be for fair market value.</w:t>
      </w:r>
    </w:p>
    <w:p>
      <w:pPr>
        <w:spacing w:after="0" w:line="263"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7.06 Restricted Payments. </w:t>
      </w:r>
      <w:r>
        <w:rPr>
          <w:rFonts w:ascii="Arial" w:cs="Arial" w:eastAsia="Arial" w:hAnsi="Arial"/>
          <w:sz w:val="20"/>
          <w:szCs w:val="20"/>
          <w:color w:val="auto"/>
        </w:rPr>
        <w:t>Declare or make, directly or indirectly, any Restricted Payment, or incur any obligation (contingent</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to do so, except that, so long as no Default shall have occurred and be continuing at the time of any action described below or would result therefrom:</w:t>
      </w:r>
    </w:p>
    <w:p>
      <w:pPr>
        <w:spacing w:after="0" w:line="172" w:lineRule="exact"/>
        <w:rPr>
          <w:sz w:val="20"/>
          <w:szCs w:val="20"/>
          <w:color w:val="auto"/>
        </w:rPr>
      </w:pPr>
    </w:p>
    <w:p>
      <w:pPr>
        <w:jc w:val="both"/>
        <w:ind w:left="120" w:firstLine="605"/>
        <w:spacing w:after="0" w:line="227" w:lineRule="auto"/>
        <w:tabs>
          <w:tab w:leader="none" w:pos="115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the Company, any other Loan Party and any other Person that owns an Equity Interest in such Restricted Subsidiary, ratably according to their respective holdings of the type of Equity Interest in respect of which such Restricted Payment is being made;</w:t>
      </w:r>
    </w:p>
    <w:p>
      <w:pPr>
        <w:spacing w:after="0" w:line="183" w:lineRule="exact"/>
        <w:rPr>
          <w:rFonts w:ascii="Arial" w:cs="Arial" w:eastAsia="Arial" w:hAnsi="Arial"/>
          <w:sz w:val="20"/>
          <w:szCs w:val="20"/>
          <w:color w:val="auto"/>
        </w:rPr>
      </w:pPr>
    </w:p>
    <w:p>
      <w:pPr>
        <w:ind w:left="120" w:right="20" w:firstLine="605"/>
        <w:spacing w:after="0" w:line="236" w:lineRule="auto"/>
        <w:tabs>
          <w:tab w:leader="none" w:pos="1151"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Company and each Restricted Subsidiary may declare and make dividend payments or other distributions payable solely in the common stock or other common Equity Interests of such Person;</w:t>
      </w:r>
    </w:p>
    <w:p>
      <w:pPr>
        <w:spacing w:after="0" w:line="184" w:lineRule="exact"/>
        <w:rPr>
          <w:rFonts w:ascii="Arial" w:cs="Arial" w:eastAsia="Arial" w:hAnsi="Arial"/>
          <w:sz w:val="20"/>
          <w:szCs w:val="20"/>
          <w:color w:val="auto"/>
        </w:rPr>
      </w:pPr>
    </w:p>
    <w:p>
      <w:pPr>
        <w:ind w:left="120" w:firstLine="605"/>
        <w:spacing w:after="0" w:line="286" w:lineRule="auto"/>
        <w:tabs>
          <w:tab w:leader="none" w:pos="11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and each Restricted Subsidiary may purchase, redeem or otherwise acquire Equity Interests issued by it with the proceeds received from the substantially concurrent issue of new shares of its common stock or other common Equity Interests;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29" w:name="page230"/>
    <w:bookmarkEnd w:id="229"/>
    <w:p>
      <w:pPr>
        <w:spacing w:after="0" w:line="104" w:lineRule="exact"/>
        <w:rPr>
          <w:sz w:val="20"/>
          <w:szCs w:val="20"/>
          <w:color w:val="auto"/>
        </w:rPr>
      </w:pPr>
    </w:p>
    <w:p>
      <w:pPr>
        <w:jc w:val="both"/>
        <w:ind w:left="120" w:firstLine="605"/>
        <w:spacing w:after="0" w:line="222" w:lineRule="auto"/>
        <w:tabs>
          <w:tab w:leader="none" w:pos="1151"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the Company may make Restricted Payments, so long as (i) the Company is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calculated on a Pro Forma Basis pursuant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after giving effect thereto and any Indebtedness incurred or to be incurred in connection therewith and (ii) immediately after giving effect thereto, the Available Liquidity shall not be less than $100,000,000; and</w:t>
      </w:r>
    </w:p>
    <w:p>
      <w:pPr>
        <w:spacing w:after="0" w:line="172" w:lineRule="exact"/>
        <w:rPr>
          <w:rFonts w:ascii="Arial" w:cs="Arial" w:eastAsia="Arial" w:hAnsi="Arial"/>
          <w:sz w:val="20"/>
          <w:szCs w:val="20"/>
          <w:color w:val="auto"/>
        </w:rPr>
      </w:pPr>
    </w:p>
    <w:p>
      <w:pPr>
        <w:ind w:left="1160" w:hanging="435"/>
        <w:spacing w:after="0"/>
        <w:tabs>
          <w:tab w:leader="none" w:pos="116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as part of the Foreign Finance Company Plan.</w:t>
      </w:r>
    </w:p>
    <w:p>
      <w:pPr>
        <w:spacing w:after="0" w:line="201" w:lineRule="exact"/>
        <w:rPr>
          <w:sz w:val="20"/>
          <w:szCs w:val="20"/>
          <w:color w:val="auto"/>
        </w:rPr>
      </w:pPr>
    </w:p>
    <w:p>
      <w:pPr>
        <w:jc w:val="both"/>
        <w:ind w:left="120" w:firstLine="598"/>
        <w:spacing w:after="0" w:line="264" w:lineRule="auto"/>
        <w:rPr>
          <w:sz w:val="20"/>
          <w:szCs w:val="20"/>
          <w:color w:val="auto"/>
        </w:rPr>
      </w:pPr>
      <w:r>
        <w:rPr>
          <w:rFonts w:ascii="Arial" w:cs="Arial" w:eastAsia="Arial" w:hAnsi="Arial"/>
          <w:sz w:val="19"/>
          <w:szCs w:val="19"/>
          <w:b w:val="1"/>
          <w:bCs w:val="1"/>
          <w:color w:val="auto"/>
        </w:rPr>
        <w:t xml:space="preserve">7.07 Change in Nature of Business. </w:t>
      </w:r>
      <w:r>
        <w:rPr>
          <w:rFonts w:ascii="Arial" w:cs="Arial" w:eastAsia="Arial" w:hAnsi="Arial"/>
          <w:sz w:val="19"/>
          <w:szCs w:val="19"/>
          <w:color w:val="auto"/>
        </w:rPr>
        <w:t>Engage in any material line of business substantially different from those lines of</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conducted by it on the Closing Date and any business or activities which are similar, related or incidental thereto.</w:t>
      </w:r>
    </w:p>
    <w:p>
      <w:pPr>
        <w:spacing w:after="0" w:line="156"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b w:val="1"/>
          <w:bCs w:val="1"/>
          <w:color w:val="auto"/>
        </w:rPr>
        <w:t xml:space="preserve">7.08 Transactions with Affiliates. </w:t>
      </w:r>
      <w:r>
        <w:rPr>
          <w:rFonts w:ascii="Arial" w:cs="Arial" w:eastAsia="Arial" w:hAnsi="Arial"/>
          <w:sz w:val="19"/>
          <w:szCs w:val="19"/>
          <w:color w:val="auto"/>
        </w:rPr>
        <w:t>Enter into any transaction of any kind with any Affiliate of the Company, whether or not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 shall not apply to (a) the transactions contemplated by the Loan Documents; (b) payment of reasonable compensation to officers and employees for services actually rendered to Borrowers or their respective Subsidiaries; (c) payment of customary directors’ fees and indemnities; (d) transactions with Affiliates that were consummated prior to the date hereof and are set forth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(e) transactions with Affiliates upon fair and reasonable terms and are no less favorable to the Company or such Restricted Subsidiary than the Company or such Restricted Subsidiary would obtain in a comparable arm’s length transaction with a Person not an Affiliate of the Company or such Restricted Subsidiary, and (f) transactions between or among the Loan Parties and their Restricted Subsidiaries subject to compliance by such Subsidiaries with the other requirements of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171"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b w:val="1"/>
          <w:bCs w:val="1"/>
          <w:color w:val="auto"/>
        </w:rPr>
        <w:t xml:space="preserve">7.09 Burdensome Agreements. </w:t>
      </w:r>
      <w:r>
        <w:rPr>
          <w:rFonts w:ascii="Arial" w:cs="Arial" w:eastAsia="Arial" w:hAnsi="Arial"/>
          <w:sz w:val="18"/>
          <w:szCs w:val="18"/>
          <w:color w:val="auto"/>
        </w:rPr>
        <w:t>Enter into or permit to exist any Contractual Obligation (other than this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Loan Document) that (a) limits the ability (i) of any Restricted Subsidiary to make Restricted Payments to the Company or any other Loan Party or to otherwise transfer property to the Company or any other Loan Party, except in each case for any agreement in effect on the date hereof and set forth on </w:t>
      </w:r>
      <w:r>
        <w:rPr>
          <w:rFonts w:ascii="Arial" w:cs="Arial" w:eastAsia="Arial" w:hAnsi="Arial"/>
          <w:sz w:val="18"/>
          <w:szCs w:val="18"/>
          <w:u w:val="single" w:color="auto"/>
          <w:color w:val="auto"/>
        </w:rPr>
        <w:t>Schedule 7.09</w:t>
      </w:r>
      <w:r>
        <w:rPr>
          <w:rFonts w:ascii="Arial" w:cs="Arial" w:eastAsia="Arial" w:hAnsi="Arial"/>
          <w:sz w:val="18"/>
          <w:szCs w:val="18"/>
          <w:color w:val="auto"/>
        </w:rPr>
        <w:t xml:space="preserve">, (ii) of any Restricted Subsidiary to Guarantee the Indebtedness of the Company or any other Borrower or (iii) of the Company or any Restricted Subsidiary to create, incur, assume or suffer to exist Liens on property of such Person to secure the Obligations or (b) requires the grant of a Lien to secure an obligation of such Person if a Lien is granted to secure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shall not prohibit any restriction or requirement existing under or by reason of (i) applicable Law, (ii) any agreement relating to secured Indebtedness permitted under </w:t>
      </w:r>
      <w:r>
        <w:rPr>
          <w:rFonts w:ascii="Arial" w:cs="Arial" w:eastAsia="Arial" w:hAnsi="Arial"/>
          <w:sz w:val="18"/>
          <w:szCs w:val="18"/>
          <w:u w:val="single" w:color="auto"/>
          <w:color w:val="auto"/>
        </w:rPr>
        <w:t>Section 7.03(g)</w:t>
      </w:r>
      <w:r>
        <w:rPr>
          <w:rFonts w:ascii="Arial" w:cs="Arial" w:eastAsia="Arial" w:hAnsi="Arial"/>
          <w:sz w:val="18"/>
          <w:szCs w:val="18"/>
          <w:color w:val="auto"/>
        </w:rPr>
        <w:t xml:space="preserve"> to the extent relating to the property financed by or the subject of such Indebtedness, (iii) any agreement relating to secured Indebtedness of a Person that becomes a Restricted Subsidiary after the Closing Date pursuant to a Permitted Acquisition permitted under </w:t>
      </w:r>
      <w:r>
        <w:rPr>
          <w:rFonts w:ascii="Arial" w:cs="Arial" w:eastAsia="Arial" w:hAnsi="Arial"/>
          <w:sz w:val="18"/>
          <w:szCs w:val="18"/>
          <w:u w:val="single" w:color="auto"/>
          <w:color w:val="auto"/>
        </w:rPr>
        <w:t>Section 7.03(r)</w:t>
      </w:r>
      <w:r>
        <w:rPr>
          <w:rFonts w:ascii="Arial" w:cs="Arial" w:eastAsia="Arial" w:hAnsi="Arial"/>
          <w:sz w:val="18"/>
          <w:szCs w:val="18"/>
          <w:color w:val="auto"/>
        </w:rPr>
        <w:t xml:space="preserve"> if such agreement (x) exists at the time the applicable Person becomes a Subsidiary of the Company, (y) is not entered into solely in contemplation of such Person’s becoming a Subsidiary of the Company and (z) does not extend to the assets of any Person other than the Person becoming a Subsidiary of the Company, (iv) any negative pledge or restriction on Liens in favor of any holder of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if the terms of such Indebtedness expressly permit Liens for the benefit of the Lenders with respect to the Obligations on a senior basis and do not require that such holders of such Indebtedness be secured by such Liens equally and ratably, (v) customary non- assignment provisions with respect to leases or licensing agreements entered into by any Borrower or any of its Subsidiaries, (vi) customary restrictions contained in an agreement related to the sale of property (to the extent such sale is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that limit the transfer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30" w:name="page231"/>
    <w:bookmarkEnd w:id="230"/>
    <w:p>
      <w:pPr>
        <w:jc w:val="both"/>
        <w:ind w:left="120"/>
        <w:spacing w:after="0"/>
        <w:rPr>
          <w:sz w:val="20"/>
          <w:szCs w:val="20"/>
          <w:color w:val="auto"/>
        </w:rPr>
      </w:pPr>
      <w:r>
        <w:rPr>
          <w:rFonts w:ascii="Arial" w:cs="Arial" w:eastAsia="Arial" w:hAnsi="Arial"/>
          <w:sz w:val="18"/>
          <w:szCs w:val="18"/>
          <w:color w:val="auto"/>
        </w:rPr>
        <w:t xml:space="preserve">of such property pending the consummation of such sale, (vii) customary provisions restricting assignment of any agreement entered into in the ordinary course of a business, (viii) customary provisions in joint venture agreements or other similar agreements applicable to joint ventures, (ix) customary restrictions contained in Indebtedness incurred by Foreign Subsidiaries pursuant to </w:t>
      </w:r>
      <w:r>
        <w:rPr>
          <w:rFonts w:ascii="Arial" w:cs="Arial" w:eastAsia="Arial" w:hAnsi="Arial"/>
          <w:sz w:val="18"/>
          <w:szCs w:val="18"/>
          <w:u w:val="single" w:color="auto"/>
          <w:color w:val="auto"/>
        </w:rPr>
        <w:t>Section 7.03(r)</w:t>
      </w:r>
      <w:r>
        <w:rPr>
          <w:rFonts w:ascii="Arial" w:cs="Arial" w:eastAsia="Arial" w:hAnsi="Arial"/>
          <w:sz w:val="18"/>
          <w:szCs w:val="18"/>
          <w:color w:val="auto"/>
        </w:rPr>
        <w:t xml:space="preserve"> (provided that such restrictions (A) are not, taken as a whole, materially more restrictive (as determined by the Company in good faith) than similar restrictions contained in this Agreement and (B) are applicable only to Foreign Subsidiaries), (x) applicable Law, or (xi) customary restrictions on cash or other deposits or net worth imposed by customers, suppliers or landlords or required by insurance, surety or bonding companies, in each case, under contracts entered into in the ordinary course of business.</w:t>
      </w:r>
    </w:p>
    <w:p>
      <w:pPr>
        <w:spacing w:after="0" w:line="18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7.10</w:t>
      </w:r>
      <w:r>
        <w:rPr>
          <w:sz w:val="20"/>
          <w:szCs w:val="20"/>
          <w:color w:val="auto"/>
        </w:rPr>
        <w:tab/>
      </w:r>
      <w:r>
        <w:rPr>
          <w:rFonts w:ascii="Arial" w:cs="Arial" w:eastAsia="Arial" w:hAnsi="Arial"/>
          <w:sz w:val="17"/>
          <w:szCs w:val="17"/>
          <w:b w:val="1"/>
          <w:bCs w:val="1"/>
          <w:color w:val="auto"/>
        </w:rPr>
        <w:t>Use of Proceeds.</w:t>
      </w:r>
    </w:p>
    <w:p>
      <w:pPr>
        <w:spacing w:after="0" w:line="200" w:lineRule="exact"/>
        <w:rPr>
          <w:sz w:val="20"/>
          <w:szCs w:val="20"/>
          <w:color w:val="auto"/>
        </w:rPr>
      </w:pPr>
    </w:p>
    <w:p>
      <w:pPr>
        <w:jc w:val="both"/>
        <w:ind w:left="120" w:firstLine="605"/>
        <w:spacing w:after="0" w:line="239" w:lineRule="auto"/>
        <w:tabs>
          <w:tab w:leader="none" w:pos="1152" w:val="left"/>
        </w:tabs>
        <w:numPr>
          <w:ilvl w:val="0"/>
          <w:numId w:val="204"/>
        </w:numPr>
        <w:rPr>
          <w:rFonts w:ascii="Arial" w:cs="Arial" w:eastAsia="Arial" w:hAnsi="Arial"/>
          <w:sz w:val="19"/>
          <w:szCs w:val="19"/>
          <w:color w:val="auto"/>
        </w:rPr>
      </w:pPr>
      <w:r>
        <w:rPr>
          <w:rFonts w:ascii="Arial" w:cs="Arial" w:eastAsia="Arial" w:hAnsi="Arial"/>
          <w:sz w:val="19"/>
          <w:szCs w:val="19"/>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3" w:lineRule="exact"/>
        <w:rPr>
          <w:rFonts w:ascii="Arial" w:cs="Arial" w:eastAsia="Arial" w:hAnsi="Arial"/>
          <w:sz w:val="19"/>
          <w:szCs w:val="19"/>
          <w:color w:val="auto"/>
        </w:rPr>
      </w:pPr>
    </w:p>
    <w:p>
      <w:pPr>
        <w:jc w:val="both"/>
        <w:ind w:left="120" w:firstLine="605"/>
        <w:spacing w:after="0" w:line="217" w:lineRule="auto"/>
        <w:tabs>
          <w:tab w:leader="none" w:pos="1151" w:val="left"/>
        </w:tabs>
        <w:numPr>
          <w:ilvl w:val="0"/>
          <w:numId w:val="204"/>
        </w:numPr>
        <w:rPr>
          <w:rFonts w:ascii="Arial" w:cs="Arial" w:eastAsia="Arial" w:hAnsi="Arial"/>
          <w:sz w:val="20"/>
          <w:szCs w:val="20"/>
          <w:color w:val="auto"/>
        </w:rPr>
      </w:pPr>
      <w:r>
        <w:rPr>
          <w:rFonts w:ascii="Arial" w:cs="Arial" w:eastAsia="Arial" w:hAnsi="Arial"/>
          <w:sz w:val="20"/>
          <w:szCs w:val="20"/>
          <w:color w:val="auto"/>
        </w:rPr>
        <w:t>Directly, or to any Loan Party’s knowledge,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L/C Issuer, Swing Line Lender, or otherwise) of applicable Sanctions.</w:t>
      </w:r>
    </w:p>
    <w:p>
      <w:pPr>
        <w:spacing w:after="0" w:line="188" w:lineRule="exact"/>
        <w:rPr>
          <w:rFonts w:ascii="Arial" w:cs="Arial" w:eastAsia="Arial" w:hAnsi="Arial"/>
          <w:sz w:val="20"/>
          <w:szCs w:val="20"/>
          <w:color w:val="auto"/>
        </w:rPr>
      </w:pPr>
    </w:p>
    <w:p>
      <w:pPr>
        <w:ind w:left="120" w:firstLine="605"/>
        <w:spacing w:after="0" w:line="236" w:lineRule="auto"/>
        <w:tabs>
          <w:tab w:leader="none" w:pos="1152" w:val="left"/>
        </w:tabs>
        <w:numPr>
          <w:ilvl w:val="0"/>
          <w:numId w:val="204"/>
        </w:numPr>
        <w:rPr>
          <w:rFonts w:ascii="Arial" w:cs="Arial" w:eastAsia="Arial" w:hAnsi="Arial"/>
          <w:sz w:val="20"/>
          <w:szCs w:val="20"/>
          <w:color w:val="auto"/>
        </w:rPr>
      </w:pPr>
      <w:r>
        <w:rPr>
          <w:rFonts w:ascii="Arial" w:cs="Arial" w:eastAsia="Arial" w:hAnsi="Arial"/>
          <w:sz w:val="20"/>
          <w:szCs w:val="20"/>
          <w:color w:val="auto"/>
        </w:rPr>
        <w:t>Directly, or to any Loan Party’s knowledge, indirectly use the proceeds of any Credit Extension for any purpose which would breach any Anti-Corruption Law or any Anti- Money Laundering Law.</w:t>
      </w:r>
    </w:p>
    <w:p>
      <w:pPr>
        <w:spacing w:after="0" w:line="16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7.11</w:t>
      </w:r>
      <w:r>
        <w:rPr>
          <w:sz w:val="20"/>
          <w:szCs w:val="20"/>
          <w:color w:val="auto"/>
        </w:rPr>
        <w:tab/>
      </w:r>
      <w:r>
        <w:rPr>
          <w:rFonts w:ascii="Arial" w:cs="Arial" w:eastAsia="Arial" w:hAnsi="Arial"/>
          <w:sz w:val="17"/>
          <w:szCs w:val="17"/>
          <w:b w:val="1"/>
          <w:bCs w:val="1"/>
          <w:color w:val="auto"/>
        </w:rPr>
        <w:t>Financial Covenants.</w:t>
      </w:r>
    </w:p>
    <w:p>
      <w:pPr>
        <w:spacing w:after="0" w:line="207" w:lineRule="exact"/>
        <w:rPr>
          <w:sz w:val="20"/>
          <w:szCs w:val="20"/>
          <w:color w:val="auto"/>
        </w:rPr>
      </w:pPr>
    </w:p>
    <w:p>
      <w:pPr>
        <w:ind w:left="120" w:firstLine="605"/>
        <w:spacing w:after="0" w:line="264" w:lineRule="auto"/>
        <w:tabs>
          <w:tab w:leader="none" w:pos="1152" w:val="left"/>
        </w:tabs>
        <w:numPr>
          <w:ilvl w:val="0"/>
          <w:numId w:val="205"/>
        </w:numPr>
        <w:rPr>
          <w:rFonts w:ascii="Arial" w:cs="Arial" w:eastAsia="Arial" w:hAnsi="Arial"/>
          <w:sz w:val="19"/>
          <w:szCs w:val="19"/>
          <w:color w:val="auto"/>
        </w:rPr>
      </w:pPr>
      <w:r>
        <w:rPr>
          <w:rFonts w:ascii="Arial" w:cs="Arial" w:eastAsia="Arial" w:hAnsi="Arial"/>
          <w:sz w:val="19"/>
          <w:szCs w:val="19"/>
          <w:b w:val="1"/>
          <w:bCs w:val="1"/>
          <w:color w:val="auto"/>
        </w:rPr>
        <w:t xml:space="preserve">Consolidated Interest Coverage Ratio. </w:t>
      </w:r>
      <w:r>
        <w:rPr>
          <w:rFonts w:ascii="Arial" w:cs="Arial" w:eastAsia="Arial" w:hAnsi="Arial"/>
          <w:sz w:val="19"/>
          <w:szCs w:val="19"/>
          <w:color w:val="auto"/>
        </w:rPr>
        <w:t>Permit the Consolidated Interest Coverage Ratio as of the end of any fiscal</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the Company (commencing with the fiscal quarter ending September 30, 2021) to be less than 3.00 to 1.00.</w:t>
      </w:r>
    </w:p>
    <w:p>
      <w:pPr>
        <w:spacing w:after="0" w:line="156" w:lineRule="exact"/>
        <w:rPr>
          <w:rFonts w:ascii="Arial" w:cs="Arial" w:eastAsia="Arial" w:hAnsi="Arial"/>
          <w:sz w:val="19"/>
          <w:szCs w:val="19"/>
          <w:color w:val="auto"/>
        </w:rPr>
      </w:pPr>
    </w:p>
    <w:p>
      <w:pPr>
        <w:ind w:left="120" w:firstLine="605"/>
        <w:spacing w:after="0" w:line="239" w:lineRule="auto"/>
        <w:tabs>
          <w:tab w:leader="none" w:pos="1151" w:val="left"/>
        </w:tabs>
        <w:numPr>
          <w:ilvl w:val="0"/>
          <w:numId w:val="205"/>
        </w:numPr>
        <w:rPr>
          <w:rFonts w:ascii="Arial" w:cs="Arial" w:eastAsia="Arial" w:hAnsi="Arial"/>
          <w:sz w:val="20"/>
          <w:szCs w:val="20"/>
          <w:color w:val="auto"/>
        </w:rPr>
      </w:pPr>
      <w:r>
        <w:rPr>
          <w:rFonts w:ascii="Arial" w:cs="Arial" w:eastAsia="Arial" w:hAnsi="Arial"/>
          <w:sz w:val="20"/>
          <w:szCs w:val="20"/>
          <w:b w:val="1"/>
          <w:bCs w:val="1"/>
          <w:color w:val="auto"/>
        </w:rPr>
        <w:t xml:space="preserve">Consolidated Leverage Ratio. </w:t>
      </w:r>
      <w:r>
        <w:rPr>
          <w:rFonts w:ascii="Arial" w:cs="Arial" w:eastAsia="Arial" w:hAnsi="Arial"/>
          <w:sz w:val="20"/>
          <w:szCs w:val="20"/>
          <w:color w:val="auto"/>
        </w:rPr>
        <w:t>Permit the Consolidated Leverage Ratio as of the end of any fiscal quarter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(commencing with the fiscal quarter ending September 30, 2021) to be greater than 3.50 to 1.00.</w:t>
      </w:r>
    </w:p>
    <w:p>
      <w:pPr>
        <w:spacing w:after="0" w:line="172" w:lineRule="exact"/>
        <w:rPr>
          <w:sz w:val="20"/>
          <w:szCs w:val="20"/>
          <w:color w:val="auto"/>
        </w:rPr>
      </w:pPr>
    </w:p>
    <w:p>
      <w:pPr>
        <w:jc w:val="both"/>
        <w:ind w:left="120"/>
        <w:spacing w:after="0" w:line="216" w:lineRule="auto"/>
        <w:rPr>
          <w:sz w:val="20"/>
          <w:szCs w:val="20"/>
          <w:color w:val="auto"/>
        </w:rPr>
      </w:pPr>
      <w:r>
        <w:rPr>
          <w:rFonts w:ascii="Arial" w:cs="Arial" w:eastAsia="Arial" w:hAnsi="Arial"/>
          <w:sz w:val="20"/>
          <w:szCs w:val="20"/>
          <w:color w:val="auto"/>
        </w:rPr>
        <w:t>Notwithstanding the foregoing, if a Permitted Acquisition or series of Permitted Acquisitions with aggregate consideration of more than $100,000,000 occurs during a fiscal quarter ending on or after the Closing Date, the Company shall have the right to permit the Consolidated Leverage Ratio to exceed 3.50 to 1.00 during such fiscal quarter and the subsequent four fiscal quarters (such five fiscal quarters, an “</w:t>
      </w:r>
      <w:r>
        <w:rPr>
          <w:rFonts w:ascii="Arial" w:cs="Arial" w:eastAsia="Arial" w:hAnsi="Arial"/>
          <w:sz w:val="20"/>
          <w:szCs w:val="20"/>
          <w:u w:val="single" w:color="auto"/>
          <w:color w:val="auto"/>
        </w:rPr>
        <w:t>Elevated Ratio Period</w:t>
      </w:r>
      <w:r>
        <w:rPr>
          <w:rFonts w:ascii="Arial" w:cs="Arial" w:eastAsia="Arial" w:hAnsi="Arial"/>
          <w:sz w:val="20"/>
          <w:szCs w:val="20"/>
          <w:color w:val="auto"/>
        </w:rPr>
        <w:t>”) so long as (i) the Consolidated Leverage Ratio does not exceed 4.00 to 1.00 at any time during the Elevated Ratio Period, (ii) such right is not exercised more than two times during the term of this Agreement and (iii) there is at least one fiscal quarter between Elevated Ratio Periods during which the Consolidated Leverage Ratio is not in excess of 3.50 to 1.00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31" w:name="page232"/>
    <w:bookmarkEnd w:id="231"/>
    <w:p>
      <w:pPr>
        <w:ind w:left="720"/>
        <w:spacing w:after="0"/>
        <w:tabs>
          <w:tab w:leader="none" w:pos="130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17"/>
          <w:szCs w:val="17"/>
          <w:b w:val="1"/>
          <w:bCs w:val="1"/>
          <w:color w:val="auto"/>
        </w:rPr>
        <w:t>[Reserved.]</w:t>
      </w:r>
    </w:p>
    <w:p>
      <w:pPr>
        <w:spacing w:after="0" w:line="207"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9"/>
          <w:szCs w:val="19"/>
          <w:b w:val="1"/>
          <w:bCs w:val="1"/>
          <w:color w:val="auto"/>
        </w:rPr>
        <w:t xml:space="preserve">7.13 Amendments of Organization Documents. </w:t>
      </w:r>
      <w:r>
        <w:rPr>
          <w:rFonts w:ascii="Arial" w:cs="Arial" w:eastAsia="Arial" w:hAnsi="Arial"/>
          <w:sz w:val="19"/>
          <w:szCs w:val="19"/>
          <w:color w:val="auto"/>
        </w:rPr>
        <w:t>Amend any of its Organization Documents, except for amendments that do</w:t>
      </w:r>
      <w:r>
        <w:rPr>
          <w:rFonts w:ascii="Arial" w:cs="Arial" w:eastAsia="Arial" w:hAnsi="Arial"/>
          <w:sz w:val="19"/>
          <w:szCs w:val="19"/>
          <w:b w:val="1"/>
          <w:bCs w:val="1"/>
          <w:color w:val="auto"/>
        </w:rPr>
        <w:t xml:space="preserve"> </w:t>
      </w:r>
      <w:r>
        <w:rPr>
          <w:rFonts w:ascii="Arial" w:cs="Arial" w:eastAsia="Arial" w:hAnsi="Arial"/>
          <w:sz w:val="19"/>
          <w:szCs w:val="19"/>
          <w:color w:val="auto"/>
        </w:rPr>
        <w:t>not affect (a) the Company or such Restricted Subsidiary’s right and authority to enter into and perform its obligations under the Loan Documents to which it is a party, (b) the perfection of the Administrative Agent’s lien in any of the Collateral or (c) the authority and obligation of the Company or such Restricted Subsidiary to perform and pay the Obligations.</w:t>
      </w:r>
    </w:p>
    <w:p>
      <w:pPr>
        <w:spacing w:after="0" w:line="168"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7.14 Accounting Changes. </w:t>
      </w:r>
      <w:r>
        <w:rPr>
          <w:rFonts w:ascii="Arial" w:cs="Arial" w:eastAsia="Arial" w:hAnsi="Arial"/>
          <w:sz w:val="20"/>
          <w:szCs w:val="20"/>
          <w:color w:val="auto"/>
        </w:rPr>
        <w:t>Make any (a) significant change in accounting policies or reporting practices, except as required by</w:t>
      </w:r>
      <w:r>
        <w:rPr>
          <w:rFonts w:ascii="Arial" w:cs="Arial" w:eastAsia="Arial" w:hAnsi="Arial"/>
          <w:sz w:val="20"/>
          <w:szCs w:val="20"/>
          <w:b w:val="1"/>
          <w:bCs w:val="1"/>
          <w:color w:val="auto"/>
        </w:rPr>
        <w:t xml:space="preserve"> </w:t>
      </w:r>
      <w:r>
        <w:rPr>
          <w:rFonts w:ascii="Arial" w:cs="Arial" w:eastAsia="Arial" w:hAnsi="Arial"/>
          <w:sz w:val="20"/>
          <w:szCs w:val="20"/>
          <w:color w:val="auto"/>
        </w:rPr>
        <w:t>Law or GAAP, or (b) change in its fiscal year.</w:t>
      </w:r>
    </w:p>
    <w:p>
      <w:pPr>
        <w:spacing w:after="0" w:line="179" w:lineRule="exact"/>
        <w:rPr>
          <w:sz w:val="20"/>
          <w:szCs w:val="20"/>
          <w:color w:val="auto"/>
        </w:rPr>
      </w:pPr>
    </w:p>
    <w:p>
      <w:pPr>
        <w:jc w:val="both"/>
        <w:ind w:left="120" w:firstLine="598"/>
        <w:spacing w:after="0" w:line="243" w:lineRule="auto"/>
        <w:rPr>
          <w:sz w:val="20"/>
          <w:szCs w:val="20"/>
          <w:color w:val="auto"/>
        </w:rPr>
      </w:pPr>
      <w:r>
        <w:rPr>
          <w:rFonts w:ascii="Arial" w:cs="Arial" w:eastAsia="Arial" w:hAnsi="Arial"/>
          <w:sz w:val="18"/>
          <w:szCs w:val="18"/>
          <w:b w:val="1"/>
          <w:bCs w:val="1"/>
          <w:color w:val="auto"/>
        </w:rPr>
        <w:t xml:space="preserve">7.15 Prepayments, Etc. of Indebtedness. </w:t>
      </w:r>
      <w:r>
        <w:rPr>
          <w:rFonts w:ascii="Arial" w:cs="Arial" w:eastAsia="Arial" w:hAnsi="Arial"/>
          <w:sz w:val="18"/>
          <w:szCs w:val="18"/>
          <w:color w:val="auto"/>
        </w:rPr>
        <w:t>Prepay, redeem, purchase, defease or otherwise satisfy prior to the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thereof in any manner, or make any payment in violation of any subordination terms of, the Senior Notes Indebtedness or any Indebtedness incurred pursuant to </w:t>
      </w:r>
      <w:r>
        <w:rPr>
          <w:rFonts w:ascii="Arial" w:cs="Arial" w:eastAsia="Arial" w:hAnsi="Arial"/>
          <w:sz w:val="18"/>
          <w:szCs w:val="18"/>
          <w:u w:val="single" w:color="auto"/>
          <w:color w:val="auto"/>
        </w:rPr>
        <w:t>Section 7.03(r)</w:t>
      </w:r>
      <w:r>
        <w:rPr>
          <w:rFonts w:ascii="Arial" w:cs="Arial" w:eastAsia="Arial" w:hAnsi="Arial"/>
          <w:sz w:val="18"/>
          <w:szCs w:val="18"/>
          <w:color w:val="auto"/>
        </w:rPr>
        <w:t xml:space="preserve">, except (a) the prepayment, redemption or repurchase (not in violation of the subordination terms thereof) of any such Indebtedness, so long as after giving pro forma effect to such prepayment, redemption or repurchase, no Default shall exist or would result therefrom and the Available Liquidity will not be less than $50,000,000 and (b) any Permitted Refinancing of any Senior Notes Indebtedness or any Indebtedness incurred pursuant to </w:t>
      </w:r>
      <w:r>
        <w:rPr>
          <w:rFonts w:ascii="Arial" w:cs="Arial" w:eastAsia="Arial" w:hAnsi="Arial"/>
          <w:sz w:val="18"/>
          <w:szCs w:val="18"/>
          <w:u w:val="single" w:color="auto"/>
          <w:color w:val="auto"/>
        </w:rPr>
        <w:t>Section 7.03(r)</w:t>
      </w:r>
      <w:r>
        <w:rPr>
          <w:rFonts w:ascii="Arial" w:cs="Arial" w:eastAsia="Arial" w:hAnsi="Arial"/>
          <w:sz w:val="18"/>
          <w:szCs w:val="18"/>
          <w:color w:val="auto"/>
        </w:rPr>
        <w:t>.</w:t>
      </w:r>
    </w:p>
    <w:p>
      <w:pPr>
        <w:spacing w:after="0" w:line="24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7.16</w:t>
      </w:r>
      <w:r>
        <w:rPr>
          <w:sz w:val="20"/>
          <w:szCs w:val="20"/>
          <w:color w:val="auto"/>
        </w:rPr>
        <w:tab/>
      </w:r>
      <w:r>
        <w:rPr>
          <w:rFonts w:ascii="Arial" w:cs="Arial" w:eastAsia="Arial" w:hAnsi="Arial"/>
          <w:sz w:val="17"/>
          <w:szCs w:val="17"/>
          <w:b w:val="1"/>
          <w:bCs w:val="1"/>
          <w:color w:val="auto"/>
        </w:rPr>
        <w:t>Amendment, Etc. of Indebtedness.</w:t>
      </w:r>
    </w:p>
    <w:p>
      <w:pPr>
        <w:spacing w:after="0" w:line="213" w:lineRule="exact"/>
        <w:rPr>
          <w:sz w:val="20"/>
          <w:szCs w:val="20"/>
          <w:color w:val="auto"/>
        </w:rPr>
      </w:pPr>
    </w:p>
    <w:p>
      <w:pPr>
        <w:jc w:val="both"/>
        <w:ind w:left="120" w:firstLine="605"/>
        <w:spacing w:after="0" w:line="227" w:lineRule="auto"/>
        <w:tabs>
          <w:tab w:leader="none" w:pos="115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Amend, modify or change in any manner any term or condition of any Senior Notes Indebtedness or any Indebtedness set forth in </w:t>
      </w:r>
      <w:r>
        <w:rPr>
          <w:rFonts w:ascii="Arial" w:cs="Arial" w:eastAsia="Arial" w:hAnsi="Arial"/>
          <w:sz w:val="20"/>
          <w:szCs w:val="20"/>
          <w:u w:val="single" w:color="auto"/>
          <w:color w:val="auto"/>
        </w:rPr>
        <w:t>Schedule 7.03</w:t>
      </w:r>
      <w:r>
        <w:rPr>
          <w:rFonts w:ascii="Arial" w:cs="Arial" w:eastAsia="Arial" w:hAnsi="Arial"/>
          <w:sz w:val="20"/>
          <w:szCs w:val="20"/>
          <w:color w:val="auto"/>
        </w:rPr>
        <w:t>, except for an amendment, modification or change that complies with the requirements of the definition of Permitted Refinancing.</w:t>
      </w:r>
    </w:p>
    <w:p>
      <w:pPr>
        <w:spacing w:after="0" w:line="171" w:lineRule="exact"/>
        <w:rPr>
          <w:rFonts w:ascii="Arial" w:cs="Arial" w:eastAsia="Arial" w:hAnsi="Arial"/>
          <w:sz w:val="20"/>
          <w:szCs w:val="20"/>
          <w:color w:val="auto"/>
        </w:rPr>
      </w:pPr>
    </w:p>
    <w:p>
      <w:pPr>
        <w:jc w:val="both"/>
        <w:ind w:left="120" w:firstLine="605"/>
        <w:spacing w:after="0" w:line="249" w:lineRule="auto"/>
        <w:tabs>
          <w:tab w:leader="none" w:pos="115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Amend or modify any of the terms of the Indemnity Agreement if such amendment or modification would add or change any terms in a manner adverse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shall not prohibit the issuance of Bonds (as defined in the Indemnity Agreement), the joinder of or other change in any parties to the Surety Credit Documents in accordance with their terms or any amendment or modifications which do not require the consent of any Loan Party or Subsidiary.</w:t>
      </w:r>
    </w:p>
    <w:p>
      <w:pPr>
        <w:spacing w:after="0" w:line="159" w:lineRule="exact"/>
        <w:rPr>
          <w:sz w:val="20"/>
          <w:szCs w:val="20"/>
          <w:color w:val="auto"/>
        </w:rPr>
      </w:pPr>
    </w:p>
    <w:p>
      <w:pPr>
        <w:jc w:val="both"/>
        <w:ind w:left="120" w:firstLine="598"/>
        <w:spacing w:after="0" w:line="230" w:lineRule="auto"/>
        <w:rPr>
          <w:sz w:val="20"/>
          <w:szCs w:val="20"/>
          <w:color w:val="auto"/>
        </w:rPr>
      </w:pPr>
      <w:r>
        <w:rPr>
          <w:rFonts w:ascii="Arial" w:cs="Arial" w:eastAsia="Arial" w:hAnsi="Arial"/>
          <w:sz w:val="19"/>
          <w:szCs w:val="19"/>
          <w:b w:val="1"/>
          <w:bCs w:val="1"/>
          <w:color w:val="auto"/>
        </w:rPr>
        <w:t xml:space="preserve">7.17 Sale and Leaseback Transactions. </w:t>
      </w:r>
      <w:r>
        <w:rPr>
          <w:rFonts w:ascii="Arial" w:cs="Arial" w:eastAsia="Arial" w:hAnsi="Arial"/>
          <w:sz w:val="19"/>
          <w:szCs w:val="19"/>
          <w:color w:val="auto"/>
        </w:rPr>
        <w:t>Enter into any arrangement, directly or indirectly, whereby it shall sell or transfer any</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real or personal, used or useful in its business, whether now owned or hereinafter acquired, and thereafter rent or lease such property or other property that it intends to use for substantially the same purpose or purposes as the property sold or transferred (any such arrangement a “</w:t>
      </w:r>
      <w:r>
        <w:rPr>
          <w:rFonts w:ascii="Arial" w:cs="Arial" w:eastAsia="Arial" w:hAnsi="Arial"/>
          <w:sz w:val="19"/>
          <w:szCs w:val="19"/>
          <w:u w:val="single" w:color="auto"/>
          <w:color w:val="auto"/>
        </w:rPr>
        <w:t>Sale Leaseback 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or any Restricted Subsidiary may enter into Sale Leaseback Transactions for equipment and real property so long as any such Sale Leaseback Transaction could have been structured as a purchase money mortgage or a Capital Lease not otherwise prohibited hereunder.</w:t>
      </w:r>
    </w:p>
    <w:p>
      <w:pPr>
        <w:spacing w:after="0" w:line="242"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7.18 Designation of Senior Debt. </w:t>
      </w:r>
      <w:r>
        <w:rPr>
          <w:rFonts w:ascii="Arial" w:cs="Arial" w:eastAsia="Arial" w:hAnsi="Arial"/>
          <w:sz w:val="20"/>
          <w:szCs w:val="20"/>
          <w:color w:val="auto"/>
        </w:rPr>
        <w:t>Designate any Indebtedness (other than the Indebtedness under the Loan Documents)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of its Restricted Subsidiaries as “Designated Senior Debt” (or any similar term) under, and as defined in, any documentation evidencing any other Indebtedness of the Company or any of its Restricted Subsidiaries in which such concept is applicable.</w:t>
      </w:r>
    </w:p>
    <w:p>
      <w:pPr>
        <w:spacing w:after="0" w:line="165"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7.19 Holding Company. </w:t>
      </w:r>
      <w:r>
        <w:rPr>
          <w:rFonts w:ascii="Arial" w:cs="Arial" w:eastAsia="Arial" w:hAnsi="Arial"/>
          <w:sz w:val="20"/>
          <w:szCs w:val="20"/>
          <w:color w:val="auto"/>
        </w:rPr>
        <w:t>In the case of the Company, engage in any business or activity other than (a) the ownership of all</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Equity Interests in its Subsidiaries,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32" w:name="page233"/>
    <w:bookmarkEnd w:id="232"/>
    <w:p>
      <w:pPr>
        <w:jc w:val="both"/>
        <w:ind w:left="120" w:firstLine="6"/>
        <w:spacing w:after="0" w:line="229" w:lineRule="auto"/>
        <w:tabs>
          <w:tab w:leader="none" w:pos="435"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the incurrence of Liens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(f) the making of Investments permitted under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(g) the incurrence of Indebtedness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(h) businesses or activities of a type engaged in prior to the Closing Date and (i) businesses or activities incidental to the businesses or activities described in clauses (a) through (h) of this Section and within the scope of operations as of the Closing Date.</w:t>
      </w:r>
    </w:p>
    <w:p>
      <w:pPr>
        <w:spacing w:after="0" w:line="166" w:lineRule="exact"/>
        <w:rPr>
          <w:sz w:val="20"/>
          <w:szCs w:val="20"/>
          <w:color w:val="auto"/>
        </w:rPr>
      </w:pPr>
    </w:p>
    <w:p>
      <w:pPr>
        <w:jc w:val="both"/>
        <w:ind w:left="120" w:firstLine="598"/>
        <w:spacing w:after="0" w:line="239" w:lineRule="auto"/>
        <w:rPr>
          <w:sz w:val="20"/>
          <w:szCs w:val="20"/>
          <w:color w:val="auto"/>
        </w:rPr>
      </w:pPr>
      <w:r>
        <w:rPr>
          <w:rFonts w:ascii="Arial" w:cs="Arial" w:eastAsia="Arial" w:hAnsi="Arial"/>
          <w:sz w:val="20"/>
          <w:szCs w:val="20"/>
          <w:b w:val="1"/>
          <w:bCs w:val="1"/>
          <w:color w:val="auto"/>
        </w:rPr>
        <w:t xml:space="preserve">7.20 Excluded Subsidiaries. </w:t>
      </w:r>
      <w:r>
        <w:rPr>
          <w:rFonts w:ascii="Arial" w:cs="Arial" w:eastAsia="Arial" w:hAnsi="Arial"/>
          <w:sz w:val="20"/>
          <w:szCs w:val="20"/>
          <w:color w:val="auto"/>
        </w:rPr>
        <w:t>In the case of Excluded Subsidiaries, engage in any business activity or own any assets,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6.12(c)</w:t>
      </w:r>
      <w:r>
        <w:rPr>
          <w:rFonts w:ascii="Arial" w:cs="Arial" w:eastAsia="Arial" w:hAnsi="Arial"/>
          <w:sz w:val="20"/>
          <w:szCs w:val="20"/>
          <w:color w:val="auto"/>
        </w:rPr>
        <w:t>.</w:t>
      </w:r>
    </w:p>
    <w:p>
      <w:pPr>
        <w:spacing w:after="0" w:line="179" w:lineRule="exact"/>
        <w:rPr>
          <w:sz w:val="20"/>
          <w:szCs w:val="20"/>
          <w:color w:val="auto"/>
        </w:rPr>
      </w:pPr>
    </w:p>
    <w:p>
      <w:pPr>
        <w:jc w:val="both"/>
        <w:ind w:left="120" w:firstLine="598"/>
        <w:spacing w:after="0" w:line="230" w:lineRule="auto"/>
        <w:rPr>
          <w:sz w:val="20"/>
          <w:szCs w:val="20"/>
          <w:color w:val="auto"/>
        </w:rPr>
      </w:pPr>
      <w:r>
        <w:rPr>
          <w:rFonts w:ascii="Arial" w:cs="Arial" w:eastAsia="Arial" w:hAnsi="Arial"/>
          <w:sz w:val="19"/>
          <w:szCs w:val="19"/>
          <w:b w:val="1"/>
          <w:bCs w:val="1"/>
          <w:color w:val="auto"/>
        </w:rPr>
        <w:t xml:space="preserve">7.21 Operations of US Holdco and Luxco. </w:t>
      </w:r>
      <w:r>
        <w:rPr>
          <w:rFonts w:ascii="Arial" w:cs="Arial" w:eastAsia="Arial" w:hAnsi="Arial"/>
          <w:sz w:val="19"/>
          <w:szCs w:val="19"/>
          <w:color w:val="auto"/>
        </w:rPr>
        <w:t>Permit US Holdco or Luxco to (i) own any material assets other than, in the case</w:t>
      </w:r>
      <w:r>
        <w:rPr>
          <w:rFonts w:ascii="Arial" w:cs="Arial" w:eastAsia="Arial" w:hAnsi="Arial"/>
          <w:sz w:val="19"/>
          <w:szCs w:val="19"/>
          <w:b w:val="1"/>
          <w:bCs w:val="1"/>
          <w:color w:val="auto"/>
        </w:rPr>
        <w:t xml:space="preserve"> </w:t>
      </w:r>
      <w:r>
        <w:rPr>
          <w:rFonts w:ascii="Arial" w:cs="Arial" w:eastAsia="Arial" w:hAnsi="Arial"/>
          <w:sz w:val="19"/>
          <w:szCs w:val="19"/>
          <w:color w:val="auto"/>
        </w:rPr>
        <w:t>of US Holdco, the FFC Notes, one or more deposit accounts maintained in connection with the Foreign Finance Company Plan (and the assets held on deposit therein), the TPEC and 100% of the Equity Interests of Luxco and, in the case of Luxco, the FFC Notes, one or more deposit accounts maintained in connection with the Foreign Finance Company Plan (and the assets held on deposit therein) and the TPEC or (ii) engage in any business activity other than activities customary for special purpose vehicles engaging in transactions of the type contemplated by the Foreign Finance Company Plan.</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VIII.</w:t>
      </w:r>
    </w:p>
    <w:p>
      <w:pPr>
        <w:jc w:val="center"/>
        <w:ind w:right="-199"/>
        <w:spacing w:after="0"/>
        <w:rPr>
          <w:sz w:val="20"/>
          <w:szCs w:val="20"/>
          <w:color w:val="auto"/>
        </w:rPr>
      </w:pPr>
      <w:r>
        <w:rPr>
          <w:rFonts w:ascii="Arial" w:cs="Arial" w:eastAsia="Arial" w:hAnsi="Arial"/>
          <w:sz w:val="20"/>
          <w:szCs w:val="20"/>
          <w:b w:val="1"/>
          <w:bCs w:val="1"/>
          <w:color w:val="auto"/>
        </w:rPr>
        <w:t>EVENTS OF DEFAULT AND REMEDIES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8.01 Events of Default. </w:t>
      </w:r>
      <w:r>
        <w:rPr>
          <w:rFonts w:ascii="Arial" w:cs="Arial" w:eastAsia="Arial" w:hAnsi="Arial"/>
          <w:sz w:val="20"/>
          <w:szCs w:val="20"/>
          <w:color w:val="auto"/>
        </w:rPr>
        <w:t>Any of the following shall constitute an event of default,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13" w:lineRule="exact"/>
        <w:rPr>
          <w:sz w:val="20"/>
          <w:szCs w:val="20"/>
          <w:color w:val="auto"/>
        </w:rPr>
      </w:pPr>
    </w:p>
    <w:p>
      <w:pPr>
        <w:jc w:val="both"/>
        <w:ind w:left="120" w:firstLine="605"/>
        <w:spacing w:after="0" w:line="229" w:lineRule="auto"/>
        <w:tabs>
          <w:tab w:leader="none" w:pos="1152" w:val="left"/>
        </w:tabs>
        <w:numPr>
          <w:ilvl w:val="1"/>
          <w:numId w:val="208"/>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xml:space="preserve">. Any Borrower or any other Loan Party fails to (i) pay when and as required to be paid herein, and in the currency required hereunder, any amount of principal of any Loan due on the final maturity date thereof or any L/C Obligation or deposit any funds as Cash Collateral in respect of L/C Obligations, (ii) pay within three Business Days after the same becomes due, any interest on any Loan or on any L/C Obligation, any fee due hereunder, or any amount of principal of any Term Loan due on the dates specified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(other than the final maturity date thereof), or (iii) pay within five Business Days after the same becomes due, any other amount payable hereunder or under any other Loan Document; or</w:t>
      </w:r>
    </w:p>
    <w:p>
      <w:pPr>
        <w:spacing w:after="0" w:line="184" w:lineRule="exact"/>
        <w:rPr>
          <w:rFonts w:ascii="Arial" w:cs="Arial" w:eastAsia="Arial" w:hAnsi="Arial"/>
          <w:sz w:val="19"/>
          <w:szCs w:val="19"/>
          <w:color w:val="auto"/>
        </w:rPr>
      </w:pPr>
    </w:p>
    <w:p>
      <w:pPr>
        <w:ind w:left="120" w:firstLine="605"/>
        <w:spacing w:after="0" w:line="258" w:lineRule="auto"/>
        <w:tabs>
          <w:tab w:leader="none" w:pos="1151" w:val="left"/>
        </w:tabs>
        <w:numPr>
          <w:ilvl w:val="1"/>
          <w:numId w:val="208"/>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(i) Any Borrower fails to perform or observe any term, covenant or agreement contained in any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6.02(e)</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6.03(b)</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xml:space="preserve"> (in respect of any Loan Party),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or</w:t>
      </w:r>
    </w:p>
    <w:p>
      <w:pPr>
        <w:spacing w:after="0" w:line="216" w:lineRule="exact"/>
        <w:rPr>
          <w:rFonts w:ascii="Arial" w:cs="Arial" w:eastAsia="Arial" w:hAnsi="Arial"/>
          <w:sz w:val="19"/>
          <w:szCs w:val="19"/>
          <w:color w:val="auto"/>
        </w:rPr>
      </w:pPr>
    </w:p>
    <w:p>
      <w:pPr>
        <w:ind w:left="1160" w:hanging="435"/>
        <w:spacing w:after="0"/>
        <w:tabs>
          <w:tab w:leader="none" w:pos="116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observe any other covenant or agreement (not specified in subsection</w:t>
      </w:r>
    </w:p>
    <w:p>
      <w:pPr>
        <w:spacing w:after="0" w:line="8" w:lineRule="exact"/>
        <w:rPr>
          <w:rFonts w:ascii="Arial" w:cs="Arial" w:eastAsia="Arial" w:hAnsi="Arial"/>
          <w:sz w:val="18"/>
          <w:szCs w:val="18"/>
          <w:color w:val="auto"/>
        </w:rPr>
      </w:pPr>
    </w:p>
    <w:p>
      <w:pPr>
        <w:jc w:val="both"/>
        <w:ind w:left="120" w:firstLine="6"/>
        <w:spacing w:after="0" w:line="221" w:lineRule="auto"/>
        <w:tabs>
          <w:tab w:leader="none" w:pos="41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or (b) above) contained in any Loan Document on its part to be performed or observed and such failure continues for 30 days following the earlier to occur of (i) the date a Responsible Officer obtains knowledge of such failure and (ii) the date that a Responsible Officer receives notice from the Administrative Agent of such failure; or</w:t>
      </w:r>
    </w:p>
    <w:p>
      <w:pPr>
        <w:spacing w:after="0" w:line="185" w:lineRule="exact"/>
        <w:rPr>
          <w:rFonts w:ascii="Arial" w:cs="Arial" w:eastAsia="Arial" w:hAnsi="Arial"/>
          <w:sz w:val="20"/>
          <w:szCs w:val="20"/>
          <w:color w:val="auto"/>
        </w:rPr>
      </w:pPr>
    </w:p>
    <w:p>
      <w:pPr>
        <w:jc w:val="both"/>
        <w:ind w:left="120" w:firstLine="605"/>
        <w:spacing w:after="0" w:line="286" w:lineRule="auto"/>
        <w:tabs>
          <w:tab w:leader="none" w:pos="1151"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Company or any other Loan Party herein, in any other Loan Document, or in any document delivered in connection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33" w:name="page234"/>
    <w:bookmarkEnd w:id="233"/>
    <w:p>
      <w:pPr>
        <w:ind w:left="120"/>
        <w:spacing w:after="0"/>
        <w:rPr>
          <w:sz w:val="20"/>
          <w:szCs w:val="20"/>
          <w:color w:val="auto"/>
        </w:rPr>
      </w:pPr>
      <w:r>
        <w:rPr>
          <w:rFonts w:ascii="Arial" w:cs="Arial" w:eastAsia="Arial" w:hAnsi="Arial"/>
          <w:sz w:val="20"/>
          <w:szCs w:val="20"/>
          <w:color w:val="auto"/>
        </w:rPr>
        <w:t>herewith or therewith shall be incorrect or misleading in any material respect when made or deemed made; or</w:t>
      </w:r>
    </w:p>
    <w:p>
      <w:pPr>
        <w:spacing w:after="0" w:line="207" w:lineRule="exact"/>
        <w:rPr>
          <w:sz w:val="20"/>
          <w:szCs w:val="20"/>
          <w:color w:val="auto"/>
        </w:rPr>
      </w:pPr>
    </w:p>
    <w:p>
      <w:pPr>
        <w:jc w:val="both"/>
        <w:ind w:left="120" w:firstLine="605"/>
        <w:spacing w:after="0" w:line="233" w:lineRule="auto"/>
        <w:tabs>
          <w:tab w:leader="none" w:pos="1152"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The Company or any Restricted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penal sums under any surety bond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w:t>
      </w:r>
    </w:p>
    <w:p>
      <w:pPr>
        <w:spacing w:after="0" w:line="1" w:lineRule="exact"/>
        <w:rPr>
          <w:rFonts w:ascii="Arial" w:cs="Arial" w:eastAsia="Arial" w:hAnsi="Arial"/>
          <w:sz w:val="18"/>
          <w:szCs w:val="18"/>
          <w:color w:val="auto"/>
        </w:rPr>
      </w:pPr>
    </w:p>
    <w:p>
      <w:pPr>
        <w:jc w:val="both"/>
        <w:ind w:left="120" w:firstLine="6"/>
        <w:spacing w:after="0" w:line="229" w:lineRule="auto"/>
        <w:tabs>
          <w:tab w:leader="none" w:pos="45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173" w:lineRule="exact"/>
        <w:rPr>
          <w:rFonts w:ascii="Arial" w:cs="Arial" w:eastAsia="Arial" w:hAnsi="Arial"/>
          <w:sz w:val="19"/>
          <w:szCs w:val="19"/>
          <w:color w:val="auto"/>
        </w:rPr>
      </w:pPr>
    </w:p>
    <w:p>
      <w:pPr>
        <w:jc w:val="both"/>
        <w:ind w:left="120" w:firstLine="605"/>
        <w:spacing w:after="0" w:line="257" w:lineRule="auto"/>
        <w:tabs>
          <w:tab w:leader="none" w:pos="1143"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7" w:lineRule="exact"/>
        <w:rPr>
          <w:rFonts w:ascii="Arial" w:cs="Arial" w:eastAsia="Arial" w:hAnsi="Arial"/>
          <w:sz w:val="17"/>
          <w:szCs w:val="17"/>
          <w:color w:val="auto"/>
        </w:rPr>
      </w:pPr>
    </w:p>
    <w:p>
      <w:pPr>
        <w:jc w:val="both"/>
        <w:ind w:left="120" w:firstLine="605"/>
        <w:spacing w:after="0" w:line="222" w:lineRule="auto"/>
        <w:tabs>
          <w:tab w:leader="none" w:pos="1151" w:val="left"/>
        </w:tabs>
        <w:numPr>
          <w:ilvl w:val="1"/>
          <w:numId w:val="211"/>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The Company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85" w:lineRule="exact"/>
        <w:rPr>
          <w:rFonts w:ascii="Arial" w:cs="Arial" w:eastAsia="Arial" w:hAnsi="Arial"/>
          <w:sz w:val="20"/>
          <w:szCs w:val="20"/>
          <w:color w:val="auto"/>
        </w:rPr>
      </w:pPr>
    </w:p>
    <w:p>
      <w:pPr>
        <w:jc w:val="both"/>
        <w:ind w:left="120" w:firstLine="605"/>
        <w:spacing w:after="0" w:line="216" w:lineRule="auto"/>
        <w:tabs>
          <w:tab w:leader="none" w:pos="1151" w:val="left"/>
        </w:tabs>
        <w:numPr>
          <w:ilvl w:val="1"/>
          <w:numId w:val="211"/>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xml:space="preserve">. There is entered against the Company or any Restricted Subsidiary (i) one or more final judgments or orders for the payment of money in an aggregate amount (as to all such judgments and orders) exceeding the Threshold Amount (to the extent not covered by independent third-party insurance as to which the insurer meets the requirements set forth in </w:t>
      </w:r>
      <w:r>
        <w:rPr>
          <w:rFonts w:ascii="Arial" w:cs="Arial" w:eastAsia="Arial" w:hAnsi="Arial"/>
          <w:sz w:val="20"/>
          <w:szCs w:val="20"/>
          <w:u w:val="single" w:color="auto"/>
          <w:color w:val="auto"/>
        </w:rPr>
        <w:t>Section 6.07</w:t>
      </w:r>
      <w:r>
        <w:rPr>
          <w:rFonts w:ascii="Arial" w:cs="Arial" w:eastAsia="Arial" w:hAnsi="Arial"/>
          <w:sz w:val="20"/>
          <w:szCs w:val="20"/>
          <w:color w:val="auto"/>
        </w:rPr>
        <w:t>,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34" w:name="page235"/>
    <w:bookmarkEnd w:id="234"/>
    <w:p>
      <w:pPr>
        <w:ind w:left="120"/>
        <w:spacing w:after="0"/>
        <w:rPr>
          <w:sz w:val="20"/>
          <w:szCs w:val="20"/>
          <w:color w:val="auto"/>
        </w:rPr>
      </w:pPr>
      <w:r>
        <w:rPr>
          <w:rFonts w:ascii="Arial" w:cs="Arial" w:eastAsia="Arial" w:hAnsi="Arial"/>
          <w:sz w:val="20"/>
          <w:szCs w:val="20"/>
          <w:color w:val="auto"/>
        </w:rPr>
        <w:t>enforcement of such judgment, by reason of a pending appeal or otherwise, is not in effect; or</w:t>
      </w:r>
    </w:p>
    <w:p>
      <w:pPr>
        <w:spacing w:after="0" w:line="207" w:lineRule="exact"/>
        <w:rPr>
          <w:sz w:val="20"/>
          <w:szCs w:val="20"/>
          <w:color w:val="auto"/>
        </w:rPr>
      </w:pPr>
    </w:p>
    <w:p>
      <w:pPr>
        <w:jc w:val="both"/>
        <w:ind w:left="120" w:firstLine="605"/>
        <w:spacing w:after="0" w:line="217" w:lineRule="auto"/>
        <w:tabs>
          <w:tab w:leader="none" w:pos="1144"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the Company or any Restricted Subsidiary under Title IV of ERISA to the Pension Plan, Multiemployer Plan or the PBGC in an aggregate amount during any period of twelve consecutive months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5" w:lineRule="exact"/>
        <w:rPr>
          <w:rFonts w:ascii="Arial" w:cs="Arial" w:eastAsia="Arial" w:hAnsi="Arial"/>
          <w:sz w:val="20"/>
          <w:szCs w:val="20"/>
          <w:color w:val="auto"/>
        </w:rPr>
      </w:pPr>
    </w:p>
    <w:p>
      <w:pPr>
        <w:jc w:val="both"/>
        <w:ind w:left="120" w:firstLine="605"/>
        <w:spacing w:after="0" w:line="219" w:lineRule="auto"/>
        <w:tabs>
          <w:tab w:leader="none" w:pos="1144"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or US Holdco denies that it has any or further liability or obligation under any Loan Document, or purports to revoke, terminate or rescind any Loan Document;</w:t>
      </w:r>
    </w:p>
    <w:p>
      <w:pPr>
        <w:spacing w:after="0" w:line="186" w:lineRule="exact"/>
        <w:rPr>
          <w:rFonts w:ascii="Arial" w:cs="Arial" w:eastAsia="Arial" w:hAnsi="Arial"/>
          <w:sz w:val="20"/>
          <w:szCs w:val="20"/>
          <w:color w:val="auto"/>
        </w:rPr>
      </w:pPr>
    </w:p>
    <w:p>
      <w:pPr>
        <w:ind w:left="1320" w:hanging="595"/>
        <w:spacing w:after="0"/>
        <w:tabs>
          <w:tab w:leader="none" w:pos="132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06" w:lineRule="exact"/>
        <w:rPr>
          <w:rFonts w:ascii="Arial" w:cs="Arial" w:eastAsia="Arial" w:hAnsi="Arial"/>
          <w:sz w:val="20"/>
          <w:szCs w:val="20"/>
          <w:color w:val="auto"/>
        </w:rPr>
      </w:pPr>
    </w:p>
    <w:p>
      <w:pPr>
        <w:ind w:left="120" w:right="20" w:firstLine="605"/>
        <w:spacing w:after="0" w:line="258" w:lineRule="auto"/>
        <w:tabs>
          <w:tab w:leader="none" w:pos="1144"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Default under Indemnity Agreement</w:t>
      </w:r>
      <w:r>
        <w:rPr>
          <w:rFonts w:ascii="Arial" w:cs="Arial" w:eastAsia="Arial" w:hAnsi="Arial"/>
          <w:sz w:val="19"/>
          <w:szCs w:val="19"/>
          <w:color w:val="auto"/>
        </w:rPr>
        <w:t>. There shall occur a Default under, and as defined in, the Indemnity Agreement and the Company (as defined in the Indemnity Agreement) shall have exercised any remedies in respect thereof.</w:t>
      </w:r>
    </w:p>
    <w:p>
      <w:pPr>
        <w:spacing w:after="0" w:line="148" w:lineRule="exact"/>
        <w:rPr>
          <w:sz w:val="20"/>
          <w:szCs w:val="20"/>
          <w:color w:val="auto"/>
        </w:rPr>
      </w:pPr>
    </w:p>
    <w:p>
      <w:pPr>
        <w:ind w:left="120" w:right="20" w:firstLine="598"/>
        <w:spacing w:after="0" w:line="239" w:lineRule="auto"/>
        <w:rPr>
          <w:sz w:val="20"/>
          <w:szCs w:val="20"/>
          <w:color w:val="auto"/>
        </w:rPr>
      </w:pPr>
      <w:r>
        <w:rPr>
          <w:rFonts w:ascii="Arial" w:cs="Arial" w:eastAsia="Arial" w:hAnsi="Arial"/>
          <w:sz w:val="20"/>
          <w:szCs w:val="20"/>
          <w:b w:val="1"/>
          <w:bCs w:val="1"/>
          <w:color w:val="auto"/>
        </w:rPr>
        <w:t xml:space="preserve">8.02 Remedies Upon Event of Default. </w:t>
      </w:r>
      <w:r>
        <w:rPr>
          <w:rFonts w:ascii="Arial" w:cs="Arial" w:eastAsia="Arial" w:hAnsi="Arial"/>
          <w:sz w:val="20"/>
          <w:szCs w:val="20"/>
          <w:color w:val="auto"/>
        </w:rPr>
        <w:t>If any Event of Default occurs and is continuing, the Administrative Agent shall, at</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request of, or may, with the consent of, the Required Lenders, take any or all of the following actions:</w:t>
      </w:r>
    </w:p>
    <w:p>
      <w:pPr>
        <w:spacing w:after="0" w:line="185" w:lineRule="exact"/>
        <w:rPr>
          <w:sz w:val="20"/>
          <w:szCs w:val="20"/>
          <w:color w:val="auto"/>
        </w:rPr>
      </w:pPr>
    </w:p>
    <w:p>
      <w:pPr>
        <w:ind w:left="120" w:firstLine="605"/>
        <w:spacing w:after="0" w:line="236" w:lineRule="auto"/>
        <w:tabs>
          <w:tab w:leader="none" w:pos="1152" w:val="left"/>
        </w:tabs>
        <w:numPr>
          <w:ilvl w:val="0"/>
          <w:numId w:val="21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84" w:lineRule="exact"/>
        <w:rPr>
          <w:rFonts w:ascii="Arial" w:cs="Arial" w:eastAsia="Arial" w:hAnsi="Arial"/>
          <w:sz w:val="20"/>
          <w:szCs w:val="20"/>
          <w:color w:val="auto"/>
        </w:rPr>
      </w:pPr>
    </w:p>
    <w:p>
      <w:pPr>
        <w:jc w:val="both"/>
        <w:ind w:left="120" w:firstLine="605"/>
        <w:spacing w:after="0" w:line="239" w:lineRule="auto"/>
        <w:tabs>
          <w:tab w:leader="none" w:pos="1151" w:val="left"/>
        </w:tabs>
        <w:numPr>
          <w:ilvl w:val="0"/>
          <w:numId w:val="213"/>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1" w:lineRule="exact"/>
        <w:rPr>
          <w:rFonts w:ascii="Arial" w:cs="Arial" w:eastAsia="Arial" w:hAnsi="Arial"/>
          <w:sz w:val="19"/>
          <w:szCs w:val="19"/>
          <w:color w:val="auto"/>
        </w:rPr>
      </w:pPr>
    </w:p>
    <w:p>
      <w:pPr>
        <w:ind w:left="1160" w:hanging="435"/>
        <w:spacing w:after="0"/>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require that the Company Cash Collateralize the L/C Obligations (in an amount equal to the then Outstanding Amount</w:t>
      </w:r>
    </w:p>
    <w:p>
      <w:pPr>
        <w:spacing w:after="0" w:line="8"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0"/>
          <w:szCs w:val="20"/>
          <w:color w:val="auto"/>
        </w:rPr>
        <w:t>thereof); and</w:t>
      </w:r>
    </w:p>
    <w:p>
      <w:pPr>
        <w:spacing w:after="0" w:line="190" w:lineRule="exact"/>
        <w:rPr>
          <w:rFonts w:ascii="Arial" w:cs="Arial" w:eastAsia="Arial" w:hAnsi="Arial"/>
          <w:sz w:val="18"/>
          <w:szCs w:val="18"/>
          <w:color w:val="auto"/>
        </w:rPr>
      </w:pPr>
    </w:p>
    <w:p>
      <w:pPr>
        <w:ind w:left="120" w:firstLine="605"/>
        <w:spacing w:after="0" w:line="236" w:lineRule="auto"/>
        <w:tabs>
          <w:tab w:leader="none" w:pos="115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w:t>
      </w:r>
    </w:p>
    <w:p>
      <w:pPr>
        <w:spacing w:after="0" w:line="184" w:lineRule="exact"/>
        <w:rPr>
          <w:sz w:val="20"/>
          <w:szCs w:val="20"/>
          <w:color w:val="auto"/>
        </w:rPr>
      </w:pPr>
    </w:p>
    <w:p>
      <w:pPr>
        <w:jc w:val="both"/>
        <w:ind w:left="120"/>
        <w:spacing w:after="0" w:line="21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35" w:name="page236"/>
    <w:bookmarkEnd w:id="235"/>
    <w:p>
      <w:pPr>
        <w:jc w:val="both"/>
        <w:ind w:left="120" w:firstLine="598"/>
        <w:spacing w:after="0"/>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and</w:t>
      </w:r>
    </w:p>
    <w:p>
      <w:pPr>
        <w:ind w:left="120"/>
        <w:spacing w:after="0"/>
        <w:rPr>
          <w:sz w:val="20"/>
          <w:szCs w:val="20"/>
          <w:color w:val="auto"/>
        </w:rPr>
      </w:pPr>
      <w:r>
        <w:rPr>
          <w:rFonts w:ascii="Arial" w:cs="Arial" w:eastAsia="Arial" w:hAnsi="Arial"/>
          <w:sz w:val="20"/>
          <w:szCs w:val="20"/>
          <w:u w:val="single" w:color="auto"/>
          <w:color w:val="auto"/>
        </w:rPr>
        <w:t>2.17</w:t>
      </w:r>
      <w:r>
        <w:rPr>
          <w:rFonts w:ascii="Arial" w:cs="Arial" w:eastAsia="Arial" w:hAnsi="Arial"/>
          <w:sz w:val="20"/>
          <w:szCs w:val="20"/>
          <w:color w:val="auto"/>
        </w:rPr>
        <w:t>, be applied by the Administrative Agent in the following order:</w:t>
      </w:r>
    </w:p>
    <w:p>
      <w:pPr>
        <w:spacing w:after="0" w:line="253"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4" w:lineRule="exact"/>
        <w:rPr>
          <w:sz w:val="20"/>
          <w:szCs w:val="20"/>
          <w:color w:val="auto"/>
        </w:rPr>
      </w:pPr>
    </w:p>
    <w:p>
      <w:pPr>
        <w:jc w:val="both"/>
        <w:ind w:left="120" w:firstLine="598"/>
        <w:spacing w:after="0" w:line="234"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Letter of Credit Fees and BA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2"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BA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4" w:lineRule="exact"/>
        <w:rPr>
          <w:sz w:val="20"/>
          <w:szCs w:val="20"/>
          <w:color w:val="auto"/>
        </w:rPr>
      </w:pPr>
    </w:p>
    <w:p>
      <w:pPr>
        <w:jc w:val="both"/>
        <w:ind w:left="120" w:firstLine="598"/>
        <w:spacing w:after="0" w:line="219"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L/C Borrowings, Obligations then owing under Guaranteed Hedge Agreements and Guaranteed Cash Management Agreements and Obligations in the nature of drawn and unreimbursed amounts under Guaranteed Permitted Standalone Letters of Credit, ratably among the Lenders, the L/C Issuer, the Hedge Banks, the Cash Management Banks and the PSLOC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w:t>
      </w:r>
    </w:p>
    <w:p>
      <w:pPr>
        <w:spacing w:after="0" w:line="237"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Administrative Agent for the account of the L/C Issuer and to the PSLOC Banks, to Cash Collateralize that portion of L/C Obligations and outstanding Guaranteed Permitted Standalone Letters of Credit comprised of the aggregate undrawn amount of Letters of Credit, Bankers’ Acceptances and Guaranteed Permitted Standalone Letters of Credit to the extent not otherwise Cash Collateralized by the Company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and the terms of such Guaranteed Permitted Standalone Letters of Credit, ratably among the L/C Issuers and the PSLOC Banks in proportion to the respective amounts described in this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held by them; and</w:t>
      </w:r>
    </w:p>
    <w:p>
      <w:pPr>
        <w:spacing w:after="0" w:line="250"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xml:space="preserve">, the balance, if any, after all of the Obligations have been indefeasibly paid in full, to the Company or as otherwise required by Law. Subject to </w:t>
      </w:r>
      <w:r>
        <w:rPr>
          <w:rFonts w:ascii="Arial" w:cs="Arial" w:eastAsia="Arial" w:hAnsi="Arial"/>
          <w:sz w:val="20"/>
          <w:szCs w:val="20"/>
          <w:u w:val="single" w:color="auto"/>
          <w:color w:val="auto"/>
        </w:rPr>
        <w:t>Section 2.03(d)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amounts used to Cash Collateralize the aggregate undrawn amount of Letters of Credit or Bankers’ Acceptances pursuant to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above shall be applied to satisfy drawings under such Letters of Credit or Bankers’ Acceptances as they occur. If any amount remains on deposit as Cash Collateral after all Letters of Credit and Bankers’ Acceptances have either been fully drawn or expired, such remaining amount shall be applied to the other Obligations, if any, in the order set forth above.</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8"/>
          <w:szCs w:val="18"/>
          <w:color w:val="auto"/>
        </w:rPr>
        <w:t>Notwithstanding the foregoing, Obligations arising under Guaranteed Cash Management Agreements, Guaranteed Hedge Agreements and Guaranteed Permitted Standalone Letters of Credit shall be excluded from the application described above if the Administrative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36" w:name="page237"/>
    <w:bookmarkEnd w:id="236"/>
    <w:p>
      <w:pPr>
        <w:jc w:val="both"/>
        <w:ind w:left="120"/>
        <w:spacing w:after="0" w:line="219" w:lineRule="auto"/>
        <w:rPr>
          <w:sz w:val="20"/>
          <w:szCs w:val="20"/>
          <w:color w:val="auto"/>
        </w:rPr>
      </w:pPr>
      <w:r>
        <w:rPr>
          <w:rFonts w:ascii="Arial" w:cs="Arial" w:eastAsia="Arial" w:hAnsi="Arial"/>
          <w:sz w:val="20"/>
          <w:szCs w:val="20"/>
          <w:color w:val="auto"/>
        </w:rPr>
        <w:t xml:space="preserve">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for itself and its Affiliates as if a “Lender” party hereto.</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IX.</w:t>
      </w:r>
    </w:p>
    <w:p>
      <w:pPr>
        <w:jc w:val="center"/>
        <w:ind w:right="-199"/>
        <w:spacing w:after="0"/>
        <w:rPr>
          <w:sz w:val="20"/>
          <w:szCs w:val="20"/>
          <w:color w:val="auto"/>
        </w:rPr>
      </w:pPr>
      <w:r>
        <w:rPr>
          <w:rFonts w:ascii="Arial" w:cs="Arial" w:eastAsia="Arial" w:hAnsi="Arial"/>
          <w:sz w:val="20"/>
          <w:szCs w:val="20"/>
          <w:b w:val="1"/>
          <w:bCs w:val="1"/>
          <w:color w:val="auto"/>
        </w:rPr>
        <w:t>ADMINISTRATIVE AGENT</w:t>
      </w:r>
    </w:p>
    <w:p>
      <w:pPr>
        <w:spacing w:after="0" w:line="172"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b w:val="1"/>
          <w:bCs w:val="1"/>
          <w:color w:val="auto"/>
        </w:rPr>
        <w:t xml:space="preserve">9.01 Appointment and Authority. </w:t>
      </w:r>
      <w:r>
        <w:rPr>
          <w:rFonts w:ascii="Arial" w:cs="Arial" w:eastAsia="Arial" w:hAnsi="Arial"/>
          <w:sz w:val="19"/>
          <w:szCs w:val="19"/>
          <w:color w:val="auto"/>
        </w:rPr>
        <w:t>Each of the Lenders and the L/C Issuer hereby irrevocably appoints Bank of America to act</w:t>
      </w:r>
      <w:r>
        <w:rPr>
          <w:rFonts w:ascii="Arial" w:cs="Arial" w:eastAsia="Arial" w:hAnsi="Arial"/>
          <w:sz w:val="19"/>
          <w:szCs w:val="19"/>
          <w:b w:val="1"/>
          <w:bCs w:val="1"/>
          <w:color w:val="auto"/>
        </w:rPr>
        <w:t xml:space="preserve"> </w:t>
      </w:r>
      <w:r>
        <w:rPr>
          <w:rFonts w:ascii="Arial" w:cs="Arial" w:eastAsia="Arial" w:hAnsi="Arial"/>
          <w:sz w:val="19"/>
          <w:szCs w:val="19"/>
          <w:color w:val="auto"/>
        </w:rPr>
        <w:t>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1"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19"/>
          <w:szCs w:val="19"/>
          <w:b w:val="1"/>
          <w:bCs w:val="1"/>
          <w:color w:val="auto"/>
        </w:rPr>
        <w:t xml:space="preserve">9.02 Rights as a Lender. </w:t>
      </w:r>
      <w:r>
        <w:rPr>
          <w:rFonts w:ascii="Arial" w:cs="Arial" w:eastAsia="Arial" w:hAnsi="Arial"/>
          <w:sz w:val="19"/>
          <w:szCs w:val="19"/>
          <w:color w:val="auto"/>
        </w:rPr>
        <w:t>The Person serving as the Administrative Agent hereunder shall have the same rights and powers in</w:t>
      </w:r>
      <w:r>
        <w:rPr>
          <w:rFonts w:ascii="Arial" w:cs="Arial" w:eastAsia="Arial" w:hAnsi="Arial"/>
          <w:sz w:val="19"/>
          <w:szCs w:val="19"/>
          <w:b w:val="1"/>
          <w:bCs w:val="1"/>
          <w:color w:val="auto"/>
        </w:rPr>
        <w:t xml:space="preserve"> </w:t>
      </w:r>
      <w:r>
        <w:rPr>
          <w:rFonts w:ascii="Arial" w:cs="Arial" w:eastAsia="Arial" w:hAnsi="Arial"/>
          <w:sz w:val="19"/>
          <w:szCs w:val="19"/>
          <w:color w:val="auto"/>
        </w:rPr>
        <w:t>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Borrowers or any Subsidiary or other Affiliate thereof as if such Person were not the Administrative Agent hereunder and without any duty to account therefor to the Lenders or to provide notice or consent of the Lenders with respect thereto.</w:t>
      </w:r>
    </w:p>
    <w:p>
      <w:pPr>
        <w:spacing w:after="0" w:line="182"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9.03 Exculpatory Provisions. </w:t>
      </w:r>
      <w:r>
        <w:rPr>
          <w:rFonts w:ascii="Arial" w:cs="Arial" w:eastAsia="Arial" w:hAnsi="Arial"/>
          <w:sz w:val="20"/>
          <w:szCs w:val="20"/>
          <w:color w:val="auto"/>
        </w:rPr>
        <w:t>Neither the Administrative Agent, nor any Arranger, as applicable, shall have any duties or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except those 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68" w:lineRule="exact"/>
        <w:rPr>
          <w:sz w:val="20"/>
          <w:szCs w:val="20"/>
          <w:color w:val="auto"/>
        </w:rPr>
      </w:pPr>
    </w:p>
    <w:p>
      <w:pPr>
        <w:ind w:left="1160" w:hanging="435"/>
        <w:spacing w:after="0"/>
        <w:tabs>
          <w:tab w:leader="none" w:pos="1160" w:val="left"/>
        </w:tabs>
        <w:numPr>
          <w:ilvl w:val="0"/>
          <w:numId w:val="214"/>
        </w:numPr>
        <w:rPr>
          <w:rFonts w:ascii="Arial" w:cs="Arial" w:eastAsia="Arial" w:hAnsi="Arial"/>
          <w:sz w:val="17"/>
          <w:szCs w:val="17"/>
          <w:color w:val="auto"/>
        </w:rPr>
      </w:pPr>
      <w:r>
        <w:rPr>
          <w:rFonts w:ascii="Arial" w:cs="Arial" w:eastAsia="Arial" w:hAnsi="Arial"/>
          <w:sz w:val="19"/>
          <w:szCs w:val="19"/>
          <w:color w:val="auto"/>
        </w:rPr>
        <w:t>shall not be subject to any fiduciary or other implied duties, regardless of whether a Default has occurred and is</w:t>
      </w:r>
    </w:p>
    <w:p>
      <w:pPr>
        <w:ind w:left="120"/>
        <w:spacing w:after="0"/>
        <w:rPr>
          <w:rFonts w:ascii="Arial" w:cs="Arial" w:eastAsia="Arial" w:hAnsi="Arial"/>
          <w:sz w:val="17"/>
          <w:szCs w:val="17"/>
          <w:color w:val="auto"/>
        </w:rPr>
      </w:pPr>
      <w:r>
        <w:rPr>
          <w:rFonts w:ascii="Arial" w:cs="Arial" w:eastAsia="Arial" w:hAnsi="Arial"/>
          <w:sz w:val="20"/>
          <w:szCs w:val="20"/>
          <w:color w:val="auto"/>
        </w:rPr>
        <w:t>continuing;</w:t>
      </w:r>
    </w:p>
    <w:p>
      <w:pPr>
        <w:spacing w:after="0" w:line="190" w:lineRule="exact"/>
        <w:rPr>
          <w:rFonts w:ascii="Arial" w:cs="Arial" w:eastAsia="Arial" w:hAnsi="Arial"/>
          <w:sz w:val="17"/>
          <w:szCs w:val="17"/>
          <w:color w:val="auto"/>
        </w:rPr>
      </w:pPr>
    </w:p>
    <w:p>
      <w:pPr>
        <w:jc w:val="both"/>
        <w:ind w:left="120" w:firstLine="605"/>
        <w:spacing w:after="0" w:line="231" w:lineRule="auto"/>
        <w:tabs>
          <w:tab w:leader="none" w:pos="1144" w:val="left"/>
        </w:tabs>
        <w:numPr>
          <w:ilvl w:val="0"/>
          <w:numId w:val="214"/>
        </w:numPr>
        <w:rPr>
          <w:rFonts w:ascii="Arial" w:cs="Arial" w:eastAsia="Arial" w:hAnsi="Arial"/>
          <w:sz w:val="17"/>
          <w:szCs w:val="17"/>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139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37" w:name="page238"/>
    <w:bookmarkEnd w:id="237"/>
    <w:p>
      <w:pPr>
        <w:jc w:val="both"/>
        <w:ind w:left="120"/>
        <w:spacing w:after="0" w:line="227" w:lineRule="auto"/>
        <w:rPr>
          <w:sz w:val="20"/>
          <w:szCs w:val="20"/>
          <w:color w:val="auto"/>
        </w:rPr>
      </w:pPr>
      <w:r>
        <w:rPr>
          <w:rFonts w:ascii="Arial" w:cs="Arial" w:eastAsia="Arial" w:hAnsi="Arial"/>
          <w:sz w:val="20"/>
          <w:szCs w:val="20"/>
          <w:color w:val="auto"/>
        </w:rPr>
        <w:t>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4" w:lineRule="exact"/>
        <w:rPr>
          <w:sz w:val="20"/>
          <w:szCs w:val="20"/>
          <w:color w:val="auto"/>
        </w:rPr>
      </w:pPr>
    </w:p>
    <w:p>
      <w:pPr>
        <w:jc w:val="both"/>
        <w:ind w:left="120" w:firstLine="605"/>
        <w:spacing w:after="0" w:line="231" w:lineRule="auto"/>
        <w:tabs>
          <w:tab w:leader="none" w:pos="1146" w:val="left"/>
        </w:tabs>
        <w:numPr>
          <w:ilvl w:val="1"/>
          <w:numId w:val="215"/>
        </w:numPr>
        <w:rPr>
          <w:rFonts w:ascii="Arial" w:cs="Arial" w:eastAsia="Arial" w:hAnsi="Arial"/>
          <w:sz w:val="17"/>
          <w:szCs w:val="17"/>
          <w:color w:val="auto"/>
        </w:rPr>
      </w:pPr>
      <w:r>
        <w:rPr>
          <w:rFonts w:ascii="Arial" w:cs="Arial" w:eastAsia="Arial" w:hAnsi="Arial"/>
          <w:sz w:val="19"/>
          <w:szCs w:val="19"/>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respective Affiliates, that is communicated to, obtained or in the possession of, the Administrative Agent, any Arranger or any of their respective Related Parties in any capacity, except for notices, reports and other documents expressly required to be furnished to the Lenders by the Administrative Agent herein;</w:t>
      </w:r>
    </w:p>
    <w:p>
      <w:pPr>
        <w:spacing w:after="0" w:line="171" w:lineRule="exact"/>
        <w:rPr>
          <w:rFonts w:ascii="Arial" w:cs="Arial" w:eastAsia="Arial" w:hAnsi="Arial"/>
          <w:sz w:val="17"/>
          <w:szCs w:val="17"/>
          <w:color w:val="auto"/>
        </w:rPr>
      </w:pPr>
    </w:p>
    <w:p>
      <w:pPr>
        <w:jc w:val="both"/>
        <w:ind w:left="120" w:firstLine="605"/>
        <w:spacing w:after="0" w:line="227" w:lineRule="auto"/>
        <w:tabs>
          <w:tab w:leader="none" w:pos="1144" w:val="left"/>
        </w:tabs>
        <w:numPr>
          <w:ilvl w:val="1"/>
          <w:numId w:val="215"/>
        </w:numPr>
        <w:rPr>
          <w:rFonts w:ascii="Arial" w:cs="Arial" w:eastAsia="Arial" w:hAnsi="Arial"/>
          <w:sz w:val="17"/>
          <w:szCs w:val="17"/>
          <w:color w:val="auto"/>
        </w:rPr>
      </w:pPr>
      <w:r>
        <w:rPr>
          <w:rFonts w:ascii="Arial" w:cs="Arial" w:eastAsia="Arial" w:hAnsi="Arial"/>
          <w:sz w:val="19"/>
          <w:szCs w:val="19"/>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 and</w:t>
      </w:r>
    </w:p>
    <w:p>
      <w:pPr>
        <w:spacing w:after="0" w:line="188" w:lineRule="exact"/>
        <w:rPr>
          <w:rFonts w:ascii="Arial" w:cs="Arial" w:eastAsia="Arial" w:hAnsi="Arial"/>
          <w:sz w:val="17"/>
          <w:szCs w:val="17"/>
          <w:color w:val="auto"/>
        </w:rPr>
      </w:pPr>
    </w:p>
    <w:p>
      <w:pPr>
        <w:jc w:val="both"/>
        <w:ind w:left="120" w:firstLine="605"/>
        <w:spacing w:after="0"/>
        <w:tabs>
          <w:tab w:leader="none" w:pos="1146" w:val="left"/>
        </w:tabs>
        <w:numPr>
          <w:ilvl w:val="1"/>
          <w:numId w:val="215"/>
        </w:numPr>
        <w:rPr>
          <w:rFonts w:ascii="Arial" w:cs="Arial" w:eastAsia="Arial" w:hAnsi="Arial"/>
          <w:sz w:val="16"/>
          <w:szCs w:val="16"/>
          <w:color w:val="auto"/>
        </w:rPr>
      </w:pPr>
      <w:r>
        <w:rPr>
          <w:rFonts w:ascii="Arial" w:cs="Arial" w:eastAsia="Arial" w:hAnsi="Arial"/>
          <w:sz w:val="18"/>
          <w:szCs w:val="18"/>
          <w:color w:val="auto"/>
        </w:rPr>
        <w:t>shall not be responsible for or have any duty or obligation to any Lender or participant or any other Person to ascertain or inquire into (i) any statement, warranty or representation made in or in connection with this Agreement or any other Loan Document,</w:t>
      </w:r>
    </w:p>
    <w:p>
      <w:pPr>
        <w:spacing w:after="0" w:line="1" w:lineRule="exact"/>
        <w:rPr>
          <w:rFonts w:ascii="Arial" w:cs="Arial" w:eastAsia="Arial" w:hAnsi="Arial"/>
          <w:sz w:val="16"/>
          <w:szCs w:val="16"/>
          <w:color w:val="auto"/>
        </w:rPr>
      </w:pPr>
    </w:p>
    <w:p>
      <w:pPr>
        <w:ind w:left="420" w:hanging="294"/>
        <w:spacing w:after="0" w:line="231" w:lineRule="auto"/>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contents of any certificate, report or other document delivered hereunder or thereunder or in connection herewith or therewith,</w:t>
      </w:r>
    </w:p>
    <w:p>
      <w:pPr>
        <w:jc w:val="both"/>
        <w:ind w:left="120" w:firstLine="6"/>
        <w:spacing w:after="0" w:line="229" w:lineRule="auto"/>
        <w:tabs>
          <w:tab w:leader="none" w:pos="48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80"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19"/>
          <w:szCs w:val="19"/>
          <w:b w:val="1"/>
          <w:bCs w:val="1"/>
          <w:color w:val="auto"/>
        </w:rPr>
        <w:t xml:space="preserve">9.04 Reliance by Administrative Agent. </w:t>
      </w:r>
      <w:r>
        <w:rPr>
          <w:rFonts w:ascii="Arial" w:cs="Arial" w:eastAsia="Arial" w:hAnsi="Arial"/>
          <w:sz w:val="19"/>
          <w:szCs w:val="19"/>
          <w:color w:val="auto"/>
        </w:rPr>
        <w:t>The Administrative Agent shall be entitled to rely upon, and shall not incur any</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or Bankers’ Acceptance,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or Bankers’ Acceptance.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38" w:name="page239"/>
    <w:bookmarkEnd w:id="238"/>
    <w:p>
      <w:pPr>
        <w:spacing w:after="0" w:line="98" w:lineRule="exact"/>
        <w:rPr>
          <w:sz w:val="20"/>
          <w:szCs w:val="20"/>
          <w:color w:val="auto"/>
        </w:rPr>
      </w:pPr>
    </w:p>
    <w:p>
      <w:pPr>
        <w:jc w:val="both"/>
        <w:ind w:left="120" w:firstLine="598"/>
        <w:spacing w:after="0" w:line="215" w:lineRule="auto"/>
        <w:rPr>
          <w:sz w:val="20"/>
          <w:szCs w:val="20"/>
          <w:color w:val="auto"/>
        </w:rPr>
      </w:pPr>
      <w:r>
        <w:rPr>
          <w:rFonts w:ascii="Arial" w:cs="Arial" w:eastAsia="Arial" w:hAnsi="Arial"/>
          <w:sz w:val="20"/>
          <w:szCs w:val="20"/>
          <w:b w:val="1"/>
          <w:bCs w:val="1"/>
          <w:color w:val="auto"/>
        </w:rPr>
        <w:t xml:space="preserve">9.05 Delegation of Duties. </w:t>
      </w:r>
      <w:r>
        <w:rPr>
          <w:rFonts w:ascii="Arial" w:cs="Arial" w:eastAsia="Arial" w:hAnsi="Arial"/>
          <w:sz w:val="20"/>
          <w:szCs w:val="20"/>
          <w:color w:val="auto"/>
        </w:rPr>
        <w:t>The Administrative Agent may perform any and all of its duties and exercise its rights and powers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8" w:lineRule="exact"/>
        <w:rPr>
          <w:sz w:val="20"/>
          <w:szCs w:val="20"/>
          <w:color w:val="auto"/>
        </w:rPr>
      </w:pPr>
    </w:p>
    <w:p>
      <w:pPr>
        <w:jc w:val="both"/>
        <w:ind w:left="120" w:firstLine="598"/>
        <w:spacing w:after="0"/>
        <w:rPr>
          <w:sz w:val="20"/>
          <w:szCs w:val="20"/>
          <w:color w:val="auto"/>
        </w:rPr>
      </w:pPr>
      <w:r>
        <w:rPr>
          <w:rFonts w:ascii="Arial" w:cs="Arial" w:eastAsia="Arial" w:hAnsi="Arial"/>
          <w:sz w:val="18"/>
          <w:szCs w:val="18"/>
          <w:b w:val="1"/>
          <w:bCs w:val="1"/>
          <w:color w:val="auto"/>
        </w:rPr>
        <w:t xml:space="preserve">9.06 Resignation of Administrative Agent. </w:t>
      </w:r>
      <w:r>
        <w:rPr>
          <w:rFonts w:ascii="Arial" w:cs="Arial" w:eastAsia="Arial" w:hAnsi="Arial"/>
          <w:sz w:val="18"/>
          <w:szCs w:val="18"/>
          <w:color w:val="auto"/>
        </w:rPr>
        <w:t>The Administrative Agent may at any time give notice of its resignation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the L/C Issuer and the Company. Upon receipt of any such notice of resignation, the Required Lenders shall have the right to appoint a successor, which shall be a bank (a) with an office in the United States, or an Affiliate of any such bank with an office in the United States, and (b) prior to an Event of Default pursuant to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approved by the Company.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39" w:name="page240"/>
    <w:bookmarkEnd w:id="239"/>
    <w:p>
      <w:pPr>
        <w:jc w:val="both"/>
        <w:ind w:left="120"/>
        <w:spacing w:after="0" w:line="236" w:lineRule="auto"/>
        <w:rPr>
          <w:sz w:val="20"/>
          <w:szCs w:val="20"/>
          <w:color w:val="auto"/>
        </w:rPr>
      </w:pPr>
      <w:r>
        <w:rPr>
          <w:rFonts w:ascii="Arial" w:cs="Arial" w:eastAsia="Arial" w:hAnsi="Arial"/>
          <w:sz w:val="20"/>
          <w:szCs w:val="20"/>
          <w:color w:val="auto"/>
        </w:rPr>
        <w:t>security on behalf of any of the Lenders and (B) in respect of any actions taken in connection with transferring the agency to any successor Administrative Agent.</w:t>
      </w:r>
    </w:p>
    <w:p>
      <w:pPr>
        <w:spacing w:after="0" w:line="172"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19"/>
          <w:szCs w:val="19"/>
          <w:color w:val="auto"/>
        </w:rPr>
        <w:t xml:space="preserve">Any resignation by Bank of America as Administrative Agent pursuant to this Section shall also constitute its resignation as L/C Issuer and Swing 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and bankers’ acceptances in substitution for the Letters of Credit and Bankers’ Acceptances, if any, outstanding at the time of such succession or make other arrangements satisfactory to the retiring L/C Issuer to effectively assume the obligations of the retiring L/C Issuer with respect to such Letters of Credit or Bankers’ Acceptances. Notwithstanding the foregoing, so long as another Lender is willing to act as a swing line lender, such successor shall not be required to succeed to and become vested with all of the rights, powers, privileges and duties of the retiring Swing Line Lender. Notwithstanding the foregoing, so long as another L/C Issuer is willing to and has satisfied the provisions of clause (c) of the preceding sentence, such successor shall not be required to succeed to and become vested with all of the rights, powers, privileges and duties of the retiring L/C Issuer nor satisfy the requirements of such clause (c).</w:t>
      </w:r>
    </w:p>
    <w:p>
      <w:pPr>
        <w:spacing w:after="0" w:line="174"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b w:val="1"/>
          <w:bCs w:val="1"/>
          <w:color w:val="auto"/>
        </w:rPr>
        <w:t xml:space="preserve">9.07 Non-Reliance on the Administrative Agent, any Arranger and the Other Lenders. </w:t>
      </w:r>
      <w:r>
        <w:rPr>
          <w:rFonts w:ascii="Arial" w:cs="Arial" w:eastAsia="Arial" w:hAnsi="Arial"/>
          <w:sz w:val="18"/>
          <w:szCs w:val="18"/>
          <w:color w:val="auto"/>
        </w:rPr>
        <w:t>Each Lender and the L/C Issuer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such Arranger to any Lender or the L/C Issuer as to any matter, including whether the Administrative Agent or such Arranger has disclosed material information in their (or their Related Parties’) possession. Each Lender and the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40" w:name="page241"/>
    <w:bookmarkEnd w:id="240"/>
    <w:p>
      <w:pPr>
        <w:jc w:val="both"/>
        <w:ind w:left="120"/>
        <w:spacing w:after="0" w:line="224" w:lineRule="auto"/>
        <w:rPr>
          <w:sz w:val="20"/>
          <w:szCs w:val="20"/>
          <w:color w:val="auto"/>
        </w:rPr>
      </w:pPr>
      <w:r>
        <w:rPr>
          <w:rFonts w:ascii="Arial" w:cs="Arial" w:eastAsia="Arial" w:hAnsi="Arial"/>
          <w:sz w:val="19"/>
          <w:szCs w:val="19"/>
          <w:color w:val="auto"/>
        </w:rPr>
        <w:t>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5"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20"/>
          <w:szCs w:val="20"/>
          <w:b w:val="1"/>
          <w:bCs w:val="1"/>
          <w:color w:val="auto"/>
        </w:rPr>
        <w:t xml:space="preserve">9.08 No Other Duties, Etc. </w:t>
      </w:r>
      <w:r>
        <w:rPr>
          <w:rFonts w:ascii="Arial" w:cs="Arial" w:eastAsia="Arial" w:hAnsi="Arial"/>
          <w:sz w:val="20"/>
          <w:szCs w:val="20"/>
          <w:color w:val="auto"/>
        </w:rPr>
        <w:t>Anything herein to the contrary notwithstanding, none of the Co-Syndication Agents, Co-Documentation Agents, the Joint Lead Arrangers or Joint Bookrunners listed on the cover page hereof shall have any powers, duties or responsibilities under this Agreement or any of the other Loan Documents, except in its capacity, as applicable, as the Administrative Agent, a Lender or the L/C Issuer hereunder.</w:t>
      </w:r>
    </w:p>
    <w:p>
      <w:pPr>
        <w:spacing w:after="0" w:line="165" w:lineRule="exact"/>
        <w:rPr>
          <w:sz w:val="20"/>
          <w:szCs w:val="20"/>
          <w:color w:val="auto"/>
        </w:rPr>
      </w:pPr>
    </w:p>
    <w:p>
      <w:pPr>
        <w:jc w:val="both"/>
        <w:ind w:left="120" w:firstLine="598"/>
        <w:spacing w:after="0" w:line="221" w:lineRule="auto"/>
        <w:rPr>
          <w:sz w:val="20"/>
          <w:szCs w:val="20"/>
          <w:color w:val="auto"/>
        </w:rPr>
      </w:pPr>
      <w:r>
        <w:rPr>
          <w:rFonts w:ascii="Arial" w:cs="Arial" w:eastAsia="Arial" w:hAnsi="Arial"/>
          <w:sz w:val="20"/>
          <w:szCs w:val="20"/>
          <w:b w:val="1"/>
          <w:bCs w:val="1"/>
          <w:color w:val="auto"/>
        </w:rPr>
        <w:t xml:space="preserve">9.09 Administrative Agent May File Proofs of Claim. </w:t>
      </w:r>
      <w:r>
        <w:rPr>
          <w:rFonts w:ascii="Arial" w:cs="Arial" w:eastAsia="Arial" w:hAnsi="Arial"/>
          <w:sz w:val="20"/>
          <w:szCs w:val="20"/>
          <w:color w:val="auto"/>
        </w:rPr>
        <w:t>In case of the pendency of any proceeding under any Debtor Relief</w:t>
      </w:r>
      <w:r>
        <w:rPr>
          <w:rFonts w:ascii="Arial" w:cs="Arial" w:eastAsia="Arial" w:hAnsi="Arial"/>
          <w:sz w:val="20"/>
          <w:szCs w:val="20"/>
          <w:b w:val="1"/>
          <w:bCs w:val="1"/>
          <w:color w:val="auto"/>
        </w:rPr>
        <w:t xml:space="preserve"> </w:t>
      </w:r>
      <w:r>
        <w:rPr>
          <w:rFonts w:ascii="Arial" w:cs="Arial" w:eastAsia="Arial" w:hAnsi="Arial"/>
          <w:sz w:val="20"/>
          <w:szCs w:val="20"/>
          <w:color w:val="auto"/>
        </w:rPr>
        <w:t>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3" w:lineRule="exact"/>
        <w:rPr>
          <w:sz w:val="20"/>
          <w:szCs w:val="20"/>
          <w:color w:val="auto"/>
        </w:rPr>
      </w:pPr>
    </w:p>
    <w:p>
      <w:pPr>
        <w:jc w:val="both"/>
        <w:ind w:left="120" w:firstLine="605"/>
        <w:spacing w:after="0" w:line="235" w:lineRule="auto"/>
        <w:tabs>
          <w:tab w:leader="none" w:pos="115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8"/>
          <w:szCs w:val="18"/>
          <w:u w:val="single" w:color="auto"/>
          <w:color w:val="auto"/>
        </w:rPr>
        <w:t>Sections 2.03(i)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2.10(b)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190" w:lineRule="exact"/>
        <w:rPr>
          <w:rFonts w:ascii="Arial" w:cs="Arial" w:eastAsia="Arial" w:hAnsi="Arial"/>
          <w:sz w:val="18"/>
          <w:szCs w:val="18"/>
          <w:color w:val="auto"/>
        </w:rPr>
      </w:pPr>
    </w:p>
    <w:p>
      <w:pPr>
        <w:ind w:left="1160" w:hanging="435"/>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-276860</wp:posOffset>
            </wp:positionV>
            <wp:extent cx="40132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401320" cy="7620"/>
                    </a:xfrm>
                    <a:prstGeom prst="rect">
                      <a:avLst/>
                    </a:prstGeom>
                    <a:noFill/>
                  </pic:spPr>
                </pic:pic>
              </a:graphicData>
            </a:graphic>
          </wp:anchor>
        </w:drawing>
      </w:r>
    </w:p>
    <w:p>
      <w:pPr>
        <w:spacing w:after="0" w:line="197"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79" w:lineRule="exact"/>
        <w:rPr>
          <w:sz w:val="20"/>
          <w:szCs w:val="20"/>
          <w:color w:val="auto"/>
        </w:rPr>
      </w:pPr>
    </w:p>
    <w:p>
      <w:pPr>
        <w:jc w:val="both"/>
        <w:ind w:left="120" w:right="20" w:firstLine="598"/>
        <w:spacing w:after="0" w:line="23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L/C Issuer 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41" w:name="page242"/>
    <w:bookmarkEnd w:id="241"/>
    <w:p>
      <w:pPr>
        <w:jc w:val="both"/>
        <w:ind w:left="120"/>
        <w:spacing w:after="0" w:line="286" w:lineRule="auto"/>
        <w:rPr>
          <w:sz w:val="20"/>
          <w:szCs w:val="20"/>
          <w:color w:val="auto"/>
        </w:rPr>
      </w:pPr>
      <w:r>
        <w:rPr>
          <w:rFonts w:ascii="Arial" w:cs="Arial" w:eastAsia="Arial" w:hAnsi="Arial"/>
          <w:sz w:val="18"/>
          <w:szCs w:val="18"/>
          <w:color w:val="auto"/>
        </w:rPr>
        <w:t>plan of reorganization, arrangement, adjustment or composition affecting the Obligations or the rights of any Lender or the L/C Issuer or authorize the Administrative Agent to vote in respect of the claim of any Lender or the L/C Issuer in any such proceeding.</w:t>
      </w:r>
    </w:p>
    <w:p>
      <w:pPr>
        <w:spacing w:after="0" w:line="137" w:lineRule="exact"/>
        <w:rPr>
          <w:sz w:val="20"/>
          <w:szCs w:val="20"/>
          <w:color w:val="auto"/>
        </w:rPr>
      </w:pPr>
    </w:p>
    <w:p>
      <w:pPr>
        <w:jc w:val="both"/>
        <w:ind w:left="120" w:firstLine="598"/>
        <w:spacing w:after="0" w:line="246" w:lineRule="auto"/>
        <w:rPr>
          <w:sz w:val="20"/>
          <w:szCs w:val="20"/>
          <w:color w:val="auto"/>
        </w:rPr>
      </w:pPr>
      <w:r>
        <w:rPr>
          <w:rFonts w:ascii="Arial" w:cs="Arial" w:eastAsia="Arial" w:hAnsi="Arial"/>
          <w:sz w:val="18"/>
          <w:szCs w:val="18"/>
          <w:b w:val="1"/>
          <w:bCs w:val="1"/>
          <w:color w:val="auto"/>
        </w:rPr>
        <w:t xml:space="preserve">9.10 Guaranty Matters. </w:t>
      </w:r>
      <w:r>
        <w:rPr>
          <w:rFonts w:ascii="Arial" w:cs="Arial" w:eastAsia="Arial" w:hAnsi="Arial"/>
          <w:sz w:val="18"/>
          <w:szCs w:val="18"/>
          <w:color w:val="auto"/>
        </w:rPr>
        <w:t>Without limiting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9.09</w:t>
      </w:r>
      <w:r>
        <w:rPr>
          <w:rFonts w:ascii="Arial" w:cs="Arial" w:eastAsia="Arial" w:hAnsi="Arial"/>
          <w:sz w:val="18"/>
          <w:szCs w:val="18"/>
          <w:color w:val="auto"/>
        </w:rPr>
        <w:t>, each of the Lenders (including in its capacities as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potential Cash Management Bank, a potential Hedge Bank and a potential PSLOC Bank) and the L/C Issuer irrevocably authorize the Administrative Agent, at its option and in its discretion, to release any Subsidiary Guarantor from its obligations under the Loan Documents if such Person ceases to be a Subsidiary or a Restricted Subsidiary as a result of a transaction permitted hereunder (including any release of Subsidiary Guarantor deemed to be an Unrestricted Subsidiary pursuant to </w:t>
      </w:r>
      <w:r>
        <w:rPr>
          <w:rFonts w:ascii="Arial" w:cs="Arial" w:eastAsia="Arial" w:hAnsi="Arial"/>
          <w:sz w:val="18"/>
          <w:szCs w:val="18"/>
          <w:u w:val="single" w:color="auto"/>
          <w:color w:val="auto"/>
        </w:rPr>
        <w:t>Section 6.12(d)</w:t>
      </w:r>
      <w:r>
        <w:rPr>
          <w:rFonts w:ascii="Arial" w:cs="Arial" w:eastAsia="Arial" w:hAnsi="Arial"/>
          <w:sz w:val="18"/>
          <w:szCs w:val="18"/>
          <w:color w:val="auto"/>
        </w:rPr>
        <w:t>).</w:t>
      </w:r>
    </w:p>
    <w:p>
      <w:pPr>
        <w:spacing w:after="0" w:line="169" w:lineRule="exact"/>
        <w:rPr>
          <w:sz w:val="20"/>
          <w:szCs w:val="20"/>
          <w:color w:val="auto"/>
        </w:rPr>
      </w:pPr>
    </w:p>
    <w:p>
      <w:pPr>
        <w:jc w:val="both"/>
        <w:ind w:left="120" w:firstLine="598"/>
        <w:spacing w:after="0" w:line="245"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any Subsidiary Guarantor from its obligations under the Loan Documents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release such Subsidiary Guarantor from its obligations under the Loan Documents,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73" w:lineRule="exact"/>
        <w:rPr>
          <w:sz w:val="20"/>
          <w:szCs w:val="20"/>
          <w:color w:val="auto"/>
        </w:rPr>
      </w:pPr>
    </w:p>
    <w:p>
      <w:pPr>
        <w:jc w:val="both"/>
        <w:ind w:left="120" w:firstLine="598"/>
        <w:spacing w:after="0" w:line="237" w:lineRule="auto"/>
        <w:rPr>
          <w:sz w:val="20"/>
          <w:szCs w:val="20"/>
          <w:color w:val="auto"/>
        </w:rPr>
      </w:pPr>
      <w:r>
        <w:rPr>
          <w:rFonts w:ascii="Arial" w:cs="Arial" w:eastAsia="Arial" w:hAnsi="Arial"/>
          <w:sz w:val="18"/>
          <w:szCs w:val="18"/>
          <w:b w:val="1"/>
          <w:bCs w:val="1"/>
          <w:color w:val="auto"/>
        </w:rPr>
        <w:t xml:space="preserve">9.11 Guaranteed Cash Management Agreements, Guaranteed Hedge Agreements and Guaranteed Permitted Standalone Letter of Credit. </w:t>
      </w:r>
      <w:r>
        <w:rPr>
          <w:rFonts w:ascii="Arial" w:cs="Arial" w:eastAsia="Arial" w:hAnsi="Arial"/>
          <w:sz w:val="18"/>
          <w:szCs w:val="18"/>
          <w:color w:val="auto"/>
        </w:rPr>
        <w:t>No Cash Management Bank, Hedge Bank or PSLOC Bank that obtains the benefit of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the Subsidiary Guaranty by virtue of the provisions hereof or of the Subsidiary Guaranty shall have any right to notice of any action or to consent to, direct or object to any action hereunder or under any other Loan Document (or to notice of or to consent to any amendment, waiver or modification of the provisions hereof or of the Subsidiary Guaranty) other than in its capacity as a Lender, the L/C Issuer or the Administrative Agent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Guaranteed Cash Management Agreements, Guaranteed Hedge Agreements and Guaranteed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8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9"/>
          <w:szCs w:val="19"/>
          <w:b w:val="1"/>
          <w:bCs w:val="1"/>
          <w:color w:val="auto"/>
        </w:rPr>
        <w:t>Certain ERISA Matters.</w:t>
      </w:r>
    </w:p>
    <w:p>
      <w:pPr>
        <w:spacing w:after="0" w:line="200" w:lineRule="exact"/>
        <w:rPr>
          <w:sz w:val="20"/>
          <w:szCs w:val="20"/>
          <w:color w:val="auto"/>
        </w:rPr>
      </w:pPr>
    </w:p>
    <w:p>
      <w:pPr>
        <w:jc w:val="both"/>
        <w:ind w:left="120" w:firstLine="605"/>
        <w:spacing w:after="0" w:line="222" w:lineRule="auto"/>
        <w:tabs>
          <w:tab w:leader="none" w:pos="1152" w:val="left"/>
        </w:tabs>
        <w:numPr>
          <w:ilvl w:val="0"/>
          <w:numId w:val="218"/>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85" w:lineRule="exact"/>
        <w:rPr>
          <w:rFonts w:ascii="Arial" w:cs="Arial" w:eastAsia="Arial" w:hAnsi="Arial"/>
          <w:sz w:val="20"/>
          <w:szCs w:val="20"/>
          <w:color w:val="auto"/>
        </w:rPr>
      </w:pPr>
    </w:p>
    <w:p>
      <w:pPr>
        <w:jc w:val="both"/>
        <w:ind w:left="700" w:firstLine="533"/>
        <w:spacing w:after="0" w:line="227" w:lineRule="auto"/>
        <w:tabs>
          <w:tab w:leader="none" w:pos="1737" w:val="left"/>
        </w:tabs>
        <w:numPr>
          <w:ilvl w:val="1"/>
          <w:numId w:val="218"/>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42" w:name="page243"/>
    <w:bookmarkEnd w:id="242"/>
    <w:p>
      <w:pPr>
        <w:jc w:val="both"/>
        <w:ind w:left="700" w:firstLine="533"/>
        <w:spacing w:after="0" w:line="227" w:lineRule="auto"/>
        <w:tabs>
          <w:tab w:leader="none" w:pos="1743" w:val="left"/>
        </w:tabs>
        <w:numPr>
          <w:ilvl w:val="1"/>
          <w:numId w:val="219"/>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8" w:lineRule="exact"/>
        <w:rPr>
          <w:rFonts w:ascii="Arial" w:cs="Arial" w:eastAsia="Arial" w:hAnsi="Arial"/>
          <w:sz w:val="19"/>
          <w:szCs w:val="19"/>
          <w:color w:val="auto"/>
        </w:rPr>
      </w:pPr>
    </w:p>
    <w:p>
      <w:pPr>
        <w:jc w:val="both"/>
        <w:ind w:left="700" w:firstLine="533"/>
        <w:spacing w:after="0" w:line="215" w:lineRule="auto"/>
        <w:tabs>
          <w:tab w:leader="none" w:pos="1748" w:val="left"/>
        </w:tabs>
        <w:numPr>
          <w:ilvl w:val="1"/>
          <w:numId w:val="219"/>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4" w:lineRule="exact"/>
        <w:rPr>
          <w:rFonts w:ascii="Arial" w:cs="Arial" w:eastAsia="Arial" w:hAnsi="Arial"/>
          <w:sz w:val="20"/>
          <w:szCs w:val="20"/>
          <w:color w:val="auto"/>
        </w:rPr>
      </w:pPr>
    </w:p>
    <w:p>
      <w:pPr>
        <w:ind w:left="700" w:firstLine="533"/>
        <w:spacing w:after="0" w:line="236" w:lineRule="auto"/>
        <w:tabs>
          <w:tab w:leader="none" w:pos="1737" w:val="left"/>
        </w:tabs>
        <w:numPr>
          <w:ilvl w:val="1"/>
          <w:numId w:val="219"/>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1" w:lineRule="exact"/>
        <w:rPr>
          <w:rFonts w:ascii="Arial" w:cs="Arial" w:eastAsia="Arial" w:hAnsi="Arial"/>
          <w:sz w:val="20"/>
          <w:szCs w:val="20"/>
          <w:color w:val="auto"/>
        </w:rPr>
      </w:pPr>
    </w:p>
    <w:p>
      <w:pPr>
        <w:jc w:val="both"/>
        <w:ind w:left="120" w:firstLine="605"/>
        <w:spacing w:after="0" w:line="226" w:lineRule="auto"/>
        <w:tabs>
          <w:tab w:leader="none" w:pos="115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In addition, unless either (1)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clause (a) is true with respect to a Lender or (2) a Lender has provided another representation, warranty and covenant in accordance with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subsection (a)</w:t>
      </w:r>
      <w:r>
        <w:rPr>
          <w:rFonts w:ascii="Arial" w:cs="Arial" w:eastAsia="Arial" w:hAnsi="Arial"/>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7"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b w:val="1"/>
          <w:bCs w:val="1"/>
          <w:color w:val="auto"/>
        </w:rPr>
        <w:t>9.13 Recovery of Erroneous Payments</w:t>
      </w:r>
      <w:r>
        <w:rPr>
          <w:rFonts w:ascii="Arial" w:cs="Arial" w:eastAsia="Arial" w:hAnsi="Arial"/>
          <w:sz w:val="19"/>
          <w:szCs w:val="19"/>
          <w:color w:val="auto"/>
        </w:rPr>
        <w:t>. Without limitation of any other provision in this Agreement, if at any time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Overnight Rate.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43" w:name="page244"/>
    <w:bookmarkEnd w:id="243"/>
    <w:p>
      <w:pPr>
        <w:spacing w:after="0" w:line="154"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The Administrative Agent shall inform each Lender Recipient Party promptly upon determining that any payment made to such Lender Recipient Party comprised, in whole or in part, a Rescindable Amount.</w:t>
      </w: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ARTICLE X.</w:t>
      </w:r>
    </w:p>
    <w:p>
      <w:pPr>
        <w:jc w:val="center"/>
        <w:ind w:right="-199"/>
        <w:spacing w:after="0"/>
        <w:rPr>
          <w:sz w:val="20"/>
          <w:szCs w:val="20"/>
          <w:color w:val="auto"/>
        </w:rPr>
      </w:pPr>
      <w:r>
        <w:rPr>
          <w:rFonts w:ascii="Arial" w:cs="Arial" w:eastAsia="Arial" w:hAnsi="Arial"/>
          <w:sz w:val="20"/>
          <w:szCs w:val="20"/>
          <w:b w:val="1"/>
          <w:bCs w:val="1"/>
          <w:color w:val="auto"/>
        </w:rPr>
        <w:t>MISCELLANEOUS</w:t>
      </w:r>
    </w:p>
    <w:p>
      <w:pPr>
        <w:spacing w:after="0" w:line="185" w:lineRule="exact"/>
        <w:rPr>
          <w:sz w:val="20"/>
          <w:szCs w:val="20"/>
          <w:color w:val="auto"/>
        </w:rPr>
      </w:pPr>
    </w:p>
    <w:p>
      <w:pPr>
        <w:jc w:val="both"/>
        <w:ind w:left="120" w:firstLine="598"/>
        <w:spacing w:after="0" w:line="230" w:lineRule="auto"/>
        <w:rPr>
          <w:sz w:val="20"/>
          <w:szCs w:val="20"/>
          <w:color w:val="auto"/>
        </w:rPr>
      </w:pPr>
      <w:r>
        <w:rPr>
          <w:rFonts w:ascii="Arial" w:cs="Arial" w:eastAsia="Arial" w:hAnsi="Arial"/>
          <w:sz w:val="19"/>
          <w:szCs w:val="19"/>
          <w:b w:val="1"/>
          <w:bCs w:val="1"/>
          <w:color w:val="auto"/>
        </w:rPr>
        <w:t xml:space="preserve">10.01 Amendments, Etc. </w:t>
      </w:r>
      <w:r>
        <w:rPr>
          <w:rFonts w:ascii="Arial" w:cs="Arial" w:eastAsia="Arial" w:hAnsi="Arial"/>
          <w:sz w:val="19"/>
          <w:szCs w:val="19"/>
          <w:color w:val="auto"/>
        </w:rPr>
        <w:t>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3.03(c)</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2.19(a)</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last two paragraphs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 amendment or waiver of any provision of this Agreement or any other Loan Document, and no consent to any departure by the Company or any other Loan Party therefrom, shall be effective unless in writing signed by the Required Lenders (or by the Administrative Agent with the consent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consent shall:</w:t>
      </w:r>
    </w:p>
    <w:p>
      <w:pPr>
        <w:spacing w:after="0" w:line="173" w:lineRule="exact"/>
        <w:rPr>
          <w:sz w:val="20"/>
          <w:szCs w:val="20"/>
          <w:color w:val="auto"/>
        </w:rPr>
      </w:pPr>
    </w:p>
    <w:p>
      <w:pPr>
        <w:ind w:left="1160" w:hanging="435"/>
        <w:spacing w:after="0"/>
        <w:tabs>
          <w:tab w:leader="none" w:pos="116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without the written consent of each Lender;</w:t>
      </w:r>
    </w:p>
    <w:p>
      <w:pPr>
        <w:spacing w:after="0" w:line="206" w:lineRule="exact"/>
        <w:rPr>
          <w:rFonts w:ascii="Arial" w:cs="Arial" w:eastAsia="Arial" w:hAnsi="Arial"/>
          <w:sz w:val="20"/>
          <w:szCs w:val="20"/>
          <w:color w:val="auto"/>
        </w:rPr>
      </w:pPr>
    </w:p>
    <w:p>
      <w:pPr>
        <w:ind w:left="120" w:right="20" w:firstLine="605"/>
        <w:spacing w:after="0" w:line="236" w:lineRule="auto"/>
        <w:tabs>
          <w:tab w:leader="none" w:pos="1151"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w:t>
      </w:r>
    </w:p>
    <w:p>
      <w:pPr>
        <w:spacing w:after="0" w:line="171" w:lineRule="exact"/>
        <w:rPr>
          <w:rFonts w:ascii="Arial" w:cs="Arial" w:eastAsia="Arial" w:hAnsi="Arial"/>
          <w:sz w:val="20"/>
          <w:szCs w:val="20"/>
          <w:color w:val="auto"/>
        </w:rPr>
      </w:pPr>
    </w:p>
    <w:p>
      <w:pPr>
        <w:jc w:val="both"/>
        <w:ind w:left="120" w:firstLine="605"/>
        <w:spacing w:after="0" w:line="258" w:lineRule="auto"/>
        <w:tabs>
          <w:tab w:leader="none" w:pos="11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postpone any date fixed by this Agreement or any other Loan Document for any payment (excluding mandatory prepayments) of principal, interest, fees or other amounts due to the Lenders (or any of them) hereunder or under any other Loan Document (except as expressly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without the written consent of each Lender entitled to such payment;</w:t>
      </w:r>
    </w:p>
    <w:p>
      <w:pPr>
        <w:spacing w:after="0" w:line="168" w:lineRule="exact"/>
        <w:rPr>
          <w:rFonts w:ascii="Arial" w:cs="Arial" w:eastAsia="Arial" w:hAnsi="Arial"/>
          <w:sz w:val="18"/>
          <w:szCs w:val="18"/>
          <w:color w:val="auto"/>
        </w:rPr>
      </w:pPr>
    </w:p>
    <w:p>
      <w:pPr>
        <w:jc w:val="both"/>
        <w:ind w:left="120" w:firstLine="605"/>
        <w:spacing w:after="0" w:line="216" w:lineRule="auto"/>
        <w:tabs>
          <w:tab w:leader="none" w:pos="1151"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L/C Borrowing, or (subject to clause (iv)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entitled to such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(i) to amend the definition of “Default Rate” or to waive any obligation of any Borrower to pay interest, Letter of Credit Fees or BA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6" w:lineRule="exact"/>
        <w:rPr>
          <w:rFonts w:ascii="Arial" w:cs="Arial" w:eastAsia="Arial" w:hAnsi="Arial"/>
          <w:sz w:val="20"/>
          <w:szCs w:val="20"/>
          <w:color w:val="auto"/>
        </w:rPr>
      </w:pPr>
    </w:p>
    <w:p>
      <w:pPr>
        <w:jc w:val="both"/>
        <w:ind w:left="120" w:firstLine="605"/>
        <w:spacing w:after="0" w:line="214" w:lineRule="auto"/>
        <w:tabs>
          <w:tab w:leader="none" w:pos="1152"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change (i)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have the effect of altering the pro rata sharing of payments required thereby without the written consent of each Lender, (ii)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in a manner that would alter the order of application of any prepayments of Term Loans without the written consent of each Term Loan Lender, or (iii) subordinate, or have the effect of subordinating, the Obligations hereunder to any other Indebtedness or other obligation, in each case, without the written consent of each Lender directly affected thereby except in the case of (A) any Indebtedness that is expressly permitted by this Agreement to be senior to the Obligations and/or be secured, (B) any Indebtedness incurred pursuant to an asset based facility, factoring, securitization or other similar facility, the incurrence of which is otherwise approved by the Required Lenders, (C) any “debtor-in-possession” facility (or similar financing under applicable law) that does not provide for the “roll up” of any existing obligations or the use of cash collateral in 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44" w:name="page245"/>
    <w:bookmarkEnd w:id="244"/>
    <w:p>
      <w:pPr>
        <w:ind w:left="120"/>
        <w:spacing w:after="0" w:line="236" w:lineRule="auto"/>
        <w:rPr>
          <w:sz w:val="20"/>
          <w:szCs w:val="20"/>
          <w:color w:val="auto"/>
        </w:rPr>
      </w:pPr>
      <w:r>
        <w:rPr>
          <w:rFonts w:ascii="Arial" w:cs="Arial" w:eastAsia="Arial" w:hAnsi="Arial"/>
          <w:sz w:val="20"/>
          <w:szCs w:val="20"/>
          <w:color w:val="auto"/>
        </w:rPr>
        <w:t>insolvency proceeding or (D) any other Indebtedness so long as the opportunity to participate in such Indebtedness is offered ratably to all adversely affected Lenders;</w:t>
      </w:r>
    </w:p>
    <w:p>
      <w:pPr>
        <w:spacing w:after="0" w:line="184" w:lineRule="exact"/>
        <w:rPr>
          <w:sz w:val="20"/>
          <w:szCs w:val="20"/>
          <w:color w:val="auto"/>
        </w:rPr>
      </w:pPr>
    </w:p>
    <w:p>
      <w:pPr>
        <w:jc w:val="both"/>
        <w:ind w:left="120" w:firstLine="605"/>
        <w:spacing w:after="0" w:line="237" w:lineRule="auto"/>
        <w:tabs>
          <w:tab w:leader="none" w:pos="114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subclause (ii) of this clause (f)), without the written consent of each Lender or</w:t>
      </w:r>
    </w:p>
    <w:p>
      <w:pPr>
        <w:spacing w:after="0" w:line="2" w:lineRule="exact"/>
        <w:rPr>
          <w:rFonts w:ascii="Arial" w:cs="Arial" w:eastAsia="Arial" w:hAnsi="Arial"/>
          <w:sz w:val="18"/>
          <w:szCs w:val="18"/>
          <w:color w:val="auto"/>
        </w:rPr>
      </w:pPr>
    </w:p>
    <w:p>
      <w:pPr>
        <w:ind w:left="120" w:firstLine="6"/>
        <w:spacing w:after="0"/>
        <w:tabs>
          <w:tab w:leader="none" w:pos="4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definition of “Required (USD) Lenders”, “Required (MC) Lenders” or “Required Term Loan Lenders” without the written consent of each Committed (USD) Lender, each Committed (MC) Lender or each Term Loan Lender, as the case may be;</w:t>
      </w:r>
    </w:p>
    <w:p>
      <w:pPr>
        <w:spacing w:after="0" w:line="171" w:lineRule="exact"/>
        <w:rPr>
          <w:rFonts w:ascii="Arial" w:cs="Arial" w:eastAsia="Arial" w:hAnsi="Arial"/>
          <w:sz w:val="19"/>
          <w:szCs w:val="19"/>
          <w:color w:val="auto"/>
        </w:rPr>
      </w:pPr>
    </w:p>
    <w:p>
      <w:pPr>
        <w:jc w:val="both"/>
        <w:ind w:left="120" w:firstLine="605"/>
        <w:spacing w:after="0" w:line="258" w:lineRule="auto"/>
        <w:tabs>
          <w:tab w:leader="none" w:pos="115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(USD) Lenders, in the case of the Committed (USD) Facility, the Required (MC) Lenders, in the case of the Committed (MC) Facility, or the Required Term Loan Lenders, in the case of the Term Loan Facility;</w:t>
      </w:r>
    </w:p>
    <w:p>
      <w:pPr>
        <w:spacing w:after="0" w:line="168" w:lineRule="exact"/>
        <w:rPr>
          <w:rFonts w:ascii="Arial" w:cs="Arial" w:eastAsia="Arial" w:hAnsi="Arial"/>
          <w:sz w:val="18"/>
          <w:szCs w:val="18"/>
          <w:color w:val="auto"/>
        </w:rPr>
      </w:pPr>
    </w:p>
    <w:p>
      <w:pPr>
        <w:jc w:val="both"/>
        <w:ind w:left="120" w:firstLine="605"/>
        <w:spacing w:after="0" w:line="227" w:lineRule="auto"/>
        <w:tabs>
          <w:tab w:leader="none" w:pos="1151"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Subsidiary Guaranty without the written consent of each Lender, except to the extent the release of any Subsidiary Guarantor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 or</w:t>
      </w:r>
    </w:p>
    <w:p>
      <w:pPr>
        <w:spacing w:after="0" w:line="183" w:lineRule="exact"/>
        <w:rPr>
          <w:rFonts w:ascii="Arial" w:cs="Arial" w:eastAsia="Arial" w:hAnsi="Arial"/>
          <w:sz w:val="20"/>
          <w:szCs w:val="20"/>
          <w:color w:val="auto"/>
        </w:rPr>
      </w:pPr>
    </w:p>
    <w:p>
      <w:pPr>
        <w:ind w:left="1160" w:hanging="435"/>
        <w:spacing w:after="0"/>
        <w:tabs>
          <w:tab w:leader="none" w:pos="1160" w:val="left"/>
        </w:tabs>
        <w:numPr>
          <w:ilvl w:val="1"/>
          <w:numId w:val="223"/>
        </w:numPr>
        <w:rPr>
          <w:rFonts w:ascii="Arial" w:cs="Arial" w:eastAsia="Arial" w:hAnsi="Arial"/>
          <w:sz w:val="19"/>
          <w:szCs w:val="19"/>
          <w:color w:val="auto"/>
        </w:rPr>
      </w:pPr>
      <w:r>
        <w:rPr>
          <w:rFonts w:ascii="Arial" w:cs="Arial" w:eastAsia="Arial" w:hAnsi="Arial"/>
          <w:sz w:val="19"/>
          <w:szCs w:val="19"/>
          <w:color w:val="181818"/>
        </w:rPr>
        <w:t>amend the definition of “Alternative Currency” without the written consent of each Lender directly affected thereby;</w:t>
      </w:r>
    </w:p>
    <w:p>
      <w:pPr>
        <w:spacing w:after="0" w:line="206"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L/C Issuer in addition to the Lenders required above, affect the rights or duties of the L/C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w:t>
      </w:r>
    </w:p>
    <w:p>
      <w:pPr>
        <w:ind w:left="480" w:hanging="354"/>
        <w:spacing w:after="0" w:line="235" w:lineRule="auto"/>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Fee Letters may be amended, or rights or privileges thereunder waived, in a writing executed only by the parties thereto; and</w:t>
      </w:r>
    </w:p>
    <w:p>
      <w:pPr>
        <w:jc w:val="both"/>
        <w:ind w:left="120" w:firstLine="6"/>
        <w:spacing w:after="0" w:line="231" w:lineRule="auto"/>
        <w:tabs>
          <w:tab w:leader="none" w:pos="41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 order to implement any ESG Amendment, this Agreement and the other Loan Documents may be amended in accordance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with only the consent of the Company and the Sustainability Coordinator.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w:t>
      </w:r>
    </w:p>
    <w:p>
      <w:pPr>
        <w:spacing w:after="0" w:line="2" w:lineRule="exact"/>
        <w:rPr>
          <w:rFonts w:ascii="Arial" w:cs="Arial" w:eastAsia="Arial" w:hAnsi="Arial"/>
          <w:sz w:val="18"/>
          <w:szCs w:val="18"/>
          <w:color w:val="auto"/>
        </w:rPr>
      </w:pPr>
    </w:p>
    <w:p>
      <w:pPr>
        <w:jc w:val="both"/>
        <w:ind w:left="120" w:firstLine="6"/>
        <w:spacing w:after="0" w:line="214" w:lineRule="auto"/>
        <w:tabs>
          <w:tab w:leader="none" w:pos="41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no Commitment of any Defaulting Lender may be increased or extended without the consent of such Lender and (y) any waiver, amendment or modification requiring the consent of all Lenders or each affected Lender or all Lenders or each affected Lender under a Facility that by its terms affects any Defaulting Lender more adversely than other affected Lenders shall require the consent of such Defaulting Lender. In addition, notwithstanding the foregoing, (1) this Agreement may be amended with the written consent of the Administrative Agent, the Company and the Incremental Lenders providing the relevant Incremental Increase to permit the Incremental Amendment in accordance with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(2) the Letter of Credit Sublimit and the Swing Line Sublimit may be increased by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45" w:name="page246"/>
    <w:bookmarkEnd w:id="245"/>
    <w:p>
      <w:pPr>
        <w:ind w:left="120"/>
        <w:spacing w:after="0"/>
        <w:rPr>
          <w:sz w:val="20"/>
          <w:szCs w:val="20"/>
          <w:color w:val="auto"/>
        </w:rPr>
      </w:pPr>
      <w:r>
        <w:rPr>
          <w:rFonts w:ascii="Arial" w:cs="Arial" w:eastAsia="Arial" w:hAnsi="Arial"/>
          <w:sz w:val="19"/>
          <w:szCs w:val="19"/>
          <w:color w:val="auto"/>
        </w:rPr>
        <w:t xml:space="preserve">the L/C Issuer or the Swing Line Lender, as applicable, in accordance with </w:t>
      </w:r>
      <w:r>
        <w:rPr>
          <w:rFonts w:ascii="Arial" w:cs="Arial" w:eastAsia="Arial" w:hAnsi="Arial"/>
          <w:sz w:val="19"/>
          <w:szCs w:val="19"/>
          <w:u w:val="single" w:color="auto"/>
          <w:color w:val="auto"/>
        </w:rPr>
        <w:t>Section 2.15(d)</w:t>
      </w:r>
      <w:r>
        <w:rPr>
          <w:rFonts w:ascii="Arial" w:cs="Arial" w:eastAsia="Arial" w:hAnsi="Arial"/>
          <w:sz w:val="19"/>
          <w:szCs w:val="19"/>
          <w:color w:val="auto"/>
        </w:rPr>
        <w:t xml:space="preserve"> without the consent of any Lender.</w:t>
      </w:r>
    </w:p>
    <w:p>
      <w:pPr>
        <w:spacing w:after="0" w:line="218" w:lineRule="exact"/>
        <w:rPr>
          <w:sz w:val="20"/>
          <w:szCs w:val="20"/>
          <w:color w:val="auto"/>
        </w:rPr>
      </w:pPr>
    </w:p>
    <w:p>
      <w:pPr>
        <w:jc w:val="both"/>
        <w:ind w:left="120" w:firstLine="598"/>
        <w:spacing w:after="0" w:line="231" w:lineRule="auto"/>
        <w:rPr>
          <w:sz w:val="20"/>
          <w:szCs w:val="20"/>
          <w:color w:val="auto"/>
        </w:rPr>
      </w:pPr>
      <w:r>
        <w:rPr>
          <w:rFonts w:ascii="Arial" w:cs="Arial" w:eastAsia="Arial" w:hAnsi="Arial"/>
          <w:sz w:val="19"/>
          <w:szCs w:val="19"/>
          <w:color w:val="181818"/>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2" w:lineRule="exact"/>
        <w:rPr>
          <w:sz w:val="20"/>
          <w:szCs w:val="20"/>
          <w:color w:val="auto"/>
        </w:rPr>
      </w:pPr>
    </w:p>
    <w:p>
      <w:pPr>
        <w:jc w:val="both"/>
        <w:ind w:left="120" w:firstLine="598"/>
        <w:spacing w:after="0" w:line="231" w:lineRule="auto"/>
        <w:rPr>
          <w:sz w:val="20"/>
          <w:szCs w:val="20"/>
          <w:color w:val="auto"/>
        </w:rPr>
      </w:pPr>
      <w:r>
        <w:rPr>
          <w:rFonts w:ascii="Arial" w:cs="Arial" w:eastAsia="Arial" w:hAnsi="Arial"/>
          <w:sz w:val="19"/>
          <w:szCs w:val="19"/>
          <w:color w:val="auto"/>
        </w:rPr>
        <w:t>Notwithstanding any provision herein to the contrary, if the Administrative Agent and the Borrowers acting together identify any ambiguity, omission, mistake, typographical error or other defect in any provision of this Agreement or any other Loan Document (including the schedules and exhibits thereto),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6"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7"/>
          <w:szCs w:val="17"/>
          <w:b w:val="1"/>
          <w:bCs w:val="1"/>
          <w:color w:val="auto"/>
        </w:rPr>
        <w:t>Notices; Effectiveness; Electronic Communication.</w:t>
      </w:r>
    </w:p>
    <w:p>
      <w:pPr>
        <w:spacing w:after="0" w:line="213" w:lineRule="exact"/>
        <w:rPr>
          <w:sz w:val="20"/>
          <w:szCs w:val="20"/>
          <w:color w:val="auto"/>
        </w:rPr>
      </w:pPr>
    </w:p>
    <w:p>
      <w:pPr>
        <w:jc w:val="both"/>
        <w:ind w:left="120" w:firstLine="605"/>
        <w:spacing w:after="0" w:line="219" w:lineRule="auto"/>
        <w:tabs>
          <w:tab w:leader="none" w:pos="1152"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6" w:lineRule="exact"/>
        <w:rPr>
          <w:rFonts w:ascii="Arial" w:cs="Arial" w:eastAsia="Arial" w:hAnsi="Arial"/>
          <w:sz w:val="20"/>
          <w:szCs w:val="20"/>
          <w:color w:val="auto"/>
        </w:rPr>
      </w:pPr>
    </w:p>
    <w:p>
      <w:pPr>
        <w:jc w:val="both"/>
        <w:ind w:left="720" w:firstLine="605"/>
        <w:spacing w:after="0" w:line="227" w:lineRule="auto"/>
        <w:tabs>
          <w:tab w:leader="none" w:pos="1745"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if to a Borrower, the Administrative Agent or Bank of America, in its capacity as an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10.02</w:t>
      </w:r>
      <w:r>
        <w:rPr>
          <w:rFonts w:ascii="Arial" w:cs="Arial" w:eastAsia="Arial" w:hAnsi="Arial"/>
          <w:sz w:val="20"/>
          <w:szCs w:val="20"/>
          <w:color w:val="auto"/>
        </w:rPr>
        <w:t>; and</w:t>
      </w:r>
    </w:p>
    <w:p>
      <w:pPr>
        <w:spacing w:after="0" w:line="246" w:lineRule="exact"/>
        <w:rPr>
          <w:rFonts w:ascii="Arial" w:cs="Arial" w:eastAsia="Arial" w:hAnsi="Arial"/>
          <w:sz w:val="20"/>
          <w:szCs w:val="20"/>
          <w:color w:val="auto"/>
        </w:rPr>
      </w:pPr>
    </w:p>
    <w:p>
      <w:pPr>
        <w:jc w:val="both"/>
        <w:ind w:left="720" w:firstLine="605"/>
        <w:spacing w:after="0" w:line="222" w:lineRule="auto"/>
        <w:tabs>
          <w:tab w:leader="none" w:pos="175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3"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or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9" w:lineRule="exact"/>
        <w:rPr>
          <w:sz w:val="20"/>
          <w:szCs w:val="20"/>
          <w:color w:val="auto"/>
        </w:rPr>
      </w:pPr>
    </w:p>
    <w:p>
      <w:pPr>
        <w:jc w:val="both"/>
        <w:ind w:left="120" w:firstLine="605"/>
        <w:spacing w:after="0" w:line="227" w:lineRule="auto"/>
        <w:tabs>
          <w:tab w:leader="none" w:pos="1151"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46" w:name="page247"/>
    <w:bookmarkEnd w:id="246"/>
    <w:p>
      <w:pPr>
        <w:jc w:val="both"/>
        <w:ind w:left="120"/>
        <w:spacing w:after="0" w:line="219" w:lineRule="auto"/>
        <w:rPr>
          <w:sz w:val="20"/>
          <w:szCs w:val="20"/>
          <w:color w:val="auto"/>
        </w:rPr>
      </w:pPr>
      <w:r>
        <w:rPr>
          <w:rFonts w:ascii="Arial" w:cs="Arial" w:eastAsia="Arial" w:hAnsi="Arial"/>
          <w:sz w:val="20"/>
          <w:szCs w:val="20"/>
          <w:color w:val="auto"/>
        </w:rPr>
        <w:t xml:space="preserve">or the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74" w:lineRule="exact"/>
        <w:rPr>
          <w:sz w:val="20"/>
          <w:szCs w:val="20"/>
          <w:color w:val="auto"/>
        </w:rPr>
      </w:pPr>
    </w:p>
    <w:p>
      <w:pPr>
        <w:jc w:val="both"/>
        <w:ind w:left="120" w:firstLine="598"/>
        <w:spacing w:after="0" w:line="215"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3" w:lineRule="exact"/>
        <w:rPr>
          <w:sz w:val="20"/>
          <w:szCs w:val="20"/>
          <w:color w:val="auto"/>
        </w:rPr>
      </w:pPr>
    </w:p>
    <w:p>
      <w:pPr>
        <w:ind w:left="1160" w:hanging="435"/>
        <w:spacing w:after="0"/>
        <w:tabs>
          <w:tab w:leader="none" w:pos="1160" w:val="left"/>
        </w:tabs>
        <w:numPr>
          <w:ilvl w:val="0"/>
          <w:numId w:val="228"/>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jc w:val="both"/>
        <w:ind w:left="120"/>
        <w:spacing w:after="0" w:line="222" w:lineRule="auto"/>
        <w:rPr>
          <w:rFonts w:ascii="Arial" w:cs="Arial" w:eastAsia="Arial" w:hAnsi="Arial"/>
          <w:sz w:val="20"/>
          <w:szCs w:val="20"/>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75" w:lineRule="exact"/>
        <w:rPr>
          <w:rFonts w:ascii="Arial" w:cs="Arial" w:eastAsia="Arial" w:hAnsi="Arial"/>
          <w:sz w:val="20"/>
          <w:szCs w:val="20"/>
          <w:color w:val="auto"/>
        </w:rPr>
      </w:pPr>
    </w:p>
    <w:p>
      <w:pPr>
        <w:jc w:val="both"/>
        <w:ind w:left="120" w:firstLine="605"/>
        <w:spacing w:after="0" w:line="226" w:lineRule="auto"/>
        <w:tabs>
          <w:tab w:leader="none" w:pos="1151"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47" w:name="page248"/>
    <w:bookmarkEnd w:id="247"/>
    <w:p>
      <w:pPr>
        <w:jc w:val="both"/>
        <w:ind w:left="120"/>
        <w:spacing w:after="0" w:line="219" w:lineRule="auto"/>
        <w:rPr>
          <w:sz w:val="20"/>
          <w:szCs w:val="20"/>
          <w:color w:val="auto"/>
        </w:rPr>
      </w:pPr>
      <w:r>
        <w:rPr>
          <w:rFonts w:ascii="Arial" w:cs="Arial" w:eastAsia="Arial" w:hAnsi="Arial"/>
          <w:sz w:val="20"/>
          <w:szCs w:val="20"/>
          <w:color w:val="auto"/>
        </w:rPr>
        <w:t>“Private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74" w:lineRule="exact"/>
        <w:rPr>
          <w:sz w:val="20"/>
          <w:szCs w:val="20"/>
          <w:color w:val="auto"/>
        </w:rPr>
      </w:pPr>
    </w:p>
    <w:p>
      <w:pPr>
        <w:jc w:val="both"/>
        <w:ind w:left="120" w:firstLine="605"/>
        <w:spacing w:after="0" w:line="237" w:lineRule="auto"/>
        <w:tabs>
          <w:tab w:leader="none" w:pos="1152"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or electronic notices, Loan Notices, Letter of Credit Applications, Notices of Loan Prepayment, and Swing Line Loan Notices) purportedly given by or on behalf of any Borrower even if</w:t>
      </w:r>
    </w:p>
    <w:p>
      <w:pPr>
        <w:spacing w:after="0" w:line="2" w:lineRule="exact"/>
        <w:rPr>
          <w:rFonts w:ascii="Arial" w:cs="Arial" w:eastAsia="Arial" w:hAnsi="Arial"/>
          <w:sz w:val="18"/>
          <w:szCs w:val="18"/>
          <w:color w:val="auto"/>
        </w:rPr>
      </w:pPr>
    </w:p>
    <w:p>
      <w:pPr>
        <w:jc w:val="both"/>
        <w:ind w:left="120" w:firstLine="6"/>
        <w:spacing w:after="0" w:line="226" w:lineRule="auto"/>
        <w:tabs>
          <w:tab w:leader="none" w:pos="36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79" w:lineRule="exact"/>
        <w:rPr>
          <w:sz w:val="20"/>
          <w:szCs w:val="20"/>
          <w:color w:val="auto"/>
        </w:rPr>
      </w:pPr>
    </w:p>
    <w:p>
      <w:pPr>
        <w:jc w:val="both"/>
        <w:ind w:left="120" w:firstLine="598"/>
        <w:spacing w:after="0" w:line="230" w:lineRule="auto"/>
        <w:rPr>
          <w:sz w:val="20"/>
          <w:szCs w:val="20"/>
          <w:color w:val="auto"/>
        </w:rPr>
      </w:pPr>
      <w:r>
        <w:rPr>
          <w:rFonts w:ascii="Arial" w:cs="Arial" w:eastAsia="Arial" w:hAnsi="Arial"/>
          <w:sz w:val="19"/>
          <w:szCs w:val="19"/>
          <w:b w:val="1"/>
          <w:bCs w:val="1"/>
          <w:color w:val="auto"/>
        </w:rPr>
        <w:t xml:space="preserve">10.03 No Waiver; Cumulative Remedies; Enforcement. </w:t>
      </w:r>
      <w:r>
        <w:rPr>
          <w:rFonts w:ascii="Arial" w:cs="Arial" w:eastAsia="Arial" w:hAnsi="Arial"/>
          <w:sz w:val="19"/>
          <w:szCs w:val="19"/>
          <w:color w:val="auto"/>
        </w:rPr>
        <w:t>No failure by any Lender, the L/C Issuer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3" w:lineRule="exact"/>
        <w:rPr>
          <w:sz w:val="20"/>
          <w:szCs w:val="20"/>
          <w:color w:val="auto"/>
        </w:rPr>
      </w:pPr>
    </w:p>
    <w:p>
      <w:pPr>
        <w:jc w:val="both"/>
        <w:ind w:left="120" w:firstLine="598"/>
        <w:spacing w:after="0" w:line="236"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48" w:name="page249"/>
    <w:bookmarkEnd w:id="248"/>
    <w:p>
      <w:pPr>
        <w:ind w:left="720"/>
        <w:spacing w:after="0"/>
        <w:tabs>
          <w:tab w:leader="none" w:pos="130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8"/>
          <w:szCs w:val="18"/>
          <w:b w:val="1"/>
          <w:bCs w:val="1"/>
          <w:color w:val="auto"/>
        </w:rPr>
        <w:t>Expenses; Indemnity; Damage Waiver.</w:t>
      </w:r>
    </w:p>
    <w:p>
      <w:pPr>
        <w:spacing w:after="0" w:line="213" w:lineRule="exact"/>
        <w:rPr>
          <w:sz w:val="20"/>
          <w:szCs w:val="20"/>
          <w:color w:val="auto"/>
        </w:rPr>
      </w:pPr>
    </w:p>
    <w:p>
      <w:pPr>
        <w:jc w:val="both"/>
        <w:ind w:left="120" w:firstLine="605"/>
        <w:spacing w:after="0" w:line="235" w:lineRule="auto"/>
        <w:tabs>
          <w:tab w:leader="none" w:pos="11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jointly and severally, pay (i) all reasonable and documented out-of-pocket expenses incurred by the Administrative Agent and its Affiliates (limited in respect of legal fees to reasonable fees, charges and disbursements of counsel to the Administrative Agent, and of a single regulatory counsel and single local counsel in each appropriate jurisdiction which may include a special counsel acting in multiple jurisdictions),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Bankers’ Acceptance or any demand for payment thereunder and (iii) all out-of-pocket expenses incurred by the Administrative Agent, any Lender or the L/C Issuer (limited in respect of legal fees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Lenders (and, in the case of a conflict of interest, one additional counsel to all such affected Lenders similarly situated, taken as a whole)), in connection with the enforcement or protection of its rights (A) in connection with this Agreement and the other Loan Documents, including its rights under this Section, or (B) in connection with Loans made or Letters of Credit or Bankers’ Acceptances issued hereunder, including all such out-of-pocket expenses incurred during any workout, restructuring or negotiations in respect of such Loans, Letters of Credit or Bankers’ Acceptances.</w:t>
      </w:r>
    </w:p>
    <w:p>
      <w:pPr>
        <w:spacing w:after="0" w:line="177" w:lineRule="exact"/>
        <w:rPr>
          <w:rFonts w:ascii="Arial" w:cs="Arial" w:eastAsia="Arial" w:hAnsi="Arial"/>
          <w:sz w:val="18"/>
          <w:szCs w:val="18"/>
          <w:color w:val="auto"/>
        </w:rPr>
      </w:pPr>
    </w:p>
    <w:p>
      <w:pPr>
        <w:jc w:val="both"/>
        <w:ind w:left="120" w:firstLine="605"/>
        <w:spacing w:after="0" w:line="234" w:lineRule="auto"/>
        <w:tabs>
          <w:tab w:leader="none" w:pos="115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jointly and severally, indemnify the Administrative Agent (and any sub-agent thereof), each Lender and the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counsel),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(ii) any Loan, Letter of Credit or Bankers’ Acceptance or the use or proposed use of the proceeds therefrom (including any refusal by the L/C Issuer to honor a demand for payment under a Letter of Credit or Bankers’ Acceptance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(other than any such presence, alleged presence, release or Environmental Liability resulting solely from acts or omissions by Persons other than any Borrower or any of its Subsidiaries after the Administrative Agent sells the applicable property pursuant to a foreclosure or has accepted a deed in lieu of foreclosure), or (iv) any actual or prospective claim, litigation, investigation or proceeding relating to any of the foregoing, whether based on contract, tort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49" w:name="page250"/>
    <w:bookmarkEnd w:id="249"/>
    <w:p>
      <w:pPr>
        <w:jc w:val="both"/>
        <w:ind w:left="120"/>
        <w:spacing w:after="0" w:line="223" w:lineRule="auto"/>
        <w:rPr>
          <w:sz w:val="20"/>
          <w:szCs w:val="20"/>
          <w:color w:val="auto"/>
        </w:rPr>
      </w:pPr>
      <w:r>
        <w:rPr>
          <w:rFonts w:ascii="Arial" w:cs="Arial" w:eastAsia="Arial" w:hAnsi="Arial"/>
          <w:sz w:val="19"/>
          <w:szCs w:val="19"/>
          <w:color w:val="auto"/>
        </w:rPr>
        <w:t xml:space="preserve">or any other theory, whether brought by a third party or by any Borrower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(w) relate to the matters referred to in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(which Sections set forth the sole remedies in respect of the matters set forth therein) or relate to any other Taxes (other than Taxes that represent losses, claims, damages, liabilities or related expenses arising from a non-Tax claim), (x) are determined by a court of competent jurisdiction by final and nonappealable judgment to have resulted from the gross negligence or willful misconduct of such Indemnitee, (y) result from a claim brought by any Borrower or any other Loan Party against an Indemnitee for breach in bad faith of such Indemnitee’s obligations hereunder or under any other Loan Document, if such Borrower or such other Loan Party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the L/C Issuer or any similar role);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w:t>
      </w:r>
    </w:p>
    <w:p>
      <w:pPr>
        <w:spacing w:after="0" w:line="172" w:lineRule="exact"/>
        <w:rPr>
          <w:sz w:val="20"/>
          <w:szCs w:val="20"/>
          <w:color w:val="auto"/>
        </w:rPr>
      </w:pPr>
    </w:p>
    <w:p>
      <w:pPr>
        <w:jc w:val="both"/>
        <w:ind w:left="120" w:firstLine="605"/>
        <w:spacing w:after="0" w:line="236" w:lineRule="auto"/>
        <w:tabs>
          <w:tab w:leader="none" w:pos="115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Borrowers for any reason fail to indefeasibly pay any amount required under subsection (a) or (b)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L/C Issuer or the Swing Line Lender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120" w:firstLine="605"/>
        <w:spacing w:after="0" w:line="226" w:lineRule="auto"/>
        <w:tabs>
          <w:tab w:leader="none" w:pos="1151"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no Borrower shall assert, and each Borrower hereby waives, any claim against any Indemnitee, and no Indemnitee shall assert, and each Indemnitee hereby waives, any claim against any Loan Party, in each case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50" w:name="page251"/>
    <w:bookmarkEnd w:id="250"/>
    <w:p>
      <w:pPr>
        <w:jc w:val="both"/>
        <w:ind w:left="120"/>
        <w:spacing w:after="0" w:line="239" w:lineRule="auto"/>
        <w:rPr>
          <w:sz w:val="20"/>
          <w:szCs w:val="20"/>
          <w:color w:val="auto"/>
        </w:rPr>
      </w:pPr>
      <w:r>
        <w:rPr>
          <w:rFonts w:ascii="Arial" w:cs="Arial" w:eastAsia="Arial" w:hAnsi="Arial"/>
          <w:sz w:val="19"/>
          <w:szCs w:val="19"/>
          <w:color w:val="auto"/>
        </w:rPr>
        <w:t>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4" w:lineRule="exact"/>
        <w:rPr>
          <w:sz w:val="20"/>
          <w:szCs w:val="20"/>
          <w:color w:val="auto"/>
        </w:rPr>
      </w:pPr>
    </w:p>
    <w:p>
      <w:pPr>
        <w:ind w:left="1160" w:hanging="435"/>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17" w:lineRule="exact"/>
        <w:rPr>
          <w:rFonts w:ascii="Arial" w:cs="Arial" w:eastAsia="Arial" w:hAnsi="Arial"/>
          <w:sz w:val="18"/>
          <w:szCs w:val="18"/>
          <w:color w:val="auto"/>
        </w:rPr>
      </w:pPr>
    </w:p>
    <w:p>
      <w:pPr>
        <w:jc w:val="both"/>
        <w:ind w:left="120" w:firstLine="605"/>
        <w:spacing w:after="0" w:line="227" w:lineRule="auto"/>
        <w:tabs>
          <w:tab w:leader="none" w:pos="1143"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78" w:lineRule="exact"/>
        <w:rPr>
          <w:sz w:val="20"/>
          <w:szCs w:val="20"/>
          <w:color w:val="auto"/>
        </w:rPr>
      </w:pPr>
    </w:p>
    <w:p>
      <w:pPr>
        <w:jc w:val="both"/>
        <w:ind w:left="120" w:firstLine="598"/>
        <w:spacing w:after="0" w:line="237" w:lineRule="auto"/>
        <w:rPr>
          <w:sz w:val="20"/>
          <w:szCs w:val="20"/>
          <w:color w:val="auto"/>
        </w:rPr>
      </w:pPr>
      <w:r>
        <w:rPr>
          <w:rFonts w:ascii="Arial" w:cs="Arial" w:eastAsia="Arial" w:hAnsi="Arial"/>
          <w:sz w:val="18"/>
          <w:szCs w:val="18"/>
          <w:b w:val="1"/>
          <w:bCs w:val="1"/>
          <w:color w:val="auto"/>
        </w:rPr>
        <w:t xml:space="preserve">10.05 Payments Set Aside. </w:t>
      </w:r>
      <w:r>
        <w:rPr>
          <w:rFonts w:ascii="Arial" w:cs="Arial" w:eastAsia="Arial" w:hAnsi="Arial"/>
          <w:sz w:val="18"/>
          <w:szCs w:val="18"/>
          <w:color w:val="auto"/>
        </w:rPr>
        <w:t>To the extent that any payment by or on behalf of any Borrower is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1"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p>
    <w:p>
      <w:pPr>
        <w:spacing w:after="0" w:line="200" w:lineRule="exact"/>
        <w:rPr>
          <w:sz w:val="20"/>
          <w:szCs w:val="20"/>
          <w:color w:val="auto"/>
        </w:rPr>
      </w:pPr>
    </w:p>
    <w:p>
      <w:pPr>
        <w:jc w:val="both"/>
        <w:ind w:left="120" w:firstLine="605"/>
        <w:spacing w:after="0" w:line="224" w:lineRule="auto"/>
        <w:tabs>
          <w:tab w:leader="none" w:pos="1152"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51" w:name="page252"/>
    <w:bookmarkEnd w:id="251"/>
    <w:p>
      <w:pPr>
        <w:jc w:val="both"/>
        <w:ind w:left="120" w:firstLine="605"/>
        <w:spacing w:after="0" w:line="234" w:lineRule="auto"/>
        <w:tabs>
          <w:tab w:leader="none" w:pos="1151"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 Line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with respect to any Facility) any such assignment shall be subject to the following conditions:</w:t>
      </w:r>
    </w:p>
    <w:p>
      <w:pPr>
        <w:spacing w:after="0" w:line="184" w:lineRule="exact"/>
        <w:rPr>
          <w:rFonts w:ascii="Arial" w:cs="Arial" w:eastAsia="Arial" w:hAnsi="Arial"/>
          <w:sz w:val="19"/>
          <w:szCs w:val="19"/>
          <w:color w:val="auto"/>
        </w:rPr>
      </w:pPr>
    </w:p>
    <w:p>
      <w:pPr>
        <w:ind w:left="1920" w:hanging="596"/>
        <w:spacing w:after="0"/>
        <w:tabs>
          <w:tab w:leader="none" w:pos="1920" w:val="left"/>
        </w:tabs>
        <w:numPr>
          <w:ilvl w:val="1"/>
          <w:numId w:val="235"/>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1320" w:firstLine="604"/>
        <w:spacing w:after="0" w:line="231" w:lineRule="auto"/>
        <w:tabs>
          <w:tab w:leader="none" w:pos="2346" w:val="left"/>
        </w:tabs>
        <w:numPr>
          <w:ilvl w:val="3"/>
          <w:numId w:val="235"/>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subsection (b)(i)(B) of this Section in the aggregate or in the case of an assignment to a Lender, an Affiliate of a Lender or an Approved Fund, no minimum amount need be assigned; and</w:t>
      </w:r>
    </w:p>
    <w:p>
      <w:pPr>
        <w:spacing w:after="0" w:line="171" w:lineRule="exact"/>
        <w:rPr>
          <w:rFonts w:ascii="Arial" w:cs="Arial" w:eastAsia="Arial" w:hAnsi="Arial"/>
          <w:sz w:val="19"/>
          <w:szCs w:val="19"/>
          <w:color w:val="auto"/>
        </w:rPr>
      </w:pPr>
    </w:p>
    <w:p>
      <w:pPr>
        <w:jc w:val="both"/>
        <w:ind w:left="1320" w:firstLine="604"/>
        <w:spacing w:after="0"/>
        <w:tabs>
          <w:tab w:leader="none" w:pos="2348" w:val="left"/>
        </w:tabs>
        <w:numPr>
          <w:ilvl w:val="3"/>
          <w:numId w:val="235"/>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86" w:lineRule="exact"/>
        <w:rPr>
          <w:rFonts w:ascii="Arial" w:cs="Arial" w:eastAsia="Arial" w:hAnsi="Arial"/>
          <w:sz w:val="18"/>
          <w:szCs w:val="18"/>
          <w:color w:val="auto"/>
        </w:rPr>
      </w:pPr>
    </w:p>
    <w:p>
      <w:pPr>
        <w:jc w:val="both"/>
        <w:ind w:left="720" w:firstLine="605"/>
        <w:spacing w:after="0" w:line="222" w:lineRule="auto"/>
        <w:tabs>
          <w:tab w:leader="none" w:pos="1750" w:val="left"/>
        </w:tabs>
        <w:numPr>
          <w:ilvl w:val="1"/>
          <w:numId w:val="235"/>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the Swing Line Lender’s rights and obligations in respect of Swing Line Loans.</w:t>
      </w:r>
    </w:p>
    <w:p>
      <w:pPr>
        <w:spacing w:after="0" w:line="185" w:lineRule="exact"/>
        <w:rPr>
          <w:rFonts w:ascii="Arial" w:cs="Arial" w:eastAsia="Arial" w:hAnsi="Arial"/>
          <w:sz w:val="20"/>
          <w:szCs w:val="20"/>
          <w:color w:val="auto"/>
        </w:rPr>
      </w:pPr>
    </w:p>
    <w:p>
      <w:pPr>
        <w:ind w:left="720" w:firstLine="605"/>
        <w:spacing w:after="0" w:line="236" w:lineRule="auto"/>
        <w:tabs>
          <w:tab w:leader="none" w:pos="1743" w:val="left"/>
        </w:tabs>
        <w:numPr>
          <w:ilvl w:val="1"/>
          <w:numId w:val="235"/>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1" w:lineRule="exact"/>
        <w:rPr>
          <w:rFonts w:ascii="Arial" w:cs="Arial" w:eastAsia="Arial" w:hAnsi="Arial"/>
          <w:sz w:val="20"/>
          <w:szCs w:val="20"/>
          <w:color w:val="auto"/>
        </w:rPr>
      </w:pPr>
    </w:p>
    <w:p>
      <w:pPr>
        <w:jc w:val="both"/>
        <w:ind w:left="1320" w:firstLine="604"/>
        <w:spacing w:after="0"/>
        <w:tabs>
          <w:tab w:leader="none" w:pos="2346" w:val="left"/>
        </w:tabs>
        <w:numPr>
          <w:ilvl w:val="3"/>
          <w:numId w:val="235"/>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shall be required unless (1) an Event of Default pursuant to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has occurred and is continuing at the time of such assignment or</w:t>
      </w:r>
    </w:p>
    <w:p>
      <w:pPr>
        <w:spacing w:after="0" w:line="1" w:lineRule="exact"/>
        <w:rPr>
          <w:rFonts w:ascii="Arial" w:cs="Arial" w:eastAsia="Arial" w:hAnsi="Arial"/>
          <w:sz w:val="18"/>
          <w:szCs w:val="18"/>
          <w:color w:val="auto"/>
        </w:rPr>
      </w:pPr>
    </w:p>
    <w:p>
      <w:pPr>
        <w:jc w:val="both"/>
        <w:ind w:left="1320" w:firstLine="5"/>
        <w:spacing w:after="0" w:line="218" w:lineRule="auto"/>
        <w:tabs>
          <w:tab w:leader="none" w:pos="1634" w:val="left"/>
        </w:tabs>
        <w:numPr>
          <w:ilvl w:val="2"/>
          <w:numId w:val="235"/>
        </w:numPr>
        <w:rPr>
          <w:rFonts w:ascii="Arial" w:cs="Arial" w:eastAsia="Arial" w:hAnsi="Arial"/>
          <w:sz w:val="20"/>
          <w:szCs w:val="20"/>
          <w:color w:val="auto"/>
        </w:rPr>
      </w:pPr>
      <w:r>
        <w:rPr>
          <w:rFonts w:ascii="Arial" w:cs="Arial" w:eastAsia="Arial" w:hAnsi="Arial"/>
          <w:sz w:val="20"/>
          <w:szCs w:val="20"/>
          <w:color w:val="auto"/>
        </w:rPr>
        <w:t xml:space="preserve">in the case of an assignment of any Term Loan or unfunded Term Loan Commitment, such assignment is to a Lender, an Affiliate of a Lender or an Approved Fund; </w:t>
      </w:r>
      <w:r>
        <w:rPr>
          <w:rFonts w:ascii="Arial" w:cs="Arial" w:eastAsia="Arial" w:hAnsi="Arial"/>
          <w:sz w:val="20"/>
          <w:szCs w:val="20"/>
          <w:u w:val="single" w:color="auto"/>
          <w:color w:val="181818"/>
        </w:rPr>
        <w:t>provided</w:t>
      </w:r>
      <w:r>
        <w:rPr>
          <w:rFonts w:ascii="Arial" w:cs="Arial" w:eastAsia="Arial" w:hAnsi="Arial"/>
          <w:sz w:val="20"/>
          <w:szCs w:val="20"/>
          <w:color w:val="auto"/>
        </w:rPr>
        <w:t xml:space="preserve"> </w:t>
      </w:r>
      <w:r>
        <w:rPr>
          <w:rFonts w:ascii="Arial" w:cs="Arial" w:eastAsia="Arial" w:hAnsi="Arial"/>
          <w:sz w:val="20"/>
          <w:szCs w:val="20"/>
          <w:color w:val="181818"/>
        </w:rPr>
        <w:t>that the Company shall be deemed to have consented to</w:t>
      </w:r>
      <w:r>
        <w:rPr>
          <w:rFonts w:ascii="Arial" w:cs="Arial" w:eastAsia="Arial" w:hAnsi="Arial"/>
          <w:sz w:val="20"/>
          <w:szCs w:val="20"/>
          <w:color w:val="auto"/>
        </w:rPr>
        <w:t xml:space="preserve"> </w:t>
      </w:r>
      <w:r>
        <w:rPr>
          <w:rFonts w:ascii="Arial" w:cs="Arial" w:eastAsia="Arial" w:hAnsi="Arial"/>
          <w:sz w:val="20"/>
          <w:szCs w:val="20"/>
          <w:color w:val="181818"/>
        </w:rPr>
        <w:t>any such assignment unless it shall object thereto by written notice to the Administrative Agent within ten (10) Business Days after having received notice thereof;</w:t>
      </w:r>
    </w:p>
    <w:p>
      <w:pPr>
        <w:spacing w:after="0" w:line="184" w:lineRule="exact"/>
        <w:rPr>
          <w:rFonts w:ascii="Arial" w:cs="Arial" w:eastAsia="Arial" w:hAnsi="Arial"/>
          <w:sz w:val="20"/>
          <w:szCs w:val="20"/>
          <w:color w:val="auto"/>
        </w:rPr>
      </w:pPr>
    </w:p>
    <w:p>
      <w:pPr>
        <w:ind w:left="1320" w:firstLine="604"/>
        <w:spacing w:after="0" w:line="216" w:lineRule="auto"/>
        <w:tabs>
          <w:tab w:leader="none" w:pos="2348" w:val="left"/>
        </w:tabs>
        <w:numPr>
          <w:ilvl w:val="3"/>
          <w:numId w:val="236"/>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w:t>
      </w:r>
    </w:p>
    <w:p>
      <w:pPr>
        <w:spacing w:after="0" w:line="1" w:lineRule="exact"/>
        <w:rPr>
          <w:rFonts w:ascii="Arial" w:cs="Arial" w:eastAsia="Arial" w:hAnsi="Arial"/>
          <w:sz w:val="20"/>
          <w:szCs w:val="20"/>
          <w:color w:val="auto"/>
        </w:rPr>
      </w:pPr>
    </w:p>
    <w:p>
      <w:pPr>
        <w:ind w:left="1320" w:firstLine="5"/>
        <w:spacing w:after="0" w:line="228" w:lineRule="auto"/>
        <w:tabs>
          <w:tab w:leader="none" w:pos="1572" w:val="left"/>
        </w:tabs>
        <w:numPr>
          <w:ilvl w:val="1"/>
          <w:numId w:val="237"/>
        </w:numPr>
        <w:rPr>
          <w:rFonts w:ascii="Arial" w:cs="Arial" w:eastAsia="Arial" w:hAnsi="Arial"/>
          <w:sz w:val="20"/>
          <w:szCs w:val="20"/>
          <w:color w:val="auto"/>
        </w:rPr>
      </w:pPr>
      <w:r>
        <w:rPr>
          <w:rFonts w:ascii="Arial" w:cs="Arial" w:eastAsia="Arial" w:hAnsi="Arial"/>
          <w:sz w:val="20"/>
          <w:szCs w:val="20"/>
          <w:color w:val="auto"/>
        </w:rPr>
        <w:t>any unfunded Term Loan Commitment, any USD Commitment or any MC Commitment if such assignment is to a Person that is not a Lender with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52" w:name="page253"/>
    <w:bookmarkEnd w:id="252"/>
    <w:p>
      <w:pPr>
        <w:jc w:val="both"/>
        <w:ind w:left="1320"/>
        <w:spacing w:after="0" w:line="227" w:lineRule="auto"/>
        <w:rPr>
          <w:sz w:val="20"/>
          <w:szCs w:val="20"/>
          <w:color w:val="auto"/>
        </w:rPr>
      </w:pPr>
      <w:r>
        <w:rPr>
          <w:rFonts w:ascii="Arial" w:cs="Arial" w:eastAsia="Arial" w:hAnsi="Arial"/>
          <w:sz w:val="20"/>
          <w:szCs w:val="20"/>
          <w:color w:val="auto"/>
        </w:rPr>
        <w:t>a Commitment in respect of the applicable Facility, an Affiliate of such Lender or an Approved Fund with respect to such Lender or (ii) any Term Loan to a Person that is not a Lender, an Affiliate of such Lender or an Approved Fund with respect to such Lender; and</w:t>
      </w:r>
    </w:p>
    <w:p>
      <w:pPr>
        <w:spacing w:after="0" w:line="184" w:lineRule="exact"/>
        <w:rPr>
          <w:sz w:val="20"/>
          <w:szCs w:val="20"/>
          <w:color w:val="auto"/>
        </w:rPr>
      </w:pPr>
    </w:p>
    <w:p>
      <w:pPr>
        <w:ind w:left="1320" w:firstLine="604"/>
        <w:spacing w:after="0" w:line="236" w:lineRule="auto"/>
        <w:tabs>
          <w:tab w:leader="none" w:pos="2348" w:val="left"/>
        </w:tabs>
        <w:numPr>
          <w:ilvl w:val="1"/>
          <w:numId w:val="238"/>
        </w:numPr>
        <w:rPr>
          <w:rFonts w:ascii="Arial" w:cs="Arial" w:eastAsia="Arial" w:hAnsi="Arial"/>
          <w:sz w:val="20"/>
          <w:szCs w:val="20"/>
          <w:color w:val="auto"/>
        </w:rPr>
      </w:pPr>
      <w:r>
        <w:rPr>
          <w:rFonts w:ascii="Arial" w:cs="Arial" w:eastAsia="Arial" w:hAnsi="Arial"/>
          <w:sz w:val="20"/>
          <w:szCs w:val="20"/>
          <w:color w:val="auto"/>
        </w:rPr>
        <w:t>the consent of the L/C Issuer and the Swing Line Lender (such consent not to be unreasonably withheld or delayed) shall be required for any assignment in respect of the Committed (USD) Facility.</w:t>
      </w:r>
    </w:p>
    <w:p>
      <w:pPr>
        <w:spacing w:after="0" w:line="171" w:lineRule="exact"/>
        <w:rPr>
          <w:rFonts w:ascii="Arial" w:cs="Arial" w:eastAsia="Arial" w:hAnsi="Arial"/>
          <w:sz w:val="20"/>
          <w:szCs w:val="20"/>
          <w:color w:val="auto"/>
        </w:rPr>
      </w:pPr>
    </w:p>
    <w:p>
      <w:pPr>
        <w:jc w:val="both"/>
        <w:ind w:left="720" w:firstLine="605"/>
        <w:spacing w:after="0" w:line="249" w:lineRule="auto"/>
        <w:tabs>
          <w:tab w:leader="none" w:pos="174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7" w:lineRule="exact"/>
        <w:rPr>
          <w:rFonts w:ascii="Arial" w:cs="Arial" w:eastAsia="Arial" w:hAnsi="Arial"/>
          <w:sz w:val="18"/>
          <w:szCs w:val="18"/>
          <w:color w:val="auto"/>
        </w:rPr>
      </w:pPr>
    </w:p>
    <w:p>
      <w:pPr>
        <w:jc w:val="both"/>
        <w:ind w:left="720" w:firstLine="605"/>
        <w:spacing w:after="0" w:line="219" w:lineRule="auto"/>
        <w:tabs>
          <w:tab w:leader="none" w:pos="1752"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86" w:lineRule="exact"/>
        <w:rPr>
          <w:rFonts w:ascii="Arial" w:cs="Arial" w:eastAsia="Arial" w:hAnsi="Arial"/>
          <w:sz w:val="20"/>
          <w:szCs w:val="20"/>
          <w:color w:val="auto"/>
        </w:rPr>
      </w:pPr>
    </w:p>
    <w:p>
      <w:pPr>
        <w:jc w:val="both"/>
        <w:ind w:left="720" w:firstLine="605"/>
        <w:spacing w:after="0" w:line="236" w:lineRule="auto"/>
        <w:tabs>
          <w:tab w:leader="none" w:pos="174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5" w:lineRule="exact"/>
        <w:rPr>
          <w:rFonts w:ascii="Arial" w:cs="Arial" w:eastAsia="Arial" w:hAnsi="Arial"/>
          <w:sz w:val="18"/>
          <w:szCs w:val="18"/>
          <w:color w:val="auto"/>
        </w:rPr>
      </w:pPr>
    </w:p>
    <w:p>
      <w:pPr>
        <w:jc w:val="both"/>
        <w:ind w:left="720" w:firstLine="605"/>
        <w:spacing w:after="0" w:line="217" w:lineRule="auto"/>
        <w:tabs>
          <w:tab w:leader="none" w:pos="175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53" w:name="page254"/>
    <w:bookmarkEnd w:id="253"/>
    <w:p>
      <w:pPr>
        <w:jc w:val="both"/>
        <w:ind w:left="720"/>
        <w:spacing w:after="0" w:line="239" w:lineRule="auto"/>
        <w:rPr>
          <w:sz w:val="20"/>
          <w:szCs w:val="20"/>
          <w:color w:val="auto"/>
        </w:rPr>
      </w:pPr>
      <w:r>
        <w:rPr>
          <w:rFonts w:ascii="Arial" w:cs="Arial" w:eastAsia="Arial" w:hAnsi="Arial"/>
          <w:sz w:val="18"/>
          <w:szCs w:val="18"/>
          <w:color w:val="auto"/>
        </w:rPr>
        <w:t xml:space="preserve">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4" w:lineRule="exact"/>
        <w:rPr>
          <w:sz w:val="20"/>
          <w:szCs w:val="20"/>
          <w:color w:val="auto"/>
        </w:rPr>
      </w:pPr>
    </w:p>
    <w:p>
      <w:pPr>
        <w:jc w:val="both"/>
        <w:ind w:left="120" w:firstLine="605"/>
        <w:spacing w:after="0" w:line="226" w:lineRule="auto"/>
        <w:tabs>
          <w:tab w:leader="none" w:pos="1152"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 fiduciary 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89" w:lineRule="exact"/>
        <w:rPr>
          <w:rFonts w:ascii="Arial" w:cs="Arial" w:eastAsia="Arial" w:hAnsi="Arial"/>
          <w:sz w:val="19"/>
          <w:szCs w:val="19"/>
          <w:color w:val="auto"/>
        </w:rPr>
      </w:pPr>
    </w:p>
    <w:p>
      <w:pPr>
        <w:jc w:val="both"/>
        <w:ind w:left="120" w:firstLine="605"/>
        <w:spacing w:after="0" w:line="234" w:lineRule="auto"/>
        <w:tabs>
          <w:tab w:leader="none" w:pos="115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any Borrower, the Administrative Agent, the Swing Line Lender or the L/C Issuer,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or enter into a swap or derivative transaction in respect of all or a portion of, such Lender’s rights and/or obligations under this Agreement (including all or a portion of its Commitment(s)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10.04(c)</w:t>
      </w:r>
      <w:r>
        <w:rPr>
          <w:rFonts w:ascii="Arial" w:cs="Arial" w:eastAsia="Arial" w:hAnsi="Arial"/>
          <w:sz w:val="18"/>
          <w:szCs w:val="18"/>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to the same extent as if it were a Lender and had acquired its interest by assignment pursuant to subsection (b) of this Section </w:t>
      </w:r>
      <w:r>
        <w:rPr>
          <w:rFonts w:ascii="Arial" w:cs="Arial" w:eastAsia="Arial" w:hAnsi="Arial"/>
          <w:sz w:val="18"/>
          <w:szCs w:val="18"/>
          <w:color w:val="181818"/>
        </w:rPr>
        <w:t>(it being understood that the</w:t>
      </w:r>
      <w:r>
        <w:rPr>
          <w:rFonts w:ascii="Arial" w:cs="Arial" w:eastAsia="Arial" w:hAnsi="Arial"/>
          <w:sz w:val="18"/>
          <w:szCs w:val="18"/>
          <w:color w:val="auto"/>
        </w:rPr>
        <w:t xml:space="preserve"> </w:t>
      </w:r>
      <w:r>
        <w:rPr>
          <w:rFonts w:ascii="Arial" w:cs="Arial" w:eastAsia="Arial" w:hAnsi="Arial"/>
          <w:sz w:val="18"/>
          <w:szCs w:val="18"/>
          <w:color w:val="181818"/>
        </w:rPr>
        <w:t xml:space="preserve">documentation required under </w:t>
      </w:r>
      <w:r>
        <w:rPr>
          <w:rFonts w:ascii="Arial" w:cs="Arial" w:eastAsia="Arial" w:hAnsi="Arial"/>
          <w:sz w:val="18"/>
          <w:szCs w:val="18"/>
          <w:u w:val="single" w:color="auto"/>
          <w:color w:val="181818"/>
        </w:rPr>
        <w:t>Section 3.01(e)</w:t>
      </w:r>
      <w:r>
        <w:rPr>
          <w:rFonts w:ascii="Arial" w:cs="Arial" w:eastAsia="Arial" w:hAnsi="Arial"/>
          <w:sz w:val="18"/>
          <w:szCs w:val="18"/>
          <w:color w:val="181818"/>
        </w:rPr>
        <w:t xml:space="preserve"> shall be delivered to the Lender who sells the participation) to the same extent as if it were a Lender and had acquired its interest by assignment pursuant to subsection (b) of this Section; </w:t>
      </w:r>
      <w:r>
        <w:rPr>
          <w:rFonts w:ascii="Arial" w:cs="Arial" w:eastAsia="Arial" w:hAnsi="Arial"/>
          <w:sz w:val="18"/>
          <w:szCs w:val="18"/>
          <w:u w:val="single" w:color="auto"/>
          <w:color w:val="181818"/>
        </w:rPr>
        <w:t>provided</w:t>
      </w:r>
      <w:r>
        <w:rPr>
          <w:rFonts w:ascii="Arial" w:cs="Arial" w:eastAsia="Arial" w:hAnsi="Arial"/>
          <w:sz w:val="18"/>
          <w:szCs w:val="18"/>
          <w:color w:val="181818"/>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54" w:name="page255"/>
    <w:bookmarkEnd w:id="254"/>
    <w:p>
      <w:pPr>
        <w:jc w:val="both"/>
        <w:ind w:left="120"/>
        <w:spacing w:after="0" w:line="235" w:lineRule="auto"/>
        <w:rPr>
          <w:sz w:val="20"/>
          <w:szCs w:val="20"/>
          <w:color w:val="auto"/>
        </w:rPr>
      </w:pPr>
      <w:r>
        <w:rPr>
          <w:rFonts w:ascii="Arial" w:cs="Arial" w:eastAsia="Arial" w:hAnsi="Arial"/>
          <w:sz w:val="18"/>
          <w:szCs w:val="18"/>
          <w:color w:val="181818"/>
        </w:rPr>
        <w:t xml:space="preserve">such Participant (A) agrees to be subject to the provisions of </w:t>
      </w:r>
      <w:r>
        <w:rPr>
          <w:rFonts w:ascii="Arial" w:cs="Arial" w:eastAsia="Arial" w:hAnsi="Arial"/>
          <w:sz w:val="18"/>
          <w:szCs w:val="18"/>
          <w:u w:val="single" w:color="auto"/>
          <w:color w:val="181818"/>
        </w:rPr>
        <w:t>Sections 3.06</w:t>
      </w:r>
      <w:r>
        <w:rPr>
          <w:rFonts w:ascii="Arial" w:cs="Arial" w:eastAsia="Arial" w:hAnsi="Arial"/>
          <w:sz w:val="18"/>
          <w:szCs w:val="18"/>
          <w:color w:val="181818"/>
        </w:rPr>
        <w:t xml:space="preserve"> and </w:t>
      </w:r>
      <w:r>
        <w:rPr>
          <w:rFonts w:ascii="Arial" w:cs="Arial" w:eastAsia="Arial" w:hAnsi="Arial"/>
          <w:sz w:val="18"/>
          <w:szCs w:val="18"/>
          <w:u w:val="single" w:color="auto"/>
          <w:color w:val="181818"/>
        </w:rPr>
        <w:t>10.13</w:t>
      </w:r>
      <w:r>
        <w:rPr>
          <w:rFonts w:ascii="Arial" w:cs="Arial" w:eastAsia="Arial" w:hAnsi="Arial"/>
          <w:sz w:val="18"/>
          <w:szCs w:val="18"/>
          <w:color w:val="181818"/>
        </w:rPr>
        <w:t xml:space="preserve"> as if it were an assignee under subsection (b) of this Section and (B) </w:t>
      </w:r>
      <w:r>
        <w:rPr>
          <w:rFonts w:ascii="Arial" w:cs="Arial" w:eastAsia="Arial" w:hAnsi="Arial"/>
          <w:sz w:val="18"/>
          <w:szCs w:val="18"/>
          <w:color w:val="000000"/>
        </w:rPr>
        <w:t>shall not be entitled to receive any greater payment under</w:t>
      </w:r>
      <w:r>
        <w:rPr>
          <w:rFonts w:ascii="Arial" w:cs="Arial" w:eastAsia="Arial" w:hAnsi="Arial"/>
          <w:sz w:val="18"/>
          <w:szCs w:val="18"/>
          <w:color w:val="181818"/>
        </w:rPr>
        <w:t xml:space="preserve"> </w:t>
      </w:r>
      <w:r>
        <w:rPr>
          <w:rFonts w:ascii="Arial" w:cs="Arial" w:eastAsia="Arial" w:hAnsi="Arial"/>
          <w:sz w:val="18"/>
          <w:szCs w:val="18"/>
          <w:u w:val="single" w:color="auto"/>
          <w:color w:val="181818"/>
        </w:rPr>
        <w:t>Sections 3.01</w:t>
      </w:r>
      <w:r>
        <w:rPr>
          <w:rFonts w:ascii="Arial" w:cs="Arial" w:eastAsia="Arial" w:hAnsi="Arial"/>
          <w:sz w:val="18"/>
          <w:szCs w:val="18"/>
          <w:color w:val="181818"/>
        </w:rPr>
        <w:t xml:space="preserve"> or </w:t>
      </w:r>
      <w:r>
        <w:rPr>
          <w:rFonts w:ascii="Arial" w:cs="Arial" w:eastAsia="Arial" w:hAnsi="Arial"/>
          <w:sz w:val="18"/>
          <w:szCs w:val="18"/>
          <w:u w:val="single" w:color="auto"/>
          <w:color w:val="181818"/>
        </w:rPr>
        <w:t>3.04</w:t>
      </w:r>
      <w:r>
        <w:rPr>
          <w:rFonts w:ascii="Arial" w:cs="Arial" w:eastAsia="Arial" w:hAnsi="Arial"/>
          <w:sz w:val="18"/>
          <w:szCs w:val="18"/>
          <w:color w:val="181818"/>
        </w:rPr>
        <w:t xml:space="preserve">, with respect to any participation, than the Lender from whom it acquired the applicable participation </w:t>
      </w:r>
      <w:r>
        <w:rPr>
          <w:rFonts w:ascii="Arial" w:cs="Arial" w:eastAsia="Arial" w:hAnsi="Arial"/>
          <w:sz w:val="18"/>
          <w:szCs w:val="18"/>
          <w:color w:val="000000"/>
        </w:rPr>
        <w:t>would have been entitled to receive</w:t>
      </w:r>
      <w:r>
        <w:rPr>
          <w:rFonts w:ascii="Arial" w:cs="Arial" w:eastAsia="Arial" w:hAnsi="Arial"/>
          <w:sz w:val="18"/>
          <w:szCs w:val="18"/>
          <w:color w:val="181818"/>
        </w:rPr>
        <w:t xml:space="preser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Borrowers to effectuate the provisions of </w:t>
      </w:r>
      <w:r>
        <w:rPr>
          <w:rFonts w:ascii="Arial" w:cs="Arial" w:eastAsia="Arial" w:hAnsi="Arial"/>
          <w:sz w:val="18"/>
          <w:szCs w:val="18"/>
          <w:u w:val="single" w:color="auto"/>
          <w:color w:val="181818"/>
        </w:rPr>
        <w:t>Section 3.06</w:t>
      </w:r>
      <w:r>
        <w:rPr>
          <w:rFonts w:ascii="Arial" w:cs="Arial" w:eastAsia="Arial" w:hAnsi="Arial"/>
          <w:sz w:val="18"/>
          <w:szCs w:val="18"/>
          <w:color w:val="181818"/>
        </w:rPr>
        <w:t xml:space="preserve"> and </w:t>
      </w:r>
      <w:r>
        <w:rPr>
          <w:rFonts w:ascii="Arial" w:cs="Arial" w:eastAsia="Arial" w:hAnsi="Arial"/>
          <w:sz w:val="18"/>
          <w:szCs w:val="18"/>
          <w:u w:val="single" w:color="auto"/>
          <w:color w:val="181818"/>
        </w:rPr>
        <w:t>Section 10.13</w:t>
      </w:r>
      <w:r>
        <w:rPr>
          <w:rFonts w:ascii="Arial" w:cs="Arial" w:eastAsia="Arial" w:hAnsi="Arial"/>
          <w:sz w:val="18"/>
          <w:szCs w:val="18"/>
          <w:color w:val="181818"/>
        </w:rPr>
        <w:t xml:space="preserve"> with respect to any Participant</w:t>
      </w:r>
      <w:r>
        <w:rPr>
          <w:rFonts w:ascii="Arial" w:cs="Arial" w:eastAsia="Arial" w:hAnsi="Arial"/>
          <w:sz w:val="18"/>
          <w:szCs w:val="18"/>
          <w:color w:val="000000"/>
        </w:rPr>
        <w:t>. To the</w:t>
      </w:r>
      <w:r>
        <w:rPr>
          <w:rFonts w:ascii="Arial" w:cs="Arial" w:eastAsia="Arial" w:hAnsi="Arial"/>
          <w:sz w:val="18"/>
          <w:szCs w:val="18"/>
          <w:color w:val="181818"/>
        </w:rPr>
        <w:t xml:space="preserve"> </w:t>
      </w:r>
      <w:r>
        <w:rPr>
          <w:rFonts w:ascii="Arial" w:cs="Arial" w:eastAsia="Arial" w:hAnsi="Arial"/>
          <w:sz w:val="18"/>
          <w:szCs w:val="18"/>
          <w:color w:val="000000"/>
        </w:rPr>
        <w:t xml:space="preserve">extent permitted by law, each Participant also shall be entitled to the benefits of </w:t>
      </w:r>
      <w:r>
        <w:rPr>
          <w:rFonts w:ascii="Arial" w:cs="Arial" w:eastAsia="Arial" w:hAnsi="Arial"/>
          <w:sz w:val="18"/>
          <w:szCs w:val="18"/>
          <w:u w:val="single" w:color="auto"/>
          <w:color w:val="000000"/>
        </w:rPr>
        <w:t>Section 10.08</w:t>
      </w:r>
      <w:r>
        <w:rPr>
          <w:rFonts w:ascii="Arial" w:cs="Arial" w:eastAsia="Arial" w:hAnsi="Arial"/>
          <w:sz w:val="18"/>
          <w:szCs w:val="18"/>
          <w:color w:val="000000"/>
        </w:rPr>
        <w:t xml:space="preserve"> as though it were a Lender;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Participant agrees to be subject to </w:t>
      </w:r>
      <w:r>
        <w:rPr>
          <w:rFonts w:ascii="Arial" w:cs="Arial" w:eastAsia="Arial" w:hAnsi="Arial"/>
          <w:sz w:val="18"/>
          <w:szCs w:val="18"/>
          <w:u w:val="single" w:color="auto"/>
          <w:color w:val="000000"/>
        </w:rPr>
        <w:t>Section 2.13</w:t>
      </w:r>
      <w:r>
        <w:rPr>
          <w:rFonts w:ascii="Arial" w:cs="Arial" w:eastAsia="Arial" w:hAnsi="Arial"/>
          <w:sz w:val="18"/>
          <w:szCs w:val="18"/>
          <w:color w:val="000000"/>
        </w:rPr>
        <w:t xml:space="preserve"> as though it were a Lender. </w:t>
      </w:r>
      <w:r>
        <w:rPr>
          <w:rFonts w:ascii="Arial" w:cs="Arial" w:eastAsia="Arial" w:hAnsi="Arial"/>
          <w:sz w:val="18"/>
          <w:szCs w:val="18"/>
          <w:color w:val="181818"/>
        </w:rPr>
        <w:t>Each Lender that sells a participation shall, acting</w:t>
      </w:r>
      <w:r>
        <w:rPr>
          <w:rFonts w:ascii="Arial" w:cs="Arial" w:eastAsia="Arial" w:hAnsi="Arial"/>
          <w:sz w:val="18"/>
          <w:szCs w:val="18"/>
          <w:color w:val="000000"/>
        </w:rPr>
        <w:t xml:space="preserve"> </w:t>
      </w:r>
      <w:r>
        <w:rPr>
          <w:rFonts w:ascii="Arial" w:cs="Arial" w:eastAsia="Arial" w:hAnsi="Arial"/>
          <w:sz w:val="18"/>
          <w:szCs w:val="18"/>
          <w:color w:val="181818"/>
        </w:rPr>
        <w:t>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181818"/>
        </w:rPr>
        <w:t>Participant Register</w:t>
      </w:r>
      <w:r>
        <w:rPr>
          <w:rFonts w:ascii="Arial" w:cs="Arial" w:eastAsia="Arial" w:hAnsi="Arial"/>
          <w:sz w:val="18"/>
          <w:szCs w:val="18"/>
          <w:color w:val="181818"/>
        </w:rPr>
        <w:t xml:space="preserve">”); </w:t>
      </w:r>
      <w:r>
        <w:rPr>
          <w:rFonts w:ascii="Arial" w:cs="Arial" w:eastAsia="Arial" w:hAnsi="Arial"/>
          <w:sz w:val="18"/>
          <w:szCs w:val="18"/>
          <w:u w:val="single" w:color="auto"/>
          <w:color w:val="181818"/>
        </w:rPr>
        <w:t>provided</w:t>
      </w:r>
      <w:r>
        <w:rPr>
          <w:rFonts w:ascii="Arial" w:cs="Arial" w:eastAsia="Arial" w:hAnsi="Arial"/>
          <w:sz w:val="18"/>
          <w:szCs w:val="18"/>
          <w:color w:val="181818"/>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5" w:lineRule="exact"/>
        <w:rPr>
          <w:sz w:val="20"/>
          <w:szCs w:val="20"/>
          <w:color w:val="auto"/>
        </w:rPr>
      </w:pPr>
    </w:p>
    <w:p>
      <w:pPr>
        <w:jc w:val="both"/>
        <w:ind w:left="120" w:firstLine="605"/>
        <w:spacing w:after="0" w:line="234" w:lineRule="auto"/>
        <w:tabs>
          <w:tab w:leader="none" w:pos="115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246" w:lineRule="exact"/>
        <w:rPr>
          <w:rFonts w:ascii="Arial" w:cs="Arial" w:eastAsia="Arial" w:hAnsi="Arial"/>
          <w:sz w:val="19"/>
          <w:szCs w:val="19"/>
          <w:color w:val="auto"/>
        </w:rPr>
      </w:pPr>
    </w:p>
    <w:p>
      <w:pPr>
        <w:jc w:val="both"/>
        <w:ind w:left="120" w:firstLine="605"/>
        <w:spacing w:after="0" w:line="236" w:lineRule="auto"/>
        <w:tabs>
          <w:tab w:leader="none" w:pos="114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xml:space="preserve">. Notwithstanding anything to the contrary contained herein, (i) if at any time Bank of America assigns all of its USD Commitment and Loans under the Committed (USD) Facility pursuant to subsection (b) above, Bank of America may, (A) upon 30 days’ notice to the Company and the Committed (USD) Lenders, resign as L/C Issuer and/or (B) upon 30 days’ notice to the Company, resign as Swing Line Lender, and (ii) if at any time any other Lender acting as an L/C Issuer assigns all of its USD Commitment and Loans under the Committed (USD) Facility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such Lender may, upon 30 days’ notice to the Company and the Committed (USD) Lenders, resign as an L/C Issuer. In the event of any such resignation as an L/C Issuer or Swing Line Lender, the Company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Company to appoint any such successor shall affect the resignation of Bank of America as L/C Issuer or Swing Line Lender, as the case may be, or any other Lender as an L/C Issuer. If Bank of America or any other Lender resigns as an L/C Issuer, it shall retain all the rights, powers, privileges and duties of an L/C Issuer hereunder with respect to all Letters of Credit and Bankers’ Acceptances outstanding and issued by it as of the effective date of its resignation as an L/C Issuer and all L/C Obligations with respect thereto (including the right to require the Lenders to make Base Rate Committed (USD) Loans or fund risk participations 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55" w:name="page256"/>
    <w:bookmarkEnd w:id="255"/>
    <w:p>
      <w:pPr>
        <w:jc w:val="both"/>
        <w:ind w:left="120"/>
        <w:spacing w:after="0" w:line="236" w:lineRule="auto"/>
        <w:rPr>
          <w:sz w:val="20"/>
          <w:szCs w:val="20"/>
          <w:color w:val="auto"/>
        </w:rPr>
      </w:pPr>
      <w:r>
        <w:rPr>
          <w:rFonts w:ascii="Arial" w:cs="Arial" w:eastAsia="Arial" w:hAnsi="Arial"/>
          <w:sz w:val="18"/>
          <w:szCs w:val="18"/>
          <w:color w:val="auto"/>
        </w:rPr>
        <w:t xml:space="preserve">Unreimbursed Amounts pursuant to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(USD)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 Line Lender,</w:t>
      </w:r>
    </w:p>
    <w:p>
      <w:pPr>
        <w:spacing w:after="0" w:line="1" w:lineRule="exact"/>
        <w:rPr>
          <w:sz w:val="20"/>
          <w:szCs w:val="20"/>
          <w:color w:val="auto"/>
        </w:rPr>
      </w:pPr>
    </w:p>
    <w:p>
      <w:pPr>
        <w:jc w:val="both"/>
        <w:ind w:left="120" w:firstLine="6"/>
        <w:spacing w:after="0" w:line="215" w:lineRule="auto"/>
        <w:tabs>
          <w:tab w:leader="none" w:pos="39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such successor shall succeed to and become vested with all of the rights, powers, privileges and duties of the retiring L/C Issuer or Swing Line Lender, as the case may be, and (b) the successor L/C Issuer shall issue letters of credit and bankers’ acceptances in substitution for the Letters of Credit and Bankers’ Acceptances, if any, outstanding at the time of such succession or make other arrangements satisfactory to Bank of America or such other retiring L/C Issuer, as the case may be, to effectively assume the obligations of Bank of America or such other retiring L/C Issuer, as the case may be, with respect to such Letters of Credit or Bankers’ Acceptances issued by it.</w:t>
      </w:r>
    </w:p>
    <w:p>
      <w:pPr>
        <w:spacing w:after="0" w:line="178" w:lineRule="exact"/>
        <w:rPr>
          <w:sz w:val="20"/>
          <w:szCs w:val="20"/>
          <w:color w:val="auto"/>
        </w:rPr>
      </w:pPr>
    </w:p>
    <w:p>
      <w:pPr>
        <w:jc w:val="both"/>
        <w:ind w:left="120" w:firstLine="598"/>
        <w:spacing w:after="0" w:line="232" w:lineRule="auto"/>
        <w:rPr>
          <w:sz w:val="20"/>
          <w:szCs w:val="20"/>
          <w:color w:val="auto"/>
        </w:rPr>
      </w:pPr>
      <w:r>
        <w:rPr>
          <w:rFonts w:ascii="Arial" w:cs="Arial" w:eastAsia="Arial" w:hAnsi="Arial"/>
          <w:sz w:val="18"/>
          <w:szCs w:val="18"/>
          <w:b w:val="1"/>
          <w:bCs w:val="1"/>
          <w:color w:val="auto"/>
        </w:rPr>
        <w:t xml:space="preserve">10.07 Treatment of Certain Information; Confidentiality. </w:t>
      </w:r>
      <w:r>
        <w:rPr>
          <w:rFonts w:ascii="Arial" w:cs="Arial" w:eastAsia="Arial" w:hAnsi="Arial"/>
          <w:sz w:val="18"/>
          <w:szCs w:val="18"/>
          <w:color w:val="auto"/>
        </w:rPr>
        <w:t>Each of the Administrative Agent, the Lenders and the 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Issuer agrees to maintain the confidentiality of the Information (as defined below), except that Information may be disclosed (a) to its Affiliates, its auditors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or (ii) any actual or prospective counterparty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the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w:t>
      </w:r>
    </w:p>
    <w:p>
      <w:pPr>
        <w:spacing w:after="0" w:line="16" w:lineRule="exact"/>
        <w:rPr>
          <w:sz w:val="20"/>
          <w:szCs w:val="20"/>
          <w:color w:val="auto"/>
        </w:rPr>
      </w:pPr>
    </w:p>
    <w:p>
      <w:pPr>
        <w:jc w:val="both"/>
        <w:ind w:left="120" w:firstLine="6"/>
        <w:spacing w:after="0" w:line="226" w:lineRule="auto"/>
        <w:tabs>
          <w:tab w:leader="none" w:pos="404"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becomes available to the Administrative Agent, any Lender, the L/C Issuer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Arial" w:cs="Arial" w:eastAsia="Arial" w:hAnsi="Arial"/>
          <w:sz w:val="19"/>
          <w:szCs w:val="19"/>
          <w:u w:val="single" w:color="auto"/>
          <w:color w:val="auto"/>
        </w:rPr>
        <w:t>Section 10.07</w:t>
      </w:r>
      <w:r>
        <w:rPr>
          <w:rFonts w:ascii="Arial" w:cs="Arial" w:eastAsia="Arial" w:hAnsi="Arial"/>
          <w:sz w:val="19"/>
          <w:szCs w:val="19"/>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82" w:right="579" w:bottom="1440" w:gutter="0" w:footer="0" w:header="0"/>
        </w:sectPr>
      </w:pPr>
    </w:p>
    <w:bookmarkStart w:id="256" w:name="page257"/>
    <w:bookmarkEnd w:id="256"/>
    <w:p>
      <w:pPr>
        <w:jc w:val="both"/>
        <w:ind w:left="120" w:firstLine="598"/>
        <w:spacing w:after="0" w:line="219"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the L/C Issuer on a nonconfidential basis prior to disclosure by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the Company or any Subsidiary after the date hereof, such information is clearly identified at the time of delivery as confidential.</w:t>
      </w:r>
    </w:p>
    <w:p>
      <w:pPr>
        <w:spacing w:after="0" w:line="237" w:lineRule="exact"/>
        <w:rPr>
          <w:sz w:val="20"/>
          <w:szCs w:val="20"/>
          <w:color w:val="auto"/>
        </w:rPr>
      </w:pPr>
    </w:p>
    <w:p>
      <w:pPr>
        <w:jc w:val="both"/>
        <w:ind w:left="120"/>
        <w:spacing w:after="0" w:line="227" w:lineRule="auto"/>
        <w:rPr>
          <w:sz w:val="20"/>
          <w:szCs w:val="20"/>
          <w:color w:val="auto"/>
        </w:rPr>
      </w:pPr>
      <w:r>
        <w:rPr>
          <w:rFonts w:ascii="Arial" w:cs="Arial" w:eastAsia="Arial" w:hAnsi="Arial"/>
          <w:sz w:val="20"/>
          <w:szCs w:val="20"/>
          <w:color w:val="auto"/>
        </w:rPr>
        <w:t>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jc w:val="both"/>
        <w:ind w:left="120" w:firstLine="598"/>
        <w:spacing w:after="0" w:line="222"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9"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b w:val="1"/>
          <w:bCs w:val="1"/>
          <w:color w:val="auto"/>
        </w:rPr>
        <w:t xml:space="preserve">10.08 Right of Setoff. </w:t>
      </w:r>
      <w:r>
        <w:rPr>
          <w:rFonts w:ascii="Arial" w:cs="Arial" w:eastAsia="Arial" w:hAnsi="Arial"/>
          <w:sz w:val="18"/>
          <w:szCs w:val="18"/>
          <w:color w:val="auto"/>
        </w:rPr>
        <w:t>If an Event of Default shall have occurred and be continuing, each Lender, the L/C Issuer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Borrower may be contingent or unmatured or are owed to a branch or office of such Lender, the L/C Issuer or such Affiliate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2" w:lineRule="exact"/>
        <w:rPr>
          <w:sz w:val="20"/>
          <w:szCs w:val="20"/>
          <w:color w:val="auto"/>
        </w:rPr>
      </w:pPr>
    </w:p>
    <w:p>
      <w:pPr>
        <w:jc w:val="both"/>
        <w:ind w:left="120" w:firstLine="598"/>
        <w:spacing w:after="0" w:line="252" w:lineRule="auto"/>
        <w:rPr>
          <w:sz w:val="20"/>
          <w:szCs w:val="20"/>
          <w:color w:val="auto"/>
        </w:rPr>
      </w:pPr>
      <w:r>
        <w:rPr>
          <w:rFonts w:ascii="Arial" w:cs="Arial" w:eastAsia="Arial" w:hAnsi="Arial"/>
          <w:sz w:val="18"/>
          <w:szCs w:val="18"/>
          <w:b w:val="1"/>
          <w:bCs w:val="1"/>
          <w:color w:val="auto"/>
        </w:rPr>
        <w:t xml:space="preserve">10.09 Interest Rate Limitation. </w:t>
      </w:r>
      <w:r>
        <w:rPr>
          <w:rFonts w:ascii="Arial" w:cs="Arial" w:eastAsia="Arial" w:hAnsi="Arial"/>
          <w:sz w:val="18"/>
          <w:szCs w:val="18"/>
          <w:color w:val="auto"/>
        </w:rPr>
        <w:t>Notwithstanding anything to the contrary contained in any Loan Document, the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57" w:name="page258"/>
    <w:bookmarkEnd w:id="257"/>
    <w:p>
      <w:pPr>
        <w:jc w:val="both"/>
        <w:ind w:left="120"/>
        <w:spacing w:after="0" w:line="219" w:lineRule="auto"/>
        <w:rPr>
          <w:sz w:val="20"/>
          <w:szCs w:val="20"/>
          <w:color w:val="auto"/>
        </w:rPr>
      </w:pPr>
      <w:r>
        <w:rPr>
          <w:rFonts w:ascii="Arial" w:cs="Arial" w:eastAsia="Arial" w:hAnsi="Arial"/>
          <w:sz w:val="20"/>
          <w:szCs w:val="20"/>
          <w:color w:val="auto"/>
        </w:rPr>
        <w:t>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1"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b w:val="1"/>
          <w:bCs w:val="1"/>
          <w:color w:val="auto"/>
        </w:rPr>
        <w:t xml:space="preserve">10.10 Integration; Effectiveness. </w:t>
      </w:r>
      <w:r>
        <w:rPr>
          <w:rFonts w:ascii="Arial" w:cs="Arial" w:eastAsia="Arial" w:hAnsi="Arial"/>
          <w:sz w:val="20"/>
          <w:szCs w:val="20"/>
          <w:color w:val="auto"/>
        </w:rPr>
        <w:t>This Agreement, the other Loan Documents and any separate letter agreements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67" w:lineRule="exact"/>
        <w:rPr>
          <w:sz w:val="20"/>
          <w:szCs w:val="20"/>
          <w:color w:val="auto"/>
        </w:rPr>
      </w:pPr>
    </w:p>
    <w:p>
      <w:pPr>
        <w:jc w:val="both"/>
        <w:ind w:left="120" w:firstLine="598"/>
        <w:spacing w:after="0" w:line="228" w:lineRule="auto"/>
        <w:rPr>
          <w:sz w:val="20"/>
          <w:szCs w:val="20"/>
          <w:color w:val="auto"/>
        </w:rPr>
      </w:pPr>
      <w:r>
        <w:rPr>
          <w:rFonts w:ascii="Arial" w:cs="Arial" w:eastAsia="Arial" w:hAnsi="Arial"/>
          <w:sz w:val="19"/>
          <w:szCs w:val="19"/>
          <w:b w:val="1"/>
          <w:bCs w:val="1"/>
          <w:color w:val="auto"/>
        </w:rPr>
        <w:t xml:space="preserve">10.11 Survival of Representations and Warranties. </w:t>
      </w:r>
      <w:r>
        <w:rPr>
          <w:rFonts w:ascii="Arial" w:cs="Arial" w:eastAsia="Arial" w:hAnsi="Arial"/>
          <w:sz w:val="19"/>
          <w:szCs w:val="19"/>
          <w:color w:val="auto"/>
        </w:rPr>
        <w:t>All representations and warranties made hereunder and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spacing w:after="0" w:line="182"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b w:val="1"/>
          <w:bCs w:val="1"/>
          <w:color w:val="auto"/>
        </w:rPr>
        <w:t xml:space="preserve">10.12 Severability. </w:t>
      </w:r>
      <w:r>
        <w:rPr>
          <w:rFonts w:ascii="Arial" w:cs="Arial" w:eastAsia="Arial" w:hAnsi="Arial"/>
          <w:sz w:val="19"/>
          <w:szCs w:val="19"/>
          <w:color w:val="auto"/>
        </w:rPr>
        <w:t>If any provision of this Agreement or the other Loan Documents is held to be illegal,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3" w:lineRule="exact"/>
        <w:rPr>
          <w:sz w:val="20"/>
          <w:szCs w:val="20"/>
          <w:color w:val="auto"/>
        </w:rPr>
      </w:pPr>
    </w:p>
    <w:p>
      <w:pPr>
        <w:jc w:val="both"/>
        <w:ind w:left="120" w:firstLine="598"/>
        <w:spacing w:after="0" w:line="228" w:lineRule="auto"/>
        <w:rPr>
          <w:sz w:val="20"/>
          <w:szCs w:val="20"/>
          <w:color w:val="auto"/>
        </w:rPr>
      </w:pPr>
      <w:r>
        <w:rPr>
          <w:rFonts w:ascii="Arial" w:cs="Arial" w:eastAsia="Arial" w:hAnsi="Arial"/>
          <w:sz w:val="19"/>
          <w:szCs w:val="19"/>
          <w:b w:val="1"/>
          <w:bCs w:val="1"/>
          <w:color w:val="auto"/>
        </w:rPr>
        <w:t xml:space="preserve">10.13 Replacement of Lenders. </w:t>
      </w:r>
      <w:r>
        <w:rPr>
          <w:rFonts w:ascii="Arial" w:cs="Arial" w:eastAsia="Arial" w:hAnsi="Arial"/>
          <w:sz w:val="19"/>
          <w:szCs w:val="19"/>
          <w:color w:val="auto"/>
        </w:rPr>
        <w:t>If the Company is entitled to replace a Lender pursuant to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3.06</w:t>
      </w:r>
      <w:r>
        <w:rPr>
          <w:rFonts w:ascii="Arial" w:cs="Arial" w:eastAsia="Arial" w:hAnsi="Arial"/>
          <w:sz w:val="19"/>
          <w:szCs w:val="19"/>
          <w:color w:val="auto"/>
        </w:rPr>
        <w:t xml:space="preserve">, or if any Lender is a Defaulting Lender, or if any Lender is a Non-Consenting Lender (as defined below),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58" w:name="page259"/>
    <w:bookmarkEnd w:id="258"/>
    <w:p>
      <w:pPr>
        <w:spacing w:after="0" w:line="154" w:lineRule="exact"/>
        <w:rPr>
          <w:sz w:val="20"/>
          <w:szCs w:val="20"/>
          <w:color w:val="auto"/>
        </w:rPr>
      </w:pPr>
    </w:p>
    <w:p>
      <w:pPr>
        <w:ind w:left="1160" w:hanging="435"/>
        <w:spacing w:after="0"/>
        <w:tabs>
          <w:tab w:leader="none" w:pos="11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the Company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120" w:firstLine="605"/>
        <w:spacing w:after="0" w:line="222" w:lineRule="auto"/>
        <w:tabs>
          <w:tab w:leader="none" w:pos="1151"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Company (in the case of all other amounts);</w:t>
      </w:r>
    </w:p>
    <w:p>
      <w:pPr>
        <w:spacing w:after="0" w:line="185" w:lineRule="exact"/>
        <w:rPr>
          <w:rFonts w:ascii="Arial" w:cs="Arial" w:eastAsia="Arial" w:hAnsi="Arial"/>
          <w:sz w:val="20"/>
          <w:szCs w:val="20"/>
          <w:color w:val="auto"/>
        </w:rPr>
      </w:pPr>
    </w:p>
    <w:p>
      <w:pPr>
        <w:ind w:left="120" w:firstLine="605"/>
        <w:spacing w:after="0" w:line="286" w:lineRule="auto"/>
        <w:tabs>
          <w:tab w:leader="none" w:pos="11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30" w:lineRule="exact"/>
        <w:rPr>
          <w:rFonts w:ascii="Arial" w:cs="Arial" w:eastAsia="Arial" w:hAnsi="Arial"/>
          <w:sz w:val="18"/>
          <w:szCs w:val="18"/>
          <w:color w:val="auto"/>
        </w:rPr>
      </w:pPr>
    </w:p>
    <w:p>
      <w:pPr>
        <w:ind w:left="120" w:firstLine="605"/>
        <w:spacing w:after="0" w:line="236" w:lineRule="auto"/>
        <w:tabs>
          <w:tab w:leader="none" w:pos="1151" w:val="left"/>
        </w:tabs>
        <w:numPr>
          <w:ilvl w:val="0"/>
          <w:numId w:val="244"/>
        </w:numPr>
        <w:rPr>
          <w:rFonts w:ascii="Arial" w:cs="Arial" w:eastAsia="Arial" w:hAnsi="Arial"/>
          <w:sz w:val="20"/>
          <w:szCs w:val="20"/>
          <w:color w:val="auto"/>
        </w:rPr>
      </w:pPr>
      <w:r>
        <w:rPr>
          <w:rFonts w:ascii="Arial" w:cs="Arial" w:eastAsia="Arial" w:hAnsi="Arial"/>
          <w:sz w:val="20"/>
          <w:szCs w:val="20"/>
          <w:color w:val="auto"/>
        </w:rPr>
        <w:t>in the case of any such assignment by a Non-Consenting Lender, the assignee must have approved in writing the substance of the amendment, waiver or consent which caused the assignor to be a Non-Consenting Lender; and</w:t>
      </w:r>
    </w:p>
    <w:p>
      <w:pPr>
        <w:spacing w:after="0" w:line="184" w:lineRule="exact"/>
        <w:rPr>
          <w:rFonts w:ascii="Arial" w:cs="Arial" w:eastAsia="Arial" w:hAnsi="Arial"/>
          <w:sz w:val="20"/>
          <w:szCs w:val="20"/>
          <w:color w:val="auto"/>
        </w:rPr>
      </w:pPr>
    </w:p>
    <w:p>
      <w:pPr>
        <w:ind w:left="1320" w:hanging="595"/>
        <w:spacing w:after="0"/>
        <w:tabs>
          <w:tab w:leader="none" w:pos="132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07" w:lineRule="exact"/>
        <w:rPr>
          <w:sz w:val="20"/>
          <w:szCs w:val="20"/>
          <w:color w:val="auto"/>
        </w:rPr>
      </w:pPr>
    </w:p>
    <w:p>
      <w:pPr>
        <w:jc w:val="both"/>
        <w:ind w:left="120" w:right="20" w:firstLine="598"/>
        <w:spacing w:after="0" w:line="258"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4" w:lineRule="exact"/>
        <w:rPr>
          <w:sz w:val="20"/>
          <w:szCs w:val="20"/>
          <w:color w:val="auto"/>
        </w:rPr>
      </w:pPr>
    </w:p>
    <w:p>
      <w:pPr>
        <w:jc w:val="both"/>
        <w:ind w:left="120" w:firstLine="598"/>
        <w:spacing w:after="0" w:line="238"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 (b) any Committed (USD) Lender that does not approve any consent, waiver or amendment that (i) requires the approval of all Committed (USD) Lenders or all affected Committed (USD)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(USD) Lenders, (c) any Committed (MC) Lender that does not approve any consent, waiver or amendment that (i) requires the approval of all Committed (MC) Lenders or all affected Committed (MC)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(MC) Lenders or (d) any Term Loan Lender that does not approve any consent, waiver or amendment that (i) requires the approval of all Term Loan Lenders or all affected Term Loan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Term Loan Lenders.</w:t>
      </w:r>
    </w:p>
    <w:p>
      <w:pPr>
        <w:spacing w:after="0" w:line="188" w:lineRule="exact"/>
        <w:rPr>
          <w:sz w:val="20"/>
          <w:szCs w:val="20"/>
          <w:color w:val="auto"/>
        </w:rPr>
      </w:pPr>
    </w:p>
    <w:p>
      <w:pPr>
        <w:jc w:val="both"/>
        <w:ind w:left="120" w:firstLine="598"/>
        <w:spacing w:after="0" w:line="242" w:lineRule="auto"/>
        <w:rPr>
          <w:sz w:val="20"/>
          <w:szCs w:val="20"/>
          <w:color w:val="auto"/>
        </w:rPr>
      </w:pPr>
      <w:r>
        <w:rPr>
          <w:rFonts w:ascii="Arial" w:cs="Arial" w:eastAsia="Arial" w:hAnsi="Arial"/>
          <w:sz w:val="18"/>
          <w:szCs w:val="18"/>
          <w:color w:val="auto"/>
        </w:rPr>
        <w:t xml:space="preserve">Each party hereto agrees that (a) an assignment required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may be effected pursuant to an Assignment and Assumption executed by the Borrowers, the Administrative Agent and the assignee and (b) the Lender required to make such assignment need not be a party thereto in order for such assignment to be effective and shall be deemed to have consented to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233" w:lineRule="exact"/>
        <w:rPr>
          <w:sz w:val="20"/>
          <w:szCs w:val="20"/>
          <w:color w:val="auto"/>
        </w:rPr>
      </w:pPr>
    </w:p>
    <w:p>
      <w:pPr>
        <w:jc w:val="both"/>
        <w:ind w:left="120" w:firstLine="598"/>
        <w:spacing w:after="0" w:line="227" w:lineRule="auto"/>
        <w:rPr>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440" w:right="579" w:bottom="1440" w:gutter="0" w:footer="0" w:header="0"/>
        </w:sectPr>
      </w:pPr>
    </w:p>
    <w:bookmarkStart w:id="259" w:name="page260"/>
    <w:bookmarkEnd w:id="259"/>
    <w:p>
      <w:pPr>
        <w:jc w:val="both"/>
        <w:ind w:left="120"/>
        <w:spacing w:after="0" w:line="222" w:lineRule="auto"/>
        <w:rPr>
          <w:sz w:val="20"/>
          <w:szCs w:val="20"/>
          <w:color w:val="auto"/>
        </w:rPr>
      </w:pPr>
      <w:r>
        <w:rPr>
          <w:rFonts w:ascii="Arial" w:cs="Arial" w:eastAsia="Arial" w:hAnsi="Arial"/>
          <w:sz w:val="20"/>
          <w:szCs w:val="20"/>
          <w:color w:val="auto"/>
        </w:rPr>
        <w:t xml:space="preserve">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9.06</w:t>
      </w:r>
      <w:r>
        <w:rPr>
          <w:rFonts w:ascii="Arial" w:cs="Arial" w:eastAsia="Arial" w:hAnsi="Arial"/>
          <w:sz w:val="20"/>
          <w:szCs w:val="20"/>
          <w:color w:val="auto"/>
        </w:rPr>
        <w:t>.</w:t>
      </w:r>
    </w:p>
    <w:p>
      <w:pPr>
        <w:spacing w:after="0" w:line="179"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8"/>
          <w:szCs w:val="18"/>
          <w:b w:val="1"/>
          <w:bCs w:val="1"/>
          <w:color w:val="auto"/>
        </w:rPr>
        <w:t>Governing Law; Jurisdiction; Etc.</w:t>
      </w:r>
    </w:p>
    <w:p>
      <w:pPr>
        <w:spacing w:after="0" w:line="213" w:lineRule="exact"/>
        <w:rPr>
          <w:sz w:val="20"/>
          <w:szCs w:val="20"/>
          <w:color w:val="auto"/>
        </w:rPr>
      </w:pPr>
    </w:p>
    <w:p>
      <w:pPr>
        <w:jc w:val="both"/>
        <w:ind w:left="120" w:firstLine="605"/>
        <w:spacing w:after="0" w:line="227" w:lineRule="auto"/>
        <w:tabs>
          <w:tab w:leader="none" w:pos="1152"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 WITHOUT REGARD TO CONFLICTS OF LAW THAT WOULD REQUIRE THE APPLICATION OF THE LAWS OF ANOTHER JURISDICTION.</w:t>
      </w:r>
    </w:p>
    <w:p>
      <w:pPr>
        <w:spacing w:after="0" w:line="171" w:lineRule="exact"/>
        <w:rPr>
          <w:rFonts w:ascii="Arial" w:cs="Arial" w:eastAsia="Arial" w:hAnsi="Arial"/>
          <w:sz w:val="20"/>
          <w:szCs w:val="20"/>
          <w:color w:val="auto"/>
        </w:rPr>
      </w:pPr>
    </w:p>
    <w:p>
      <w:pPr>
        <w:jc w:val="both"/>
        <w:ind w:left="120" w:firstLine="605"/>
        <w:spacing w:after="0" w:line="212" w:lineRule="auto"/>
        <w:tabs>
          <w:tab w:leader="none" w:pos="1151"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173" w:lineRule="exact"/>
        <w:rPr>
          <w:rFonts w:ascii="Arial" w:cs="Arial" w:eastAsia="Arial" w:hAnsi="Arial"/>
          <w:sz w:val="20"/>
          <w:szCs w:val="20"/>
          <w:color w:val="auto"/>
        </w:rPr>
      </w:pPr>
    </w:p>
    <w:p>
      <w:pPr>
        <w:jc w:val="both"/>
        <w:ind w:left="120" w:firstLine="605"/>
        <w:spacing w:after="0" w:line="216" w:lineRule="auto"/>
        <w:tabs>
          <w:tab w:leader="none" w:pos="1152"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48" w:lineRule="exact"/>
        <w:rPr>
          <w:rFonts w:ascii="Arial" w:cs="Arial" w:eastAsia="Arial" w:hAnsi="Arial"/>
          <w:sz w:val="20"/>
          <w:szCs w:val="20"/>
          <w:color w:val="auto"/>
        </w:rPr>
      </w:pPr>
    </w:p>
    <w:p>
      <w:pPr>
        <w:jc w:val="both"/>
        <w:ind w:left="120" w:firstLine="605"/>
        <w:spacing w:after="0" w:line="239" w:lineRule="auto"/>
        <w:tabs>
          <w:tab w:leader="none" w:pos="1151"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69" w:right="579" w:bottom="1440" w:gutter="0" w:footer="0" w:header="0"/>
        </w:sectPr>
      </w:pPr>
    </w:p>
    <w:bookmarkStart w:id="260" w:name="page261"/>
    <w:bookmarkEnd w:id="260"/>
    <w:p>
      <w:pPr>
        <w:jc w:val="both"/>
        <w:ind w:left="120" w:firstLine="598"/>
        <w:spacing w:after="0" w:line="214" w:lineRule="auto"/>
        <w:rPr>
          <w:sz w:val="20"/>
          <w:szCs w:val="20"/>
          <w:color w:val="auto"/>
        </w:rPr>
      </w:pPr>
      <w:r>
        <w:rPr>
          <w:rFonts w:ascii="Arial" w:cs="Arial" w:eastAsia="Arial" w:hAnsi="Arial"/>
          <w:sz w:val="20"/>
          <w:szCs w:val="20"/>
          <w:b w:val="1"/>
          <w:bCs w:val="1"/>
          <w:color w:val="auto"/>
        </w:rPr>
        <w:t xml:space="preserve">10.15 Waiver of Jury Trial. </w:t>
      </w:r>
      <w:r>
        <w:rPr>
          <w:rFonts w:ascii="Arial" w:cs="Arial" w:eastAsia="Arial" w:hAnsi="Arial"/>
          <w:sz w:val="20"/>
          <w:szCs w:val="20"/>
          <w:color w:val="auto"/>
        </w:rPr>
        <w:t>EACH PARTY HERETO HEREBY IRREVOCABLY WAIVES, TO THE FULLEST</w:t>
      </w:r>
      <w:r>
        <w:rPr>
          <w:rFonts w:ascii="Arial" w:cs="Arial" w:eastAsia="Arial" w:hAnsi="Arial"/>
          <w:sz w:val="20"/>
          <w:szCs w:val="20"/>
          <w:b w:val="1"/>
          <w:bCs w:val="1"/>
          <w:color w:val="auto"/>
        </w:rPr>
        <w:t xml:space="preserve"> </w:t>
      </w:r>
      <w:r>
        <w:rPr>
          <w:rFonts w:ascii="Arial" w:cs="Arial" w:eastAsia="Arial" w:hAnsi="Arial"/>
          <w:sz w:val="20"/>
          <w:szCs w:val="20"/>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2" w:lineRule="exact"/>
        <w:rPr>
          <w:sz w:val="20"/>
          <w:szCs w:val="20"/>
          <w:color w:val="auto"/>
        </w:rPr>
      </w:pPr>
    </w:p>
    <w:p>
      <w:pPr>
        <w:jc w:val="both"/>
        <w:ind w:left="120" w:firstLine="598"/>
        <w:spacing w:after="0" w:line="223" w:lineRule="auto"/>
        <w:rPr>
          <w:sz w:val="20"/>
          <w:szCs w:val="20"/>
          <w:color w:val="auto"/>
        </w:rPr>
      </w:pPr>
      <w:r>
        <w:rPr>
          <w:rFonts w:ascii="Arial" w:cs="Arial" w:eastAsia="Arial" w:hAnsi="Arial"/>
          <w:sz w:val="19"/>
          <w:szCs w:val="19"/>
          <w:b w:val="1"/>
          <w:bCs w:val="1"/>
          <w:color w:val="auto"/>
        </w:rPr>
        <w:t xml:space="preserve">10.16 No Advisory or Fiduciary Responsibility. </w:t>
      </w:r>
      <w:r>
        <w:rPr>
          <w:rFonts w:ascii="Arial" w:cs="Arial" w:eastAsia="Arial" w:hAnsi="Arial"/>
          <w:sz w:val="19"/>
          <w:szCs w:val="19"/>
          <w:color w:val="auto"/>
        </w:rPr>
        <w:t>In connection with all aspects of each transaction contemplated hereby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of the Borrowers hereby waives and releases any claims that it may have against the Administrative Agent, any Arranger or any Lender with respect to any breach or alleged breach of agency or fiduciary duty in connection with any aspect of any transaction contemplated hereby.</w:t>
      </w:r>
    </w:p>
    <w:p>
      <w:pPr>
        <w:spacing w:after="0" w:line="166" w:lineRule="exact"/>
        <w:rPr>
          <w:sz w:val="20"/>
          <w:szCs w:val="20"/>
          <w:color w:val="auto"/>
        </w:rPr>
      </w:pPr>
    </w:p>
    <w:p>
      <w:pPr>
        <w:jc w:val="both"/>
        <w:ind w:left="120" w:firstLine="598"/>
        <w:spacing w:after="0" w:line="215" w:lineRule="auto"/>
        <w:rPr>
          <w:sz w:val="20"/>
          <w:szCs w:val="20"/>
          <w:color w:val="auto"/>
        </w:rPr>
      </w:pPr>
      <w:r>
        <w:rPr>
          <w:rFonts w:ascii="Arial" w:cs="Arial" w:eastAsia="Arial" w:hAnsi="Arial"/>
          <w:sz w:val="20"/>
          <w:szCs w:val="20"/>
          <w:b w:val="1"/>
          <w:bCs w:val="1"/>
          <w:color w:val="auto"/>
        </w:rPr>
        <w:t xml:space="preserve">10.17 Electronic Execution; Electronic Records; Counterparts. </w:t>
      </w:r>
      <w:r>
        <w:rPr>
          <w:rFonts w:ascii="Arial" w:cs="Arial" w:eastAsia="Arial" w:hAnsi="Arial"/>
          <w:sz w:val="20"/>
          <w:szCs w:val="20"/>
          <w:color w:val="auto"/>
        </w:rPr>
        <w:t>This Agreement, any Loan Document and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61" w:name="page262"/>
    <w:bookmarkEnd w:id="261"/>
    <w:p>
      <w:pPr>
        <w:jc w:val="both"/>
        <w:ind w:left="120"/>
        <w:spacing w:after="0" w:line="223" w:lineRule="auto"/>
        <w:rPr>
          <w:sz w:val="20"/>
          <w:szCs w:val="20"/>
          <w:color w:val="auto"/>
        </w:rPr>
      </w:pPr>
      <w:r>
        <w:rPr>
          <w:rFonts w:ascii="Arial" w:cs="Arial" w:eastAsia="Arial" w:hAnsi="Arial"/>
          <w:sz w:val="19"/>
          <w:szCs w:val="19"/>
          <w:color w:val="auto"/>
        </w:rPr>
        <w:t>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Arial" w:cs="Arial" w:eastAsia="Arial" w:hAnsi="Arial"/>
          <w:sz w:val="19"/>
          <w:szCs w:val="19"/>
          <w:u w:val="single" w:color="auto"/>
          <w:color w:val="auto"/>
        </w:rPr>
        <w:t>Electronic Copy</w:t>
      </w:r>
      <w:r>
        <w:rPr>
          <w:rFonts w:ascii="Arial" w:cs="Arial" w:eastAsia="Arial" w:hAnsi="Arial"/>
          <w:sz w:val="19"/>
          <w:szCs w:val="19"/>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2" w:lineRule="exact"/>
        <w:rPr>
          <w:sz w:val="20"/>
          <w:szCs w:val="20"/>
          <w:color w:val="auto"/>
        </w:rPr>
      </w:pPr>
    </w:p>
    <w:p>
      <w:pPr>
        <w:jc w:val="both"/>
        <w:ind w:left="120" w:firstLine="598"/>
        <w:spacing w:after="0" w:line="226" w:lineRule="auto"/>
        <w:rPr>
          <w:sz w:val="20"/>
          <w:szCs w:val="20"/>
          <w:color w:val="auto"/>
        </w:rPr>
      </w:pPr>
      <w:r>
        <w:rPr>
          <w:rFonts w:ascii="Arial" w:cs="Arial" w:eastAsia="Arial" w:hAnsi="Arial"/>
          <w:sz w:val="19"/>
          <w:szCs w:val="19"/>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1"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19"/>
          <w:szCs w:val="19"/>
          <w:color w:val="auto"/>
        </w:rPr>
        <w:t>Each of the Loan Parties and each Lender Party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each Lender Party and each Related Party of any of the foregoing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9" w:lineRule="exact"/>
        <w:rPr>
          <w:sz w:val="20"/>
          <w:szCs w:val="20"/>
          <w:color w:val="auto"/>
        </w:rPr>
      </w:pPr>
    </w:p>
    <w:p>
      <w:pPr>
        <w:jc w:val="both"/>
        <w:ind w:left="120" w:firstLine="598"/>
        <w:spacing w:after="0" w:line="217" w:lineRule="auto"/>
        <w:rPr>
          <w:sz w:val="20"/>
          <w:szCs w:val="20"/>
          <w:color w:val="auto"/>
        </w:rPr>
      </w:pPr>
      <w:r>
        <w:rPr>
          <w:rFonts w:ascii="Arial" w:cs="Arial" w:eastAsia="Arial" w:hAnsi="Arial"/>
          <w:sz w:val="20"/>
          <w:szCs w:val="20"/>
          <w:b w:val="1"/>
          <w:bCs w:val="1"/>
          <w:color w:val="auto"/>
        </w:rPr>
        <w:t xml:space="preserve">10.18 USA PATRIOT Act Notice. </w:t>
      </w:r>
      <w:r>
        <w:rPr>
          <w:rFonts w:ascii="Arial" w:cs="Arial" w:eastAsia="Arial" w:hAnsi="Arial"/>
          <w:sz w:val="20"/>
          <w:szCs w:val="20"/>
          <w:color w:val="auto"/>
        </w:rPr>
        <w:t>Each Lender that is subject to the Act (as hereinafter defined) and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(for itself and not on behalf of any Lender) hereby notifies the Borrowers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7" w:right="579" w:bottom="1440" w:gutter="0" w:footer="0" w:header="0"/>
        </w:sectPr>
      </w:pPr>
    </w:p>
    <w:bookmarkStart w:id="262" w:name="page263"/>
    <w:bookmarkEnd w:id="262"/>
    <w:p>
      <w:pPr>
        <w:jc w:val="both"/>
        <w:ind w:left="120"/>
        <w:spacing w:after="0" w:line="236" w:lineRule="auto"/>
        <w:rPr>
          <w:sz w:val="20"/>
          <w:szCs w:val="20"/>
          <w:color w:val="auto"/>
        </w:rPr>
      </w:pPr>
      <w:r>
        <w:rPr>
          <w:rFonts w:ascii="Arial" w:cs="Arial" w:eastAsia="Arial" w:hAnsi="Arial"/>
          <w:sz w:val="20"/>
          <w:szCs w:val="20"/>
          <w:color w:val="auto"/>
        </w:rPr>
        <w:t>the Administrative Agent or such Lender requests in order to comply with its ongoing obligations under applicable “know your customer” rules and regulations and Anti- Money Laundering Laws, including the Act.</w:t>
      </w:r>
    </w:p>
    <w:p>
      <w:pPr>
        <w:spacing w:after="0" w:line="166" w:lineRule="exact"/>
        <w:rPr>
          <w:sz w:val="20"/>
          <w:szCs w:val="20"/>
          <w:color w:val="auto"/>
        </w:rPr>
      </w:pPr>
    </w:p>
    <w:p>
      <w:pPr>
        <w:jc w:val="both"/>
        <w:ind w:left="120" w:firstLine="598"/>
        <w:spacing w:after="0" w:line="235" w:lineRule="auto"/>
        <w:rPr>
          <w:sz w:val="20"/>
          <w:szCs w:val="20"/>
          <w:color w:val="auto"/>
        </w:rPr>
      </w:pPr>
      <w:r>
        <w:rPr>
          <w:rFonts w:ascii="Arial" w:cs="Arial" w:eastAsia="Arial" w:hAnsi="Arial"/>
          <w:sz w:val="18"/>
          <w:szCs w:val="18"/>
          <w:b w:val="1"/>
          <w:bCs w:val="1"/>
          <w:color w:val="auto"/>
        </w:rPr>
        <w:t xml:space="preserve">10.19 Judgment Currency. </w:t>
      </w:r>
      <w:r>
        <w:rPr>
          <w:rFonts w:ascii="Arial" w:cs="Arial" w:eastAsia="Arial" w:hAnsi="Arial"/>
          <w:sz w:val="18"/>
          <w:szCs w:val="18"/>
          <w:color w:val="auto"/>
        </w:rPr>
        <w:t>If, for the purposes of obtaining judgment in any court, it is necessary to convert a sum due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78" w:lineRule="exact"/>
        <w:rPr>
          <w:sz w:val="20"/>
          <w:szCs w:val="20"/>
          <w:color w:val="auto"/>
        </w:rPr>
      </w:pPr>
    </w:p>
    <w:p>
      <w:pPr>
        <w:jc w:val="both"/>
        <w:ind w:left="120" w:firstLine="598"/>
        <w:spacing w:after="0" w:line="229" w:lineRule="auto"/>
        <w:rPr>
          <w:sz w:val="20"/>
          <w:szCs w:val="20"/>
          <w:color w:val="auto"/>
        </w:rPr>
      </w:pPr>
      <w:r>
        <w:rPr>
          <w:rFonts w:ascii="Arial" w:cs="Arial" w:eastAsia="Arial" w:hAnsi="Arial"/>
          <w:sz w:val="20"/>
          <w:szCs w:val="20"/>
          <w:b w:val="1"/>
          <w:bCs w:val="1"/>
          <w:color w:val="auto"/>
        </w:rPr>
        <w:t xml:space="preserve">10.20 Designation as Senior Debt. </w:t>
      </w:r>
      <w:r>
        <w:rPr>
          <w:rFonts w:ascii="Arial" w:cs="Arial" w:eastAsia="Arial" w:hAnsi="Arial"/>
          <w:sz w:val="20"/>
          <w:szCs w:val="20"/>
          <w:color w:val="auto"/>
        </w:rPr>
        <w:t>All Obligations shall be “Designated Senior Indebtedness” (or any similar term) for</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of and as defined in any documentation evidencing any other Indebtedness of the Company or any of its Restricted Subsidiaries in which such concept is applicable.</w:t>
      </w:r>
    </w:p>
    <w:p>
      <w:pPr>
        <w:spacing w:after="0" w:line="178" w:lineRule="exact"/>
        <w:rPr>
          <w:sz w:val="20"/>
          <w:szCs w:val="20"/>
          <w:color w:val="auto"/>
        </w:rPr>
      </w:pPr>
    </w:p>
    <w:p>
      <w:pPr>
        <w:jc w:val="both"/>
        <w:ind w:left="120" w:firstLine="598"/>
        <w:spacing w:after="0" w:line="224" w:lineRule="auto"/>
        <w:rPr>
          <w:sz w:val="20"/>
          <w:szCs w:val="20"/>
          <w:color w:val="auto"/>
        </w:rPr>
      </w:pPr>
      <w:r>
        <w:rPr>
          <w:rFonts w:ascii="Arial" w:cs="Arial" w:eastAsia="Arial" w:hAnsi="Arial"/>
          <w:sz w:val="19"/>
          <w:szCs w:val="19"/>
          <w:b w:val="1"/>
          <w:bCs w:val="1"/>
          <w:color w:val="auto"/>
        </w:rPr>
        <w:t xml:space="preserve">10.21 Keepwell. </w:t>
      </w:r>
      <w:r>
        <w:rPr>
          <w:rFonts w:ascii="Arial" w:cs="Arial" w:eastAsia="Arial" w:hAnsi="Arial"/>
          <w:sz w:val="19"/>
          <w:szCs w:val="19"/>
          <w:color w:val="auto"/>
        </w:rPr>
        <w:t>Each Borrower that is a Qualified ECP Guarantor at the time the joint and several liability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Subsidiary Guaranty or the grant of the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(including the Subsidiary Guaranty) to which it is a party in respect of such Swap Obligation (but, in each case, only up to the maximum amount of such liability that can be hereby incurred without rendering such Borrower’s obligations and undertakings under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Borrower that is a Qualified ECP Guarantor under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shall remain in full force and effect until the Obligations have been indefeasibly paid and performed in full and all Commitments terminated. Each Borrower that is a Qualified ECP Guarantor intends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to constitute, and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63" w:name="page264"/>
    <w:bookmarkEnd w:id="263"/>
    <w:p>
      <w:pPr>
        <w:jc w:val="both"/>
        <w:ind w:left="120" w:firstLine="598"/>
        <w:spacing w:after="0" w:line="232" w:lineRule="auto"/>
        <w:rPr>
          <w:sz w:val="20"/>
          <w:szCs w:val="20"/>
          <w:color w:val="auto"/>
        </w:rPr>
      </w:pPr>
      <w:r>
        <w:rPr>
          <w:rFonts w:ascii="Arial" w:cs="Arial" w:eastAsia="Arial" w:hAnsi="Arial"/>
          <w:sz w:val="19"/>
          <w:szCs w:val="19"/>
          <w:b w:val="1"/>
          <w:bCs w:val="1"/>
          <w:color w:val="auto"/>
        </w:rPr>
        <w:t xml:space="preserve">10.22 Acknowledgement and Consent to Bail-In of Affected Financial Institutions. </w:t>
      </w:r>
      <w:r>
        <w:rPr>
          <w:rFonts w:ascii="Arial" w:cs="Arial" w:eastAsia="Arial" w:hAnsi="Arial"/>
          <w:sz w:val="19"/>
          <w:szCs w:val="19"/>
          <w:color w:val="auto"/>
        </w:rPr>
        <w:t>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ind w:left="120" w:firstLine="605"/>
        <w:spacing w:after="0" w:line="258" w:lineRule="auto"/>
        <w:tabs>
          <w:tab w:leader="none" w:pos="115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4" w:lineRule="exact"/>
        <w:rPr>
          <w:rFonts w:ascii="Arial" w:cs="Arial" w:eastAsia="Arial" w:hAnsi="Arial"/>
          <w:sz w:val="19"/>
          <w:szCs w:val="19"/>
          <w:color w:val="auto"/>
        </w:rPr>
      </w:pPr>
    </w:p>
    <w:p>
      <w:pPr>
        <w:ind w:left="1320" w:hanging="595"/>
        <w:spacing w:after="0"/>
        <w:tabs>
          <w:tab w:leader="none" w:pos="132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06" w:lineRule="exact"/>
        <w:rPr>
          <w:rFonts w:ascii="Arial" w:cs="Arial" w:eastAsia="Arial" w:hAnsi="Arial"/>
          <w:sz w:val="20"/>
          <w:szCs w:val="20"/>
          <w:color w:val="auto"/>
        </w:rPr>
      </w:pPr>
    </w:p>
    <w:p>
      <w:pPr>
        <w:ind w:left="1920" w:hanging="596"/>
        <w:spacing w:after="0"/>
        <w:tabs>
          <w:tab w:leader="none" w:pos="192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06" w:lineRule="exact"/>
        <w:rPr>
          <w:rFonts w:ascii="Arial" w:cs="Arial" w:eastAsia="Arial" w:hAnsi="Arial"/>
          <w:sz w:val="20"/>
          <w:szCs w:val="20"/>
          <w:color w:val="auto"/>
        </w:rPr>
      </w:pPr>
    </w:p>
    <w:p>
      <w:pPr>
        <w:jc w:val="both"/>
        <w:ind w:left="720" w:firstLine="605"/>
        <w:spacing w:after="0" w:line="222" w:lineRule="auto"/>
        <w:tabs>
          <w:tab w:leader="none" w:pos="175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Arial" w:cs="Arial" w:eastAsia="Arial" w:hAnsi="Arial"/>
          <w:sz w:val="20"/>
          <w:szCs w:val="20"/>
          <w:color w:val="auto"/>
        </w:rPr>
      </w:pPr>
    </w:p>
    <w:p>
      <w:pPr>
        <w:ind w:left="720" w:firstLine="605"/>
        <w:spacing w:after="0" w:line="236" w:lineRule="auto"/>
        <w:tabs>
          <w:tab w:leader="none" w:pos="174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8" w:lineRule="exact"/>
        <w:rPr>
          <w:sz w:val="20"/>
          <w:szCs w:val="20"/>
          <w:color w:val="auto"/>
        </w:rPr>
      </w:pPr>
    </w:p>
    <w:p>
      <w:pPr>
        <w:jc w:val="both"/>
        <w:ind w:left="280" w:firstLine="598"/>
        <w:spacing w:after="0" w:line="227" w:lineRule="auto"/>
        <w:rPr>
          <w:sz w:val="20"/>
          <w:szCs w:val="20"/>
          <w:color w:val="auto"/>
        </w:rPr>
      </w:pPr>
      <w:r>
        <w:rPr>
          <w:rFonts w:ascii="Arial" w:cs="Arial" w:eastAsia="Arial" w:hAnsi="Arial"/>
          <w:sz w:val="19"/>
          <w:szCs w:val="19"/>
          <w:b w:val="1"/>
          <w:bCs w:val="1"/>
          <w:color w:val="auto"/>
        </w:rPr>
        <w:t xml:space="preserve">10.23 Acknowledgement </w:t>
      </w:r>
      <w:r>
        <w:rPr>
          <w:rFonts w:ascii="Arial" w:cs="Arial" w:eastAsia="Arial" w:hAnsi="Arial"/>
          <w:sz w:val="17"/>
          <w:szCs w:val="17"/>
          <w:b w:val="1"/>
          <w:bCs w:val="1"/>
          <w:color w:val="auto"/>
        </w:rPr>
        <w:t>Regarding Any Supported QFCs.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the Loan Documents provide support,</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a guarantee or otherwise, for any Swap Contract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8" w:lineRule="exact"/>
        <w:rPr>
          <w:sz w:val="20"/>
          <w:szCs w:val="20"/>
          <w:color w:val="auto"/>
        </w:rPr>
      </w:pPr>
    </w:p>
    <w:p>
      <w:pPr>
        <w:jc w:val="both"/>
        <w:ind w:left="900" w:firstLine="599"/>
        <w:spacing w:after="0" w:line="238" w:lineRule="auto"/>
        <w:rPr>
          <w:sz w:val="20"/>
          <w:szCs w:val="20"/>
          <w:color w:val="auto"/>
        </w:rPr>
      </w:pPr>
      <w:r>
        <w:rPr>
          <w:rFonts w:ascii="Arial" w:cs="Arial" w:eastAsia="Arial" w:hAnsi="Arial"/>
          <w:sz w:val="18"/>
          <w:szCs w:val="18"/>
          <w:color w:val="auto"/>
        </w:rPr>
        <w:t>(a)In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1" w:right="579" w:bottom="1440" w:gutter="0" w:footer="0" w:header="0"/>
        </w:sectPr>
      </w:pPr>
    </w:p>
    <w:bookmarkStart w:id="264" w:name="page265"/>
    <w:bookmarkEnd w:id="264"/>
    <w:p>
      <w:pPr>
        <w:jc w:val="both"/>
        <w:ind w:left="900"/>
        <w:spacing w:after="0" w:line="219" w:lineRule="auto"/>
        <w:rPr>
          <w:sz w:val="20"/>
          <w:szCs w:val="20"/>
          <w:color w:val="auto"/>
        </w:rPr>
      </w:pPr>
      <w:r>
        <w:rPr>
          <w:rFonts w:ascii="Arial" w:cs="Arial" w:eastAsia="Arial" w:hAnsi="Arial"/>
          <w:sz w:val="20"/>
          <w:szCs w:val="20"/>
          <w:color w:val="auto"/>
        </w:rPr>
        <w:t>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(b) As used in this </w:t>
      </w:r>
      <w:r>
        <w:rPr>
          <w:rFonts w:ascii="Arial" w:cs="Arial" w:eastAsia="Arial" w:hAnsi="Arial"/>
          <w:sz w:val="20"/>
          <w:szCs w:val="20"/>
          <w:u w:val="single" w:color="auto"/>
          <w:color w:val="auto"/>
        </w:rPr>
        <w:t>Section 10.23</w:t>
      </w:r>
      <w:r>
        <w:rPr>
          <w:rFonts w:ascii="Arial" w:cs="Arial" w:eastAsia="Arial" w:hAnsi="Arial"/>
          <w:sz w:val="20"/>
          <w:szCs w:val="20"/>
          <w:color w:val="auto"/>
        </w:rPr>
        <w:t>, the following terms have the following meanings:</w:t>
      </w:r>
    </w:p>
    <w:p>
      <w:pPr>
        <w:spacing w:after="0" w:line="269" w:lineRule="exact"/>
        <w:rPr>
          <w:sz w:val="20"/>
          <w:szCs w:val="20"/>
          <w:color w:val="auto"/>
        </w:rPr>
      </w:pPr>
    </w:p>
    <w:p>
      <w:pPr>
        <w:jc w:val="both"/>
        <w:ind w:left="1320" w:firstLine="599"/>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2" w:lineRule="exact"/>
        <w:rPr>
          <w:sz w:val="20"/>
          <w:szCs w:val="20"/>
          <w:color w:val="auto"/>
        </w:rPr>
      </w:pPr>
    </w:p>
    <w:p>
      <w:pPr>
        <w:jc w:val="both"/>
        <w:ind w:left="1320" w:firstLine="599"/>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 252.81, 47.2 or 382.1, as applicable.</w:t>
      </w:r>
    </w:p>
    <w:p>
      <w:pPr>
        <w:spacing w:after="0" w:line="172" w:lineRule="exact"/>
        <w:rPr>
          <w:sz w:val="20"/>
          <w:szCs w:val="20"/>
          <w:color w:val="auto"/>
        </w:rPr>
      </w:pPr>
    </w:p>
    <w:p>
      <w:pPr>
        <w:jc w:val="both"/>
        <w:ind w:left="1320" w:right="20" w:firstLine="599"/>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12 U.S.C. 5390(c)(8)(D).</w:t>
      </w:r>
    </w:p>
    <w:p>
      <w:pPr>
        <w:spacing w:after="0" w:line="179" w:lineRule="exact"/>
        <w:rPr>
          <w:sz w:val="20"/>
          <w:szCs w:val="20"/>
          <w:color w:val="auto"/>
        </w:rPr>
      </w:pPr>
    </w:p>
    <w:p>
      <w:pPr>
        <w:jc w:val="both"/>
        <w:ind w:left="280" w:firstLine="598"/>
        <w:spacing w:after="0"/>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b w:val="1"/>
          <w:bCs w:val="1"/>
          <w:u w:val="single" w:color="auto"/>
          <w:color w:val="auto"/>
        </w:rPr>
        <w:t>Acknowledgment as to Satisfactory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Solely for the benefit of Bank of America,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under the Existing Credit Agreement, each Lender party hereto acknowledges and agrees, on behalf of itself and each of its relevant affiliates, that all obligations and liabilities in respect of “Secured Cash Management Agreements”, “Secured Hedge Agreements” and “Secured Permitted Standalone Letters of Credit” (each as defined in the Existing Credit Agreement) entered into by such Lender or any of its affiliates with any “Loan Party” or any of their respective “Restricted Subsidiaries” (each as defined in the Existing Credit Agreement) either have been terminated or other arrangements with respect thereto (which may include the entering into of the Loan Documents) have been made that are satisfactory to such Lender or such affiliate so as to satisfy any condition in respect thereof in the definition of “Facility Termination Date” (as defined in the Existing Credit Agreement).</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960"/>
          </w:cols>
          <w:pgMar w:left="360" w:top="1306" w:right="57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131313"/>
        </w:rPr>
        <w:t>IN WITNESS WHEREOF, the parties hereto have caused this Credit Agreement to be duly executed as of the date first above written.</w:t>
      </w:r>
    </w:p>
    <w:p>
      <w:pPr>
        <w:sectPr>
          <w:pgSz w:w="11900" w:h="16838" w:orient="portrait"/>
          <w:cols w:equalWidth="0" w:num="1">
            <w:col w:w="10139"/>
          </w:cols>
          <w:pgMar w:left="320" w:top="1397" w:right="1440" w:bottom="1440" w:gutter="0" w:footer="0" w:header="0"/>
        </w:sectPr>
      </w:pPr>
    </w:p>
    <w:p>
      <w:pPr>
        <w:spacing w:after="0" w:line="282" w:lineRule="exact"/>
        <w:rPr>
          <w:sz w:val="20"/>
          <w:szCs w:val="20"/>
          <w:color w:val="auto"/>
        </w:rPr>
      </w:pPr>
    </w:p>
    <w:p>
      <w:pPr>
        <w:ind w:left="5440"/>
        <w:spacing w:after="0"/>
        <w:rPr>
          <w:sz w:val="20"/>
          <w:szCs w:val="20"/>
          <w:color w:val="auto"/>
        </w:rPr>
      </w:pPr>
      <w:r>
        <w:rPr>
          <w:rFonts w:ascii="Arial" w:cs="Arial" w:eastAsia="Arial" w:hAnsi="Arial"/>
          <w:sz w:val="20"/>
          <w:szCs w:val="20"/>
          <w:b w:val="1"/>
          <w:bCs w:val="1"/>
          <w:u w:val="single" w:color="auto"/>
          <w:color w:val="auto"/>
        </w:rPr>
        <w:t>BORROWERS:</w:t>
      </w:r>
    </w:p>
    <w:p>
      <w:pPr>
        <w:spacing w:after="0" w:line="3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MASTEC, INC.</w:t>
      </w:r>
    </w:p>
    <w:p>
      <w:pPr>
        <w:spacing w:after="0" w:line="251" w:lineRule="exact"/>
        <w:rPr>
          <w:sz w:val="20"/>
          <w:szCs w:val="20"/>
          <w:color w:val="auto"/>
        </w:rPr>
      </w:pPr>
    </w:p>
    <w:p>
      <w:pPr>
        <w:ind w:left="544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Paul DiMarco</w:t>
      </w:r>
    </w:p>
    <w:p>
      <w:pPr>
        <w:spacing w:after="0" w:line="2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Paul DiMarco</w:t>
      </w:r>
    </w:p>
    <w:p>
      <w:pPr>
        <w:spacing w:after="0" w:line="20" w:lineRule="exact"/>
        <w:rPr>
          <w:sz w:val="20"/>
          <w:szCs w:val="20"/>
          <w:color w:val="auto"/>
        </w:rPr>
      </w:pPr>
    </w:p>
    <w:p>
      <w:pPr>
        <w:jc w:val="right"/>
        <w:ind w:right="1359"/>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MASTEC NORTH AMERICA, INC.</w:t>
      </w:r>
    </w:p>
    <w:p>
      <w:pPr>
        <w:spacing w:after="0" w:line="219" w:lineRule="exact"/>
        <w:rPr>
          <w:sz w:val="20"/>
          <w:szCs w:val="20"/>
          <w:color w:val="auto"/>
        </w:rPr>
      </w:pPr>
    </w:p>
    <w:p>
      <w:pPr>
        <w:ind w:left="544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Paul DiMarco</w:t>
      </w:r>
    </w:p>
    <w:p>
      <w:pPr>
        <w:spacing w:after="0" w:line="2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Paul DiMarco</w:t>
      </w:r>
    </w:p>
    <w:p>
      <w:pPr>
        <w:spacing w:after="0" w:line="20" w:lineRule="exact"/>
        <w:rPr>
          <w:sz w:val="20"/>
          <w:szCs w:val="20"/>
          <w:color w:val="auto"/>
        </w:rPr>
      </w:pPr>
    </w:p>
    <w:p>
      <w:pPr>
        <w:jc w:val="right"/>
        <w:ind w:right="1359"/>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CREDIT AGREEMENT</w:t>
      </w:r>
    </w:p>
    <w:p>
      <w:pPr>
        <w:jc w:val="center"/>
        <w:ind w:right="-110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139"/>
          </w:cols>
          <w:pgMar w:left="320" w:top="1397" w:right="1440" w:bottom="1440" w:gutter="0" w:footer="0" w:header="0"/>
          <w:type w:val="continuous"/>
        </w:sectPr>
      </w:pPr>
    </w:p>
    <w:bookmarkStart w:id="266" w:name="page267"/>
    <w:bookmarkEnd w:id="266"/>
    <w:p>
      <w:pPr>
        <w:spacing w:after="0" w:line="198" w:lineRule="exact"/>
        <w:rPr>
          <w:sz w:val="20"/>
          <w:szCs w:val="20"/>
          <w:color w:val="auto"/>
        </w:rPr>
      </w:pPr>
    </w:p>
    <w:p>
      <w:pPr>
        <w:ind w:left="5400"/>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BANK OF AMERICA, N.A., as</w:t>
      </w:r>
    </w:p>
    <w:p>
      <w:pPr>
        <w:spacing w:after="0" w:line="400"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Felicia Brinson</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Name: Felicia Brinson</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Typed 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67" w:name="page268"/>
    <w:bookmarkEnd w:id="267"/>
    <w:p>
      <w:pPr>
        <w:ind w:left="5400"/>
        <w:spacing w:after="0"/>
        <w:rPr>
          <w:sz w:val="20"/>
          <w:szCs w:val="20"/>
          <w:color w:val="auto"/>
        </w:rPr>
      </w:pPr>
      <w:r>
        <w:rPr>
          <w:rFonts w:ascii="Arial" w:cs="Arial" w:eastAsia="Arial" w:hAnsi="Arial"/>
          <w:sz w:val="20"/>
          <w:szCs w:val="20"/>
          <w:b w:val="1"/>
          <w:bCs w:val="1"/>
          <w:u w:val="single" w:color="auto"/>
          <w:color w:val="auto"/>
        </w:rPr>
        <w:t>LENDERS:</w:t>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BANK OF AMERICA, N.A.,</w:t>
      </w:r>
    </w:p>
    <w:p>
      <w:pPr>
        <w:spacing w:after="0" w:line="24" w:lineRule="exact"/>
        <w:rPr>
          <w:sz w:val="20"/>
          <w:szCs w:val="20"/>
          <w:color w:val="auto"/>
        </w:rPr>
      </w:pPr>
    </w:p>
    <w:p>
      <w:pPr>
        <w:jc w:val="right"/>
        <w:ind w:right="859"/>
        <w:spacing w:after="0"/>
        <w:rPr>
          <w:sz w:val="20"/>
          <w:szCs w:val="20"/>
          <w:color w:val="auto"/>
        </w:rPr>
      </w:pPr>
      <w:r>
        <w:rPr>
          <w:rFonts w:ascii="Arial" w:cs="Arial" w:eastAsia="Arial" w:hAnsi="Arial"/>
          <w:sz w:val="20"/>
          <w:szCs w:val="20"/>
          <w:color w:val="auto"/>
        </w:rPr>
        <w:t>As a Lender, L/C Issuer and Swing Line Lender</w:t>
      </w:r>
    </w:p>
    <w:p>
      <w:pPr>
        <w:spacing w:after="0" w:line="396"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Julie Rocawich</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Name: Julie Rocawich</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13" w:right="1440" w:bottom="1440" w:gutter="0" w:footer="0" w:header="0"/>
        </w:sectPr>
      </w:pPr>
    </w:p>
    <w:bookmarkStart w:id="268" w:name="page269"/>
    <w:bookmarkEnd w:id="268"/>
    <w:p>
      <w:pPr>
        <w:ind w:left="5400"/>
        <w:spacing w:after="0"/>
        <w:rPr>
          <w:sz w:val="20"/>
          <w:szCs w:val="20"/>
          <w:color w:val="auto"/>
        </w:rPr>
      </w:pPr>
      <w:r>
        <w:rPr>
          <w:rFonts w:ascii="Arial" w:cs="Arial" w:eastAsia="Arial" w:hAnsi="Arial"/>
          <w:sz w:val="19"/>
          <w:szCs w:val="19"/>
          <w:color w:val="auto"/>
        </w:rPr>
        <w:t>TRUIST BANK,as a Lender</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 xml:space="preserve">By: </w:t>
      </w:r>
      <w:r>
        <w:rPr>
          <w:rFonts w:ascii="Arial" w:cs="Arial" w:eastAsia="Arial" w:hAnsi="Arial"/>
          <w:sz w:val="18"/>
          <w:szCs w:val="18"/>
          <w:i w:val="1"/>
          <w:iCs w:val="1"/>
          <w:u w:val="single" w:color="auto"/>
          <w:color w:val="auto"/>
        </w:rPr>
        <w:t>/s/ William P. Rutkowski</w:t>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William P. Rutkowski</w:t>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19" w:right="1440" w:bottom="1440" w:gutter="0" w:footer="0" w:header="0"/>
        </w:sectPr>
      </w:pPr>
    </w:p>
    <w:bookmarkStart w:id="269" w:name="page270"/>
    <w:bookmarkEnd w:id="269"/>
    <w:p>
      <w:pPr>
        <w:ind w:left="5400"/>
        <w:spacing w:after="0"/>
        <w:rPr>
          <w:sz w:val="20"/>
          <w:szCs w:val="20"/>
          <w:color w:val="auto"/>
        </w:rPr>
      </w:pPr>
      <w:r>
        <w:rPr>
          <w:rFonts w:ascii="Arial" w:cs="Arial" w:eastAsia="Arial" w:hAnsi="Arial"/>
          <w:sz w:val="19"/>
          <w:szCs w:val="19"/>
          <w:b w:val="1"/>
          <w:bCs w:val="1"/>
          <w:color w:val="auto"/>
        </w:rPr>
        <w:t>PNC BANK. NATIONAL ASSOCIATION,</w:t>
      </w:r>
    </w:p>
    <w:p>
      <w:pPr>
        <w:spacing w:after="0" w:line="4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James Cullen</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Name: James Cullen</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13" w:right="1440" w:bottom="1440" w:gutter="0" w:footer="0" w:header="0"/>
        </w:sectPr>
      </w:pPr>
    </w:p>
    <w:bookmarkStart w:id="270" w:name="page271"/>
    <w:bookmarkEnd w:id="270"/>
    <w:p>
      <w:pPr>
        <w:spacing w:after="0" w:line="261"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WELLS FARGO BANK, NATIONAL ASSOCIATION,</w:t>
      </w:r>
    </w:p>
    <w:p>
      <w:pPr>
        <w:spacing w:after="0" w:line="4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Greg Strauss</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Name: Greg Strauss</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Title: Managing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CREDIT AGREEMENT</w:t>
      </w:r>
    </w:p>
    <w:p>
      <w:pPr>
        <w:jc w:val="center"/>
        <w:ind w:right="-1039"/>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140"/>
          </w:cols>
          <w:pgMar w:left="360" w:top="1440" w:right="1399" w:bottom="1440" w:gutter="0" w:footer="0" w:header="0"/>
        </w:sectPr>
      </w:pPr>
    </w:p>
    <w:bookmarkStart w:id="271" w:name="page272"/>
    <w:bookmarkEnd w:id="271"/>
    <w:p>
      <w:pPr>
        <w:ind w:left="5400"/>
        <w:spacing w:after="0"/>
        <w:rPr>
          <w:sz w:val="20"/>
          <w:szCs w:val="20"/>
          <w:color w:val="auto"/>
        </w:rPr>
      </w:pPr>
      <w:r>
        <w:rPr>
          <w:rFonts w:ascii="Arial" w:cs="Arial" w:eastAsia="Arial" w:hAnsi="Arial"/>
          <w:sz w:val="20"/>
          <w:szCs w:val="20"/>
          <w:b w:val="1"/>
          <w:bCs w:val="1"/>
          <w:color w:val="auto"/>
        </w:rPr>
        <w:t>BANK OF MONTREAL</w:t>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James Stephens</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Typed Name: James Stephens</w:t>
      </w:r>
    </w:p>
    <w:p>
      <w:pPr>
        <w:spacing w:after="0" w:line="54"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Typed Title: Vice President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13" w:right="1440" w:bottom="1440" w:gutter="0" w:footer="0" w:header="0"/>
        </w:sectPr>
      </w:pPr>
    </w:p>
    <w:bookmarkStart w:id="272" w:name="page273"/>
    <w:bookmarkEnd w:id="272"/>
    <w:p>
      <w:pPr>
        <w:ind w:left="5400"/>
        <w:spacing w:after="0"/>
        <w:rPr>
          <w:sz w:val="20"/>
          <w:szCs w:val="20"/>
          <w:color w:val="auto"/>
        </w:rPr>
      </w:pPr>
      <w:r>
        <w:rPr>
          <w:rFonts w:ascii="Arial" w:cs="Arial" w:eastAsia="Arial" w:hAnsi="Arial"/>
          <w:sz w:val="19"/>
          <w:szCs w:val="19"/>
          <w:b w:val="1"/>
          <w:bCs w:val="1"/>
          <w:color w:val="auto"/>
        </w:rPr>
        <w:t>JPMORGAN CHASE BANK, N.A.,</w:t>
      </w:r>
    </w:p>
    <w:p>
      <w:pPr>
        <w:spacing w:after="0" w:line="4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4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Kody J. Nerios</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Name: Kody J. Nerios</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Typed 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13" w:right="1440" w:bottom="1440" w:gutter="0" w:footer="0" w:header="0"/>
        </w:sectPr>
      </w:pPr>
    </w:p>
    <w:bookmarkStart w:id="273" w:name="page274"/>
    <w:bookmarkEnd w:id="273"/>
    <w:p>
      <w:pPr>
        <w:spacing w:after="0" w:line="198"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CAPITAL ONE, NATIONAL ASSOCIATION,</w:t>
      </w:r>
    </w:p>
    <w:p>
      <w:pPr>
        <w:spacing w:after="0" w:line="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Elizabeth Masciopinto</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Name: Elizabeth Masciopinto</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4" w:name="page275"/>
    <w:bookmarkEnd w:id="274"/>
    <w:p>
      <w:pPr>
        <w:spacing w:after="0" w:line="198"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MORGAN STANLEY BANK, N.A.,</w:t>
      </w:r>
    </w:p>
    <w:p>
      <w:pPr>
        <w:spacing w:after="0" w:line="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Michael King</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Name: Michael King</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5" w:name="page276"/>
    <w:bookmarkEnd w:id="275"/>
    <w:p>
      <w:pPr>
        <w:spacing w:after="0" w:line="13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MUFG BANK, LTD.</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Maria F. Maia</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Typed Name: Maria F. Maia</w:t>
      </w:r>
    </w:p>
    <w:p>
      <w:pPr>
        <w:spacing w:after="0" w:line="4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Title: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6" w:name="page277"/>
    <w:bookmarkEnd w:id="276"/>
    <w:p>
      <w:pPr>
        <w:spacing w:after="0" w:line="248"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HSBC BANK USA, N.A.,</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Jay Fort</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Name: Jay Fort</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Typed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7" w:name="page278"/>
    <w:bookmarkEnd w:id="277"/>
    <w:p>
      <w:pPr>
        <w:spacing w:after="0" w:line="198"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CITIZENS BANK, N.A.,</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 Kyle Giesel</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Typed Name: Kyle Giesel</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Typed 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8" w:name="page279"/>
    <w:bookmarkEnd w:id="278"/>
    <w:p>
      <w:pPr>
        <w:spacing w:after="0" w:line="261"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U.S. BANK NATIONAL ASSOCIATION</w:t>
      </w:r>
    </w:p>
    <w:p>
      <w:pPr>
        <w:spacing w:after="0" w:line="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 Edward B. Hanson</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Name: Edward B. Hanson</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79" w:name="page280"/>
    <w:bookmarkEnd w:id="279"/>
    <w:p>
      <w:pPr>
        <w:spacing w:after="0" w:line="198"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SYNOVUS BANK,</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Tejas Patel</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Name: Tejas Patel</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Typed Title: Senior Manager - Wholesale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CREDIT AGREEMENT</w:t>
      </w:r>
    </w:p>
    <w:p>
      <w:pPr>
        <w:jc w:val="center"/>
        <w:ind w:right="-108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80" w:name="page281"/>
    <w:bookmarkEnd w:id="280"/>
    <w:p>
      <w:pPr>
        <w:spacing w:after="0" w:line="310"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BANKUNITED, N.A.,</w:t>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20"/>
          <w:szCs w:val="20"/>
          <w:i w:val="1"/>
          <w:iCs w:val="1"/>
          <w:u w:val="single" w:color="auto"/>
          <w:color w:val="auto"/>
        </w:rPr>
        <w:t>By: /s/ Carlos E. Perez</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Typed Name: Carlos E. Perez</w:t>
      </w:r>
    </w:p>
    <w:p>
      <w:pPr>
        <w:spacing w:after="0" w:line="5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Typed Title: SVP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CREDIT AGREEMENT</w:t>
      </w:r>
    </w:p>
    <w:p>
      <w:pPr>
        <w:jc w:val="center"/>
        <w:ind w:right="-1060"/>
        <w:spacing w:after="0"/>
        <w:rPr>
          <w:sz w:val="20"/>
          <w:szCs w:val="20"/>
          <w:color w:val="auto"/>
        </w:rPr>
      </w:pPr>
      <w:r>
        <w:rPr>
          <w:rFonts w:ascii="Arial" w:cs="Arial" w:eastAsia="Arial" w:hAnsi="Arial"/>
          <w:sz w:val="15"/>
          <w:szCs w:val="15"/>
          <w:color w:val="auto"/>
        </w:rPr>
        <w:t>Signature Page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440" w:right="1440" w:bottom="1440" w:gutter="0" w:footer="0" w:header="0"/>
        </w:sectPr>
      </w:pPr>
    </w:p>
    <w:bookmarkStart w:id="281" w:name="page282"/>
    <w:bookmarkEnd w:id="281"/>
    <w:p>
      <w:pPr>
        <w:ind w:left="6560"/>
        <w:spacing w:after="0"/>
        <w:rPr>
          <w:sz w:val="20"/>
          <w:szCs w:val="20"/>
          <w:color w:val="auto"/>
        </w:rPr>
      </w:pPr>
      <w:r>
        <w:rPr>
          <w:rFonts w:ascii="Arial" w:cs="Arial" w:eastAsia="Arial" w:hAnsi="Arial"/>
          <w:sz w:val="17"/>
          <w:szCs w:val="17"/>
          <w:b w:val="1"/>
          <w:bCs w:val="1"/>
          <w:i w:val="1"/>
          <w:iCs w:val="1"/>
          <w:color w:val="auto"/>
        </w:rPr>
        <w:t>ANNEX I</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EXISTING LETTERS OF CREDIT</w:t>
      </w:r>
    </w:p>
    <w:p>
      <w:pPr>
        <w:spacing w:after="0" w:line="200" w:lineRule="exact"/>
        <w:rPr>
          <w:sz w:val="20"/>
          <w:szCs w:val="20"/>
          <w:color w:val="auto"/>
        </w:rPr>
      </w:pPr>
    </w:p>
    <w:p>
      <w:pPr>
        <w:spacing w:after="0" w:line="250"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940" w:type="dxa"/>
            <w:vAlign w:val="bottom"/>
            <w:tcBorders>
              <w:top w:val="single" w:sz="8" w:color="auto"/>
              <w:left w:val="single" w:sz="8" w:color="auto"/>
              <w:bottom w:val="single" w:sz="8" w:color="auto"/>
              <w:right w:val="single" w:sz="8" w:color="auto"/>
            </w:tcBorders>
            <w:gridSpan w:val="3"/>
            <w:shd w:val="clear" w:color="auto" w:fill="B6B6B6"/>
          </w:tcPr>
          <w:p>
            <w:pPr>
              <w:jc w:val="center"/>
              <w:spacing w:after="0" w:line="200" w:lineRule="exact"/>
              <w:rPr>
                <w:sz w:val="20"/>
                <w:szCs w:val="20"/>
                <w:color w:val="auto"/>
              </w:rPr>
            </w:pPr>
            <w:r>
              <w:rPr>
                <w:rFonts w:ascii="Arial" w:cs="Arial" w:eastAsia="Arial" w:hAnsi="Arial"/>
                <w:sz w:val="18"/>
                <w:szCs w:val="18"/>
                <w:b w:val="1"/>
                <w:bCs w:val="1"/>
                <w:color w:val="auto"/>
                <w:highlight w:val="lightGray"/>
                <w:w w:val="94"/>
              </w:rPr>
              <w:t>L/C Issuer</w:t>
            </w:r>
          </w:p>
        </w:tc>
        <w:tc>
          <w:tcPr>
            <w:tcW w:w="180" w:type="dxa"/>
            <w:vAlign w:val="bottom"/>
            <w:tcBorders>
              <w:top w:val="single" w:sz="8" w:color="auto"/>
              <w:bottom w:val="single" w:sz="8" w:color="auto"/>
            </w:tcBorders>
            <w:shd w:val="clear" w:color="auto" w:fill="B6B6B6"/>
          </w:tcPr>
          <w:p>
            <w:pPr>
              <w:spacing w:after="0"/>
              <w:rPr>
                <w:sz w:val="19"/>
                <w:szCs w:val="19"/>
                <w:color w:val="auto"/>
              </w:rPr>
            </w:pPr>
          </w:p>
        </w:tc>
        <w:tc>
          <w:tcPr>
            <w:tcW w:w="1540" w:type="dxa"/>
            <w:vAlign w:val="bottom"/>
            <w:tcBorders>
              <w:top w:val="single" w:sz="8" w:color="auto"/>
              <w:bottom w:val="single" w:sz="8" w:color="auto"/>
            </w:tcBorders>
            <w:shd w:val="clear" w:color="auto" w:fill="B6B6B6"/>
          </w:tcPr>
          <w:p>
            <w:pPr>
              <w:spacing w:after="0" w:line="200" w:lineRule="exact"/>
              <w:rPr>
                <w:sz w:val="20"/>
                <w:szCs w:val="20"/>
                <w:color w:val="auto"/>
              </w:rPr>
            </w:pPr>
            <w:r>
              <w:rPr>
                <w:rFonts w:ascii="Arial" w:cs="Arial" w:eastAsia="Arial" w:hAnsi="Arial"/>
                <w:sz w:val="18"/>
                <w:szCs w:val="18"/>
                <w:b w:val="1"/>
                <w:bCs w:val="1"/>
                <w:color w:val="auto"/>
                <w:highlight w:val="lightGray"/>
                <w:w w:val="93"/>
              </w:rPr>
              <w:t>Letter of Credit No.</w:t>
            </w:r>
          </w:p>
        </w:tc>
        <w:tc>
          <w:tcPr>
            <w:tcW w:w="200" w:type="dxa"/>
            <w:vAlign w:val="bottom"/>
            <w:tcBorders>
              <w:top w:val="single" w:sz="8" w:color="auto"/>
              <w:bottom w:val="single" w:sz="8" w:color="auto"/>
              <w:right w:val="single" w:sz="8" w:color="auto"/>
            </w:tcBorders>
            <w:shd w:val="clear" w:color="auto" w:fill="B6B6B6"/>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shd w:val="clear" w:color="auto" w:fill="B6B6B6"/>
          </w:tcPr>
          <w:p>
            <w:pPr>
              <w:ind w:left="480"/>
              <w:spacing w:after="0" w:line="200" w:lineRule="exact"/>
              <w:rPr>
                <w:sz w:val="20"/>
                <w:szCs w:val="20"/>
                <w:color w:val="auto"/>
              </w:rPr>
            </w:pPr>
            <w:r>
              <w:rPr>
                <w:rFonts w:ascii="Arial" w:cs="Arial" w:eastAsia="Arial" w:hAnsi="Arial"/>
                <w:sz w:val="18"/>
                <w:szCs w:val="18"/>
                <w:b w:val="1"/>
                <w:bCs w:val="1"/>
                <w:color w:val="auto"/>
              </w:rPr>
              <w:t>Issue Date</w:t>
            </w:r>
          </w:p>
        </w:tc>
        <w:tc>
          <w:tcPr>
            <w:tcW w:w="1360" w:type="dxa"/>
            <w:vAlign w:val="bottom"/>
            <w:tcBorders>
              <w:top w:val="single" w:sz="8" w:color="auto"/>
              <w:bottom w:val="single" w:sz="8" w:color="auto"/>
            </w:tcBorders>
            <w:gridSpan w:val="2"/>
            <w:shd w:val="clear" w:color="auto" w:fill="B6B6B6"/>
          </w:tcPr>
          <w:p>
            <w:pPr>
              <w:ind w:left="420"/>
              <w:spacing w:after="0" w:line="200" w:lineRule="exact"/>
              <w:rPr>
                <w:sz w:val="20"/>
                <w:szCs w:val="20"/>
                <w:color w:val="auto"/>
              </w:rPr>
            </w:pPr>
            <w:r>
              <w:rPr>
                <w:rFonts w:ascii="Arial" w:cs="Arial" w:eastAsia="Arial" w:hAnsi="Arial"/>
                <w:sz w:val="18"/>
                <w:szCs w:val="18"/>
                <w:b w:val="1"/>
                <w:bCs w:val="1"/>
                <w:color w:val="auto"/>
                <w:highlight w:val="lightGray"/>
                <w:w w:val="92"/>
              </w:rPr>
              <w:t>Expiry Date</w:t>
            </w:r>
          </w:p>
        </w:tc>
        <w:tc>
          <w:tcPr>
            <w:tcW w:w="420" w:type="dxa"/>
            <w:vAlign w:val="bottom"/>
            <w:tcBorders>
              <w:top w:val="single" w:sz="8" w:color="auto"/>
              <w:bottom w:val="single" w:sz="8" w:color="auto"/>
              <w:right w:val="single" w:sz="8" w:color="auto"/>
            </w:tcBorders>
            <w:shd w:val="clear" w:color="auto" w:fill="B6B6B6"/>
          </w:tcPr>
          <w:p>
            <w:pPr>
              <w:spacing w:after="0"/>
              <w:rPr>
                <w:sz w:val="19"/>
                <w:szCs w:val="19"/>
                <w:color w:val="auto"/>
              </w:rPr>
            </w:pPr>
          </w:p>
        </w:tc>
        <w:tc>
          <w:tcPr>
            <w:tcW w:w="340" w:type="dxa"/>
            <w:vAlign w:val="bottom"/>
            <w:tcBorders>
              <w:top w:val="single" w:sz="8" w:color="auto"/>
              <w:bottom w:val="single" w:sz="8" w:color="auto"/>
            </w:tcBorders>
            <w:shd w:val="clear" w:color="auto" w:fill="B6B6B6"/>
          </w:tcPr>
          <w:p>
            <w:pPr>
              <w:spacing w:after="0"/>
              <w:rPr>
                <w:sz w:val="19"/>
                <w:szCs w:val="19"/>
                <w:color w:val="auto"/>
              </w:rPr>
            </w:pPr>
          </w:p>
        </w:tc>
        <w:tc>
          <w:tcPr>
            <w:tcW w:w="1940" w:type="dxa"/>
            <w:vAlign w:val="bottom"/>
            <w:tcBorders>
              <w:top w:val="single" w:sz="8" w:color="auto"/>
              <w:bottom w:val="single" w:sz="8" w:color="auto"/>
            </w:tcBorders>
            <w:shd w:val="clear" w:color="auto" w:fill="B6B6B6"/>
          </w:tcPr>
          <w:p>
            <w:pPr>
              <w:ind w:left="20"/>
              <w:spacing w:after="0" w:line="200" w:lineRule="exact"/>
              <w:rPr>
                <w:sz w:val="20"/>
                <w:szCs w:val="20"/>
                <w:color w:val="auto"/>
              </w:rPr>
            </w:pPr>
            <w:r>
              <w:rPr>
                <w:rFonts w:ascii="Arial" w:cs="Arial" w:eastAsia="Arial" w:hAnsi="Arial"/>
                <w:sz w:val="18"/>
                <w:szCs w:val="18"/>
                <w:b w:val="1"/>
                <w:bCs w:val="1"/>
                <w:color w:val="auto"/>
                <w:highlight w:val="lightGray"/>
                <w:w w:val="94"/>
              </w:rPr>
              <w:t>Letter of Credit Amount</w:t>
            </w:r>
          </w:p>
        </w:tc>
        <w:tc>
          <w:tcPr>
            <w:tcW w:w="360" w:type="dxa"/>
            <w:vAlign w:val="bottom"/>
            <w:tcBorders>
              <w:top w:val="single" w:sz="8" w:color="auto"/>
              <w:bottom w:val="single" w:sz="8" w:color="auto"/>
              <w:right w:val="single" w:sz="8" w:color="auto"/>
            </w:tcBorders>
            <w:shd w:val="clear" w:color="auto" w:fill="B6B6B6"/>
          </w:tcPr>
          <w:p>
            <w:pPr>
              <w:spacing w:after="0"/>
              <w:rPr>
                <w:sz w:val="19"/>
                <w:szCs w:val="19"/>
                <w:color w:val="auto"/>
              </w:rPr>
            </w:pPr>
          </w:p>
        </w:tc>
      </w:tr>
      <w:tr>
        <w:trPr>
          <w:trHeight w:val="449"/>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61581</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89"/>
              </w:rPr>
              <w:t>5/11/2006</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5/10/2022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61582</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89"/>
              </w:rPr>
              <w:t>5/11/2006</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5/10/2022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$35,000.00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1295730</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5/1/2006</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8/1/2022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$1,095,000.00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68092152</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6/4/2015</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5/29/2022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$1,600,000.00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68092154</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9/4/2015</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0"/>
              </w:rPr>
              <w:t>12/31/2024</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68096318</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4/30/2013</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1/31/2022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$56,513,240.00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68096571</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5/21/2013</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9/19/2024</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$57,000.00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68116383</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6/23/2017</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6/21/2022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$208,700.00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68116388</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4/3/2018</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5/3/2022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$1,116,874.72</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68116394</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8/28/2018</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8/17/2022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$208,550.00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68116395</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9/24/2018</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9/17/2022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68116397</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2/20/2019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2/15/2022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$124,300.00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68116398</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2/20/2019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2/15/2022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$118,200.00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68116399</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3/6/2019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3/5/2022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$287,200.00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68116402</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5/16/2019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5/16/2022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$96,318.05</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68116403</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5/31/2019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0"/>
              </w:rPr>
              <w:t>12/31/2021</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$15,000,000.00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68116404</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8"/>
                <w:szCs w:val="18"/>
                <w:color w:val="auto"/>
                <w:w w:val="92"/>
              </w:rPr>
              <w:t>6/28/2019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2"/>
              </w:rPr>
              <w:t>6/29/2022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68116405</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8/7/2019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8/6/2022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$22,540.00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68116406</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8/7/2019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8/6/2022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$59,640.00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68116408</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8/7/2019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8/6/2022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$24,000.00</w:t>
            </w:r>
          </w:p>
        </w:tc>
      </w:tr>
      <w:tr>
        <w:trPr>
          <w:trHeight w:val="442"/>
        </w:trPr>
        <w:tc>
          <w:tcPr>
            <w:tcW w:w="2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Bank of America, N.A.</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68116409</w:t>
            </w:r>
          </w:p>
        </w:tc>
        <w:tc>
          <w:tcPr>
            <w:tcW w:w="2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8"/>
                <w:szCs w:val="18"/>
                <w:color w:val="auto"/>
                <w:w w:val="91"/>
              </w:rPr>
              <w:t>8/7/2019</w:t>
            </w:r>
          </w:p>
        </w:tc>
        <w:tc>
          <w:tcPr>
            <w:tcW w:w="5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8"/>
                <w:szCs w:val="18"/>
                <w:color w:val="auto"/>
                <w:w w:val="94"/>
              </w:rPr>
              <w:t>8/6/2022</w:t>
            </w:r>
          </w:p>
        </w:tc>
        <w:tc>
          <w:tcPr>
            <w:tcW w:w="42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$22,540.00</w:t>
            </w:r>
          </w:p>
        </w:tc>
      </w:tr>
    </w:tbl>
    <w:p>
      <w:pPr>
        <w:spacing w:after="0" w:line="200" w:lineRule="exact"/>
        <w:rPr>
          <w:sz w:val="20"/>
          <w:szCs w:val="20"/>
          <w:color w:val="auto"/>
        </w:rPr>
      </w:pPr>
    </w:p>
    <w:p>
      <w:pPr>
        <w:sectPr>
          <w:pgSz w:w="11900" w:h="16838" w:orient="portrait"/>
          <w:cols w:equalWidth="0" w:num="1">
            <w:col w:w="11080"/>
          </w:cols>
          <w:pgMar w:left="360" w:top="137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150575819</w:t>
      </w:r>
    </w:p>
    <w:p>
      <w:pPr>
        <w:sectPr>
          <w:pgSz w:w="11900" w:h="16838" w:orient="portrait"/>
          <w:cols w:equalWidth="0" w:num="1">
            <w:col w:w="11080"/>
          </w:cols>
          <w:pgMar w:left="360" w:top="1376" w:right="459" w:bottom="1440" w:gutter="0" w:footer="0" w:header="0"/>
          <w:type w:val="continuous"/>
        </w:sectPr>
      </w:pPr>
    </w:p>
    <w:bookmarkStart w:id="282" w:name="page283"/>
    <w:bookmarkEnd w:id="282"/>
    <w:tbl>
      <w:tblPr>
        <w:tblLayout w:type="fixed"/>
        <w:tblInd w:w="50" w:type="dxa"/>
        <w:tblCellMar>
          <w:top w:w="0" w:type="dxa"/>
          <w:left w:w="0" w:type="dxa"/>
          <w:bottom w:w="0" w:type="dxa"/>
          <w:right w:w="0" w:type="dxa"/>
        </w:tblCellMar>
      </w:tblPr>
      <w:tr>
        <w:trPr>
          <w:trHeight w:val="462"/>
        </w:trPr>
        <w:tc>
          <w:tcPr>
            <w:tcW w:w="294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top w:val="single" w:sz="8" w:color="auto"/>
              <w:bottom w:val="single" w:sz="8" w:color="auto"/>
              <w:right w:val="single" w:sz="8" w:color="auto"/>
            </w:tcBorders>
          </w:tcPr>
          <w:p>
            <w:pPr>
              <w:jc w:val="right"/>
              <w:ind w:right="1008"/>
              <w:spacing w:after="0"/>
              <w:rPr>
                <w:sz w:val="20"/>
                <w:szCs w:val="20"/>
                <w:color w:val="auto"/>
              </w:rPr>
            </w:pPr>
            <w:r>
              <w:rPr>
                <w:rFonts w:ascii="Arial" w:cs="Arial" w:eastAsia="Arial" w:hAnsi="Arial"/>
                <w:sz w:val="18"/>
                <w:szCs w:val="18"/>
                <w:color w:val="auto"/>
                <w:w w:val="99"/>
              </w:rPr>
              <w:t>68116410</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9/11/2019</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9/10/2022</w:t>
            </w:r>
          </w:p>
        </w:tc>
        <w:tc>
          <w:tcPr>
            <w:tcW w:w="2640" w:type="dxa"/>
            <w:vAlign w:val="bottom"/>
            <w:tcBorders>
              <w:top w:val="single" w:sz="8" w:color="auto"/>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$116,481.45</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1008"/>
              <w:spacing w:after="0"/>
              <w:rPr>
                <w:sz w:val="20"/>
                <w:szCs w:val="20"/>
                <w:color w:val="auto"/>
              </w:rPr>
            </w:pPr>
            <w:r>
              <w:rPr>
                <w:rFonts w:ascii="Arial" w:cs="Arial" w:eastAsia="Arial" w:hAnsi="Arial"/>
                <w:sz w:val="18"/>
                <w:szCs w:val="18"/>
                <w:color w:val="auto"/>
                <w:w w:val="99"/>
              </w:rPr>
              <w:t>68116414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3/12/2020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1/30/2022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$13,267,470.00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1008"/>
              <w:spacing w:after="0"/>
              <w:rPr>
                <w:sz w:val="20"/>
                <w:szCs w:val="20"/>
                <w:color w:val="auto"/>
              </w:rPr>
            </w:pPr>
            <w:r>
              <w:rPr>
                <w:rFonts w:ascii="Arial" w:cs="Arial" w:eastAsia="Arial" w:hAnsi="Arial"/>
                <w:sz w:val="18"/>
                <w:szCs w:val="18"/>
                <w:color w:val="auto"/>
                <w:w w:val="99"/>
              </w:rPr>
              <w:t>68116416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3/27/2020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3/23/2022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$50,000.00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1008"/>
              <w:spacing w:after="0"/>
              <w:rPr>
                <w:sz w:val="20"/>
                <w:szCs w:val="20"/>
                <w:color w:val="auto"/>
              </w:rPr>
            </w:pPr>
            <w:r>
              <w:rPr>
                <w:rFonts w:ascii="Arial" w:cs="Arial" w:eastAsia="Arial" w:hAnsi="Arial"/>
                <w:sz w:val="18"/>
                <w:szCs w:val="18"/>
                <w:color w:val="auto"/>
                <w:w w:val="99"/>
              </w:rPr>
              <w:t>68116417</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4/6/2020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3/24/2022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$117,194.95</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68148252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7/22/2020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7/17/2022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$102,249.82</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68148254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11/20/2020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11/10/2021</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$48,582.75</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68148255</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$1,000,000.00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68148256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12/29/2021</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$1,000,000.00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68148259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4/9/2021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2/28/2022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$650,985.77</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68148260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6/10/2021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6/9/2022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$92,850.00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68148261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6/10/2021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6/4/2022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$1,966,053.38</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68148262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8/16/2021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9/1/2022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$6,999,957.01</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68148263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6/29/2021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9/10/2022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$10,000.00</w:t>
            </w:r>
          </w:p>
        </w:tc>
      </w:tr>
      <w:tr>
        <w:trPr>
          <w:trHeight w:val="442"/>
        </w:trPr>
        <w:tc>
          <w:tcPr>
            <w:tcW w:w="294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Bank of America, N.A.</w:t>
            </w:r>
          </w:p>
        </w:tc>
        <w:tc>
          <w:tcPr>
            <w:tcW w:w="1920" w:type="dxa"/>
            <w:vAlign w:val="bottom"/>
            <w:tcBorders>
              <w:bottom w:val="single" w:sz="8" w:color="auto"/>
              <w:right w:val="single" w:sz="8" w:color="auto"/>
            </w:tcBorders>
          </w:tcPr>
          <w:p>
            <w:pPr>
              <w:jc w:val="right"/>
              <w:ind w:right="988"/>
              <w:spacing w:after="0"/>
              <w:rPr>
                <w:sz w:val="20"/>
                <w:szCs w:val="20"/>
                <w:color w:val="auto"/>
              </w:rPr>
            </w:pPr>
            <w:r>
              <w:rPr>
                <w:rFonts w:ascii="Arial" w:cs="Arial" w:eastAsia="Arial" w:hAnsi="Arial"/>
                <w:sz w:val="18"/>
                <w:szCs w:val="18"/>
                <w:color w:val="auto"/>
              </w:rPr>
              <w:t>68148264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8/16/2021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9/1/2022</w:t>
            </w:r>
          </w:p>
        </w:tc>
        <w:tc>
          <w:tcPr>
            <w:tcW w:w="2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$1,696,894.22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080"/>
          </w:cols>
          <w:pgMar w:left="360" w:top="1343" w:right="45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b w:val="1"/>
          <w:bCs w:val="1"/>
          <w:i w:val="1"/>
          <w:iCs w:val="1"/>
          <w:color w:val="auto"/>
        </w:rPr>
        <w:t>ANNEX</w:t>
      </w:r>
    </w:p>
    <w:p>
      <w:pPr>
        <w:ind w:left="10140"/>
        <w:spacing w:after="0"/>
        <w:rPr>
          <w:sz w:val="20"/>
          <w:szCs w:val="20"/>
          <w:color w:val="auto"/>
        </w:rPr>
      </w:pPr>
      <w:r>
        <w:rPr>
          <w:rFonts w:ascii="Arial" w:cs="Arial" w:eastAsia="Arial" w:hAnsi="Arial"/>
          <w:sz w:val="17"/>
          <w:szCs w:val="17"/>
          <w:b w:val="1"/>
          <w:bCs w:val="1"/>
          <w:i w:val="1"/>
          <w:iCs w:val="1"/>
          <w:color w:val="auto"/>
        </w:rPr>
        <w:t>II-A</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COMMITMENTS</w:t>
      </w:r>
    </w:p>
    <w:p>
      <w:pPr>
        <w:jc w:val="center"/>
        <w:ind w:right="120"/>
        <w:spacing w:after="0" w:line="199" w:lineRule="auto"/>
        <w:rPr>
          <w:sz w:val="20"/>
          <w:szCs w:val="20"/>
          <w:color w:val="auto"/>
        </w:rPr>
      </w:pPr>
      <w:r>
        <w:rPr>
          <w:rFonts w:ascii="Arial" w:cs="Arial" w:eastAsia="Arial" w:hAnsi="Arial"/>
          <w:sz w:val="17"/>
          <w:szCs w:val="17"/>
          <w:b w:val="1"/>
          <w:bCs w:val="1"/>
          <w:color w:val="auto"/>
        </w:rPr>
        <w:t>AND APPLICABLE</w:t>
      </w:r>
    </w:p>
    <w:p>
      <w:pPr>
        <w:jc w:val="center"/>
        <w:ind w:right="120"/>
        <w:spacing w:after="0"/>
        <w:rPr>
          <w:sz w:val="20"/>
          <w:szCs w:val="20"/>
          <w:color w:val="auto"/>
        </w:rPr>
      </w:pPr>
      <w:r>
        <w:rPr>
          <w:rFonts w:ascii="Arial" w:cs="Arial" w:eastAsia="Arial" w:hAnsi="Arial"/>
          <w:sz w:val="17"/>
          <w:szCs w:val="17"/>
          <w:b w:val="1"/>
          <w:bCs w:val="1"/>
          <w:color w:val="auto"/>
        </w:rPr>
        <w:t>PERCENTAGES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0" w:type="dxa"/>
        <w:tblCellMar>
          <w:top w:w="0" w:type="dxa"/>
          <w:left w:w="0" w:type="dxa"/>
          <w:bottom w:w="0" w:type="dxa"/>
          <w:right w:w="0" w:type="dxa"/>
        </w:tblCellMar>
      </w:tblPr>
      <w:tr>
        <w:trPr>
          <w:trHeight w:val="187"/>
        </w:trPr>
        <w:tc>
          <w:tcPr>
            <w:tcW w:w="540" w:type="dxa"/>
            <w:vAlign w:val="bottom"/>
            <w:tcBorders>
              <w:top w:val="single" w:sz="8" w:color="auto"/>
              <w:left w:val="single" w:sz="8" w:color="auto"/>
            </w:tcBorders>
            <w:shd w:val="clear" w:color="auto" w:fill="C5D9F0"/>
          </w:tcPr>
          <w:p>
            <w:pPr>
              <w:spacing w:after="0"/>
              <w:rPr>
                <w:sz w:val="16"/>
                <w:szCs w:val="16"/>
                <w:color w:val="auto"/>
              </w:rPr>
            </w:pPr>
          </w:p>
        </w:tc>
        <w:tc>
          <w:tcPr>
            <w:tcW w:w="1660" w:type="dxa"/>
            <w:vAlign w:val="bottom"/>
            <w:tcBorders>
              <w:top w:val="single" w:sz="8" w:color="auto"/>
              <w:right w:val="single" w:sz="8" w:color="auto"/>
            </w:tcBorders>
            <w:shd w:val="clear" w:color="auto" w:fill="C5D9F0"/>
          </w:tcPr>
          <w:p>
            <w:pPr>
              <w:spacing w:after="0"/>
              <w:rPr>
                <w:sz w:val="16"/>
                <w:szCs w:val="16"/>
                <w:color w:val="auto"/>
              </w:rPr>
            </w:pPr>
          </w:p>
        </w:tc>
        <w:tc>
          <w:tcPr>
            <w:tcW w:w="220" w:type="dxa"/>
            <w:vAlign w:val="bottom"/>
            <w:tcBorders>
              <w:top w:val="single" w:sz="8" w:color="auto"/>
              <w:right w:val="single" w:sz="8" w:color="C5D9F0"/>
            </w:tcBorders>
            <w:shd w:val="clear" w:color="auto" w:fill="C5D9F0"/>
          </w:tcPr>
          <w:p>
            <w:pPr>
              <w:spacing w:after="0"/>
              <w:rPr>
                <w:sz w:val="16"/>
                <w:szCs w:val="16"/>
                <w:color w:val="auto"/>
              </w:rPr>
            </w:pPr>
          </w:p>
        </w:tc>
        <w:tc>
          <w:tcPr>
            <w:tcW w:w="1180" w:type="dxa"/>
            <w:vAlign w:val="bottom"/>
            <w:tcBorders>
              <w:top w:val="single" w:sz="8" w:color="auto"/>
              <w:right w:val="single" w:sz="8" w:color="auto"/>
            </w:tcBorders>
            <w:shd w:val="clear" w:color="auto" w:fill="C5D9F0"/>
          </w:tcPr>
          <w:p>
            <w:pPr>
              <w:spacing w:after="0"/>
              <w:rPr>
                <w:sz w:val="16"/>
                <w:szCs w:val="16"/>
                <w:color w:val="auto"/>
              </w:rPr>
            </w:pPr>
          </w:p>
        </w:tc>
        <w:tc>
          <w:tcPr>
            <w:tcW w:w="160" w:type="dxa"/>
            <w:vAlign w:val="bottom"/>
            <w:tcBorders>
              <w:top w:val="single" w:sz="8" w:color="auto"/>
            </w:tcBorders>
            <w:shd w:val="clear" w:color="auto" w:fill="C5D9F0"/>
          </w:tcPr>
          <w:p>
            <w:pPr>
              <w:spacing w:after="0"/>
              <w:rPr>
                <w:sz w:val="16"/>
                <w:szCs w:val="16"/>
                <w:color w:val="auto"/>
              </w:rPr>
            </w:pPr>
          </w:p>
        </w:tc>
        <w:tc>
          <w:tcPr>
            <w:tcW w:w="40" w:type="dxa"/>
            <w:vAlign w:val="bottom"/>
            <w:tcBorders>
              <w:top w:val="single" w:sz="8" w:color="auto"/>
            </w:tcBorders>
            <w:shd w:val="clear" w:color="auto" w:fill="C5D9F0"/>
          </w:tcPr>
          <w:p>
            <w:pPr>
              <w:spacing w:after="0"/>
              <w:rPr>
                <w:sz w:val="16"/>
                <w:szCs w:val="16"/>
                <w:color w:val="auto"/>
              </w:rPr>
            </w:pPr>
          </w:p>
        </w:tc>
        <w:tc>
          <w:tcPr>
            <w:tcW w:w="800" w:type="dxa"/>
            <w:vAlign w:val="bottom"/>
            <w:tcBorders>
              <w:top w:val="single" w:sz="8" w:color="auto"/>
            </w:tcBorders>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88"/>
                <w:shd w:val="clear" w:color="auto" w:fill="C5D9F0"/>
              </w:rPr>
              <w:t>Applicable</w:t>
            </w:r>
          </w:p>
        </w:tc>
        <w:tc>
          <w:tcPr>
            <w:tcW w:w="40" w:type="dxa"/>
            <w:vAlign w:val="bottom"/>
            <w:tcBorders>
              <w:top w:val="single" w:sz="8" w:color="auto"/>
            </w:tcBorders>
            <w:shd w:val="clear" w:color="auto" w:fill="C5D9F0"/>
          </w:tcPr>
          <w:p>
            <w:pPr>
              <w:spacing w:after="0"/>
              <w:rPr>
                <w:sz w:val="16"/>
                <w:szCs w:val="16"/>
                <w:color w:val="auto"/>
              </w:rPr>
            </w:pPr>
          </w:p>
        </w:tc>
        <w:tc>
          <w:tcPr>
            <w:tcW w:w="180" w:type="dxa"/>
            <w:vAlign w:val="bottom"/>
            <w:tcBorders>
              <w:top w:val="single" w:sz="8" w:color="auto"/>
              <w:right w:val="single" w:sz="8" w:color="auto"/>
            </w:tcBorders>
            <w:shd w:val="clear" w:color="auto" w:fill="C5D9F0"/>
          </w:tcPr>
          <w:p>
            <w:pPr>
              <w:spacing w:after="0"/>
              <w:rPr>
                <w:sz w:val="16"/>
                <w:szCs w:val="16"/>
                <w:color w:val="auto"/>
              </w:rPr>
            </w:pPr>
          </w:p>
        </w:tc>
        <w:tc>
          <w:tcPr>
            <w:tcW w:w="100" w:type="dxa"/>
            <w:vAlign w:val="bottom"/>
            <w:tcBorders>
              <w:top w:val="single" w:sz="8" w:color="auto"/>
            </w:tcBorders>
            <w:shd w:val="clear" w:color="auto" w:fill="C5D9F0"/>
          </w:tcPr>
          <w:p>
            <w:pPr>
              <w:spacing w:after="0"/>
              <w:rPr>
                <w:sz w:val="16"/>
                <w:szCs w:val="16"/>
                <w:color w:val="auto"/>
              </w:rPr>
            </w:pPr>
          </w:p>
        </w:tc>
        <w:tc>
          <w:tcPr>
            <w:tcW w:w="40" w:type="dxa"/>
            <w:vAlign w:val="bottom"/>
            <w:tcBorders>
              <w:top w:val="single" w:sz="8" w:color="auto"/>
            </w:tcBorders>
            <w:shd w:val="clear" w:color="auto" w:fill="C5D9F0"/>
          </w:tcPr>
          <w:p>
            <w:pPr>
              <w:spacing w:after="0"/>
              <w:rPr>
                <w:sz w:val="16"/>
                <w:szCs w:val="16"/>
                <w:color w:val="auto"/>
              </w:rPr>
            </w:pPr>
          </w:p>
        </w:tc>
        <w:tc>
          <w:tcPr>
            <w:tcW w:w="320" w:type="dxa"/>
            <w:vAlign w:val="bottom"/>
            <w:tcBorders>
              <w:top w:val="single" w:sz="8" w:color="auto"/>
            </w:tcBorders>
            <w:shd w:val="clear" w:color="auto" w:fill="C5D9F0"/>
          </w:tcPr>
          <w:p>
            <w:pPr>
              <w:spacing w:after="0"/>
              <w:rPr>
                <w:sz w:val="16"/>
                <w:szCs w:val="16"/>
                <w:color w:val="auto"/>
              </w:rPr>
            </w:pPr>
          </w:p>
        </w:tc>
        <w:tc>
          <w:tcPr>
            <w:tcW w:w="280" w:type="dxa"/>
            <w:vAlign w:val="bottom"/>
            <w:tcBorders>
              <w:top w:val="single" w:sz="8" w:color="auto"/>
            </w:tcBorders>
            <w:shd w:val="clear" w:color="auto" w:fill="C5D9F0"/>
          </w:tcPr>
          <w:p>
            <w:pPr>
              <w:spacing w:after="0"/>
              <w:rPr>
                <w:sz w:val="16"/>
                <w:szCs w:val="16"/>
                <w:color w:val="auto"/>
              </w:rPr>
            </w:pPr>
          </w:p>
        </w:tc>
        <w:tc>
          <w:tcPr>
            <w:tcW w:w="340" w:type="dxa"/>
            <w:vAlign w:val="bottom"/>
            <w:tcBorders>
              <w:top w:val="single" w:sz="8" w:color="auto"/>
            </w:tcBorders>
            <w:shd w:val="clear" w:color="auto" w:fill="C5D9F0"/>
          </w:tcPr>
          <w:p>
            <w:pPr>
              <w:spacing w:after="0"/>
              <w:rPr>
                <w:sz w:val="16"/>
                <w:szCs w:val="16"/>
                <w:color w:val="auto"/>
              </w:rPr>
            </w:pPr>
          </w:p>
        </w:tc>
        <w:tc>
          <w:tcPr>
            <w:tcW w:w="140" w:type="dxa"/>
            <w:vAlign w:val="bottom"/>
            <w:tcBorders>
              <w:top w:val="single" w:sz="8" w:color="auto"/>
              <w:right w:val="single" w:sz="8" w:color="auto"/>
            </w:tcBorders>
            <w:shd w:val="clear" w:color="auto" w:fill="C5D9F0"/>
          </w:tcPr>
          <w:p>
            <w:pPr>
              <w:spacing w:after="0"/>
              <w:rPr>
                <w:sz w:val="16"/>
                <w:szCs w:val="16"/>
                <w:color w:val="auto"/>
              </w:rPr>
            </w:pPr>
          </w:p>
        </w:tc>
        <w:tc>
          <w:tcPr>
            <w:tcW w:w="1240" w:type="dxa"/>
            <w:vAlign w:val="bottom"/>
            <w:tcBorders>
              <w:top w:val="single" w:sz="8" w:color="auto"/>
              <w:right w:val="single" w:sz="8" w:color="auto"/>
            </w:tcBorders>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88"/>
                <w:shd w:val="clear" w:color="auto" w:fill="C5D9F0"/>
              </w:rPr>
              <w:t>Applicable</w:t>
            </w:r>
          </w:p>
        </w:tc>
        <w:tc>
          <w:tcPr>
            <w:tcW w:w="140" w:type="dxa"/>
            <w:vAlign w:val="bottom"/>
            <w:tcBorders>
              <w:top w:val="single" w:sz="8" w:color="auto"/>
            </w:tcBorders>
            <w:shd w:val="clear" w:color="auto" w:fill="C5D9F0"/>
          </w:tcPr>
          <w:p>
            <w:pPr>
              <w:spacing w:after="0"/>
              <w:rPr>
                <w:sz w:val="16"/>
                <w:szCs w:val="16"/>
                <w:color w:val="auto"/>
              </w:rPr>
            </w:pPr>
          </w:p>
        </w:tc>
        <w:tc>
          <w:tcPr>
            <w:tcW w:w="80" w:type="dxa"/>
            <w:vAlign w:val="bottom"/>
            <w:tcBorders>
              <w:top w:val="single" w:sz="8" w:color="auto"/>
              <w:right w:val="single" w:sz="8" w:color="C5D9F0"/>
            </w:tcBorders>
            <w:shd w:val="clear" w:color="auto" w:fill="C5D9F0"/>
          </w:tcPr>
          <w:p>
            <w:pPr>
              <w:spacing w:after="0"/>
              <w:rPr>
                <w:sz w:val="16"/>
                <w:szCs w:val="16"/>
                <w:color w:val="auto"/>
              </w:rPr>
            </w:pPr>
          </w:p>
        </w:tc>
        <w:tc>
          <w:tcPr>
            <w:tcW w:w="780" w:type="dxa"/>
            <w:vAlign w:val="bottom"/>
            <w:tcBorders>
              <w:top w:val="single" w:sz="8" w:color="auto"/>
            </w:tcBorders>
            <w:shd w:val="clear" w:color="auto" w:fill="C5D9F0"/>
          </w:tcPr>
          <w:p>
            <w:pPr>
              <w:spacing w:after="0"/>
              <w:rPr>
                <w:sz w:val="16"/>
                <w:szCs w:val="16"/>
                <w:color w:val="auto"/>
              </w:rPr>
            </w:pPr>
          </w:p>
        </w:tc>
        <w:tc>
          <w:tcPr>
            <w:tcW w:w="80" w:type="dxa"/>
            <w:vAlign w:val="bottom"/>
            <w:tcBorders>
              <w:top w:val="single" w:sz="8" w:color="auto"/>
            </w:tcBorders>
            <w:shd w:val="clear" w:color="auto" w:fill="C5D9F0"/>
          </w:tcPr>
          <w:p>
            <w:pPr>
              <w:spacing w:after="0"/>
              <w:rPr>
                <w:sz w:val="16"/>
                <w:szCs w:val="16"/>
                <w:color w:val="auto"/>
              </w:rPr>
            </w:pPr>
          </w:p>
        </w:tc>
        <w:tc>
          <w:tcPr>
            <w:tcW w:w="180" w:type="dxa"/>
            <w:vAlign w:val="bottom"/>
            <w:tcBorders>
              <w:top w:val="single" w:sz="8" w:color="auto"/>
              <w:right w:val="single" w:sz="8" w:color="auto"/>
            </w:tcBorders>
            <w:shd w:val="clear" w:color="auto" w:fill="C5D9F0"/>
          </w:tcPr>
          <w:p>
            <w:pPr>
              <w:spacing w:after="0"/>
              <w:rPr>
                <w:sz w:val="16"/>
                <w:szCs w:val="16"/>
                <w:color w:val="auto"/>
              </w:rPr>
            </w:pPr>
          </w:p>
        </w:tc>
        <w:tc>
          <w:tcPr>
            <w:tcW w:w="1220" w:type="dxa"/>
            <w:vAlign w:val="bottom"/>
            <w:tcBorders>
              <w:top w:val="single" w:sz="8" w:color="auto"/>
              <w:right w:val="single" w:sz="8" w:color="auto"/>
            </w:tcBorders>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88"/>
                <w:shd w:val="clear" w:color="auto" w:fill="C5D9F0"/>
              </w:rPr>
              <w:t>Applicable</w:t>
            </w:r>
          </w:p>
        </w:tc>
        <w:tc>
          <w:tcPr>
            <w:tcW w:w="220" w:type="dxa"/>
            <w:vAlign w:val="bottom"/>
            <w:tcBorders>
              <w:top w:val="single" w:sz="8" w:color="auto"/>
              <w:right w:val="single" w:sz="8" w:color="C5D9F0"/>
            </w:tcBorders>
            <w:shd w:val="clear" w:color="auto" w:fill="C5D9F0"/>
          </w:tcPr>
          <w:p>
            <w:pPr>
              <w:spacing w:after="0"/>
              <w:rPr>
                <w:sz w:val="16"/>
                <w:szCs w:val="16"/>
                <w:color w:val="auto"/>
              </w:rPr>
            </w:pPr>
          </w:p>
        </w:tc>
        <w:tc>
          <w:tcPr>
            <w:tcW w:w="300" w:type="dxa"/>
            <w:vAlign w:val="bottom"/>
            <w:tcBorders>
              <w:top w:val="single" w:sz="8" w:color="auto"/>
            </w:tcBorders>
            <w:shd w:val="clear" w:color="auto" w:fill="C5D9F0"/>
          </w:tcPr>
          <w:p>
            <w:pPr>
              <w:spacing w:after="0"/>
              <w:rPr>
                <w:sz w:val="16"/>
                <w:szCs w:val="16"/>
                <w:color w:val="auto"/>
              </w:rPr>
            </w:pPr>
          </w:p>
        </w:tc>
        <w:tc>
          <w:tcPr>
            <w:tcW w:w="360" w:type="dxa"/>
            <w:vAlign w:val="bottom"/>
            <w:tcBorders>
              <w:top w:val="single" w:sz="8" w:color="auto"/>
            </w:tcBorders>
            <w:shd w:val="clear" w:color="auto" w:fill="C5D9F0"/>
          </w:tcPr>
          <w:p>
            <w:pPr>
              <w:spacing w:after="0"/>
              <w:rPr>
                <w:sz w:val="16"/>
                <w:szCs w:val="16"/>
                <w:color w:val="auto"/>
              </w:rPr>
            </w:pPr>
          </w:p>
        </w:tc>
        <w:tc>
          <w:tcPr>
            <w:tcW w:w="520" w:type="dxa"/>
            <w:vAlign w:val="bottom"/>
            <w:tcBorders>
              <w:top w:val="single" w:sz="8" w:color="auto"/>
              <w:right w:val="single" w:sz="8" w:color="auto"/>
            </w:tcBorders>
            <w:shd w:val="clear" w:color="auto" w:fill="C5D9F0"/>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shd w:val="clear" w:color="auto" w:fill="C5D9F0"/>
          </w:tcPr>
          <w:p>
            <w:pPr>
              <w:spacing w:after="0"/>
              <w:rPr>
                <w:sz w:val="14"/>
                <w:szCs w:val="14"/>
                <w:color w:val="auto"/>
              </w:rPr>
            </w:pPr>
          </w:p>
        </w:tc>
        <w:tc>
          <w:tcPr>
            <w:tcW w:w="1660" w:type="dxa"/>
            <w:vAlign w:val="bottom"/>
            <w:tcBorders>
              <w:right w:val="single" w:sz="8" w:color="auto"/>
            </w:tcBorders>
            <w:shd w:val="clear" w:color="auto" w:fill="C5D9F0"/>
          </w:tcPr>
          <w:p>
            <w:pPr>
              <w:spacing w:after="0"/>
              <w:rPr>
                <w:sz w:val="14"/>
                <w:szCs w:val="14"/>
                <w:color w:val="auto"/>
              </w:rPr>
            </w:pPr>
          </w:p>
        </w:tc>
        <w:tc>
          <w:tcPr>
            <w:tcW w:w="220" w:type="dxa"/>
            <w:vAlign w:val="bottom"/>
            <w:tcBorders>
              <w:right w:val="single" w:sz="8" w:color="C5D9F0"/>
            </w:tcBorders>
            <w:shd w:val="clear" w:color="auto" w:fill="C5D9F0"/>
          </w:tcPr>
          <w:p>
            <w:pPr>
              <w:spacing w:after="0"/>
              <w:rPr>
                <w:sz w:val="14"/>
                <w:szCs w:val="14"/>
                <w:color w:val="auto"/>
              </w:rPr>
            </w:pPr>
          </w:p>
        </w:tc>
        <w:tc>
          <w:tcPr>
            <w:tcW w:w="1180" w:type="dxa"/>
            <w:vAlign w:val="bottom"/>
            <w:tcBorders>
              <w:right w:val="single" w:sz="8" w:color="auto"/>
            </w:tcBorders>
            <w:shd w:val="clear" w:color="auto" w:fill="C5D9F0"/>
          </w:tcPr>
          <w:p>
            <w:pPr>
              <w:spacing w:after="0"/>
              <w:rPr>
                <w:sz w:val="14"/>
                <w:szCs w:val="14"/>
                <w:color w:val="auto"/>
              </w:rPr>
            </w:pPr>
          </w:p>
        </w:tc>
        <w:tc>
          <w:tcPr>
            <w:tcW w:w="160" w:type="dxa"/>
            <w:vAlign w:val="bottom"/>
            <w:shd w:val="clear" w:color="auto" w:fill="C5D9F0"/>
          </w:tcPr>
          <w:p>
            <w:pPr>
              <w:spacing w:after="0"/>
              <w:rPr>
                <w:sz w:val="14"/>
                <w:szCs w:val="14"/>
                <w:color w:val="auto"/>
              </w:rPr>
            </w:pPr>
          </w:p>
        </w:tc>
        <w:tc>
          <w:tcPr>
            <w:tcW w:w="40" w:type="dxa"/>
            <w:vAlign w:val="bottom"/>
            <w:shd w:val="clear" w:color="auto" w:fill="C5D9F0"/>
          </w:tcPr>
          <w:p>
            <w:pPr>
              <w:spacing w:after="0"/>
              <w:rPr>
                <w:sz w:val="14"/>
                <w:szCs w:val="14"/>
                <w:color w:val="auto"/>
              </w:rPr>
            </w:pPr>
          </w:p>
        </w:tc>
        <w:tc>
          <w:tcPr>
            <w:tcW w:w="800" w:type="dxa"/>
            <w:vAlign w:val="bottom"/>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2"/>
                <w:shd w:val="clear" w:color="auto" w:fill="C5D9F0"/>
              </w:rPr>
              <w:t>Percentage</w:t>
            </w:r>
          </w:p>
        </w:tc>
        <w:tc>
          <w:tcPr>
            <w:tcW w:w="40" w:type="dxa"/>
            <w:vAlign w:val="bottom"/>
            <w:shd w:val="clear" w:color="auto" w:fill="C5D9F0"/>
          </w:tcPr>
          <w:p>
            <w:pPr>
              <w:spacing w:after="0"/>
              <w:rPr>
                <w:sz w:val="14"/>
                <w:szCs w:val="14"/>
                <w:color w:val="auto"/>
              </w:rPr>
            </w:pPr>
          </w:p>
        </w:tc>
        <w:tc>
          <w:tcPr>
            <w:tcW w:w="180" w:type="dxa"/>
            <w:vAlign w:val="bottom"/>
            <w:tcBorders>
              <w:right w:val="single" w:sz="8" w:color="auto"/>
            </w:tcBorders>
            <w:shd w:val="clear" w:color="auto" w:fill="C5D9F0"/>
          </w:tcPr>
          <w:p>
            <w:pPr>
              <w:spacing w:after="0"/>
              <w:rPr>
                <w:sz w:val="14"/>
                <w:szCs w:val="14"/>
                <w:color w:val="auto"/>
              </w:rPr>
            </w:pPr>
          </w:p>
        </w:tc>
        <w:tc>
          <w:tcPr>
            <w:tcW w:w="100" w:type="dxa"/>
            <w:vAlign w:val="bottom"/>
            <w:shd w:val="clear" w:color="auto" w:fill="C5D9F0"/>
          </w:tcPr>
          <w:p>
            <w:pPr>
              <w:spacing w:after="0"/>
              <w:rPr>
                <w:sz w:val="14"/>
                <w:szCs w:val="14"/>
                <w:color w:val="auto"/>
              </w:rPr>
            </w:pPr>
          </w:p>
        </w:tc>
        <w:tc>
          <w:tcPr>
            <w:tcW w:w="40" w:type="dxa"/>
            <w:vAlign w:val="bottom"/>
            <w:shd w:val="clear" w:color="auto" w:fill="C5D9F0"/>
          </w:tcPr>
          <w:p>
            <w:pPr>
              <w:spacing w:after="0"/>
              <w:rPr>
                <w:sz w:val="14"/>
                <w:szCs w:val="14"/>
                <w:color w:val="auto"/>
              </w:rPr>
            </w:pPr>
          </w:p>
        </w:tc>
        <w:tc>
          <w:tcPr>
            <w:tcW w:w="320" w:type="dxa"/>
            <w:vAlign w:val="bottom"/>
            <w:shd w:val="clear" w:color="auto" w:fill="C5D9F0"/>
          </w:tcPr>
          <w:p>
            <w:pPr>
              <w:spacing w:after="0"/>
              <w:rPr>
                <w:sz w:val="14"/>
                <w:szCs w:val="14"/>
                <w:color w:val="auto"/>
              </w:rPr>
            </w:pPr>
          </w:p>
        </w:tc>
        <w:tc>
          <w:tcPr>
            <w:tcW w:w="280" w:type="dxa"/>
            <w:vAlign w:val="bottom"/>
            <w:vMerge w:val="restart"/>
            <w:shd w:val="clear" w:color="auto" w:fill="C5D9F0"/>
          </w:tcPr>
          <w:p>
            <w:pPr>
              <w:jc w:val="center"/>
              <w:spacing w:after="0"/>
              <w:rPr>
                <w:sz w:val="20"/>
                <w:szCs w:val="20"/>
                <w:color w:val="auto"/>
              </w:rPr>
            </w:pPr>
            <w:r>
              <w:rPr>
                <w:rFonts w:ascii="Arial" w:cs="Arial" w:eastAsia="Arial" w:hAnsi="Arial"/>
                <w:sz w:val="17"/>
                <w:szCs w:val="17"/>
                <w:b w:val="1"/>
                <w:bCs w:val="1"/>
                <w:color w:val="auto"/>
                <w:shd w:val="clear" w:color="auto" w:fill="C5D9F0"/>
              </w:rPr>
              <w:t>MC</w:t>
            </w:r>
          </w:p>
        </w:tc>
        <w:tc>
          <w:tcPr>
            <w:tcW w:w="340" w:type="dxa"/>
            <w:vAlign w:val="bottom"/>
            <w:shd w:val="clear" w:color="auto" w:fill="C5D9F0"/>
          </w:tcPr>
          <w:p>
            <w:pPr>
              <w:spacing w:after="0"/>
              <w:rPr>
                <w:sz w:val="14"/>
                <w:szCs w:val="14"/>
                <w:color w:val="auto"/>
              </w:rPr>
            </w:pPr>
          </w:p>
        </w:tc>
        <w:tc>
          <w:tcPr>
            <w:tcW w:w="140" w:type="dxa"/>
            <w:vAlign w:val="bottom"/>
            <w:tcBorders>
              <w:right w:val="single" w:sz="8" w:color="auto"/>
            </w:tcBorders>
            <w:shd w:val="clear" w:color="auto" w:fill="C5D9F0"/>
          </w:tcPr>
          <w:p>
            <w:pPr>
              <w:spacing w:after="0"/>
              <w:rPr>
                <w:sz w:val="14"/>
                <w:szCs w:val="14"/>
                <w:color w:val="auto"/>
              </w:rPr>
            </w:pPr>
          </w:p>
        </w:tc>
        <w:tc>
          <w:tcPr>
            <w:tcW w:w="1240" w:type="dxa"/>
            <w:vAlign w:val="bottom"/>
            <w:tcBorders>
              <w:right w:val="single" w:sz="8" w:color="auto"/>
            </w:tcBorders>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2"/>
                <w:shd w:val="clear" w:color="auto" w:fill="C5D9F0"/>
              </w:rPr>
              <w:t>Percentage</w:t>
            </w:r>
          </w:p>
        </w:tc>
        <w:tc>
          <w:tcPr>
            <w:tcW w:w="140" w:type="dxa"/>
            <w:vAlign w:val="bottom"/>
            <w:shd w:val="clear" w:color="auto" w:fill="C5D9F0"/>
          </w:tcPr>
          <w:p>
            <w:pPr>
              <w:spacing w:after="0"/>
              <w:rPr>
                <w:sz w:val="14"/>
                <w:szCs w:val="14"/>
                <w:color w:val="auto"/>
              </w:rPr>
            </w:pPr>
          </w:p>
        </w:tc>
        <w:tc>
          <w:tcPr>
            <w:tcW w:w="80" w:type="dxa"/>
            <w:vAlign w:val="bottom"/>
            <w:tcBorders>
              <w:right w:val="single" w:sz="8" w:color="C5D9F0"/>
            </w:tcBorders>
            <w:shd w:val="clear" w:color="auto" w:fill="C5D9F0"/>
          </w:tcPr>
          <w:p>
            <w:pPr>
              <w:spacing w:after="0"/>
              <w:rPr>
                <w:sz w:val="14"/>
                <w:szCs w:val="14"/>
                <w:color w:val="auto"/>
              </w:rPr>
            </w:pPr>
          </w:p>
        </w:tc>
        <w:tc>
          <w:tcPr>
            <w:tcW w:w="780" w:type="dxa"/>
            <w:vAlign w:val="bottom"/>
            <w:vMerge w:val="restart"/>
            <w:shd w:val="clear" w:color="auto" w:fill="C5D9F0"/>
          </w:tcPr>
          <w:p>
            <w:pPr>
              <w:jc w:val="center"/>
              <w:spacing w:after="0"/>
              <w:rPr>
                <w:sz w:val="20"/>
                <w:szCs w:val="20"/>
                <w:color w:val="auto"/>
              </w:rPr>
            </w:pPr>
            <w:r>
              <w:rPr>
                <w:rFonts w:ascii="Arial" w:cs="Arial" w:eastAsia="Arial" w:hAnsi="Arial"/>
                <w:sz w:val="17"/>
                <w:szCs w:val="17"/>
                <w:b w:val="1"/>
                <w:bCs w:val="1"/>
                <w:color w:val="auto"/>
                <w:w w:val="89"/>
                <w:shd w:val="clear" w:color="auto" w:fill="C5D9F0"/>
              </w:rPr>
              <w:t>Term Loan</w:t>
            </w:r>
          </w:p>
        </w:tc>
        <w:tc>
          <w:tcPr>
            <w:tcW w:w="80" w:type="dxa"/>
            <w:vAlign w:val="bottom"/>
            <w:shd w:val="clear" w:color="auto" w:fill="C5D9F0"/>
          </w:tcPr>
          <w:p>
            <w:pPr>
              <w:spacing w:after="0"/>
              <w:rPr>
                <w:sz w:val="14"/>
                <w:szCs w:val="14"/>
                <w:color w:val="auto"/>
              </w:rPr>
            </w:pPr>
          </w:p>
        </w:tc>
        <w:tc>
          <w:tcPr>
            <w:tcW w:w="180" w:type="dxa"/>
            <w:vAlign w:val="bottom"/>
            <w:tcBorders>
              <w:right w:val="single" w:sz="8" w:color="auto"/>
            </w:tcBorders>
            <w:shd w:val="clear" w:color="auto" w:fill="C5D9F0"/>
          </w:tcPr>
          <w:p>
            <w:pPr>
              <w:spacing w:after="0"/>
              <w:rPr>
                <w:sz w:val="14"/>
                <w:szCs w:val="14"/>
                <w:color w:val="auto"/>
              </w:rPr>
            </w:pPr>
          </w:p>
        </w:tc>
        <w:tc>
          <w:tcPr>
            <w:tcW w:w="1220" w:type="dxa"/>
            <w:vAlign w:val="bottom"/>
            <w:tcBorders>
              <w:right w:val="single" w:sz="8" w:color="auto"/>
            </w:tcBorders>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2"/>
                <w:shd w:val="clear" w:color="auto" w:fill="C5D9F0"/>
              </w:rPr>
              <w:t>Percentage</w:t>
            </w:r>
          </w:p>
        </w:tc>
        <w:tc>
          <w:tcPr>
            <w:tcW w:w="220" w:type="dxa"/>
            <w:vAlign w:val="bottom"/>
            <w:tcBorders>
              <w:right w:val="single" w:sz="8" w:color="C5D9F0"/>
            </w:tcBorders>
            <w:shd w:val="clear" w:color="auto" w:fill="C5D9F0"/>
          </w:tcPr>
          <w:p>
            <w:pPr>
              <w:spacing w:after="0"/>
              <w:rPr>
                <w:sz w:val="14"/>
                <w:szCs w:val="14"/>
                <w:color w:val="auto"/>
              </w:rPr>
            </w:pPr>
          </w:p>
        </w:tc>
        <w:tc>
          <w:tcPr>
            <w:tcW w:w="300" w:type="dxa"/>
            <w:vAlign w:val="bottom"/>
            <w:shd w:val="clear" w:color="auto" w:fill="C5D9F0"/>
          </w:tcPr>
          <w:p>
            <w:pPr>
              <w:spacing w:after="0"/>
              <w:rPr>
                <w:sz w:val="14"/>
                <w:szCs w:val="14"/>
                <w:color w:val="auto"/>
              </w:rPr>
            </w:pPr>
          </w:p>
        </w:tc>
        <w:tc>
          <w:tcPr>
            <w:tcW w:w="360" w:type="dxa"/>
            <w:vAlign w:val="bottom"/>
            <w:shd w:val="clear" w:color="auto" w:fill="C5D9F0"/>
          </w:tcPr>
          <w:p>
            <w:pPr>
              <w:spacing w:after="0"/>
              <w:rPr>
                <w:sz w:val="14"/>
                <w:szCs w:val="14"/>
                <w:color w:val="auto"/>
              </w:rPr>
            </w:pPr>
          </w:p>
        </w:tc>
        <w:tc>
          <w:tcPr>
            <w:tcW w:w="520" w:type="dxa"/>
            <w:vAlign w:val="bottom"/>
            <w:tcBorders>
              <w:right w:val="single" w:sz="8" w:color="auto"/>
            </w:tcBorders>
            <w:shd w:val="clear" w:color="auto" w:fill="C5D9F0"/>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40" w:type="dxa"/>
            <w:vAlign w:val="bottom"/>
            <w:tcBorders>
              <w:left w:val="single" w:sz="8" w:color="auto"/>
            </w:tcBorders>
            <w:vMerge w:val="restart"/>
            <w:shd w:val="clear" w:color="auto" w:fill="C5D9F0"/>
          </w:tcPr>
          <w:p>
            <w:pPr>
              <w:ind w:left="20"/>
              <w:spacing w:after="0"/>
              <w:rPr>
                <w:sz w:val="20"/>
                <w:szCs w:val="20"/>
                <w:color w:val="auto"/>
              </w:rPr>
            </w:pPr>
            <w:r>
              <w:rPr>
                <w:rFonts w:ascii="Arial" w:cs="Arial" w:eastAsia="Arial" w:hAnsi="Arial"/>
                <w:sz w:val="17"/>
                <w:szCs w:val="17"/>
                <w:b w:val="1"/>
                <w:bCs w:val="1"/>
                <w:color w:val="auto"/>
                <w:w w:val="88"/>
                <w:shd w:val="clear" w:color="auto" w:fill="C5D9F0"/>
              </w:rPr>
              <w:t>Lender</w:t>
            </w:r>
          </w:p>
        </w:tc>
        <w:tc>
          <w:tcPr>
            <w:tcW w:w="1660" w:type="dxa"/>
            <w:vAlign w:val="bottom"/>
            <w:tcBorders>
              <w:right w:val="single" w:sz="8" w:color="auto"/>
            </w:tcBorders>
            <w:shd w:val="clear" w:color="auto" w:fill="C5D9F0"/>
          </w:tcPr>
          <w:p>
            <w:pPr>
              <w:spacing w:after="0"/>
              <w:rPr>
                <w:sz w:val="9"/>
                <w:szCs w:val="9"/>
                <w:color w:val="auto"/>
              </w:rPr>
            </w:pPr>
          </w:p>
        </w:tc>
        <w:tc>
          <w:tcPr>
            <w:tcW w:w="1400" w:type="dxa"/>
            <w:vAlign w:val="bottom"/>
            <w:tcBorders>
              <w:right w:val="single" w:sz="8" w:color="auto"/>
            </w:tcBorders>
            <w:gridSpan w:val="2"/>
            <w:vMerge w:val="restart"/>
            <w:shd w:val="clear" w:color="auto" w:fill="C5D9F0"/>
          </w:tcPr>
          <w:p>
            <w:pPr>
              <w:jc w:val="right"/>
              <w:spacing w:after="0"/>
              <w:rPr>
                <w:sz w:val="20"/>
                <w:szCs w:val="20"/>
                <w:color w:val="auto"/>
              </w:rPr>
            </w:pPr>
            <w:r>
              <w:rPr>
                <w:rFonts w:ascii="Arial" w:cs="Arial" w:eastAsia="Arial" w:hAnsi="Arial"/>
                <w:sz w:val="17"/>
                <w:szCs w:val="17"/>
                <w:b w:val="1"/>
                <w:bCs w:val="1"/>
                <w:color w:val="auto"/>
                <w:w w:val="91"/>
                <w:shd w:val="clear" w:color="auto" w:fill="C5D9F0"/>
              </w:rPr>
              <w:t>USD Commitment</w:t>
            </w:r>
          </w:p>
        </w:tc>
        <w:tc>
          <w:tcPr>
            <w:tcW w:w="160" w:type="dxa"/>
            <w:vAlign w:val="bottom"/>
            <w:shd w:val="clear" w:color="auto" w:fill="C5D9F0"/>
          </w:tcPr>
          <w:p>
            <w:pPr>
              <w:spacing w:after="0"/>
              <w:rPr>
                <w:sz w:val="9"/>
                <w:szCs w:val="9"/>
                <w:color w:val="auto"/>
              </w:rPr>
            </w:pPr>
          </w:p>
        </w:tc>
        <w:tc>
          <w:tcPr>
            <w:tcW w:w="40" w:type="dxa"/>
            <w:vAlign w:val="bottom"/>
            <w:shd w:val="clear" w:color="auto" w:fill="C5D9F0"/>
          </w:tcPr>
          <w:p>
            <w:pPr>
              <w:spacing w:after="0"/>
              <w:rPr>
                <w:sz w:val="9"/>
                <w:szCs w:val="9"/>
                <w:color w:val="auto"/>
              </w:rPr>
            </w:pPr>
          </w:p>
        </w:tc>
        <w:tc>
          <w:tcPr>
            <w:tcW w:w="800" w:type="dxa"/>
            <w:vAlign w:val="bottom"/>
            <w:vMerge w:val="restart"/>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4"/>
                <w:shd w:val="clear" w:color="auto" w:fill="C5D9F0"/>
              </w:rPr>
              <w:t>(Committed</w:t>
            </w:r>
          </w:p>
        </w:tc>
        <w:tc>
          <w:tcPr>
            <w:tcW w:w="40" w:type="dxa"/>
            <w:vAlign w:val="bottom"/>
            <w:shd w:val="clear" w:color="auto" w:fill="C5D9F0"/>
          </w:tcPr>
          <w:p>
            <w:pPr>
              <w:spacing w:after="0"/>
              <w:rPr>
                <w:sz w:val="9"/>
                <w:szCs w:val="9"/>
                <w:color w:val="auto"/>
              </w:rPr>
            </w:pPr>
          </w:p>
        </w:tc>
        <w:tc>
          <w:tcPr>
            <w:tcW w:w="180" w:type="dxa"/>
            <w:vAlign w:val="bottom"/>
            <w:tcBorders>
              <w:right w:val="single" w:sz="8" w:color="auto"/>
            </w:tcBorders>
            <w:shd w:val="clear" w:color="auto" w:fill="C5D9F0"/>
          </w:tcPr>
          <w:p>
            <w:pPr>
              <w:spacing w:after="0"/>
              <w:rPr>
                <w:sz w:val="9"/>
                <w:szCs w:val="9"/>
                <w:color w:val="auto"/>
              </w:rPr>
            </w:pPr>
          </w:p>
        </w:tc>
        <w:tc>
          <w:tcPr>
            <w:tcW w:w="100" w:type="dxa"/>
            <w:vAlign w:val="bottom"/>
            <w:shd w:val="clear" w:color="auto" w:fill="C5D9F0"/>
          </w:tcPr>
          <w:p>
            <w:pPr>
              <w:spacing w:after="0"/>
              <w:rPr>
                <w:sz w:val="9"/>
                <w:szCs w:val="9"/>
                <w:color w:val="auto"/>
              </w:rPr>
            </w:pPr>
          </w:p>
        </w:tc>
        <w:tc>
          <w:tcPr>
            <w:tcW w:w="40" w:type="dxa"/>
            <w:vAlign w:val="bottom"/>
            <w:shd w:val="clear" w:color="auto" w:fill="C5D9F0"/>
          </w:tcPr>
          <w:p>
            <w:pPr>
              <w:spacing w:after="0"/>
              <w:rPr>
                <w:sz w:val="9"/>
                <w:szCs w:val="9"/>
                <w:color w:val="auto"/>
              </w:rPr>
            </w:pPr>
          </w:p>
        </w:tc>
        <w:tc>
          <w:tcPr>
            <w:tcW w:w="320" w:type="dxa"/>
            <w:vAlign w:val="bottom"/>
            <w:shd w:val="clear" w:color="auto" w:fill="C5D9F0"/>
          </w:tcPr>
          <w:p>
            <w:pPr>
              <w:spacing w:after="0"/>
              <w:rPr>
                <w:sz w:val="9"/>
                <w:szCs w:val="9"/>
                <w:color w:val="auto"/>
              </w:rPr>
            </w:pPr>
          </w:p>
        </w:tc>
        <w:tc>
          <w:tcPr>
            <w:tcW w:w="280" w:type="dxa"/>
            <w:vAlign w:val="bottom"/>
            <w:vMerge w:val="continue"/>
            <w:shd w:val="clear" w:color="auto" w:fill="C5D9F0"/>
          </w:tcPr>
          <w:p>
            <w:pPr>
              <w:spacing w:after="0"/>
              <w:rPr>
                <w:sz w:val="9"/>
                <w:szCs w:val="9"/>
                <w:color w:val="auto"/>
              </w:rPr>
            </w:pPr>
          </w:p>
        </w:tc>
        <w:tc>
          <w:tcPr>
            <w:tcW w:w="340" w:type="dxa"/>
            <w:vAlign w:val="bottom"/>
            <w:shd w:val="clear" w:color="auto" w:fill="C5D9F0"/>
          </w:tcPr>
          <w:p>
            <w:pPr>
              <w:spacing w:after="0"/>
              <w:rPr>
                <w:sz w:val="9"/>
                <w:szCs w:val="9"/>
                <w:color w:val="auto"/>
              </w:rPr>
            </w:pPr>
          </w:p>
        </w:tc>
        <w:tc>
          <w:tcPr>
            <w:tcW w:w="140" w:type="dxa"/>
            <w:vAlign w:val="bottom"/>
            <w:tcBorders>
              <w:right w:val="single" w:sz="8" w:color="auto"/>
            </w:tcBorders>
            <w:shd w:val="clear" w:color="auto" w:fill="C5D9F0"/>
          </w:tcPr>
          <w:p>
            <w:pPr>
              <w:spacing w:after="0"/>
              <w:rPr>
                <w:sz w:val="9"/>
                <w:szCs w:val="9"/>
                <w:color w:val="auto"/>
              </w:rPr>
            </w:pPr>
          </w:p>
        </w:tc>
        <w:tc>
          <w:tcPr>
            <w:tcW w:w="1240" w:type="dxa"/>
            <w:vAlign w:val="bottom"/>
            <w:tcBorders>
              <w:right w:val="single" w:sz="8" w:color="auto"/>
            </w:tcBorders>
            <w:vMerge w:val="restart"/>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2"/>
                <w:shd w:val="clear" w:color="auto" w:fill="C5D9F0"/>
              </w:rPr>
              <w:t>(Committed</w:t>
            </w:r>
          </w:p>
        </w:tc>
        <w:tc>
          <w:tcPr>
            <w:tcW w:w="140" w:type="dxa"/>
            <w:vAlign w:val="bottom"/>
            <w:shd w:val="clear" w:color="auto" w:fill="C5D9F0"/>
          </w:tcPr>
          <w:p>
            <w:pPr>
              <w:spacing w:after="0"/>
              <w:rPr>
                <w:sz w:val="9"/>
                <w:szCs w:val="9"/>
                <w:color w:val="auto"/>
              </w:rPr>
            </w:pPr>
          </w:p>
        </w:tc>
        <w:tc>
          <w:tcPr>
            <w:tcW w:w="80" w:type="dxa"/>
            <w:vAlign w:val="bottom"/>
            <w:tcBorders>
              <w:right w:val="single" w:sz="8" w:color="C5D9F0"/>
            </w:tcBorders>
            <w:shd w:val="clear" w:color="auto" w:fill="C5D9F0"/>
          </w:tcPr>
          <w:p>
            <w:pPr>
              <w:spacing w:after="0"/>
              <w:rPr>
                <w:sz w:val="9"/>
                <w:szCs w:val="9"/>
                <w:color w:val="auto"/>
              </w:rPr>
            </w:pPr>
          </w:p>
        </w:tc>
        <w:tc>
          <w:tcPr>
            <w:tcW w:w="780" w:type="dxa"/>
            <w:vAlign w:val="bottom"/>
            <w:vMerge w:val="continue"/>
            <w:shd w:val="clear" w:color="auto" w:fill="C5D9F0"/>
          </w:tcPr>
          <w:p>
            <w:pPr>
              <w:spacing w:after="0"/>
              <w:rPr>
                <w:sz w:val="9"/>
                <w:szCs w:val="9"/>
                <w:color w:val="auto"/>
              </w:rPr>
            </w:pPr>
          </w:p>
        </w:tc>
        <w:tc>
          <w:tcPr>
            <w:tcW w:w="80" w:type="dxa"/>
            <w:vAlign w:val="bottom"/>
            <w:shd w:val="clear" w:color="auto" w:fill="C5D9F0"/>
          </w:tcPr>
          <w:p>
            <w:pPr>
              <w:spacing w:after="0"/>
              <w:rPr>
                <w:sz w:val="9"/>
                <w:szCs w:val="9"/>
                <w:color w:val="auto"/>
              </w:rPr>
            </w:pPr>
          </w:p>
        </w:tc>
        <w:tc>
          <w:tcPr>
            <w:tcW w:w="180" w:type="dxa"/>
            <w:vAlign w:val="bottom"/>
            <w:tcBorders>
              <w:right w:val="single" w:sz="8" w:color="auto"/>
            </w:tcBorders>
            <w:vMerge w:val="restart"/>
            <w:shd w:val="clear" w:color="auto" w:fill="C5D9F0"/>
          </w:tcPr>
          <w:p>
            <w:pPr>
              <w:spacing w:after="0"/>
              <w:rPr>
                <w:sz w:val="9"/>
                <w:szCs w:val="9"/>
                <w:color w:val="auto"/>
              </w:rPr>
            </w:pPr>
          </w:p>
        </w:tc>
        <w:tc>
          <w:tcPr>
            <w:tcW w:w="1220" w:type="dxa"/>
            <w:vAlign w:val="bottom"/>
            <w:tcBorders>
              <w:right w:val="single" w:sz="8" w:color="auto"/>
            </w:tcBorders>
            <w:vMerge w:val="restart"/>
            <w:shd w:val="clear" w:color="auto" w:fill="C5D9F0"/>
          </w:tcPr>
          <w:p>
            <w:pPr>
              <w:jc w:val="center"/>
              <w:spacing w:after="0" w:line="163" w:lineRule="exact"/>
              <w:rPr>
                <w:sz w:val="20"/>
                <w:szCs w:val="20"/>
                <w:color w:val="auto"/>
              </w:rPr>
            </w:pPr>
            <w:r>
              <w:rPr>
                <w:rFonts w:ascii="Arial" w:cs="Arial" w:eastAsia="Arial" w:hAnsi="Arial"/>
                <w:sz w:val="17"/>
                <w:szCs w:val="17"/>
                <w:b w:val="1"/>
                <w:bCs w:val="1"/>
                <w:color w:val="auto"/>
                <w:w w:val="84"/>
                <w:shd w:val="clear" w:color="auto" w:fill="C5D9F0"/>
              </w:rPr>
              <w:t>(Term Loan</w:t>
            </w:r>
          </w:p>
        </w:tc>
        <w:tc>
          <w:tcPr>
            <w:tcW w:w="220" w:type="dxa"/>
            <w:vAlign w:val="bottom"/>
            <w:tcBorders>
              <w:right w:val="single" w:sz="8" w:color="C5D9F0"/>
            </w:tcBorders>
            <w:shd w:val="clear" w:color="auto" w:fill="C5D9F0"/>
          </w:tcPr>
          <w:p>
            <w:pPr>
              <w:spacing w:after="0"/>
              <w:rPr>
                <w:sz w:val="9"/>
                <w:szCs w:val="9"/>
                <w:color w:val="auto"/>
              </w:rPr>
            </w:pPr>
          </w:p>
        </w:tc>
        <w:tc>
          <w:tcPr>
            <w:tcW w:w="300" w:type="dxa"/>
            <w:vAlign w:val="bottom"/>
            <w:shd w:val="clear" w:color="auto" w:fill="C5D9F0"/>
          </w:tcPr>
          <w:p>
            <w:pPr>
              <w:spacing w:after="0"/>
              <w:rPr>
                <w:sz w:val="9"/>
                <w:szCs w:val="9"/>
                <w:color w:val="auto"/>
              </w:rPr>
            </w:pPr>
          </w:p>
        </w:tc>
        <w:tc>
          <w:tcPr>
            <w:tcW w:w="360" w:type="dxa"/>
            <w:vAlign w:val="bottom"/>
            <w:vMerge w:val="restart"/>
            <w:shd w:val="clear" w:color="auto" w:fill="C5D9F0"/>
          </w:tcPr>
          <w:p>
            <w:pPr>
              <w:spacing w:after="0"/>
              <w:rPr>
                <w:sz w:val="20"/>
                <w:szCs w:val="20"/>
                <w:color w:val="auto"/>
              </w:rPr>
            </w:pPr>
            <w:r>
              <w:rPr>
                <w:rFonts w:ascii="Arial" w:cs="Arial" w:eastAsia="Arial" w:hAnsi="Arial"/>
                <w:sz w:val="17"/>
                <w:szCs w:val="17"/>
                <w:b w:val="1"/>
                <w:bCs w:val="1"/>
                <w:color w:val="auto"/>
                <w:w w:val="83"/>
                <w:shd w:val="clear" w:color="auto" w:fill="C5D9F0"/>
              </w:rPr>
              <w:t>Total</w:t>
            </w:r>
          </w:p>
        </w:tc>
        <w:tc>
          <w:tcPr>
            <w:tcW w:w="520" w:type="dxa"/>
            <w:vAlign w:val="bottom"/>
            <w:tcBorders>
              <w:right w:val="single" w:sz="8" w:color="auto"/>
            </w:tcBorders>
            <w:shd w:val="clear" w:color="auto" w:fill="C5D9F0"/>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540" w:type="dxa"/>
            <w:vAlign w:val="bottom"/>
            <w:tcBorders>
              <w:left w:val="single" w:sz="8" w:color="auto"/>
            </w:tcBorders>
            <w:vMerge w:val="continue"/>
            <w:shd w:val="clear" w:color="auto" w:fill="C5D9F0"/>
          </w:tcPr>
          <w:p>
            <w:pPr>
              <w:spacing w:after="0"/>
              <w:rPr>
                <w:sz w:val="4"/>
                <w:szCs w:val="4"/>
                <w:color w:val="auto"/>
              </w:rPr>
            </w:pPr>
          </w:p>
        </w:tc>
        <w:tc>
          <w:tcPr>
            <w:tcW w:w="1660" w:type="dxa"/>
            <w:vAlign w:val="bottom"/>
            <w:tcBorders>
              <w:right w:val="single" w:sz="8" w:color="auto"/>
            </w:tcBorders>
            <w:shd w:val="clear" w:color="auto" w:fill="C5D9F0"/>
          </w:tcPr>
          <w:p>
            <w:pPr>
              <w:spacing w:after="0"/>
              <w:rPr>
                <w:sz w:val="4"/>
                <w:szCs w:val="4"/>
                <w:color w:val="auto"/>
              </w:rPr>
            </w:pPr>
          </w:p>
        </w:tc>
        <w:tc>
          <w:tcPr>
            <w:tcW w:w="1400" w:type="dxa"/>
            <w:vAlign w:val="bottom"/>
            <w:tcBorders>
              <w:right w:val="single" w:sz="8" w:color="auto"/>
            </w:tcBorders>
            <w:gridSpan w:val="2"/>
            <w:vMerge w:val="continue"/>
            <w:shd w:val="clear" w:color="auto" w:fill="C5D9F0"/>
          </w:tcPr>
          <w:p>
            <w:pPr>
              <w:spacing w:after="0"/>
              <w:rPr>
                <w:sz w:val="4"/>
                <w:szCs w:val="4"/>
                <w:color w:val="auto"/>
              </w:rPr>
            </w:pPr>
          </w:p>
        </w:tc>
        <w:tc>
          <w:tcPr>
            <w:tcW w:w="160" w:type="dxa"/>
            <w:vAlign w:val="bottom"/>
            <w:shd w:val="clear" w:color="auto" w:fill="C5D9F0"/>
          </w:tcPr>
          <w:p>
            <w:pPr>
              <w:spacing w:after="0"/>
              <w:rPr>
                <w:sz w:val="4"/>
                <w:szCs w:val="4"/>
                <w:color w:val="auto"/>
              </w:rPr>
            </w:pPr>
          </w:p>
        </w:tc>
        <w:tc>
          <w:tcPr>
            <w:tcW w:w="40" w:type="dxa"/>
            <w:vAlign w:val="bottom"/>
            <w:shd w:val="clear" w:color="auto" w:fill="C5D9F0"/>
          </w:tcPr>
          <w:p>
            <w:pPr>
              <w:spacing w:after="0"/>
              <w:rPr>
                <w:sz w:val="4"/>
                <w:szCs w:val="4"/>
                <w:color w:val="auto"/>
              </w:rPr>
            </w:pPr>
          </w:p>
        </w:tc>
        <w:tc>
          <w:tcPr>
            <w:tcW w:w="800" w:type="dxa"/>
            <w:vAlign w:val="bottom"/>
            <w:vMerge w:val="continue"/>
            <w:shd w:val="clear" w:color="auto" w:fill="C5D9F0"/>
          </w:tcPr>
          <w:p>
            <w:pPr>
              <w:spacing w:after="0"/>
              <w:rPr>
                <w:sz w:val="4"/>
                <w:szCs w:val="4"/>
                <w:color w:val="auto"/>
              </w:rPr>
            </w:pPr>
          </w:p>
        </w:tc>
        <w:tc>
          <w:tcPr>
            <w:tcW w:w="40" w:type="dxa"/>
            <w:vAlign w:val="bottom"/>
            <w:shd w:val="clear" w:color="auto" w:fill="C5D9F0"/>
          </w:tcPr>
          <w:p>
            <w:pPr>
              <w:spacing w:after="0"/>
              <w:rPr>
                <w:sz w:val="4"/>
                <w:szCs w:val="4"/>
                <w:color w:val="auto"/>
              </w:rPr>
            </w:pPr>
          </w:p>
        </w:tc>
        <w:tc>
          <w:tcPr>
            <w:tcW w:w="180" w:type="dxa"/>
            <w:vAlign w:val="bottom"/>
            <w:tcBorders>
              <w:right w:val="single" w:sz="8" w:color="auto"/>
            </w:tcBorders>
            <w:shd w:val="clear" w:color="auto" w:fill="C5D9F0"/>
          </w:tcPr>
          <w:p>
            <w:pPr>
              <w:spacing w:after="0"/>
              <w:rPr>
                <w:sz w:val="4"/>
                <w:szCs w:val="4"/>
                <w:color w:val="auto"/>
              </w:rPr>
            </w:pPr>
          </w:p>
        </w:tc>
        <w:tc>
          <w:tcPr>
            <w:tcW w:w="100" w:type="dxa"/>
            <w:vAlign w:val="bottom"/>
            <w:shd w:val="clear" w:color="auto" w:fill="C5D9F0"/>
          </w:tcPr>
          <w:p>
            <w:pPr>
              <w:spacing w:after="0"/>
              <w:rPr>
                <w:sz w:val="4"/>
                <w:szCs w:val="4"/>
                <w:color w:val="auto"/>
              </w:rPr>
            </w:pPr>
          </w:p>
        </w:tc>
        <w:tc>
          <w:tcPr>
            <w:tcW w:w="40" w:type="dxa"/>
            <w:vAlign w:val="bottom"/>
            <w:shd w:val="clear" w:color="auto" w:fill="C5D9F0"/>
          </w:tcPr>
          <w:p>
            <w:pPr>
              <w:spacing w:after="0"/>
              <w:rPr>
                <w:sz w:val="4"/>
                <w:szCs w:val="4"/>
                <w:color w:val="auto"/>
              </w:rPr>
            </w:pPr>
          </w:p>
        </w:tc>
        <w:tc>
          <w:tcPr>
            <w:tcW w:w="940" w:type="dxa"/>
            <w:vAlign w:val="bottom"/>
            <w:gridSpan w:val="3"/>
            <w:vMerge w:val="restart"/>
            <w:shd w:val="clear" w:color="auto" w:fill="C5D9F0"/>
          </w:tcPr>
          <w:p>
            <w:pPr>
              <w:jc w:val="center"/>
              <w:spacing w:after="0"/>
              <w:rPr>
                <w:sz w:val="20"/>
                <w:szCs w:val="20"/>
                <w:color w:val="auto"/>
              </w:rPr>
            </w:pPr>
            <w:r>
              <w:rPr>
                <w:rFonts w:ascii="Arial" w:cs="Arial" w:eastAsia="Arial" w:hAnsi="Arial"/>
                <w:sz w:val="17"/>
                <w:szCs w:val="17"/>
                <w:b w:val="1"/>
                <w:bCs w:val="1"/>
                <w:color w:val="auto"/>
                <w:w w:val="90"/>
                <w:shd w:val="clear" w:color="auto" w:fill="C5D9F0"/>
              </w:rPr>
              <w:t>Commitment</w:t>
            </w:r>
          </w:p>
        </w:tc>
        <w:tc>
          <w:tcPr>
            <w:tcW w:w="140" w:type="dxa"/>
            <w:vAlign w:val="bottom"/>
            <w:tcBorders>
              <w:right w:val="single" w:sz="8" w:color="auto"/>
            </w:tcBorders>
            <w:shd w:val="clear" w:color="auto" w:fill="C5D9F0"/>
          </w:tcPr>
          <w:p>
            <w:pPr>
              <w:spacing w:after="0"/>
              <w:rPr>
                <w:sz w:val="4"/>
                <w:szCs w:val="4"/>
                <w:color w:val="auto"/>
              </w:rPr>
            </w:pPr>
          </w:p>
        </w:tc>
        <w:tc>
          <w:tcPr>
            <w:tcW w:w="1240" w:type="dxa"/>
            <w:vAlign w:val="bottom"/>
            <w:tcBorders>
              <w:right w:val="single" w:sz="8" w:color="auto"/>
            </w:tcBorders>
            <w:vMerge w:val="continue"/>
            <w:shd w:val="clear" w:color="auto" w:fill="C5D9F0"/>
          </w:tcPr>
          <w:p>
            <w:pPr>
              <w:spacing w:after="0"/>
              <w:rPr>
                <w:sz w:val="4"/>
                <w:szCs w:val="4"/>
                <w:color w:val="auto"/>
              </w:rPr>
            </w:pPr>
          </w:p>
        </w:tc>
        <w:tc>
          <w:tcPr>
            <w:tcW w:w="140" w:type="dxa"/>
            <w:vAlign w:val="bottom"/>
            <w:shd w:val="clear" w:color="auto" w:fill="C5D9F0"/>
          </w:tcPr>
          <w:p>
            <w:pPr>
              <w:spacing w:after="0"/>
              <w:rPr>
                <w:sz w:val="4"/>
                <w:szCs w:val="4"/>
                <w:color w:val="auto"/>
              </w:rPr>
            </w:pPr>
          </w:p>
        </w:tc>
        <w:tc>
          <w:tcPr>
            <w:tcW w:w="940" w:type="dxa"/>
            <w:vAlign w:val="bottom"/>
            <w:gridSpan w:val="3"/>
            <w:vMerge w:val="restart"/>
            <w:shd w:val="clear" w:color="auto" w:fill="C5D9F0"/>
          </w:tcPr>
          <w:p>
            <w:pPr>
              <w:jc w:val="center"/>
              <w:spacing w:after="0"/>
              <w:rPr>
                <w:sz w:val="20"/>
                <w:szCs w:val="20"/>
                <w:color w:val="auto"/>
              </w:rPr>
            </w:pPr>
            <w:r>
              <w:rPr>
                <w:rFonts w:ascii="Arial" w:cs="Arial" w:eastAsia="Arial" w:hAnsi="Arial"/>
                <w:sz w:val="17"/>
                <w:szCs w:val="17"/>
                <w:b w:val="1"/>
                <w:bCs w:val="1"/>
                <w:color w:val="auto"/>
                <w:w w:val="90"/>
                <w:shd w:val="clear" w:color="auto" w:fill="C5D9F0"/>
              </w:rPr>
              <w:t>Commitment</w:t>
            </w:r>
          </w:p>
        </w:tc>
        <w:tc>
          <w:tcPr>
            <w:tcW w:w="180" w:type="dxa"/>
            <w:vAlign w:val="bottom"/>
            <w:tcBorders>
              <w:right w:val="single" w:sz="8" w:color="auto"/>
            </w:tcBorders>
            <w:vMerge w:val="continue"/>
            <w:shd w:val="clear" w:color="auto" w:fill="C5D9F0"/>
          </w:tcPr>
          <w:p>
            <w:pPr>
              <w:spacing w:after="0"/>
              <w:rPr>
                <w:sz w:val="4"/>
                <w:szCs w:val="4"/>
                <w:color w:val="auto"/>
              </w:rPr>
            </w:pPr>
          </w:p>
        </w:tc>
        <w:tc>
          <w:tcPr>
            <w:tcW w:w="1220" w:type="dxa"/>
            <w:vAlign w:val="bottom"/>
            <w:tcBorders>
              <w:right w:val="single" w:sz="8" w:color="auto"/>
            </w:tcBorders>
            <w:vMerge w:val="continue"/>
            <w:shd w:val="clear" w:color="auto" w:fill="C5D9F0"/>
          </w:tcPr>
          <w:p>
            <w:pPr>
              <w:spacing w:after="0"/>
              <w:rPr>
                <w:sz w:val="4"/>
                <w:szCs w:val="4"/>
                <w:color w:val="auto"/>
              </w:rPr>
            </w:pPr>
          </w:p>
        </w:tc>
        <w:tc>
          <w:tcPr>
            <w:tcW w:w="220" w:type="dxa"/>
            <w:vAlign w:val="bottom"/>
            <w:tcBorders>
              <w:right w:val="single" w:sz="8" w:color="C5D9F0"/>
            </w:tcBorders>
            <w:shd w:val="clear" w:color="auto" w:fill="C5D9F0"/>
          </w:tcPr>
          <w:p>
            <w:pPr>
              <w:spacing w:after="0"/>
              <w:rPr>
                <w:sz w:val="4"/>
                <w:szCs w:val="4"/>
                <w:color w:val="auto"/>
              </w:rPr>
            </w:pPr>
          </w:p>
        </w:tc>
        <w:tc>
          <w:tcPr>
            <w:tcW w:w="300" w:type="dxa"/>
            <w:vAlign w:val="bottom"/>
            <w:shd w:val="clear" w:color="auto" w:fill="C5D9F0"/>
          </w:tcPr>
          <w:p>
            <w:pPr>
              <w:spacing w:after="0"/>
              <w:rPr>
                <w:sz w:val="4"/>
                <w:szCs w:val="4"/>
                <w:color w:val="auto"/>
              </w:rPr>
            </w:pPr>
          </w:p>
        </w:tc>
        <w:tc>
          <w:tcPr>
            <w:tcW w:w="360" w:type="dxa"/>
            <w:vAlign w:val="bottom"/>
            <w:vMerge w:val="continue"/>
            <w:shd w:val="clear" w:color="auto" w:fill="C5D9F0"/>
          </w:tcPr>
          <w:p>
            <w:pPr>
              <w:spacing w:after="0"/>
              <w:rPr>
                <w:sz w:val="4"/>
                <w:szCs w:val="4"/>
                <w:color w:val="auto"/>
              </w:rPr>
            </w:pPr>
          </w:p>
        </w:tc>
        <w:tc>
          <w:tcPr>
            <w:tcW w:w="520" w:type="dxa"/>
            <w:vAlign w:val="bottom"/>
            <w:tcBorders>
              <w:right w:val="single" w:sz="8" w:color="auto"/>
            </w:tcBorders>
            <w:shd w:val="clear" w:color="auto" w:fill="C5D9F0"/>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vMerge w:val="continue"/>
            <w:shd w:val="clear" w:color="auto" w:fill="C5D9F0"/>
          </w:tcPr>
          <w:p>
            <w:pPr>
              <w:spacing w:after="0"/>
              <w:rPr>
                <w:sz w:val="5"/>
                <w:szCs w:val="5"/>
                <w:color w:val="auto"/>
              </w:rPr>
            </w:pPr>
          </w:p>
        </w:tc>
        <w:tc>
          <w:tcPr>
            <w:tcW w:w="1660" w:type="dxa"/>
            <w:vAlign w:val="bottom"/>
            <w:tcBorders>
              <w:right w:val="single" w:sz="8" w:color="auto"/>
            </w:tcBorders>
            <w:vMerge w:val="restart"/>
            <w:shd w:val="clear" w:color="auto" w:fill="C5D9F0"/>
          </w:tcPr>
          <w:p>
            <w:pPr>
              <w:spacing w:after="0"/>
              <w:rPr>
                <w:sz w:val="5"/>
                <w:szCs w:val="5"/>
                <w:color w:val="auto"/>
              </w:rPr>
            </w:pPr>
          </w:p>
        </w:tc>
        <w:tc>
          <w:tcPr>
            <w:tcW w:w="1400" w:type="dxa"/>
            <w:vAlign w:val="bottom"/>
            <w:tcBorders>
              <w:right w:val="single" w:sz="8" w:color="auto"/>
            </w:tcBorders>
            <w:gridSpan w:val="2"/>
            <w:vMerge w:val="continue"/>
            <w:shd w:val="clear" w:color="auto" w:fill="C5D9F0"/>
          </w:tcPr>
          <w:p>
            <w:pPr>
              <w:spacing w:after="0"/>
              <w:rPr>
                <w:sz w:val="5"/>
                <w:szCs w:val="5"/>
                <w:color w:val="auto"/>
              </w:rPr>
            </w:pPr>
          </w:p>
        </w:tc>
        <w:tc>
          <w:tcPr>
            <w:tcW w:w="160" w:type="dxa"/>
            <w:vAlign w:val="bottom"/>
            <w:vMerge w:val="restart"/>
            <w:shd w:val="clear" w:color="auto" w:fill="C5D9F0"/>
          </w:tcPr>
          <w:p>
            <w:pPr>
              <w:spacing w:after="0"/>
              <w:rPr>
                <w:sz w:val="5"/>
                <w:szCs w:val="5"/>
                <w:color w:val="auto"/>
              </w:rPr>
            </w:pPr>
          </w:p>
        </w:tc>
        <w:tc>
          <w:tcPr>
            <w:tcW w:w="880" w:type="dxa"/>
            <w:vAlign w:val="bottom"/>
            <w:gridSpan w:val="3"/>
            <w:vMerge w:val="restart"/>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75"/>
                <w:shd w:val="clear" w:color="auto" w:fill="C5D9F0"/>
              </w:rPr>
              <w:t>(USD) Facility)</w:t>
            </w:r>
          </w:p>
        </w:tc>
        <w:tc>
          <w:tcPr>
            <w:tcW w:w="180" w:type="dxa"/>
            <w:vAlign w:val="bottom"/>
            <w:tcBorders>
              <w:right w:val="single" w:sz="8" w:color="auto"/>
            </w:tcBorders>
            <w:vMerge w:val="restart"/>
            <w:shd w:val="clear" w:color="auto" w:fill="C5D9F0"/>
          </w:tcPr>
          <w:p>
            <w:pPr>
              <w:spacing w:after="0"/>
              <w:rPr>
                <w:sz w:val="5"/>
                <w:szCs w:val="5"/>
                <w:color w:val="auto"/>
              </w:rPr>
            </w:pPr>
          </w:p>
        </w:tc>
        <w:tc>
          <w:tcPr>
            <w:tcW w:w="100" w:type="dxa"/>
            <w:vAlign w:val="bottom"/>
            <w:shd w:val="clear" w:color="auto" w:fill="C5D9F0"/>
          </w:tcPr>
          <w:p>
            <w:pPr>
              <w:spacing w:after="0"/>
              <w:rPr>
                <w:sz w:val="5"/>
                <w:szCs w:val="5"/>
                <w:color w:val="auto"/>
              </w:rPr>
            </w:pPr>
          </w:p>
        </w:tc>
        <w:tc>
          <w:tcPr>
            <w:tcW w:w="40" w:type="dxa"/>
            <w:vAlign w:val="bottom"/>
            <w:vMerge w:val="restart"/>
            <w:shd w:val="clear" w:color="auto" w:fill="C5D9F0"/>
          </w:tcPr>
          <w:p>
            <w:pPr>
              <w:spacing w:after="0"/>
              <w:rPr>
                <w:sz w:val="5"/>
                <w:szCs w:val="5"/>
                <w:color w:val="auto"/>
              </w:rPr>
            </w:pPr>
          </w:p>
        </w:tc>
        <w:tc>
          <w:tcPr>
            <w:tcW w:w="940" w:type="dxa"/>
            <w:vAlign w:val="bottom"/>
            <w:gridSpan w:val="3"/>
            <w:vMerge w:val="continue"/>
            <w:shd w:val="clear" w:color="auto" w:fill="C5D9F0"/>
          </w:tcPr>
          <w:p>
            <w:pPr>
              <w:spacing w:after="0"/>
              <w:rPr>
                <w:sz w:val="5"/>
                <w:szCs w:val="5"/>
                <w:color w:val="auto"/>
              </w:rPr>
            </w:pPr>
          </w:p>
        </w:tc>
        <w:tc>
          <w:tcPr>
            <w:tcW w:w="140" w:type="dxa"/>
            <w:vAlign w:val="bottom"/>
            <w:tcBorders>
              <w:right w:val="single" w:sz="8" w:color="auto"/>
            </w:tcBorders>
            <w:vMerge w:val="restart"/>
            <w:shd w:val="clear" w:color="auto" w:fill="C5D9F0"/>
          </w:tcPr>
          <w:p>
            <w:pPr>
              <w:spacing w:after="0"/>
              <w:rPr>
                <w:sz w:val="5"/>
                <w:szCs w:val="5"/>
                <w:color w:val="auto"/>
              </w:rPr>
            </w:pPr>
          </w:p>
        </w:tc>
        <w:tc>
          <w:tcPr>
            <w:tcW w:w="1240" w:type="dxa"/>
            <w:vAlign w:val="bottom"/>
            <w:tcBorders>
              <w:right w:val="single" w:sz="8" w:color="auto"/>
            </w:tcBorders>
            <w:vMerge w:val="restart"/>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80"/>
                <w:shd w:val="clear" w:color="auto" w:fill="C5D9F0"/>
              </w:rPr>
              <w:t>(MC) Facility)</w:t>
            </w:r>
          </w:p>
        </w:tc>
        <w:tc>
          <w:tcPr>
            <w:tcW w:w="140" w:type="dxa"/>
            <w:vAlign w:val="bottom"/>
            <w:shd w:val="clear" w:color="auto" w:fill="C5D9F0"/>
          </w:tcPr>
          <w:p>
            <w:pPr>
              <w:spacing w:after="0"/>
              <w:rPr>
                <w:sz w:val="5"/>
                <w:szCs w:val="5"/>
                <w:color w:val="auto"/>
              </w:rPr>
            </w:pPr>
          </w:p>
        </w:tc>
        <w:tc>
          <w:tcPr>
            <w:tcW w:w="940" w:type="dxa"/>
            <w:vAlign w:val="bottom"/>
            <w:gridSpan w:val="3"/>
            <w:vMerge w:val="continue"/>
            <w:shd w:val="clear" w:color="auto" w:fill="C5D9F0"/>
          </w:tcPr>
          <w:p>
            <w:pPr>
              <w:spacing w:after="0"/>
              <w:rPr>
                <w:sz w:val="5"/>
                <w:szCs w:val="5"/>
                <w:color w:val="auto"/>
              </w:rPr>
            </w:pPr>
          </w:p>
        </w:tc>
        <w:tc>
          <w:tcPr>
            <w:tcW w:w="180" w:type="dxa"/>
            <w:vAlign w:val="bottom"/>
            <w:tcBorders>
              <w:right w:val="single" w:sz="8" w:color="auto"/>
            </w:tcBorders>
            <w:vMerge w:val="restart"/>
            <w:shd w:val="clear" w:color="auto" w:fill="C5D9F0"/>
          </w:tcPr>
          <w:p>
            <w:pPr>
              <w:spacing w:after="0"/>
              <w:rPr>
                <w:sz w:val="5"/>
                <w:szCs w:val="5"/>
                <w:color w:val="auto"/>
              </w:rPr>
            </w:pPr>
          </w:p>
        </w:tc>
        <w:tc>
          <w:tcPr>
            <w:tcW w:w="1220" w:type="dxa"/>
            <w:vAlign w:val="bottom"/>
            <w:tcBorders>
              <w:right w:val="single" w:sz="8" w:color="auto"/>
            </w:tcBorders>
            <w:vMerge w:val="restart"/>
            <w:shd w:val="clear" w:color="auto" w:fill="C5D9F0"/>
          </w:tcPr>
          <w:p>
            <w:pPr>
              <w:jc w:val="center"/>
              <w:spacing w:after="0" w:line="187" w:lineRule="exact"/>
              <w:rPr>
                <w:sz w:val="20"/>
                <w:szCs w:val="20"/>
                <w:color w:val="auto"/>
              </w:rPr>
            </w:pPr>
            <w:r>
              <w:rPr>
                <w:rFonts w:ascii="Arial" w:cs="Arial" w:eastAsia="Arial" w:hAnsi="Arial"/>
                <w:sz w:val="17"/>
                <w:szCs w:val="17"/>
                <w:b w:val="1"/>
                <w:bCs w:val="1"/>
                <w:color w:val="auto"/>
                <w:w w:val="90"/>
                <w:shd w:val="clear" w:color="auto" w:fill="C5D9F0"/>
              </w:rPr>
              <w:t>Facility)</w:t>
            </w:r>
          </w:p>
        </w:tc>
        <w:tc>
          <w:tcPr>
            <w:tcW w:w="220" w:type="dxa"/>
            <w:vAlign w:val="bottom"/>
            <w:tcBorders>
              <w:right w:val="single" w:sz="8" w:color="C5D9F0"/>
            </w:tcBorders>
            <w:shd w:val="clear" w:color="auto" w:fill="C5D9F0"/>
          </w:tcPr>
          <w:p>
            <w:pPr>
              <w:spacing w:after="0"/>
              <w:rPr>
                <w:sz w:val="5"/>
                <w:szCs w:val="5"/>
                <w:color w:val="auto"/>
              </w:rPr>
            </w:pPr>
          </w:p>
        </w:tc>
        <w:tc>
          <w:tcPr>
            <w:tcW w:w="300" w:type="dxa"/>
            <w:vAlign w:val="bottom"/>
            <w:vMerge w:val="restart"/>
            <w:shd w:val="clear" w:color="auto" w:fill="C5D9F0"/>
          </w:tcPr>
          <w:p>
            <w:pPr>
              <w:spacing w:after="0"/>
              <w:rPr>
                <w:sz w:val="5"/>
                <w:szCs w:val="5"/>
                <w:color w:val="auto"/>
              </w:rPr>
            </w:pPr>
          </w:p>
        </w:tc>
        <w:tc>
          <w:tcPr>
            <w:tcW w:w="360" w:type="dxa"/>
            <w:vAlign w:val="bottom"/>
            <w:vMerge w:val="continue"/>
            <w:shd w:val="clear" w:color="auto" w:fill="C5D9F0"/>
          </w:tcPr>
          <w:p>
            <w:pPr>
              <w:spacing w:after="0"/>
              <w:rPr>
                <w:sz w:val="5"/>
                <w:szCs w:val="5"/>
                <w:color w:val="auto"/>
              </w:rPr>
            </w:pPr>
          </w:p>
        </w:tc>
        <w:tc>
          <w:tcPr>
            <w:tcW w:w="520" w:type="dxa"/>
            <w:vAlign w:val="bottom"/>
            <w:tcBorders>
              <w:right w:val="single" w:sz="8" w:color="auto"/>
            </w:tcBorders>
            <w:vMerge w:val="restart"/>
            <w:shd w:val="clear" w:color="auto" w:fill="C5D9F0"/>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40" w:type="dxa"/>
            <w:vAlign w:val="bottom"/>
            <w:tcBorders>
              <w:left w:val="single" w:sz="8" w:color="auto"/>
              <w:bottom w:val="single" w:sz="8" w:color="C5D9F0"/>
            </w:tcBorders>
            <w:shd w:val="clear" w:color="auto" w:fill="C5D9F0"/>
          </w:tcPr>
          <w:p>
            <w:pPr>
              <w:spacing w:after="0"/>
              <w:rPr>
                <w:sz w:val="11"/>
                <w:szCs w:val="11"/>
                <w:color w:val="auto"/>
              </w:rPr>
            </w:pPr>
          </w:p>
        </w:tc>
        <w:tc>
          <w:tcPr>
            <w:tcW w:w="166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1400" w:type="dxa"/>
            <w:vAlign w:val="bottom"/>
            <w:tcBorders>
              <w:bottom w:val="single" w:sz="8" w:color="C5D9F0"/>
              <w:right w:val="single" w:sz="8" w:color="auto"/>
            </w:tcBorders>
            <w:gridSpan w:val="2"/>
            <w:shd w:val="clear" w:color="auto" w:fill="C5D9F0"/>
          </w:tcPr>
          <w:p>
            <w:pPr>
              <w:spacing w:after="0"/>
              <w:rPr>
                <w:sz w:val="11"/>
                <w:szCs w:val="11"/>
                <w:color w:val="auto"/>
              </w:rPr>
            </w:pPr>
          </w:p>
        </w:tc>
        <w:tc>
          <w:tcPr>
            <w:tcW w:w="160" w:type="dxa"/>
            <w:vAlign w:val="bottom"/>
            <w:tcBorders>
              <w:bottom w:val="single" w:sz="8" w:color="C5D9F0"/>
            </w:tcBorders>
            <w:vMerge w:val="continue"/>
            <w:shd w:val="clear" w:color="auto" w:fill="C5D9F0"/>
          </w:tcPr>
          <w:p>
            <w:pPr>
              <w:spacing w:after="0"/>
              <w:rPr>
                <w:sz w:val="11"/>
                <w:szCs w:val="11"/>
                <w:color w:val="auto"/>
              </w:rPr>
            </w:pPr>
          </w:p>
        </w:tc>
        <w:tc>
          <w:tcPr>
            <w:tcW w:w="880" w:type="dxa"/>
            <w:vAlign w:val="bottom"/>
            <w:tcBorders>
              <w:bottom w:val="single" w:sz="8" w:color="C5D9F0"/>
            </w:tcBorders>
            <w:gridSpan w:val="3"/>
            <w:vMerge w:val="continue"/>
            <w:shd w:val="clear" w:color="auto" w:fill="C5D9F0"/>
          </w:tcPr>
          <w:p>
            <w:pPr>
              <w:spacing w:after="0"/>
              <w:rPr>
                <w:sz w:val="11"/>
                <w:szCs w:val="11"/>
                <w:color w:val="auto"/>
              </w:rPr>
            </w:pPr>
          </w:p>
        </w:tc>
        <w:tc>
          <w:tcPr>
            <w:tcW w:w="18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100" w:type="dxa"/>
            <w:vAlign w:val="bottom"/>
            <w:tcBorders>
              <w:bottom w:val="single" w:sz="8" w:color="C5D9F0"/>
            </w:tcBorders>
            <w:shd w:val="clear" w:color="auto" w:fill="C5D9F0"/>
          </w:tcPr>
          <w:p>
            <w:pPr>
              <w:spacing w:after="0"/>
              <w:rPr>
                <w:sz w:val="11"/>
                <w:szCs w:val="11"/>
                <w:color w:val="auto"/>
              </w:rPr>
            </w:pPr>
          </w:p>
        </w:tc>
        <w:tc>
          <w:tcPr>
            <w:tcW w:w="40" w:type="dxa"/>
            <w:vAlign w:val="bottom"/>
            <w:tcBorders>
              <w:bottom w:val="single" w:sz="8" w:color="C5D9F0"/>
            </w:tcBorders>
            <w:vMerge w:val="continue"/>
            <w:shd w:val="clear" w:color="auto" w:fill="C5D9F0"/>
          </w:tcPr>
          <w:p>
            <w:pPr>
              <w:spacing w:after="0"/>
              <w:rPr>
                <w:sz w:val="11"/>
                <w:szCs w:val="11"/>
                <w:color w:val="auto"/>
              </w:rPr>
            </w:pPr>
          </w:p>
        </w:tc>
        <w:tc>
          <w:tcPr>
            <w:tcW w:w="940" w:type="dxa"/>
            <w:vAlign w:val="bottom"/>
            <w:tcBorders>
              <w:bottom w:val="single" w:sz="8" w:color="C5D9F0"/>
            </w:tcBorders>
            <w:gridSpan w:val="3"/>
            <w:vMerge w:val="continue"/>
            <w:shd w:val="clear" w:color="auto" w:fill="C5D9F0"/>
          </w:tcPr>
          <w:p>
            <w:pPr>
              <w:spacing w:after="0"/>
              <w:rPr>
                <w:sz w:val="11"/>
                <w:szCs w:val="11"/>
                <w:color w:val="auto"/>
              </w:rPr>
            </w:pPr>
          </w:p>
        </w:tc>
        <w:tc>
          <w:tcPr>
            <w:tcW w:w="14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124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140" w:type="dxa"/>
            <w:vAlign w:val="bottom"/>
            <w:tcBorders>
              <w:bottom w:val="single" w:sz="8" w:color="C5D9F0"/>
            </w:tcBorders>
            <w:shd w:val="clear" w:color="auto" w:fill="C5D9F0"/>
          </w:tcPr>
          <w:p>
            <w:pPr>
              <w:spacing w:after="0"/>
              <w:rPr>
                <w:sz w:val="11"/>
                <w:szCs w:val="11"/>
                <w:color w:val="auto"/>
              </w:rPr>
            </w:pPr>
          </w:p>
        </w:tc>
        <w:tc>
          <w:tcPr>
            <w:tcW w:w="940" w:type="dxa"/>
            <w:vAlign w:val="bottom"/>
            <w:tcBorders>
              <w:bottom w:val="single" w:sz="8" w:color="C5D9F0"/>
            </w:tcBorders>
            <w:gridSpan w:val="3"/>
            <w:vMerge w:val="continue"/>
            <w:shd w:val="clear" w:color="auto" w:fill="C5D9F0"/>
          </w:tcPr>
          <w:p>
            <w:pPr>
              <w:spacing w:after="0"/>
              <w:rPr>
                <w:sz w:val="11"/>
                <w:szCs w:val="11"/>
                <w:color w:val="auto"/>
              </w:rPr>
            </w:pPr>
          </w:p>
        </w:tc>
        <w:tc>
          <w:tcPr>
            <w:tcW w:w="18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122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220" w:type="dxa"/>
            <w:vAlign w:val="bottom"/>
            <w:tcBorders>
              <w:bottom w:val="single" w:sz="8" w:color="C5D9F0"/>
              <w:right w:val="single" w:sz="8" w:color="C5D9F0"/>
            </w:tcBorders>
            <w:shd w:val="clear" w:color="auto" w:fill="C5D9F0"/>
          </w:tcPr>
          <w:p>
            <w:pPr>
              <w:spacing w:after="0"/>
              <w:rPr>
                <w:sz w:val="11"/>
                <w:szCs w:val="11"/>
                <w:color w:val="auto"/>
              </w:rPr>
            </w:pPr>
          </w:p>
        </w:tc>
        <w:tc>
          <w:tcPr>
            <w:tcW w:w="300" w:type="dxa"/>
            <w:vAlign w:val="bottom"/>
            <w:tcBorders>
              <w:bottom w:val="single" w:sz="8" w:color="C5D9F0"/>
            </w:tcBorders>
            <w:vMerge w:val="continue"/>
            <w:shd w:val="clear" w:color="auto" w:fill="C5D9F0"/>
          </w:tcPr>
          <w:p>
            <w:pPr>
              <w:spacing w:after="0"/>
              <w:rPr>
                <w:sz w:val="11"/>
                <w:szCs w:val="11"/>
                <w:color w:val="auto"/>
              </w:rPr>
            </w:pPr>
          </w:p>
        </w:tc>
        <w:tc>
          <w:tcPr>
            <w:tcW w:w="360" w:type="dxa"/>
            <w:vAlign w:val="bottom"/>
            <w:tcBorders>
              <w:bottom w:val="single" w:sz="8" w:color="C5D9F0"/>
            </w:tcBorders>
            <w:shd w:val="clear" w:color="auto" w:fill="C5D9F0"/>
          </w:tcPr>
          <w:p>
            <w:pPr>
              <w:spacing w:after="0"/>
              <w:rPr>
                <w:sz w:val="11"/>
                <w:szCs w:val="11"/>
                <w:color w:val="auto"/>
              </w:rPr>
            </w:pPr>
          </w:p>
        </w:tc>
        <w:tc>
          <w:tcPr>
            <w:tcW w:w="520" w:type="dxa"/>
            <w:vAlign w:val="bottom"/>
            <w:tcBorders>
              <w:bottom w:val="single" w:sz="8" w:color="C5D9F0"/>
              <w:right w:val="single" w:sz="8" w:color="auto"/>
            </w:tcBorders>
            <w:vMerge w:val="continue"/>
            <w:shd w:val="clear" w:color="auto" w:fill="C5D9F0"/>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20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Bank of America, N.A.</w:t>
            </w:r>
          </w:p>
        </w:tc>
        <w:tc>
          <w:tcPr>
            <w:tcW w:w="22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128,852,072.86</w:t>
            </w:r>
          </w:p>
        </w:tc>
        <w:tc>
          <w:tcPr>
            <w:tcW w:w="1220" w:type="dxa"/>
            <w:vAlign w:val="bottom"/>
            <w:tcBorders>
              <w:top w:val="single" w:sz="8" w:color="auto"/>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9.544597990%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67,085,427.14</w:t>
            </w:r>
          </w:p>
        </w:tc>
        <w:tc>
          <w:tcPr>
            <w:tcW w:w="124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22.361809047%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41,562,500.00</w:t>
            </w:r>
          </w:p>
        </w:tc>
        <w:tc>
          <w:tcPr>
            <w:tcW w:w="1220" w:type="dxa"/>
            <w:vAlign w:val="bottom"/>
            <w:tcBorders>
              <w:top w:val="single" w:sz="8" w:color="auto"/>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11.875000000%</w:t>
            </w:r>
          </w:p>
        </w:tc>
        <w:tc>
          <w:tcPr>
            <w:tcW w:w="22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237,500,000.00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Truist Bank</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116,477,072.87</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8.627931324%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67,085,427.13</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22.361809043%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38,937,500.00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11.125000000%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222,500,000.00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9"/>
              </w:rPr>
              <w:t>PNC Bank, National Association</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105,965,766.33</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7.849316024%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69,346,733.67</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23.115577890%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37,187,500.00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10.625000000%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212,500,000.00</w:t>
            </w:r>
          </w:p>
        </w:tc>
        <w:tc>
          <w:tcPr>
            <w:tcW w:w="0" w:type="dxa"/>
            <w:vAlign w:val="bottom"/>
          </w:tcPr>
          <w:p>
            <w:pPr>
              <w:spacing w:after="0"/>
              <w:rPr>
                <w:sz w:val="1"/>
                <w:szCs w:val="1"/>
                <w:color w:val="auto"/>
              </w:rPr>
            </w:pPr>
          </w:p>
        </w:tc>
      </w:tr>
      <w:tr>
        <w:trPr>
          <w:trHeight w:val="150"/>
        </w:trPr>
        <w:tc>
          <w:tcPr>
            <w:tcW w:w="2200" w:type="dxa"/>
            <w:vAlign w:val="bottom"/>
            <w:tcBorders>
              <w:left w:val="single" w:sz="8" w:color="auto"/>
              <w:right w:val="single" w:sz="8" w:color="auto"/>
            </w:tcBorders>
            <w:gridSpan w:val="2"/>
          </w:tcPr>
          <w:p>
            <w:pPr>
              <w:ind w:left="20"/>
              <w:spacing w:after="0" w:line="150" w:lineRule="exact"/>
              <w:rPr>
                <w:sz w:val="20"/>
                <w:szCs w:val="20"/>
                <w:color w:val="auto"/>
              </w:rPr>
            </w:pPr>
            <w:r>
              <w:rPr>
                <w:rFonts w:ascii="Arial" w:cs="Arial" w:eastAsia="Arial" w:hAnsi="Arial"/>
                <w:sz w:val="15"/>
                <w:szCs w:val="15"/>
                <w:color w:val="auto"/>
              </w:rPr>
              <w:t>Wells Fargo Bank, National</w:t>
            </w:r>
          </w:p>
        </w:tc>
        <w:tc>
          <w:tcPr>
            <w:tcW w:w="22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auto"/>
            </w:tcBorders>
            <w:vMerge w:val="restart"/>
          </w:tcPr>
          <w:p>
            <w:pPr>
              <w:jc w:val="right"/>
              <w:ind w:right="25"/>
              <w:spacing w:after="0"/>
              <w:rPr>
                <w:sz w:val="20"/>
                <w:szCs w:val="20"/>
                <w:color w:val="auto"/>
              </w:rPr>
            </w:pPr>
            <w:r>
              <w:rPr>
                <w:rFonts w:ascii="Arial" w:cs="Arial" w:eastAsia="Arial" w:hAnsi="Arial"/>
                <w:sz w:val="15"/>
                <w:szCs w:val="15"/>
                <w:color w:val="auto"/>
              </w:rPr>
              <w:t>175,312,500.00</w:t>
            </w:r>
          </w:p>
        </w:tc>
        <w:tc>
          <w:tcPr>
            <w:tcW w:w="1220" w:type="dxa"/>
            <w:vAlign w:val="bottom"/>
            <w:tcBorders>
              <w:right w:val="single" w:sz="8" w:color="auto"/>
            </w:tcBorders>
            <w:gridSpan w:val="5"/>
            <w:vMerge w:val="restart"/>
          </w:tcPr>
          <w:p>
            <w:pPr>
              <w:jc w:val="right"/>
              <w:ind w:right="100"/>
              <w:spacing w:after="0"/>
              <w:rPr>
                <w:sz w:val="20"/>
                <w:szCs w:val="20"/>
                <w:color w:val="auto"/>
              </w:rPr>
            </w:pPr>
            <w:r>
              <w:rPr>
                <w:rFonts w:ascii="Arial" w:cs="Arial" w:eastAsia="Arial" w:hAnsi="Arial"/>
                <w:sz w:val="15"/>
                <w:szCs w:val="15"/>
                <w:color w:val="auto"/>
              </w:rPr>
              <w:t>12.986111111%</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right w:val="single" w:sz="8" w:color="auto"/>
            </w:tcBorders>
            <w:gridSpan w:val="5"/>
            <w:vMerge w:val="restart"/>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5"/>
                <w:szCs w:val="15"/>
                <w:color w:val="auto"/>
                <w:w w:val="95"/>
              </w:rPr>
              <w:t>37,187,500.00</w:t>
            </w:r>
          </w:p>
        </w:tc>
        <w:tc>
          <w:tcPr>
            <w:tcW w:w="122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10.625000000%</w:t>
            </w:r>
          </w:p>
        </w:tc>
        <w:tc>
          <w:tcPr>
            <w:tcW w:w="22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5"/>
                <w:szCs w:val="15"/>
                <w:color w:val="auto"/>
                <w:w w:val="99"/>
              </w:rPr>
              <w:t>212,500,000.00</w:t>
            </w:r>
          </w:p>
        </w:tc>
        <w:tc>
          <w:tcPr>
            <w:tcW w:w="0" w:type="dxa"/>
            <w:vAlign w:val="bottom"/>
          </w:tcPr>
          <w:p>
            <w:pPr>
              <w:spacing w:after="0"/>
              <w:rPr>
                <w:sz w:val="1"/>
                <w:szCs w:val="1"/>
                <w:color w:val="auto"/>
              </w:rPr>
            </w:pPr>
          </w:p>
        </w:tc>
      </w:tr>
      <w:tr>
        <w:trPr>
          <w:trHeight w:val="127"/>
        </w:trPr>
        <w:tc>
          <w:tcPr>
            <w:tcW w:w="22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5"/>
                <w:szCs w:val="15"/>
                <w:color w:val="auto"/>
              </w:rPr>
              <w:t>Association</w:t>
            </w:r>
          </w:p>
        </w:tc>
        <w:tc>
          <w:tcPr>
            <w:tcW w:w="2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gridSpan w:val="5"/>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120" w:type="dxa"/>
            <w:vAlign w:val="bottom"/>
            <w:tcBorders>
              <w:right w:val="single" w:sz="8" w:color="auto"/>
            </w:tcBorders>
            <w:gridSpan w:val="5"/>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gridSpan w:val="3"/>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2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200" w:type="dxa"/>
            <w:vAlign w:val="bottom"/>
            <w:tcBorders>
              <w:left w:val="single" w:sz="8" w:color="auto"/>
              <w:bottom w:val="single" w:sz="8" w:color="auto"/>
              <w:right w:val="single" w:sz="8" w:color="auto"/>
            </w:tcBorders>
            <w:gridSpan w:val="2"/>
            <w:vMerge w:val="continue"/>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Bank of Montreal</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175,312,500.00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12.986111111%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37,187,500.00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10.625000000%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212,500,000.00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JPMorgan Chase Bank, N.A.</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127,071,293.97</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9.412688442%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48,241,206.03</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16.080402010%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37,187,500.00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10.625000000%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212,500,000.00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5"/>
              </w:rPr>
              <w:t>Capital One, National Association</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103,125,000.00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7.638888889%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21,875,000.00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6.250000000%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125,000,000.00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Morgan Stanley Bank, N.A.</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5"/>
                <w:szCs w:val="15"/>
                <w:color w:val="auto"/>
              </w:rPr>
              <w:t>51,562,500.00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3.819444444%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10,937,500.00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3.125000000%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62,500,000.00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MUFG Bank, Ltd.</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51,562,500.00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3.819444444%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10,937,500.00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3.125000000%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62,500,000.00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HSBC Bank USA, N.A.</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72,974,246.23</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5.405499721%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30,150,753.77</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10.050251257%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21,875,000.00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6.250000000%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125,000,000.00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Citizens Bank, N.A.</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103,125,000.00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7.638888889%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21,875,000.00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6.250000000%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9"/>
              </w:rPr>
              <w:t>125,000,000.00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U.S. Bank National Association</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60,284,547.74</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4.465522055%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93"/>
              </w:rPr>
              <w:t>18,090,452.26</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6.030150753%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93"/>
              </w:rPr>
              <w:t>16,625,000.00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4.750000000%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95,000,000.00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Synovus Bank</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57,750,000.00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4.277777778%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12,250,000.00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3.500000000%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70,000,000.00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BankUnited, NA</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20,625,000.00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color w:val="auto"/>
              </w:rPr>
              <w:t>1.527777778%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color w:val="auto"/>
              </w:rPr>
              <w:t>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5"/>
                <w:szCs w:val="15"/>
                <w:color w:val="auto"/>
              </w:rPr>
              <w:t>4,375,000.00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1.250000000%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25,000,000.00</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1,350,000,000.00</w:t>
            </w:r>
          </w:p>
        </w:tc>
        <w:tc>
          <w:tcPr>
            <w:tcW w:w="1220" w:type="dxa"/>
            <w:vAlign w:val="bottom"/>
            <w:tcBorders>
              <w:bottom w:val="single" w:sz="8" w:color="auto"/>
              <w:right w:val="single" w:sz="8" w:color="auto"/>
            </w:tcBorders>
            <w:gridSpan w:val="5"/>
          </w:tcPr>
          <w:p>
            <w:pPr>
              <w:jc w:val="right"/>
              <w:ind w:right="100"/>
              <w:spacing w:after="0"/>
              <w:rPr>
                <w:sz w:val="20"/>
                <w:szCs w:val="20"/>
                <w:color w:val="auto"/>
              </w:rPr>
            </w:pPr>
            <w:r>
              <w:rPr>
                <w:rFonts w:ascii="Arial" w:cs="Arial" w:eastAsia="Arial" w:hAnsi="Arial"/>
                <w:sz w:val="15"/>
                <w:szCs w:val="15"/>
                <w:b w:val="1"/>
                <w:bCs w:val="1"/>
                <w:color w:val="auto"/>
                <w:w w:val="93"/>
              </w:rPr>
              <w:t>100.000000000%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right w:val="single" w:sz="8" w:color="auto"/>
            </w:tcBorders>
            <w:gridSpan w:val="5"/>
          </w:tcPr>
          <w:p>
            <w:pPr>
              <w:jc w:val="right"/>
              <w:ind w:right="80"/>
              <w:spacing w:after="0"/>
              <w:rPr>
                <w:sz w:val="20"/>
                <w:szCs w:val="20"/>
                <w:color w:val="auto"/>
              </w:rPr>
            </w:pPr>
            <w:r>
              <w:rPr>
                <w:rFonts w:ascii="Arial" w:cs="Arial" w:eastAsia="Arial" w:hAnsi="Arial"/>
                <w:sz w:val="17"/>
                <w:szCs w:val="17"/>
                <w:color w:val="auto"/>
                <w:w w:val="86"/>
              </w:rPr>
              <w:t>300,000,000.00</w:t>
            </w:r>
          </w:p>
        </w:tc>
        <w:tc>
          <w:tcPr>
            <w:tcW w:w="12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3"/>
              </w:rPr>
              <w:t>100.000000000%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w w:val="90"/>
              </w:rPr>
              <w:t>350,000,000.00</w:t>
            </w:r>
          </w:p>
        </w:tc>
        <w:tc>
          <w:tcPr>
            <w:tcW w:w="122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3"/>
              </w:rPr>
              <w:t>100.000000000%</w:t>
            </w:r>
          </w:p>
        </w:tc>
        <w:tc>
          <w:tcPr>
            <w:tcW w:w="22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w w:val="89"/>
              </w:rPr>
              <w:t>2,000,000,000.00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300"/>
          </w:cols>
          <w:pgMar w:left="360" w:top="695"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7"/>
          <w:szCs w:val="17"/>
          <w:b w:val="1"/>
          <w:bCs w:val="1"/>
          <w:i w:val="1"/>
          <w:iCs w:val="1"/>
          <w:color w:val="auto"/>
        </w:rPr>
        <w:t>ANNEX II-B</w:t>
      </w:r>
    </w:p>
    <w:p>
      <w:pPr>
        <w:spacing w:after="0" w:line="262"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7"/>
                <w:szCs w:val="17"/>
                <w:b w:val="1"/>
                <w:bCs w:val="1"/>
                <w:color w:val="auto"/>
              </w:rPr>
              <w:t>SWING LINE COMMITMENTS</w:t>
            </w:r>
          </w:p>
        </w:tc>
        <w:tc>
          <w:tcPr>
            <w:tcW w:w="2480" w:type="dxa"/>
            <w:vAlign w:val="bottom"/>
          </w:tcPr>
          <w:p>
            <w:pPr>
              <w:spacing w:after="0"/>
              <w:rPr>
                <w:sz w:val="18"/>
                <w:szCs w:val="18"/>
                <w:color w:val="auto"/>
              </w:rPr>
            </w:pPr>
          </w:p>
        </w:tc>
      </w:tr>
      <w:tr>
        <w:trPr>
          <w:trHeight w:val="225"/>
        </w:trPr>
        <w:tc>
          <w:tcPr>
            <w:tcW w:w="30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r>
      <w:tr>
        <w:trPr>
          <w:trHeight w:val="426"/>
        </w:trPr>
        <w:tc>
          <w:tcPr>
            <w:tcW w:w="3080" w:type="dxa"/>
            <w:vAlign w:val="bottom"/>
            <w:tcBorders>
              <w:left w:val="single" w:sz="8" w:color="auto"/>
              <w:bottom w:val="single" w:sz="8" w:color="auto"/>
            </w:tcBorders>
            <w:shd w:val="clear" w:color="auto" w:fill="C5D9F0"/>
          </w:tcPr>
          <w:p>
            <w:pPr>
              <w:ind w:left="2320"/>
              <w:spacing w:after="0"/>
              <w:rPr>
                <w:sz w:val="20"/>
                <w:szCs w:val="20"/>
                <w:color w:val="auto"/>
              </w:rPr>
            </w:pPr>
            <w:r>
              <w:rPr>
                <w:rFonts w:ascii="Arial" w:cs="Arial" w:eastAsia="Arial" w:hAnsi="Arial"/>
                <w:sz w:val="15"/>
                <w:szCs w:val="15"/>
                <w:b w:val="1"/>
                <w:bCs w:val="1"/>
                <w:color w:val="auto"/>
              </w:rPr>
              <w:t>Lender</w:t>
            </w:r>
          </w:p>
        </w:tc>
        <w:tc>
          <w:tcPr>
            <w:tcW w:w="2020" w:type="dxa"/>
            <w:vAlign w:val="bottom"/>
            <w:tcBorders>
              <w:bottom w:val="single" w:sz="8" w:color="auto"/>
              <w:right w:val="single" w:sz="8" w:color="auto"/>
            </w:tcBorders>
            <w:shd w:val="clear" w:color="auto" w:fill="C5D9F0"/>
          </w:tcPr>
          <w:p>
            <w:pPr>
              <w:spacing w:after="0"/>
              <w:rPr>
                <w:sz w:val="24"/>
                <w:szCs w:val="24"/>
                <w:color w:val="auto"/>
              </w:rPr>
            </w:pPr>
          </w:p>
        </w:tc>
        <w:tc>
          <w:tcPr>
            <w:tcW w:w="740" w:type="dxa"/>
            <w:vAlign w:val="bottom"/>
            <w:tcBorders>
              <w:bottom w:val="single" w:sz="8" w:color="auto"/>
            </w:tcBorders>
            <w:shd w:val="clear" w:color="auto" w:fill="C5D9F0"/>
          </w:tcPr>
          <w:p>
            <w:pPr>
              <w:spacing w:after="0"/>
              <w:rPr>
                <w:sz w:val="24"/>
                <w:szCs w:val="24"/>
                <w:color w:val="auto"/>
              </w:rPr>
            </w:pPr>
          </w:p>
        </w:tc>
        <w:tc>
          <w:tcPr>
            <w:tcW w:w="2480" w:type="dxa"/>
            <w:vAlign w:val="bottom"/>
            <w:tcBorders>
              <w:bottom w:val="single" w:sz="8" w:color="auto"/>
              <w:right w:val="single" w:sz="8" w:color="auto"/>
            </w:tcBorders>
            <w:shd w:val="clear" w:color="auto" w:fill="C5D9F0"/>
          </w:tcPr>
          <w:p>
            <w:pPr>
              <w:jc w:val="right"/>
              <w:ind w:right="741"/>
              <w:spacing w:after="0"/>
              <w:rPr>
                <w:sz w:val="20"/>
                <w:szCs w:val="20"/>
                <w:color w:val="auto"/>
              </w:rPr>
            </w:pPr>
            <w:r>
              <w:rPr>
                <w:rFonts w:ascii="Arial" w:cs="Arial" w:eastAsia="Arial" w:hAnsi="Arial"/>
                <w:sz w:val="15"/>
                <w:szCs w:val="15"/>
                <w:b w:val="1"/>
                <w:bCs w:val="1"/>
                <w:color w:val="auto"/>
                <w:w w:val="93"/>
              </w:rPr>
              <w:t>Swing Line Commitment</w:t>
            </w:r>
          </w:p>
        </w:tc>
      </w:tr>
      <w:tr>
        <w:trPr>
          <w:trHeight w:val="208"/>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Bank of America N.A.</w:t>
            </w:r>
          </w:p>
        </w:tc>
        <w:tc>
          <w:tcPr>
            <w:tcW w:w="20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7"/>
                <w:szCs w:val="17"/>
                <w:color w:val="auto"/>
              </w:rPr>
              <w:t>125,000,000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20"/>
          </w:cols>
          <w:pgMar w:left="360" w:top="1376" w:right="419" w:bottom="1440" w:gutter="0" w:footer="0" w:header="0"/>
        </w:sectPr>
      </w:pPr>
    </w:p>
    <w:bookmarkStart w:id="285" w:name="page286"/>
    <w:bookmarkEnd w:id="285"/>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ANNEX II-C</w:t>
      </w:r>
    </w:p>
    <w:p>
      <w:pPr>
        <w:spacing w:after="0" w:line="262"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480" w:type="dxa"/>
            <w:vAlign w:val="bottom"/>
            <w:gridSpan w:val="2"/>
          </w:tcPr>
          <w:p>
            <w:pPr>
              <w:jc w:val="right"/>
              <w:ind w:right="267"/>
              <w:spacing w:after="0"/>
              <w:rPr>
                <w:sz w:val="20"/>
                <w:szCs w:val="20"/>
                <w:color w:val="auto"/>
              </w:rPr>
            </w:pPr>
            <w:r>
              <w:rPr>
                <w:rFonts w:ascii="Arial" w:cs="Arial" w:eastAsia="Arial" w:hAnsi="Arial"/>
                <w:sz w:val="17"/>
                <w:szCs w:val="17"/>
                <w:b w:val="1"/>
                <w:bCs w:val="1"/>
                <w:color w:val="auto"/>
              </w:rPr>
              <w:t>L/C COMMITMENTS</w:t>
            </w:r>
          </w:p>
        </w:tc>
        <w:tc>
          <w:tcPr>
            <w:tcW w:w="2580" w:type="dxa"/>
            <w:vAlign w:val="bottom"/>
          </w:tcPr>
          <w:p>
            <w:pPr>
              <w:spacing w:after="0"/>
              <w:rPr>
                <w:sz w:val="18"/>
                <w:szCs w:val="18"/>
                <w:color w:val="auto"/>
              </w:rPr>
            </w:pPr>
          </w:p>
        </w:tc>
      </w:tr>
      <w:tr>
        <w:trPr>
          <w:trHeight w:val="225"/>
        </w:trPr>
        <w:tc>
          <w:tcPr>
            <w:tcW w:w="3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r>
      <w:tr>
        <w:trPr>
          <w:trHeight w:val="423"/>
        </w:trPr>
        <w:tc>
          <w:tcPr>
            <w:tcW w:w="3260" w:type="dxa"/>
            <w:vAlign w:val="bottom"/>
            <w:tcBorders>
              <w:left w:val="single" w:sz="8" w:color="auto"/>
              <w:bottom w:val="single" w:sz="8" w:color="auto"/>
            </w:tcBorders>
            <w:shd w:val="clear" w:color="auto" w:fill="C5D9F0"/>
          </w:tcPr>
          <w:p>
            <w:pPr>
              <w:ind w:left="2320"/>
              <w:spacing w:after="0"/>
              <w:rPr>
                <w:sz w:val="20"/>
                <w:szCs w:val="20"/>
                <w:color w:val="auto"/>
              </w:rPr>
            </w:pPr>
            <w:r>
              <w:rPr>
                <w:rFonts w:ascii="Arial" w:cs="Arial" w:eastAsia="Arial" w:hAnsi="Arial"/>
                <w:sz w:val="15"/>
                <w:szCs w:val="15"/>
                <w:b w:val="1"/>
                <w:bCs w:val="1"/>
                <w:color w:val="auto"/>
              </w:rPr>
              <w:t>Lender</w:t>
            </w:r>
          </w:p>
        </w:tc>
        <w:tc>
          <w:tcPr>
            <w:tcW w:w="1840" w:type="dxa"/>
            <w:vAlign w:val="bottom"/>
            <w:tcBorders>
              <w:bottom w:val="single" w:sz="8" w:color="auto"/>
              <w:right w:val="single" w:sz="8" w:color="auto"/>
            </w:tcBorders>
            <w:shd w:val="clear" w:color="auto" w:fill="C5D9F0"/>
          </w:tcPr>
          <w:p>
            <w:pPr>
              <w:spacing w:after="0"/>
              <w:rPr>
                <w:sz w:val="24"/>
                <w:szCs w:val="24"/>
                <w:color w:val="auto"/>
              </w:rPr>
            </w:pPr>
          </w:p>
        </w:tc>
        <w:tc>
          <w:tcPr>
            <w:tcW w:w="640" w:type="dxa"/>
            <w:vAlign w:val="bottom"/>
            <w:tcBorders>
              <w:bottom w:val="single" w:sz="8" w:color="auto"/>
            </w:tcBorders>
            <w:shd w:val="clear" w:color="auto" w:fill="C5D9F0"/>
          </w:tcPr>
          <w:p>
            <w:pPr>
              <w:spacing w:after="0"/>
              <w:rPr>
                <w:sz w:val="24"/>
                <w:szCs w:val="24"/>
                <w:color w:val="auto"/>
              </w:rPr>
            </w:pPr>
          </w:p>
        </w:tc>
        <w:tc>
          <w:tcPr>
            <w:tcW w:w="2580" w:type="dxa"/>
            <w:vAlign w:val="bottom"/>
            <w:tcBorders>
              <w:bottom w:val="single" w:sz="8" w:color="auto"/>
              <w:right w:val="single" w:sz="8" w:color="auto"/>
            </w:tcBorders>
            <w:shd w:val="clear" w:color="auto" w:fill="C5D9F0"/>
          </w:tcPr>
          <w:p>
            <w:pPr>
              <w:jc w:val="right"/>
              <w:ind w:right="917"/>
              <w:spacing w:after="0"/>
              <w:rPr>
                <w:sz w:val="20"/>
                <w:szCs w:val="20"/>
                <w:color w:val="auto"/>
              </w:rPr>
            </w:pPr>
            <w:r>
              <w:rPr>
                <w:rFonts w:ascii="Arial" w:cs="Arial" w:eastAsia="Arial" w:hAnsi="Arial"/>
                <w:sz w:val="17"/>
                <w:szCs w:val="17"/>
                <w:b w:val="1"/>
                <w:bCs w:val="1"/>
                <w:color w:val="auto"/>
                <w:shd w:val="clear" w:color="auto" w:fill="C5D9F0"/>
              </w:rPr>
              <w:t>L/C Commitment</w:t>
            </w:r>
          </w:p>
        </w:tc>
      </w:tr>
      <w:tr>
        <w:trPr>
          <w:trHeight w:val="211"/>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Bank of America N.A.</w:t>
            </w:r>
          </w:p>
        </w:tc>
        <w:tc>
          <w:tcPr>
            <w:tcW w:w="18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25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7"/>
                <w:szCs w:val="17"/>
                <w:color w:val="auto"/>
              </w:rPr>
              <w:t>200,000,000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1120"/>
          </w:cols>
          <w:pgMar w:left="360" w:top="1440" w:right="419" w:bottom="1440" w:gutter="0" w:footer="0" w:header="0"/>
        </w:sectPr>
      </w:pPr>
    </w:p>
    <w:bookmarkStart w:id="286" w:name="page287"/>
    <w:bookmarkEnd w:id="286"/>
    <w:p>
      <w:pPr>
        <w:ind w:left="6560"/>
        <w:spacing w:after="0"/>
        <w:rPr>
          <w:sz w:val="20"/>
          <w:szCs w:val="20"/>
          <w:color w:val="auto"/>
        </w:rPr>
      </w:pPr>
      <w:r>
        <w:rPr>
          <w:rFonts w:ascii="Arial" w:cs="Arial" w:eastAsia="Arial" w:hAnsi="Arial"/>
          <w:sz w:val="17"/>
          <w:szCs w:val="17"/>
          <w:b w:val="1"/>
          <w:bCs w:val="1"/>
          <w:i w:val="1"/>
          <w:iCs w:val="1"/>
          <w:color w:val="auto"/>
        </w:rPr>
        <w:t>ANNEX III</w:t>
      </w:r>
    </w:p>
    <w:p>
      <w:pPr>
        <w:spacing w:after="0" w:line="275" w:lineRule="exact"/>
        <w:rPr>
          <w:sz w:val="20"/>
          <w:szCs w:val="20"/>
          <w:color w:val="auto"/>
        </w:rPr>
      </w:pPr>
    </w:p>
    <w:p>
      <w:pPr>
        <w:jc w:val="right"/>
        <w:ind w:right="2419"/>
        <w:spacing w:after="0"/>
        <w:rPr>
          <w:sz w:val="20"/>
          <w:szCs w:val="20"/>
          <w:color w:val="auto"/>
        </w:rPr>
      </w:pPr>
      <w:r>
        <w:rPr>
          <w:rFonts w:ascii="Arial" w:cs="Arial" w:eastAsia="Arial" w:hAnsi="Arial"/>
          <w:sz w:val="17"/>
          <w:szCs w:val="17"/>
          <w:b w:val="1"/>
          <w:bCs w:val="1"/>
          <w:color w:val="auto"/>
        </w:rPr>
        <w:t>TERM LOAN FACILITY AMORTIZATION SCHEDULE</w:t>
      </w:r>
    </w:p>
    <w:p>
      <w:pPr>
        <w:spacing w:after="0" w:line="225" w:lineRule="exact"/>
        <w:rPr>
          <w:sz w:val="20"/>
          <w:szCs w:val="20"/>
          <w:color w:val="auto"/>
        </w:rPr>
      </w:pPr>
    </w:p>
    <w:tbl>
      <w:tblPr>
        <w:tblLayout w:type="fixed"/>
        <w:tblInd w:w="1910" w:type="dxa"/>
        <w:tblCellMar>
          <w:top w:w="0" w:type="dxa"/>
          <w:left w:w="0" w:type="dxa"/>
          <w:bottom w:w="0" w:type="dxa"/>
          <w:right w:w="0" w:type="dxa"/>
        </w:tblCellMar>
      </w:tblPr>
      <w:tr>
        <w:trPr>
          <w:trHeight w:val="200"/>
        </w:trPr>
        <w:tc>
          <w:tcPr>
            <w:tcW w:w="2520" w:type="dxa"/>
            <w:vAlign w:val="bottom"/>
            <w:tcBorders>
              <w:top w:val="single" w:sz="8" w:color="auto"/>
              <w:left w:val="single" w:sz="8" w:color="auto"/>
              <w:right w:val="single" w:sz="8" w:color="auto"/>
            </w:tcBorders>
            <w:shd w:val="clear" w:color="auto" w:fill="C5D9F0"/>
          </w:tcPr>
          <w:p>
            <w:pPr>
              <w:jc w:val="center"/>
              <w:spacing w:after="0" w:line="200" w:lineRule="exact"/>
              <w:rPr>
                <w:sz w:val="20"/>
                <w:szCs w:val="20"/>
                <w:color w:val="auto"/>
              </w:rPr>
            </w:pPr>
            <w:r>
              <w:rPr>
                <w:rFonts w:ascii="Arial" w:cs="Arial" w:eastAsia="Arial" w:hAnsi="Arial"/>
                <w:sz w:val="20"/>
                <w:szCs w:val="20"/>
                <w:b w:val="1"/>
                <w:bCs w:val="1"/>
                <w:color w:val="auto"/>
                <w:w w:val="90"/>
                <w:shd w:val="clear" w:color="auto" w:fill="C5D9F0"/>
              </w:rPr>
              <w:t>Payment Date (Last</w:t>
            </w:r>
          </w:p>
        </w:tc>
        <w:tc>
          <w:tcPr>
            <w:tcW w:w="2480" w:type="dxa"/>
            <w:vAlign w:val="bottom"/>
            <w:tcBorders>
              <w:top w:val="single" w:sz="8" w:color="auto"/>
              <w:right w:val="single" w:sz="8" w:color="auto"/>
            </w:tcBorders>
            <w:shd w:val="clear" w:color="auto" w:fill="C5D9F0"/>
          </w:tcPr>
          <w:p>
            <w:pPr>
              <w:spacing w:after="0"/>
              <w:rPr>
                <w:sz w:val="17"/>
                <w:szCs w:val="17"/>
                <w:color w:val="auto"/>
              </w:rPr>
            </w:pPr>
          </w:p>
        </w:tc>
      </w:tr>
      <w:tr>
        <w:trPr>
          <w:trHeight w:val="267"/>
        </w:trPr>
        <w:tc>
          <w:tcPr>
            <w:tcW w:w="2520" w:type="dxa"/>
            <w:vAlign w:val="bottom"/>
            <w:tcBorders>
              <w:left w:val="single" w:sz="8" w:color="auto"/>
              <w:bottom w:val="single" w:sz="8" w:color="C5D9F0"/>
              <w:right w:val="single" w:sz="8" w:color="auto"/>
            </w:tcBorders>
            <w:shd w:val="clear" w:color="auto" w:fill="C5D9F0"/>
          </w:tcPr>
          <w:p>
            <w:pPr>
              <w:jc w:val="center"/>
              <w:spacing w:after="0"/>
              <w:rPr>
                <w:sz w:val="20"/>
                <w:szCs w:val="20"/>
                <w:color w:val="auto"/>
              </w:rPr>
            </w:pPr>
            <w:r>
              <w:rPr>
                <w:rFonts w:ascii="Arial" w:cs="Arial" w:eastAsia="Arial" w:hAnsi="Arial"/>
                <w:sz w:val="20"/>
                <w:szCs w:val="20"/>
                <w:b w:val="1"/>
                <w:bCs w:val="1"/>
                <w:color w:val="auto"/>
                <w:w w:val="86"/>
                <w:shd w:val="clear" w:color="auto" w:fill="C5D9F0"/>
              </w:rPr>
              <w:t>Business Day of)</w:t>
            </w:r>
          </w:p>
        </w:tc>
        <w:tc>
          <w:tcPr>
            <w:tcW w:w="2480" w:type="dxa"/>
            <w:vAlign w:val="bottom"/>
            <w:tcBorders>
              <w:bottom w:val="single" w:sz="8" w:color="C5D9F0"/>
              <w:right w:val="single" w:sz="8" w:color="auto"/>
            </w:tcBorders>
            <w:shd w:val="clear" w:color="auto" w:fill="C5D9F0"/>
          </w:tcPr>
          <w:p>
            <w:pPr>
              <w:ind w:left="60"/>
              <w:spacing w:after="0"/>
              <w:rPr>
                <w:sz w:val="20"/>
                <w:szCs w:val="20"/>
                <w:color w:val="auto"/>
              </w:rPr>
            </w:pPr>
            <w:r>
              <w:rPr>
                <w:rFonts w:ascii="Arial" w:cs="Arial" w:eastAsia="Arial" w:hAnsi="Arial"/>
                <w:sz w:val="20"/>
                <w:szCs w:val="20"/>
                <w:b w:val="1"/>
                <w:bCs w:val="1"/>
                <w:color w:val="auto"/>
                <w:w w:val="93"/>
                <w:shd w:val="clear" w:color="auto" w:fill="C5D9F0"/>
              </w:rPr>
              <w:t>Principal Payment Amount</w:t>
            </w:r>
          </w:p>
        </w:tc>
      </w:tr>
      <w:tr>
        <w:trPr>
          <w:trHeight w:val="205"/>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March 2022</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June 2022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September 2022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December 2022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March 2023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June 2023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September 2023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December 2023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March 2024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June 2024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September 2024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December 2024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$2,187,500.00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March 2025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June 2025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September 2025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December 2025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March 2026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June 2026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September 2026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December 2026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$4,375,000.00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150575819</w:t>
      </w:r>
    </w:p>
    <w:p>
      <w:pPr>
        <w:sectPr>
          <w:pgSz w:w="11900" w:h="16838" w:orient="portrait"/>
          <w:cols w:equalWidth="0" w:num="1">
            <w:col w:w="10099"/>
          </w:cols>
          <w:pgMar w:left="360" w:top="1326" w:right="1440" w:bottom="1440" w:gutter="0" w:footer="0" w:header="0"/>
        </w:sectPr>
      </w:pPr>
    </w:p>
    <w:bookmarkStart w:id="287" w:name="page288"/>
    <w:bookmarkEnd w:id="287"/>
    <w:p>
      <w:pPr>
        <w:ind w:left="5920"/>
        <w:spacing w:after="0"/>
        <w:rPr>
          <w:sz w:val="20"/>
          <w:szCs w:val="20"/>
          <w:color w:val="auto"/>
        </w:rPr>
      </w:pPr>
      <w:r>
        <w:rPr>
          <w:rFonts w:ascii="Arial" w:cs="Arial" w:eastAsia="Arial" w:hAnsi="Arial"/>
          <w:sz w:val="17"/>
          <w:szCs w:val="17"/>
          <w:b w:val="1"/>
          <w:bCs w:val="1"/>
          <w:i w:val="1"/>
          <w:iCs w:val="1"/>
          <w:color w:val="auto"/>
        </w:rPr>
        <w:t>SCHEDULE 5.05</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SUPPLEMENT TO INTERIM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646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Arial" w:cs="Arial" w:eastAsia="Arial" w:hAnsi="Arial"/>
                <w:sz w:val="17"/>
                <w:szCs w:val="17"/>
                <w:b w:val="1"/>
                <w:bCs w:val="1"/>
                <w:color w:val="auto"/>
              </w:rPr>
              <w:t>MasTec, Inc.</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Principal Balance</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Rate</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Arial" w:cs="Arial" w:eastAsia="Arial" w:hAnsi="Arial"/>
                <w:sz w:val="17"/>
                <w:szCs w:val="17"/>
                <w:b w:val="1"/>
                <w:bCs w:val="1"/>
                <w:color w:val="auto"/>
              </w:rPr>
              <w:t>Maturity</w:t>
            </w:r>
          </w:p>
        </w:tc>
        <w:tc>
          <w:tcPr>
            <w:tcW w:w="0" w:type="dxa"/>
            <w:vAlign w:val="bottom"/>
          </w:tcPr>
          <w:p>
            <w:pPr>
              <w:spacing w:after="0"/>
              <w:rPr>
                <w:sz w:val="1"/>
                <w:szCs w:val="1"/>
                <w:color w:val="auto"/>
              </w:rPr>
            </w:pPr>
          </w:p>
        </w:tc>
      </w:tr>
      <w:tr>
        <w:trPr>
          <w:trHeight w:val="212"/>
        </w:trPr>
        <w:tc>
          <w:tcPr>
            <w:tcW w:w="6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Summary of Material Indebtedness as of December 31, 2020</w:t>
            </w: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1500" w:type="dxa"/>
            <w:vAlign w:val="bottom"/>
            <w:tcBorders>
              <w:bottom w:val="single" w:sz="8" w:color="auto"/>
              <w:right w:val="single" w:sz="8" w:color="auto"/>
            </w:tcBorders>
            <w:vMerge w:val="continue"/>
          </w:tcPr>
          <w:p>
            <w:pPr>
              <w:spacing w:after="0"/>
              <w:rPr>
                <w:sz w:val="18"/>
                <w:szCs w:val="18"/>
                <w:color w:val="auto"/>
              </w:rPr>
            </w:pPr>
          </w:p>
        </w:tc>
        <w:tc>
          <w:tcPr>
            <w:tcW w:w="16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4.500% Senior Notes</w:t>
            </w:r>
          </w:p>
        </w:tc>
        <w:tc>
          <w:tcPr>
            <w:tcW w:w="162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7"/>
                <w:szCs w:val="17"/>
                <w:color w:val="auto"/>
              </w:rPr>
              <w:t>$600,000,000</w:t>
            </w:r>
          </w:p>
        </w:tc>
        <w:tc>
          <w:tcPr>
            <w:tcW w:w="15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4.500%</w:t>
            </w:r>
          </w:p>
        </w:tc>
        <w:tc>
          <w:tcPr>
            <w:tcW w:w="16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7"/>
                <w:szCs w:val="17"/>
                <w:color w:val="auto"/>
              </w:rPr>
              <w:t>Aug 2028</w:t>
            </w:r>
          </w:p>
        </w:tc>
        <w:tc>
          <w:tcPr>
            <w:tcW w:w="0" w:type="dxa"/>
            <w:vAlign w:val="bottom"/>
          </w:tcPr>
          <w:p>
            <w:pPr>
              <w:spacing w:after="0"/>
              <w:rPr>
                <w:sz w:val="1"/>
                <w:szCs w:val="1"/>
                <w:color w:val="auto"/>
              </w:rPr>
            </w:pPr>
          </w:p>
        </w:tc>
      </w:tr>
    </w:tbl>
    <w:p>
      <w:pPr>
        <w:sectPr>
          <w:pgSz w:w="11900" w:h="16838" w:orient="portrait"/>
          <w:cols w:equalWidth="0" w:num="1">
            <w:col w:w="11160"/>
          </w:cols>
          <w:pgMar w:left="400" w:top="1376" w:right="339" w:bottom="1440" w:gutter="0" w:footer="0" w:header="0"/>
        </w:sectPr>
      </w:pPr>
    </w:p>
    <w:bookmarkStart w:id="288" w:name="page289"/>
    <w:bookmarkEnd w:id="288"/>
    <w:p>
      <w:pPr>
        <w:ind w:left="9660"/>
        <w:spacing w:after="0"/>
        <w:rPr>
          <w:sz w:val="20"/>
          <w:szCs w:val="20"/>
          <w:color w:val="auto"/>
        </w:rPr>
      </w:pPr>
      <w:r>
        <w:rPr>
          <w:rFonts w:ascii="Arial" w:cs="Arial" w:eastAsia="Arial" w:hAnsi="Arial"/>
          <w:sz w:val="16"/>
          <w:szCs w:val="16"/>
          <w:b w:val="1"/>
          <w:bCs w:val="1"/>
          <w:i w:val="1"/>
          <w:iCs w:val="1"/>
          <w:color w:val="auto"/>
        </w:rPr>
        <w:t>SCHEDULE 5.12(c)</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120" w:type="dxa"/>
            <w:vAlign w:val="bottom"/>
            <w:gridSpan w:val="2"/>
          </w:tcPr>
          <w:p>
            <w:pPr>
              <w:ind w:left="220"/>
              <w:spacing w:after="0"/>
              <w:rPr>
                <w:sz w:val="20"/>
                <w:szCs w:val="20"/>
                <w:color w:val="auto"/>
              </w:rPr>
            </w:pPr>
            <w:r>
              <w:rPr>
                <w:rFonts w:ascii="Arial" w:cs="Arial" w:eastAsia="Arial" w:hAnsi="Arial"/>
                <w:sz w:val="17"/>
                <w:szCs w:val="17"/>
                <w:b w:val="1"/>
                <w:bCs w:val="1"/>
                <w:color w:val="auto"/>
              </w:rPr>
              <w:t>CLOSING DATE ERISA EVENTS</w:t>
            </w:r>
          </w:p>
        </w:tc>
      </w:tr>
      <w:tr>
        <w:trPr>
          <w:trHeight w:val="225"/>
        </w:trPr>
        <w:tc>
          <w:tcPr>
            <w:tcW w:w="4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r>
      <w:tr>
        <w:trPr>
          <w:trHeight w:val="213"/>
        </w:trPr>
        <w:tc>
          <w:tcPr>
            <w:tcW w:w="4060" w:type="dxa"/>
            <w:vAlign w:val="bottom"/>
            <w:tcBorders>
              <w:left w:val="single" w:sz="8" w:color="auto"/>
              <w:bottom w:val="single" w:sz="8" w:color="auto"/>
            </w:tcBorders>
            <w:shd w:val="clear" w:color="auto" w:fill="ADAAAA"/>
          </w:tcPr>
          <w:p>
            <w:pPr>
              <w:ind w:left="440"/>
              <w:spacing w:after="0"/>
              <w:rPr>
                <w:sz w:val="20"/>
                <w:szCs w:val="20"/>
                <w:color w:val="auto"/>
              </w:rPr>
            </w:pPr>
            <w:r>
              <w:rPr>
                <w:rFonts w:ascii="Arial" w:cs="Arial" w:eastAsia="Arial" w:hAnsi="Arial"/>
                <w:sz w:val="17"/>
                <w:szCs w:val="17"/>
                <w:b w:val="1"/>
                <w:bCs w:val="1"/>
                <w:color w:val="auto"/>
              </w:rPr>
              <w:t>Service Line Legal Entity Name</w:t>
            </w:r>
          </w:p>
        </w:tc>
        <w:tc>
          <w:tcPr>
            <w:tcW w:w="360" w:type="dxa"/>
            <w:vAlign w:val="bottom"/>
            <w:tcBorders>
              <w:bottom w:val="single" w:sz="8" w:color="auto"/>
              <w:right w:val="single" w:sz="8" w:color="auto"/>
            </w:tcBorders>
            <w:shd w:val="clear" w:color="auto" w:fill="ADAAAA"/>
          </w:tcPr>
          <w:p>
            <w:pPr>
              <w:spacing w:after="0"/>
              <w:rPr>
                <w:sz w:val="18"/>
                <w:szCs w:val="18"/>
                <w:color w:val="auto"/>
              </w:rPr>
            </w:pPr>
          </w:p>
        </w:tc>
        <w:tc>
          <w:tcPr>
            <w:tcW w:w="6760" w:type="dxa"/>
            <w:vAlign w:val="bottom"/>
            <w:tcBorders>
              <w:bottom w:val="single" w:sz="8" w:color="auto"/>
              <w:right w:val="single" w:sz="8" w:color="auto"/>
            </w:tcBorders>
            <w:shd w:val="clear" w:color="auto" w:fill="ADAAAA"/>
          </w:tcPr>
          <w:p>
            <w:pPr>
              <w:ind w:left="2760"/>
              <w:spacing w:after="0"/>
              <w:rPr>
                <w:sz w:val="20"/>
                <w:szCs w:val="20"/>
                <w:color w:val="auto"/>
              </w:rPr>
            </w:pPr>
            <w:r>
              <w:rPr>
                <w:rFonts w:ascii="Arial" w:cs="Arial" w:eastAsia="Arial" w:hAnsi="Arial"/>
                <w:sz w:val="17"/>
                <w:szCs w:val="17"/>
                <w:b w:val="1"/>
                <w:bCs w:val="1"/>
                <w:color w:val="auto"/>
              </w:rPr>
              <w:t>Legal Plan Name</w:t>
            </w:r>
          </w:p>
        </w:tc>
      </w:tr>
      <w:tr>
        <w:trPr>
          <w:trHeight w:val="209"/>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36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Fund of Operating Engineers Local 513</w:t>
            </w:r>
          </w:p>
        </w:tc>
      </w:tr>
      <w:tr>
        <w:trPr>
          <w:trHeight w:val="230"/>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w w:val="94"/>
              </w:rPr>
              <w:t>Three Phase Line Construction, Inc., Precision Pipeline</w:t>
            </w:r>
          </w:p>
        </w:tc>
        <w:tc>
          <w:tcPr>
            <w:tcW w:w="360" w:type="dxa"/>
            <w:vAlign w:val="bottom"/>
            <w:tcBorders>
              <w:right w:val="single" w:sz="8" w:color="auto"/>
            </w:tcBorders>
          </w:tcPr>
          <w:p>
            <w:pPr>
              <w:spacing w:after="0"/>
              <w:rPr>
                <w:sz w:val="19"/>
                <w:szCs w:val="19"/>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Laborers' Pension Trust Fund for Detroit &amp; Vicinity</w:t>
            </w:r>
          </w:p>
        </w:tc>
      </w:tr>
      <w:tr>
        <w:trPr>
          <w:trHeight w:val="212"/>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LLC</w:t>
            </w:r>
          </w:p>
        </w:tc>
        <w:tc>
          <w:tcPr>
            <w:tcW w:w="360" w:type="dxa"/>
            <w:vAlign w:val="bottom"/>
            <w:tcBorders>
              <w:right w:val="single" w:sz="8" w:color="auto"/>
            </w:tcBorders>
          </w:tcPr>
          <w:p>
            <w:pPr>
              <w:spacing w:after="0"/>
              <w:rPr>
                <w:sz w:val="18"/>
                <w:szCs w:val="18"/>
                <w:color w:val="auto"/>
              </w:rPr>
            </w:pPr>
          </w:p>
        </w:tc>
        <w:tc>
          <w:tcPr>
            <w:tcW w:w="6760" w:type="dxa"/>
            <w:vAlign w:val="bottom"/>
            <w:tcBorders>
              <w:right w:val="single" w:sz="8" w:color="auto"/>
            </w:tcBorders>
          </w:tcPr>
          <w:p>
            <w:pPr>
              <w:spacing w:after="0"/>
              <w:rPr>
                <w:sz w:val="18"/>
                <w:szCs w:val="18"/>
                <w:color w:val="auto"/>
              </w:rPr>
            </w:pPr>
          </w:p>
        </w:tc>
      </w:tr>
      <w:tr>
        <w:trPr>
          <w:trHeight w:val="25"/>
        </w:trPr>
        <w:tc>
          <w:tcPr>
            <w:tcW w:w="40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right w:val="single" w:sz="8" w:color="auto"/>
            </w:tcBorders>
          </w:tcPr>
          <w:p>
            <w:pPr>
              <w:spacing w:after="0"/>
              <w:rPr>
                <w:sz w:val="2"/>
                <w:szCs w:val="2"/>
                <w:color w:val="auto"/>
              </w:rPr>
            </w:pPr>
          </w:p>
        </w:tc>
      </w:tr>
      <w:tr>
        <w:trPr>
          <w:trHeight w:val="167"/>
        </w:trPr>
        <w:tc>
          <w:tcPr>
            <w:tcW w:w="4060" w:type="dxa"/>
            <w:vAlign w:val="bottom"/>
            <w:tcBorders>
              <w:left w:val="single" w:sz="8" w:color="auto"/>
            </w:tcBorders>
          </w:tcPr>
          <w:p>
            <w:pPr>
              <w:ind w:left="120"/>
              <w:spacing w:after="0" w:line="167" w:lineRule="exact"/>
              <w:rPr>
                <w:sz w:val="20"/>
                <w:szCs w:val="20"/>
                <w:color w:val="auto"/>
              </w:rPr>
            </w:pPr>
            <w:r>
              <w:rPr>
                <w:rFonts w:ascii="Arial" w:cs="Arial" w:eastAsia="Arial" w:hAnsi="Arial"/>
                <w:sz w:val="17"/>
                <w:szCs w:val="17"/>
                <w:color w:val="auto"/>
              </w:rPr>
              <w:t>Three Phase Line Construction, Inc.,</w:t>
            </w:r>
          </w:p>
        </w:tc>
        <w:tc>
          <w:tcPr>
            <w:tcW w:w="360" w:type="dxa"/>
            <w:vAlign w:val="bottom"/>
            <w:tcBorders>
              <w:right w:val="single" w:sz="8" w:color="auto"/>
            </w:tcBorders>
          </w:tcPr>
          <w:p>
            <w:pPr>
              <w:spacing w:after="0"/>
              <w:rPr>
                <w:sz w:val="14"/>
                <w:szCs w:val="14"/>
                <w:color w:val="auto"/>
              </w:rPr>
            </w:pPr>
          </w:p>
        </w:tc>
        <w:tc>
          <w:tcPr>
            <w:tcW w:w="676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Laborers' District Council of Western Pennsylvania Pension Fund</w:t>
            </w:r>
          </w:p>
        </w:tc>
      </w:tr>
      <w:tr>
        <w:trPr>
          <w:trHeight w:val="218"/>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99"/>
              </w:rPr>
              <w:t>Hanging H Companies, LLC, Precision Pipeline LLC</w:t>
            </w:r>
          </w:p>
        </w:tc>
        <w:tc>
          <w:tcPr>
            <w:tcW w:w="36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r>
      <w:tr>
        <w:trPr>
          <w:trHeight w:val="198"/>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Hanging H</w:t>
            </w:r>
          </w:p>
        </w:tc>
        <w:tc>
          <w:tcPr>
            <w:tcW w:w="360" w:type="dxa"/>
            <w:vAlign w:val="bottom"/>
            <w:tcBorders>
              <w:right w:val="single" w:sz="8" w:color="auto"/>
            </w:tcBorders>
          </w:tcPr>
          <w:p>
            <w:pPr>
              <w:spacing w:after="0"/>
              <w:rPr>
                <w:sz w:val="17"/>
                <w:szCs w:val="17"/>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Plumbers &amp; Pipefitters National Pension Fund</w:t>
            </w:r>
          </w:p>
        </w:tc>
      </w:tr>
      <w:tr>
        <w:trPr>
          <w:trHeight w:val="218"/>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Companies, LLC</w:t>
            </w:r>
          </w:p>
        </w:tc>
        <w:tc>
          <w:tcPr>
            <w:tcW w:w="36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r>
      <w:tr>
        <w:trPr>
          <w:trHeight w:val="198"/>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360" w:type="dxa"/>
            <w:vAlign w:val="bottom"/>
            <w:tcBorders>
              <w:right w:val="single" w:sz="8" w:color="auto"/>
            </w:tcBorders>
          </w:tcPr>
          <w:p>
            <w:pPr>
              <w:spacing w:after="0"/>
              <w:rPr>
                <w:sz w:val="17"/>
                <w:szCs w:val="17"/>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Central Laborers' Pension Fund</w:t>
            </w:r>
          </w:p>
        </w:tc>
      </w:tr>
      <w:tr>
        <w:trPr>
          <w:trHeight w:val="218"/>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99"/>
              </w:rPr>
              <w:t>Hanging H Companies, LLC, Precision Pipeline LLC</w:t>
            </w:r>
          </w:p>
        </w:tc>
        <w:tc>
          <w:tcPr>
            <w:tcW w:w="36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r>
      <w:tr>
        <w:trPr>
          <w:trHeight w:val="211"/>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360" w:type="dxa"/>
            <w:vAlign w:val="bottom"/>
            <w:tcBorders>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Union 150 Pension Trust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Electrical Workers General Pension Fund, dated June 1, 1971</w:t>
            </w:r>
          </w:p>
        </w:tc>
      </w:tr>
      <w:tr>
        <w:trPr>
          <w:trHeight w:val="230"/>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w w:val="96"/>
              </w:rPr>
              <w:t>INTREN, LLC, Hanging H Companies, LLC, Precision</w:t>
            </w:r>
          </w:p>
        </w:tc>
        <w:tc>
          <w:tcPr>
            <w:tcW w:w="360" w:type="dxa"/>
            <w:vAlign w:val="bottom"/>
            <w:tcBorders>
              <w:right w:val="single" w:sz="8" w:color="auto"/>
            </w:tcBorders>
          </w:tcPr>
          <w:p>
            <w:pPr>
              <w:spacing w:after="0"/>
              <w:rPr>
                <w:sz w:val="19"/>
                <w:szCs w:val="19"/>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Laborers-Employers Benefit Plan Collection Trust</w:t>
            </w:r>
          </w:p>
        </w:tc>
      </w:tr>
      <w:tr>
        <w:trPr>
          <w:trHeight w:val="212"/>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Pipeline LLC</w:t>
            </w:r>
          </w:p>
        </w:tc>
        <w:tc>
          <w:tcPr>
            <w:tcW w:w="360" w:type="dxa"/>
            <w:vAlign w:val="bottom"/>
            <w:tcBorders>
              <w:right w:val="single" w:sz="8" w:color="auto"/>
            </w:tcBorders>
          </w:tcPr>
          <w:p>
            <w:pPr>
              <w:spacing w:after="0"/>
              <w:rPr>
                <w:sz w:val="18"/>
                <w:szCs w:val="18"/>
                <w:color w:val="auto"/>
              </w:rPr>
            </w:pPr>
          </w:p>
        </w:tc>
        <w:tc>
          <w:tcPr>
            <w:tcW w:w="6760" w:type="dxa"/>
            <w:vAlign w:val="bottom"/>
            <w:tcBorders>
              <w:right w:val="single" w:sz="8" w:color="auto"/>
            </w:tcBorders>
          </w:tcPr>
          <w:p>
            <w:pPr>
              <w:spacing w:after="0"/>
              <w:rPr>
                <w:sz w:val="18"/>
                <w:szCs w:val="18"/>
                <w:color w:val="auto"/>
              </w:rPr>
            </w:pPr>
          </w:p>
        </w:tc>
      </w:tr>
      <w:tr>
        <w:trPr>
          <w:trHeight w:val="25"/>
        </w:trPr>
        <w:tc>
          <w:tcPr>
            <w:tcW w:w="40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right w:val="single" w:sz="8" w:color="auto"/>
            </w:tcBorders>
          </w:tcPr>
          <w:p>
            <w:pPr>
              <w:spacing w:after="0"/>
              <w:rPr>
                <w:sz w:val="2"/>
                <w:szCs w:val="2"/>
                <w:color w:val="auto"/>
              </w:rPr>
            </w:pP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99"/>
              </w:rPr>
              <w:t>Hanging H Companies, LLC, 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1"/>
              </w:rPr>
              <w:t>Laborers District Council Pension &amp; Disability Trust Fund No. 2 (Carday) (Zenith) (710 &amp; DC 11)</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99"/>
              </w:rPr>
              <w:t>Hanging H Companies, LLC, 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Michigan Laborers' Pension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Trust Fund for Operating Engineers</w:t>
            </w:r>
          </w:p>
        </w:tc>
      </w:tr>
      <w:tr>
        <w:trPr>
          <w:trHeight w:val="230"/>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right w:val="single" w:sz="8" w:color="auto"/>
            </w:tcBorders>
          </w:tcPr>
          <w:p>
            <w:pPr>
              <w:spacing w:after="0"/>
              <w:rPr>
                <w:sz w:val="19"/>
                <w:szCs w:val="19"/>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New York State Teamsters Conference Pension and Retirement Fund</w:t>
            </w:r>
          </w:p>
        </w:tc>
      </w:tr>
      <w:tr>
        <w:trPr>
          <w:trHeight w:val="25"/>
        </w:trPr>
        <w:tc>
          <w:tcPr>
            <w:tcW w:w="40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right w:val="single" w:sz="8" w:color="auto"/>
            </w:tcBorders>
          </w:tcPr>
          <w:p>
            <w:pPr>
              <w:spacing w:after="0"/>
              <w:rPr>
                <w:sz w:val="2"/>
                <w:szCs w:val="2"/>
                <w:color w:val="auto"/>
              </w:rPr>
            </w:pP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Employer- Teamsters Local Nos. 175 &amp; 505 Pension Trust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Operating Engineers' Local 324 Pension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Fund Local 445</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130 Pension Fund</w:t>
            </w:r>
          </w:p>
        </w:tc>
      </w:tr>
      <w:tr>
        <w:trPr>
          <w:trHeight w:val="230"/>
        </w:trPr>
        <w:tc>
          <w:tcPr>
            <w:tcW w:w="4060" w:type="dxa"/>
            <w:vAlign w:val="bottom"/>
            <w:tcBorders>
              <w:lef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right w:val="single" w:sz="8" w:color="auto"/>
            </w:tcBorders>
          </w:tcPr>
          <w:p>
            <w:pPr>
              <w:spacing w:after="0"/>
              <w:rPr>
                <w:sz w:val="19"/>
                <w:szCs w:val="19"/>
                <w:color w:val="auto"/>
              </w:rPr>
            </w:pPr>
          </w:p>
        </w:tc>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Construction Industry and Laborers' Joint Pension Trust for Southern Nevada, Plan A</w:t>
            </w:r>
          </w:p>
        </w:tc>
      </w:tr>
      <w:tr>
        <w:trPr>
          <w:trHeight w:val="25"/>
        </w:trPr>
        <w:tc>
          <w:tcPr>
            <w:tcW w:w="40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right w:val="single" w:sz="8" w:color="auto"/>
            </w:tcBorders>
          </w:tcPr>
          <w:p>
            <w:pPr>
              <w:spacing w:after="0"/>
              <w:rPr>
                <w:sz w:val="2"/>
                <w:szCs w:val="2"/>
                <w:color w:val="auto"/>
              </w:rPr>
            </w:pP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Alaska Laborers'-Employers Retirement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Ironworkers-Laborers' Pension Plan of Cumberland Maryland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Idaho Signatory Employers Laborers' Pension Plan</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Building Laborers' Local 310 Pension Fund</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91 Pension Plan</w:t>
            </w:r>
          </w:p>
        </w:tc>
      </w:tr>
      <w:tr>
        <w:trPr>
          <w:trHeight w:val="205"/>
        </w:trPr>
        <w:tc>
          <w:tcPr>
            <w:tcW w:w="40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360" w:type="dxa"/>
            <w:vAlign w:val="bottom"/>
            <w:tcBorders>
              <w:bottom w:val="single" w:sz="8" w:color="auto"/>
              <w:right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&amp; General Laborers' Local 190 Pension Fund</w:t>
            </w:r>
          </w:p>
        </w:tc>
      </w:tr>
    </w:tbl>
    <w:p>
      <w:pPr>
        <w:sectPr>
          <w:pgSz w:w="11900" w:h="16838" w:orient="portrait"/>
          <w:cols w:equalWidth="0" w:num="1">
            <w:col w:w="11160"/>
          </w:cols>
          <w:pgMar w:left="400" w:top="1375" w:right="339" w:bottom="1440" w:gutter="0" w:footer="0" w:header="0"/>
        </w:sectPr>
      </w:pPr>
    </w:p>
    <w:bookmarkStart w:id="289" w:name="page290"/>
    <w:bookmarkEnd w:id="289"/>
    <w:p>
      <w:pPr>
        <w:ind w:left="9360"/>
        <w:spacing w:after="0"/>
        <w:rPr>
          <w:sz w:val="20"/>
          <w:szCs w:val="20"/>
          <w:color w:val="auto"/>
        </w:rPr>
      </w:pPr>
      <w:r>
        <w:rPr>
          <w:rFonts w:ascii="Arial" w:cs="Arial" w:eastAsia="Arial" w:hAnsi="Arial"/>
          <w:sz w:val="19"/>
          <w:szCs w:val="19"/>
          <w:b w:val="1"/>
          <w:bCs w:val="1"/>
          <w:i w:val="1"/>
          <w:iCs w:val="1"/>
          <w:color w:val="auto"/>
        </w:rPr>
        <w:t>SCHEDULE 5.12(d)</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CLOSING DATE PENSION PLANS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100" w:type="dxa"/>
            <w:vAlign w:val="bottom"/>
            <w:tcBorders>
              <w:top w:val="single" w:sz="8" w:color="auto"/>
              <w:left w:val="single" w:sz="8" w:color="auto"/>
              <w:bottom w:val="single" w:sz="8" w:color="auto"/>
              <w:right w:val="single" w:sz="8" w:color="auto"/>
            </w:tcBorders>
            <w:shd w:val="clear" w:color="auto" w:fill="ADAAAA"/>
          </w:tcPr>
          <w:p>
            <w:pPr>
              <w:ind w:left="320"/>
              <w:spacing w:after="0"/>
              <w:rPr>
                <w:sz w:val="20"/>
                <w:szCs w:val="20"/>
                <w:color w:val="auto"/>
              </w:rPr>
            </w:pPr>
            <w:r>
              <w:rPr>
                <w:rFonts w:ascii="Arial" w:cs="Arial" w:eastAsia="Arial" w:hAnsi="Arial"/>
                <w:sz w:val="17"/>
                <w:szCs w:val="17"/>
                <w:b w:val="1"/>
                <w:bCs w:val="1"/>
                <w:color w:val="auto"/>
              </w:rPr>
              <w:t>Service Line Legal Entity Name</w:t>
            </w:r>
          </w:p>
        </w:tc>
        <w:tc>
          <w:tcPr>
            <w:tcW w:w="7080" w:type="dxa"/>
            <w:vAlign w:val="bottom"/>
            <w:tcBorders>
              <w:top w:val="single" w:sz="8" w:color="auto"/>
              <w:bottom w:val="single" w:sz="8" w:color="auto"/>
              <w:right w:val="single" w:sz="8" w:color="auto"/>
            </w:tcBorders>
            <w:shd w:val="clear" w:color="auto" w:fill="ADAAAA"/>
          </w:tcPr>
          <w:p>
            <w:pPr>
              <w:ind w:left="2920"/>
              <w:spacing w:after="0"/>
              <w:rPr>
                <w:sz w:val="20"/>
                <w:szCs w:val="20"/>
                <w:color w:val="auto"/>
              </w:rPr>
            </w:pPr>
            <w:r>
              <w:rPr>
                <w:rFonts w:ascii="Arial" w:cs="Arial" w:eastAsia="Arial" w:hAnsi="Arial"/>
                <w:sz w:val="17"/>
                <w:szCs w:val="17"/>
                <w:b w:val="1"/>
                <w:bCs w:val="1"/>
                <w:color w:val="auto"/>
              </w:rPr>
              <w:t>Legal Plan Name</w:t>
            </w:r>
          </w:p>
        </w:tc>
      </w:tr>
      <w:tr>
        <w:trPr>
          <w:trHeight w:val="234"/>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0"/>
              </w:rPr>
              <w:t>Three Phase Line Construction, Inc., EC Source Services,</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National Electrical Benefit Fund</w:t>
            </w:r>
          </w:p>
        </w:tc>
      </w:tr>
      <w:tr>
        <w:trPr>
          <w:trHeight w:val="212"/>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 INTREN, LLC</w:t>
            </w:r>
          </w:p>
        </w:tc>
        <w:tc>
          <w:tcPr>
            <w:tcW w:w="7080" w:type="dxa"/>
            <w:vAlign w:val="bottom"/>
            <w:tcBorders>
              <w:right w:val="single" w:sz="8" w:color="auto"/>
            </w:tcBorders>
          </w:tcPr>
          <w:p>
            <w:pPr>
              <w:spacing w:after="0"/>
              <w:rPr>
                <w:sz w:val="18"/>
                <w:szCs w:val="18"/>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0"/>
              </w:rPr>
              <w:t>Three Phase Line Construction, Inc., EC Source Services,</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Eighth District Electrical Pension Fund</w:t>
            </w:r>
          </w:p>
        </w:tc>
      </w:tr>
      <w:tr>
        <w:trPr>
          <w:trHeight w:val="212"/>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w:t>
            </w:r>
          </w:p>
        </w:tc>
        <w:tc>
          <w:tcPr>
            <w:tcW w:w="7080" w:type="dxa"/>
            <w:vAlign w:val="bottom"/>
            <w:tcBorders>
              <w:right w:val="single" w:sz="8" w:color="auto"/>
            </w:tcBorders>
          </w:tcPr>
          <w:p>
            <w:pPr>
              <w:spacing w:after="0"/>
              <w:rPr>
                <w:sz w:val="18"/>
                <w:szCs w:val="18"/>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EC Source Services,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769 Management Pension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1249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Plumbers &amp; Pipefitters Local No. 25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Fund of Operating Engineers Local 513</w:t>
            </w: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Three Phase Line Construction, Inc., Hanging H</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Construction Industry Laborers' Pension Fund</w:t>
            </w:r>
          </w:p>
        </w:tc>
      </w:tr>
      <w:tr>
        <w:trPr>
          <w:trHeight w:val="162"/>
        </w:trPr>
        <w:tc>
          <w:tcPr>
            <w:tcW w:w="410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7"/>
                <w:szCs w:val="17"/>
                <w:color w:val="auto"/>
              </w:rPr>
              <w:t>Companies, LLC, Precision</w:t>
            </w:r>
          </w:p>
        </w:tc>
        <w:tc>
          <w:tcPr>
            <w:tcW w:w="7080" w:type="dxa"/>
            <w:vAlign w:val="bottom"/>
            <w:tcBorders>
              <w:right w:val="single" w:sz="8" w:color="auto"/>
            </w:tcBorders>
          </w:tcPr>
          <w:p>
            <w:pPr>
              <w:spacing w:after="0"/>
              <w:rPr>
                <w:sz w:val="14"/>
                <w:szCs w:val="14"/>
                <w:color w:val="auto"/>
              </w:rPr>
            </w:pP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11"/>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103</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490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Union 9 IBEW and Outside Contractors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309 Wiremans Pension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Pipe Fitters Retirement Fund Local 597</w:t>
            </w:r>
          </w:p>
        </w:tc>
      </w:tr>
      <w:tr>
        <w:trPr>
          <w:trHeight w:val="192"/>
        </w:trPr>
        <w:tc>
          <w:tcPr>
            <w:tcW w:w="410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Midwest Operating Engineers Pension Trust Fund</w:t>
            </w: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11"/>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Union 351 Pension Fund</w:t>
            </w: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w w:val="94"/>
              </w:rPr>
              <w:t>Three Phase Line Construction, Inc., Precision Pipeline</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Laborers' Pension Trust Fund for Detroit &amp; Vicinity</w:t>
            </w:r>
          </w:p>
        </w:tc>
      </w:tr>
      <w:tr>
        <w:trPr>
          <w:trHeight w:val="212"/>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w:t>
            </w:r>
          </w:p>
        </w:tc>
        <w:tc>
          <w:tcPr>
            <w:tcW w:w="7080" w:type="dxa"/>
            <w:vAlign w:val="bottom"/>
            <w:tcBorders>
              <w:bottom w:val="single" w:sz="8" w:color="auto"/>
              <w:right w:val="single" w:sz="8" w:color="auto"/>
            </w:tcBorders>
          </w:tcPr>
          <w:p>
            <w:pPr>
              <w:spacing w:after="0"/>
              <w:rPr>
                <w:sz w:val="18"/>
                <w:szCs w:val="18"/>
                <w:color w:val="auto"/>
              </w:rPr>
            </w:pPr>
          </w:p>
        </w:tc>
      </w:tr>
      <w:tr>
        <w:trPr>
          <w:trHeight w:val="192"/>
        </w:trPr>
        <w:tc>
          <w:tcPr>
            <w:tcW w:w="410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Central Pension Fund of the IUOE &amp; Participating Employers</w:t>
            </w: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161"/>
        </w:trPr>
        <w:tc>
          <w:tcPr>
            <w:tcW w:w="4100" w:type="dxa"/>
            <w:vAlign w:val="bottom"/>
            <w:tcBorders>
              <w:left w:val="single" w:sz="8" w:color="auto"/>
              <w:right w:val="single" w:sz="8" w:color="auto"/>
            </w:tcBorders>
          </w:tcPr>
          <w:p>
            <w:pPr>
              <w:ind w:left="120"/>
              <w:spacing w:after="0" w:line="161" w:lineRule="exact"/>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7"/>
                <w:szCs w:val="17"/>
                <w:color w:val="auto"/>
              </w:rPr>
              <w:t>Laborers District Council &amp; Contractors Pension Fund of Ohio</w:t>
            </w:r>
          </w:p>
        </w:tc>
      </w:tr>
      <w:tr>
        <w:trPr>
          <w:trHeight w:val="162"/>
        </w:trPr>
        <w:tc>
          <w:tcPr>
            <w:tcW w:w="410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7"/>
                <w:szCs w:val="17"/>
                <w:color w:val="auto"/>
              </w:rPr>
              <w:t>Hanging H Companies,</w:t>
            </w:r>
          </w:p>
        </w:tc>
        <w:tc>
          <w:tcPr>
            <w:tcW w:w="7080" w:type="dxa"/>
            <w:vAlign w:val="bottom"/>
            <w:tcBorders>
              <w:right w:val="single" w:sz="8" w:color="auto"/>
            </w:tcBorders>
          </w:tcPr>
          <w:p>
            <w:pPr>
              <w:spacing w:after="0"/>
              <w:rPr>
                <w:sz w:val="14"/>
                <w:szCs w:val="14"/>
                <w:color w:val="auto"/>
              </w:rPr>
            </w:pPr>
          </w:p>
        </w:tc>
      </w:tr>
      <w:tr>
        <w:trPr>
          <w:trHeight w:val="212"/>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 Precision 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INTREN, LLC,</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Ohio Operating Engineers Pension Plan</w:t>
            </w:r>
          </w:p>
        </w:tc>
      </w:tr>
      <w:tr>
        <w:trPr>
          <w:trHeight w:val="212"/>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right w:val="single" w:sz="8" w:color="auto"/>
            </w:tcBorders>
          </w:tcPr>
          <w:p>
            <w:pPr>
              <w:spacing w:after="0"/>
              <w:rPr>
                <w:sz w:val="18"/>
                <w:szCs w:val="18"/>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w w:val="94"/>
              </w:rPr>
              <w:t>Three Phase Line Construction, Inc., Precision Pipeline</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UA Local 190 Pension Plan</w:t>
            </w:r>
          </w:p>
        </w:tc>
      </w:tr>
      <w:tr>
        <w:trPr>
          <w:trHeight w:val="212"/>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w:t>
            </w:r>
          </w:p>
        </w:tc>
        <w:tc>
          <w:tcPr>
            <w:tcW w:w="7080" w:type="dxa"/>
            <w:vAlign w:val="bottom"/>
            <w:tcBorders>
              <w:bottom w:val="single" w:sz="8" w:color="auto"/>
              <w:right w:val="single" w:sz="8" w:color="auto"/>
            </w:tcBorders>
          </w:tcPr>
          <w:p>
            <w:pPr>
              <w:spacing w:after="0"/>
              <w:rPr>
                <w:sz w:val="18"/>
                <w:szCs w:val="18"/>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EXCAVATORS UNION LOCAL 731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EXCAVATORS UNION LOCAL 731 ANNUITY FUND</w:t>
            </w:r>
          </w:p>
        </w:tc>
      </w:tr>
      <w:tr>
        <w:trPr>
          <w:trHeight w:val="167"/>
        </w:trPr>
        <w:tc>
          <w:tcPr>
            <w:tcW w:w="4100" w:type="dxa"/>
            <w:vAlign w:val="bottom"/>
            <w:tcBorders>
              <w:left w:val="single" w:sz="8" w:color="auto"/>
              <w:right w:val="single" w:sz="8" w:color="auto"/>
            </w:tcBorders>
          </w:tcPr>
          <w:p>
            <w:pPr>
              <w:ind w:left="120"/>
              <w:spacing w:after="0" w:line="167" w:lineRule="exact"/>
              <w:rPr>
                <w:sz w:val="20"/>
                <w:szCs w:val="20"/>
                <w:color w:val="auto"/>
              </w:rPr>
            </w:pPr>
            <w:r>
              <w:rPr>
                <w:rFonts w:ascii="Arial" w:cs="Arial" w:eastAsia="Arial" w:hAnsi="Arial"/>
                <w:sz w:val="17"/>
                <w:szCs w:val="17"/>
                <w:color w:val="auto"/>
              </w:rPr>
              <w:t>Three Phase Line Construction, Inc.,</w:t>
            </w:r>
          </w:p>
        </w:tc>
        <w:tc>
          <w:tcPr>
            <w:tcW w:w="708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Operating Engineers' Construction Industry and Miscellaneous Pension Fund</w:t>
            </w: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160"/>
          </w:cols>
          <w:pgMar w:left="400" w:top="1369" w:right="339" w:bottom="1440" w:gutter="0" w:footer="0" w:header="0"/>
        </w:sectPr>
      </w:pPr>
    </w:p>
    <w:bookmarkStart w:id="290" w:name="page291"/>
    <w:bookmarkEnd w:id="2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1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  Hanging  H</w:t>
            </w:r>
          </w:p>
        </w:tc>
        <w:tc>
          <w:tcPr>
            <w:tcW w:w="7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District Council of Western Pennsylvania Pension Fund</w:t>
            </w: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Companies, LLC, Precision 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11"/>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Fund of Cement Masons Union Local No. 502</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Three Phase Line Construction, Inc.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456 IBEW Pension Plan</w:t>
            </w: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Three Phase Line Construction, Inc., Hanging H</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Plumbers &amp; Pipefitters National Pension Fund</w:t>
            </w:r>
          </w:p>
        </w:tc>
      </w:tr>
      <w:tr>
        <w:trPr>
          <w:trHeight w:val="212"/>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Companies,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Chicago &amp; Vicinity Laborers' District Council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Fox Valley &amp; Vicinity Laborers Pension Fund</w:t>
            </w: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INTREN, LLC</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7"/>
              </w:rPr>
              <w:t>Electrical Contractors Association and Local Union 134 I.B.E.W Joint Pension Trust of Chicago</w:t>
            </w:r>
          </w:p>
        </w:tc>
      </w:tr>
      <w:tr>
        <w:trPr>
          <w:trHeight w:val="212"/>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Plan No. 2</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Operating Engineers Local 37 Pension Plan</w:t>
            </w:r>
          </w:p>
        </w:tc>
      </w:tr>
      <w:tr>
        <w:trPr>
          <w:trHeight w:val="105"/>
        </w:trPr>
        <w:tc>
          <w:tcPr>
            <w:tcW w:w="4100" w:type="dxa"/>
            <w:vAlign w:val="bottom"/>
            <w:tcBorders>
              <w:bottom w:val="single" w:sz="8" w:color="auto"/>
            </w:tcBorders>
          </w:tcPr>
          <w:p>
            <w:pPr>
              <w:spacing w:after="0"/>
              <w:rPr>
                <w:sz w:val="9"/>
                <w:szCs w:val="9"/>
                <w:color w:val="auto"/>
              </w:rPr>
            </w:pPr>
          </w:p>
        </w:tc>
        <w:tc>
          <w:tcPr>
            <w:tcW w:w="7080" w:type="dxa"/>
            <w:vAlign w:val="bottom"/>
            <w:tcBorders>
              <w:bottom w:val="single" w:sz="8" w:color="auto"/>
            </w:tcBorders>
          </w:tcPr>
          <w:p>
            <w:pPr>
              <w:spacing w:after="0"/>
              <w:rPr>
                <w:sz w:val="9"/>
                <w:szCs w:val="9"/>
                <w:color w:val="auto"/>
              </w:rPr>
            </w:pP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INTREN, LLC, Hanging H Companies, LLC, Precision</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Pipeline Industry Pension Fund</w:t>
            </w:r>
          </w:p>
        </w:tc>
      </w:tr>
      <w:tr>
        <w:trPr>
          <w:trHeight w:val="212"/>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Pipeline LLC</w:t>
            </w:r>
          </w:p>
        </w:tc>
        <w:tc>
          <w:tcPr>
            <w:tcW w:w="7080" w:type="dxa"/>
            <w:vAlign w:val="bottom"/>
            <w:tcBorders>
              <w:right w:val="single" w:sz="8" w:color="auto"/>
            </w:tcBorders>
          </w:tcPr>
          <w:p>
            <w:pPr>
              <w:spacing w:after="0"/>
              <w:rPr>
                <w:sz w:val="18"/>
                <w:szCs w:val="18"/>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167"/>
        </w:trPr>
        <w:tc>
          <w:tcPr>
            <w:tcW w:w="4100" w:type="dxa"/>
            <w:vAlign w:val="bottom"/>
            <w:tcBorders>
              <w:left w:val="single" w:sz="8" w:color="auto"/>
              <w:right w:val="single" w:sz="8" w:color="auto"/>
            </w:tcBorders>
          </w:tcPr>
          <w:p>
            <w:pPr>
              <w:ind w:left="120"/>
              <w:spacing w:after="0" w:line="167" w:lineRule="exact"/>
              <w:rPr>
                <w:sz w:val="20"/>
                <w:szCs w:val="20"/>
                <w:color w:val="auto"/>
              </w:rPr>
            </w:pPr>
            <w:r>
              <w:rPr>
                <w:rFonts w:ascii="Arial" w:cs="Arial" w:eastAsia="Arial" w:hAnsi="Arial"/>
                <w:sz w:val="17"/>
                <w:szCs w:val="17"/>
                <w:color w:val="auto"/>
              </w:rPr>
              <w:t>Three Phase Line Construction, Inc.,</w:t>
            </w:r>
          </w:p>
        </w:tc>
        <w:tc>
          <w:tcPr>
            <w:tcW w:w="708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Central Laborers' Pension Fund</w:t>
            </w:r>
          </w:p>
        </w:tc>
      </w:tr>
      <w:tr>
        <w:trPr>
          <w:trHeight w:val="187"/>
        </w:trPr>
        <w:tc>
          <w:tcPr>
            <w:tcW w:w="4100" w:type="dxa"/>
            <w:vAlign w:val="bottom"/>
            <w:tcBorders>
              <w:left w:val="single" w:sz="8" w:color="auto"/>
              <w:right w:val="single" w:sz="8" w:color="auto"/>
            </w:tcBorders>
          </w:tcPr>
          <w:p>
            <w:pPr>
              <w:ind w:left="120"/>
              <w:spacing w:after="0" w:line="187" w:lineRule="exact"/>
              <w:rPr>
                <w:sz w:val="20"/>
                <w:szCs w:val="20"/>
                <w:color w:val="auto"/>
              </w:rPr>
            </w:pPr>
            <w:r>
              <w:rPr>
                <w:rFonts w:ascii="Arial" w:cs="Arial" w:eastAsia="Arial" w:hAnsi="Arial"/>
                <w:sz w:val="17"/>
                <w:szCs w:val="17"/>
                <w:color w:val="auto"/>
                <w:w w:val="97"/>
              </w:rPr>
              <w:t>INTREN, LLC, Hanging H Companies, LLC, Precision</w:t>
            </w:r>
          </w:p>
        </w:tc>
        <w:tc>
          <w:tcPr>
            <w:tcW w:w="7080" w:type="dxa"/>
            <w:vAlign w:val="bottom"/>
            <w:tcBorders>
              <w:right w:val="single" w:sz="8" w:color="auto"/>
            </w:tcBorders>
          </w:tcPr>
          <w:p>
            <w:pPr>
              <w:spacing w:after="0"/>
              <w:rPr>
                <w:sz w:val="16"/>
                <w:szCs w:val="16"/>
                <w:color w:val="auto"/>
              </w:rPr>
            </w:pPr>
          </w:p>
        </w:tc>
      </w:tr>
      <w:tr>
        <w:trPr>
          <w:trHeight w:val="218"/>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Pipeline LLC</w:t>
            </w:r>
          </w:p>
        </w:tc>
        <w:tc>
          <w:tcPr>
            <w:tcW w:w="7080" w:type="dxa"/>
            <w:vAlign w:val="bottom"/>
            <w:tcBorders>
              <w:bottom w:val="single" w:sz="8" w:color="auto"/>
              <w:right w:val="single" w:sz="8" w:color="auto"/>
            </w:tcBorders>
          </w:tcPr>
          <w:p>
            <w:pPr>
              <w:spacing w:after="0"/>
              <w:rPr>
                <w:sz w:val="18"/>
                <w:szCs w:val="18"/>
                <w:color w:val="auto"/>
              </w:rPr>
            </w:pPr>
          </w:p>
        </w:tc>
      </w:tr>
      <w:tr>
        <w:trPr>
          <w:trHeight w:val="211"/>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Laborers' Pension Trust of Greater St. Louis</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NECA-IBEW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Union 150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Electrical Workers General Pension Fund, dated June 1, 1971</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IBEW Local 117 Pensions Funds</w:t>
            </w: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 Precision Pipeline LLC</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International Union of Operating Engineers of Eastern Pennsylvania and Delaware Pension Plan</w:t>
            </w: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INTREN, LLC, Hanging H Companies, LLC, Precision</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Laborers-Employers Benefit Plan Collection Trust</w:t>
            </w:r>
          </w:p>
        </w:tc>
      </w:tr>
      <w:tr>
        <w:trPr>
          <w:trHeight w:val="212"/>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Pipeline LLC</w:t>
            </w:r>
          </w:p>
        </w:tc>
        <w:tc>
          <w:tcPr>
            <w:tcW w:w="7080" w:type="dxa"/>
            <w:vAlign w:val="bottom"/>
            <w:tcBorders>
              <w:right w:val="single" w:sz="8" w:color="auto"/>
            </w:tcBorders>
          </w:tcPr>
          <w:p>
            <w:pPr>
              <w:spacing w:after="0"/>
              <w:rPr>
                <w:sz w:val="18"/>
                <w:szCs w:val="18"/>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Laborers-Employers Benefit Plan Collection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INTREN,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Laborers-Employers Benefit Plan Collection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Locals 302 and 612 of the International Union of Operating Engineers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Teamsters National Pipeline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AGC-International Union of Operating Engineers Local 701 Halth and Welfare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 State Plumb/Pipefitting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Idaho Pipe Trades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Buffalo Laborers' Benefit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Connecticut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Indiana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6"/>
              </w:rPr>
              <w:t>Laborers District Council Pension &amp; Disability Trust Fund No. 2 (Carday) (Zenith) (710 &amp; DC 11)</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Union No. 158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Michigan Laborers' Pension Fund</w:t>
            </w:r>
          </w:p>
        </w:tc>
      </w:tr>
    </w:tbl>
    <w:p>
      <w:pPr>
        <w:sectPr>
          <w:pgSz w:w="11900" w:h="16838" w:orient="portrait"/>
          <w:cols w:equalWidth="0" w:num="1">
            <w:col w:w="11160"/>
          </w:cols>
          <w:pgMar w:left="400" w:top="1343" w:right="339" w:bottom="1440" w:gutter="0" w:footer="0" w:header="0"/>
        </w:sectPr>
      </w:pPr>
    </w:p>
    <w:bookmarkStart w:id="291" w:name="page292"/>
    <w:bookmarkEnd w:id="2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Oregon Laborers-Employers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Washington-Idaho Laborers-Employers Pension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West Virginia Laborers'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Western Washington Laborers-Employers Pension Trust</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Heavy &amp; General Laborers' Local 472 and 172 of New Jersey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Hanging H Companies, LLC, 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AGC Pension Trust of Montana</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Trust Fund for Operating Engineers</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Western Conference of Teamsters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International Union of Operating Engineers Local 132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York State Teamsters Conference Pension and Retirement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Employer- Teamsters Local Nos. 175 &amp; 505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Minnesota Teamsters Construction Division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Teamsters' Construction Industry and Miscellaneous Pension Fund</w:t>
            </w:r>
          </w:p>
        </w:tc>
      </w:tr>
      <w:tr>
        <w:trPr>
          <w:trHeight w:val="155"/>
        </w:trPr>
        <w:tc>
          <w:tcPr>
            <w:tcW w:w="410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w w:val="94"/>
              </w:rPr>
              <w:t>Three Phase Line Construction, Inc., Precision Pipeline</w:t>
            </w:r>
          </w:p>
        </w:tc>
        <w:tc>
          <w:tcPr>
            <w:tcW w:w="70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Employers &amp; Operating Engineers Local 520 Pension Fund</w:t>
            </w:r>
          </w:p>
        </w:tc>
      </w:tr>
      <w:tr>
        <w:trPr>
          <w:trHeight w:val="212"/>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LLC</w:t>
            </w:r>
          </w:p>
        </w:tc>
        <w:tc>
          <w:tcPr>
            <w:tcW w:w="7080" w:type="dxa"/>
            <w:vAlign w:val="bottom"/>
            <w:tcBorders>
              <w:bottom w:val="single" w:sz="8" w:color="auto"/>
              <w:right w:val="single" w:sz="8" w:color="auto"/>
            </w:tcBorders>
          </w:tcPr>
          <w:p>
            <w:pPr>
              <w:spacing w:after="0"/>
              <w:rPr>
                <w:sz w:val="18"/>
                <w:szCs w:val="18"/>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Operating Engineers' Local 324 Pension Fund</w:t>
            </w:r>
          </w:p>
        </w:tc>
      </w:tr>
      <w:tr>
        <w:trPr>
          <w:trHeight w:val="105"/>
        </w:trPr>
        <w:tc>
          <w:tcPr>
            <w:tcW w:w="4100" w:type="dxa"/>
            <w:vAlign w:val="bottom"/>
            <w:tcBorders>
              <w:bottom w:val="single" w:sz="8" w:color="auto"/>
            </w:tcBorders>
          </w:tcPr>
          <w:p>
            <w:pPr>
              <w:spacing w:after="0"/>
              <w:rPr>
                <w:sz w:val="9"/>
                <w:szCs w:val="9"/>
                <w:color w:val="auto"/>
              </w:rPr>
            </w:pPr>
          </w:p>
        </w:tc>
        <w:tc>
          <w:tcPr>
            <w:tcW w:w="7080" w:type="dxa"/>
            <w:vAlign w:val="bottom"/>
            <w:tcBorders>
              <w:bottom w:val="single" w:sz="8" w:color="auto"/>
            </w:tcBorders>
          </w:tcPr>
          <w:p>
            <w:pPr>
              <w:spacing w:after="0"/>
              <w:rPr>
                <w:sz w:val="9"/>
                <w:szCs w:val="9"/>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Plan of the IUOE Local 137, 137A, 137B, 137C, 137R AFL- CIO</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Upstate New York Engineers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Suburban Teamsters of Northern Illinois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Teamsters Union No. 142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IUOE Local 4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Operating Engineers 825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Indiana Teamsters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The Local 731, I.B. of T., Excavators and Pavers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Cumberland, Maryland, Teamsters Construction &amp; Miscellaneous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Pension Fund Local 445</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Pension Trust Fund for Northern Nevada</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Minnesota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Local 589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Wisconsin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17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Pension Trust Fund for Northern California</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Pension Fund of Roanoke, Virginia</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Massachusetts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130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Contractors, Laborers', Teamsters &amp; Engineers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Susquehanna Laborers' Combined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Rochester Laborers'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District Council of Virginia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District Council Construction Industry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Industry and Laborers' Joint Pension Trust for Southern Nevada, Plan A</w:t>
            </w:r>
          </w:p>
        </w:tc>
      </w:tr>
    </w:tbl>
    <w:p>
      <w:pPr>
        <w:sectPr>
          <w:pgSz w:w="11900" w:h="16838" w:orient="portrait"/>
          <w:cols w:equalWidth="0" w:num="1">
            <w:col w:w="11160"/>
          </w:cols>
          <w:pgMar w:left="400" w:top="1343" w:right="339" w:bottom="1440" w:gutter="0" w:footer="0" w:header="0"/>
        </w:sectPr>
      </w:pPr>
    </w:p>
    <w:bookmarkStart w:id="292" w:name="page293"/>
    <w:bookmarkEnd w:id="2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Laborers' Pension Trust for Southern California</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Alaska Laborers'-Employers Retirement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1174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Fox Valley &amp; Vicinity Construction Workers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Ironworkers-Laborers' Pension Plan of Cumberland Maryland</w:t>
            </w:r>
          </w:p>
        </w:tc>
      </w:tr>
      <w:tr>
        <w:trPr>
          <w:trHeight w:val="230"/>
        </w:trPr>
        <w:tc>
          <w:tcPr>
            <w:tcW w:w="4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Laborers' International Union of North America Local No. 1358 Defined Benefit Pension Fund</w:t>
            </w: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7080" w:type="dxa"/>
            <w:vAlign w:val="bottom"/>
            <w:tcBorders>
              <w:bottom w:val="single" w:sz="8" w:color="auto"/>
              <w:right w:val="single" w:sz="8" w:color="auto"/>
            </w:tcBorders>
          </w:tcPr>
          <w:p>
            <w:pPr>
              <w:spacing w:after="0"/>
              <w:rPr>
                <w:sz w:val="2"/>
                <w:szCs w:val="2"/>
                <w:color w:val="auto"/>
              </w:rPr>
            </w:pP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754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Union No. 35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Westchester Heavy Construction Laborers' Local No. 60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Workers Pension Trust Fund of Lake County &amp; Vicinity</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231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Idaho Signatory Employers Laborers'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Utah Laborers' Pension Trust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157 Benefit Funds</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Employers' and Laborers' Locals 100 and 397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Greater Kansas City Laborers'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Building Trades United Pension Trust Fund Milwaukee and Vicinity</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Building Laborers' Local 310 Pension Fund</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San Diego County Construction Laborers'</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Laborers' Local 91 Pension Plan</w:t>
            </w:r>
          </w:p>
        </w:tc>
      </w:tr>
      <w:tr>
        <w:trPr>
          <w:trHeight w:val="205"/>
        </w:trPr>
        <w:tc>
          <w:tcPr>
            <w:tcW w:w="4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Precision Pipeline LLC</w:t>
            </w:r>
          </w:p>
        </w:tc>
        <w:tc>
          <w:tcPr>
            <w:tcW w:w="7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Construction &amp; General Laborers' Local 190 Pension Fund</w:t>
            </w:r>
          </w:p>
        </w:tc>
      </w:tr>
    </w:tbl>
    <w:p>
      <w:pPr>
        <w:sectPr>
          <w:pgSz w:w="11900" w:h="16838" w:orient="portrait"/>
          <w:cols w:equalWidth="0" w:num="1">
            <w:col w:w="11160"/>
          </w:cols>
          <w:pgMar w:left="400" w:top="1343" w:right="339" w:bottom="1440" w:gutter="0" w:footer="0" w:header="0"/>
        </w:sectPr>
      </w:pPr>
    </w:p>
    <w:bookmarkStart w:id="293" w:name="page294"/>
    <w:bookmarkEnd w:id="2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w w:val="95"/>
              </w:rPr>
              <w:t>SCHEDULE 5.13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400" w:type="dxa"/>
            <w:vAlign w:val="bottom"/>
            <w:vMerge w:val="restart"/>
          </w:tcPr>
          <w:p>
            <w:pPr>
              <w:ind w:left="760"/>
              <w:spacing w:after="0"/>
              <w:rPr>
                <w:sz w:val="20"/>
                <w:szCs w:val="20"/>
                <w:color w:val="auto"/>
              </w:rPr>
            </w:pPr>
            <w:r>
              <w:rPr>
                <w:rFonts w:ascii="Arial" w:cs="Arial" w:eastAsia="Arial" w:hAnsi="Arial"/>
                <w:sz w:val="17"/>
                <w:szCs w:val="17"/>
                <w:b w:val="1"/>
                <w:bCs w:val="1"/>
                <w:color w:val="auto"/>
              </w:rPr>
              <w:t>SUBSIDIARIES</w:t>
            </w:r>
          </w:p>
        </w:tc>
        <w:tc>
          <w:tcPr>
            <w:tcW w:w="1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Part (a)</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ind w:left="100"/>
              <w:spacing w:after="0"/>
              <w:rPr>
                <w:sz w:val="20"/>
                <w:szCs w:val="20"/>
                <w:color w:val="auto"/>
              </w:rPr>
            </w:pPr>
            <w:r>
              <w:rPr>
                <w:rFonts w:ascii="Arial" w:cs="Arial" w:eastAsia="Arial" w:hAnsi="Arial"/>
                <w:sz w:val="17"/>
                <w:szCs w:val="17"/>
                <w:b w:val="1"/>
                <w:bCs w:val="1"/>
                <w:color w:val="auto"/>
              </w:rPr>
              <w:t>Affiliated Entity</w:t>
            </w:r>
          </w:p>
        </w:tc>
        <w:tc>
          <w:tcPr>
            <w:tcW w:w="4400" w:type="dxa"/>
            <w:vAlign w:val="bottom"/>
          </w:tcPr>
          <w:p>
            <w:pPr>
              <w:ind w:left="100"/>
              <w:spacing w:after="0"/>
              <w:rPr>
                <w:sz w:val="20"/>
                <w:szCs w:val="20"/>
                <w:color w:val="auto"/>
              </w:rPr>
            </w:pPr>
            <w:r>
              <w:rPr>
                <w:rFonts w:ascii="Arial" w:cs="Arial" w:eastAsia="Arial" w:hAnsi="Arial"/>
                <w:sz w:val="17"/>
                <w:szCs w:val="17"/>
                <w:b w:val="1"/>
                <w:bCs w:val="1"/>
                <w:color w:val="auto"/>
              </w:rPr>
              <w:t>MasTec Ownership</w:t>
            </w:r>
          </w:p>
        </w:tc>
        <w:tc>
          <w:tcPr>
            <w:tcW w:w="1280" w:type="dxa"/>
            <w:vAlign w:val="bottom"/>
          </w:tcPr>
          <w:p>
            <w:pPr>
              <w:ind w:left="80"/>
              <w:spacing w:after="0"/>
              <w:rPr>
                <w:sz w:val="20"/>
                <w:szCs w:val="20"/>
                <w:color w:val="auto"/>
              </w:rPr>
            </w:pPr>
            <w:r>
              <w:rPr>
                <w:rFonts w:ascii="Arial" w:cs="Arial" w:eastAsia="Arial" w:hAnsi="Arial"/>
                <w:sz w:val="17"/>
                <w:szCs w:val="17"/>
                <w:b w:val="1"/>
                <w:bCs w:val="1"/>
                <w:color w:val="auto"/>
              </w:rPr>
              <w:t>Jurisdiction</w:t>
            </w:r>
          </w:p>
        </w:tc>
        <w:tc>
          <w:tcPr>
            <w:tcW w:w="1300" w:type="dxa"/>
            <w:vAlign w:val="bottom"/>
          </w:tcPr>
          <w:p>
            <w:pPr>
              <w:jc w:val="right"/>
              <w:ind w:right="377"/>
              <w:spacing w:after="0"/>
              <w:rPr>
                <w:sz w:val="20"/>
                <w:szCs w:val="20"/>
                <w:color w:val="auto"/>
              </w:rPr>
            </w:pPr>
            <w:r>
              <w:rPr>
                <w:rFonts w:ascii="Arial" w:cs="Arial" w:eastAsia="Arial" w:hAnsi="Arial"/>
                <w:sz w:val="17"/>
                <w:szCs w:val="17"/>
                <w:b w:val="1"/>
                <w:bCs w:val="1"/>
                <w:color w:val="auto"/>
              </w:rPr>
              <w:t>Tax ID</w:t>
            </w:r>
          </w:p>
        </w:tc>
        <w:tc>
          <w:tcPr>
            <w:tcW w:w="0" w:type="dxa"/>
            <w:vAlign w:val="bottom"/>
          </w:tcPr>
          <w:p>
            <w:pPr>
              <w:spacing w:after="0"/>
              <w:rPr>
                <w:sz w:val="1"/>
                <w:szCs w:val="1"/>
                <w:color w:val="auto"/>
              </w:rPr>
            </w:pPr>
          </w:p>
        </w:tc>
      </w:tr>
      <w:tr>
        <w:trPr>
          <w:trHeight w:val="211"/>
        </w:trPr>
        <w:tc>
          <w:tcPr>
            <w:tcW w:w="40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i w:val="1"/>
                <w:iCs w:val="1"/>
                <w:color w:val="auto"/>
              </w:rPr>
              <w:t>Domestic Entities</w:t>
            </w:r>
          </w:p>
        </w:tc>
        <w:tc>
          <w:tcPr>
            <w:tcW w:w="4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40" w:type="dxa"/>
            <w:vAlign w:val="bottom"/>
            <w:tcBorders>
              <w:left w:val="single" w:sz="8" w:color="auto"/>
            </w:tcBorders>
          </w:tcPr>
          <w:p>
            <w:pPr>
              <w:ind w:left="420"/>
              <w:spacing w:after="0" w:line="167" w:lineRule="exact"/>
              <w:rPr>
                <w:sz w:val="20"/>
                <w:szCs w:val="20"/>
                <w:color w:val="auto"/>
              </w:rPr>
            </w:pPr>
            <w:r>
              <w:rPr>
                <w:rFonts w:ascii="Arial" w:cs="Arial" w:eastAsia="Arial" w:hAnsi="Arial"/>
                <w:sz w:val="17"/>
                <w:szCs w:val="17"/>
                <w:color w:val="auto"/>
              </w:rPr>
              <w:t>1.</w:t>
            </w:r>
          </w:p>
        </w:tc>
        <w:tc>
          <w:tcPr>
            <w:tcW w:w="3420" w:type="dxa"/>
            <w:vAlign w:val="bottom"/>
            <w:tcBorders>
              <w:right w:val="single" w:sz="8" w:color="auto"/>
            </w:tcBorders>
          </w:tcPr>
          <w:p>
            <w:pPr>
              <w:ind w:left="60"/>
              <w:spacing w:after="0" w:line="167" w:lineRule="exact"/>
              <w:rPr>
                <w:sz w:val="20"/>
                <w:szCs w:val="20"/>
                <w:color w:val="auto"/>
              </w:rPr>
            </w:pPr>
            <w:r>
              <w:rPr>
                <w:rFonts w:ascii="Arial" w:cs="Arial" w:eastAsia="Arial" w:hAnsi="Arial"/>
                <w:sz w:val="17"/>
                <w:szCs w:val="17"/>
                <w:color w:val="auto"/>
              </w:rPr>
              <w:t>Church &amp; Tower, Inc.</w:t>
            </w:r>
          </w:p>
        </w:tc>
        <w:tc>
          <w:tcPr>
            <w:tcW w:w="440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100% owned by MasTec, Inc.</w:t>
            </w:r>
          </w:p>
        </w:tc>
        <w:tc>
          <w:tcPr>
            <w:tcW w:w="128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67"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0227979</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2.</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w w:val="88"/>
              </w:rPr>
              <w:t>MasTec Renewables Construction Company,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2971344</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3.</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MasTec North America,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0829357</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4.</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CCM Investment Holding Co.</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4037665</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5.</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Douglas Fiber Enterprises,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3147663</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6.</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Energy Erectors,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1363163</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7.</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MasTec ETS Service Company,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3702652</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8.</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MasTec EV Solutions,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67%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2585223</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rPr>
              <w:t>9.</w:t>
            </w:r>
          </w:p>
        </w:tc>
        <w:tc>
          <w:tcPr>
            <w:tcW w:w="3420" w:type="dxa"/>
            <w:vAlign w:val="bottom"/>
            <w:tcBorders>
              <w:right w:val="single" w:sz="8" w:color="auto"/>
            </w:tcBorders>
          </w:tcPr>
          <w:p>
            <w:pPr>
              <w:ind w:left="60"/>
              <w:spacing w:after="0" w:line="174" w:lineRule="exact"/>
              <w:rPr>
                <w:sz w:val="20"/>
                <w:szCs w:val="20"/>
                <w:color w:val="auto"/>
              </w:rPr>
            </w:pPr>
            <w:r>
              <w:rPr>
                <w:rFonts w:ascii="Arial" w:cs="Arial" w:eastAsia="Arial" w:hAnsi="Arial"/>
                <w:sz w:val="17"/>
                <w:szCs w:val="17"/>
                <w:color w:val="auto"/>
              </w:rPr>
              <w:t>Masco Energy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4004312</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10.</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Foreign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w w:val="93"/>
              </w:rPr>
              <w:t>Sole member – 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0822919</w:t>
            </w:r>
          </w:p>
        </w:tc>
        <w:tc>
          <w:tcPr>
            <w:tcW w:w="0" w:type="dxa"/>
            <w:vAlign w:val="bottom"/>
          </w:tcPr>
          <w:p>
            <w:pPr>
              <w:spacing w:after="0"/>
              <w:rPr>
                <w:sz w:val="1"/>
                <w:szCs w:val="1"/>
                <w:color w:val="auto"/>
              </w:rPr>
            </w:pPr>
          </w:p>
        </w:tc>
      </w:tr>
      <w:tr>
        <w:trPr>
          <w:trHeight w:val="173"/>
        </w:trPr>
        <w:tc>
          <w:tcPr>
            <w:tcW w:w="4060" w:type="dxa"/>
            <w:vAlign w:val="bottom"/>
            <w:tcBorders>
              <w:left w:val="single" w:sz="8" w:color="auto"/>
              <w:right w:val="single" w:sz="8" w:color="auto"/>
            </w:tcBorders>
            <w:gridSpan w:val="2"/>
          </w:tcPr>
          <w:p>
            <w:pPr>
              <w:ind w:left="420"/>
              <w:spacing w:after="0" w:line="174" w:lineRule="exact"/>
              <w:rPr>
                <w:sz w:val="20"/>
                <w:szCs w:val="20"/>
                <w:color w:val="auto"/>
              </w:rPr>
            </w:pPr>
            <w:r>
              <w:rPr>
                <w:rFonts w:ascii="Arial" w:cs="Arial" w:eastAsia="Arial" w:hAnsi="Arial"/>
                <w:sz w:val="17"/>
                <w:szCs w:val="17"/>
                <w:color w:val="auto"/>
              </w:rPr>
              <w:t>11. MasTec Mexico Foreign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Cooperatief</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2990566</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12.</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Latin America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2669097</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13.</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Mexico Holding Company,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w w:val="93"/>
              </w:rPr>
              <w:t>Sole member – 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2990566</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14.</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Property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Nevada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4027848</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15.</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Network Solutions,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3250780</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16.</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Network Solutions,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3078035</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17.</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Residential Services,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0637848</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18.</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MTZ Alexander,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3355020</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19.</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Nsoro MasTec International,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Nevada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4097196</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20.</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Nsoro Procurement Company,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0792309</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21.</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Wireless Services,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Network Solutions,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1943970</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22.</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MP Drilling Holdings,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Precision Pipeline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0490051</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23.</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Pretec Directional Drilling,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MP Drilling Holdings,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2154750</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24.</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Power Partners MasTec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North Carolina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1623356</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25.</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Power Partners MasTec,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3506112</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26.</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Bottom Line Services,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94%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0829355</w:t>
            </w:r>
          </w:p>
        </w:tc>
        <w:tc>
          <w:tcPr>
            <w:tcW w:w="0" w:type="dxa"/>
            <w:vAlign w:val="bottom"/>
          </w:tcPr>
          <w:p>
            <w:pPr>
              <w:spacing w:after="0"/>
              <w:rPr>
                <w:sz w:val="1"/>
                <w:szCs w:val="1"/>
                <w:color w:val="auto"/>
              </w:rPr>
            </w:pPr>
          </w:p>
        </w:tc>
      </w:tr>
      <w:tr>
        <w:trPr>
          <w:trHeight w:val="173"/>
        </w:trPr>
        <w:tc>
          <w:tcPr>
            <w:tcW w:w="4060" w:type="dxa"/>
            <w:vAlign w:val="bottom"/>
            <w:tcBorders>
              <w:left w:val="single" w:sz="8" w:color="auto"/>
              <w:right w:val="single" w:sz="8" w:color="auto"/>
            </w:tcBorders>
            <w:gridSpan w:val="2"/>
          </w:tcPr>
          <w:p>
            <w:pPr>
              <w:ind w:left="420"/>
              <w:spacing w:after="0" w:line="174" w:lineRule="exact"/>
              <w:rPr>
                <w:sz w:val="20"/>
                <w:szCs w:val="20"/>
                <w:color w:val="auto"/>
              </w:rPr>
            </w:pPr>
            <w:r>
              <w:rPr>
                <w:rFonts w:ascii="Arial" w:cs="Arial" w:eastAsia="Arial" w:hAnsi="Arial"/>
                <w:sz w:val="17"/>
                <w:szCs w:val="17"/>
                <w:color w:val="auto"/>
              </w:rPr>
              <w:t>27. PPMASI,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51% owned by Power Partners MasTec,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1646891</w:t>
            </w:r>
          </w:p>
        </w:tc>
        <w:tc>
          <w:tcPr>
            <w:tcW w:w="0" w:type="dxa"/>
            <w:vAlign w:val="bottom"/>
          </w:tcPr>
          <w:p>
            <w:pPr>
              <w:spacing w:after="0"/>
              <w:rPr>
                <w:sz w:val="1"/>
                <w:szCs w:val="1"/>
                <w:color w:val="auto"/>
              </w:rPr>
            </w:pPr>
          </w:p>
        </w:tc>
      </w:tr>
      <w:tr>
        <w:trPr>
          <w:trHeight w:val="173"/>
        </w:trPr>
        <w:tc>
          <w:tcPr>
            <w:tcW w:w="4060" w:type="dxa"/>
            <w:vAlign w:val="bottom"/>
            <w:tcBorders>
              <w:left w:val="single" w:sz="8" w:color="auto"/>
              <w:right w:val="single" w:sz="8" w:color="auto"/>
            </w:tcBorders>
            <w:gridSpan w:val="2"/>
          </w:tcPr>
          <w:p>
            <w:pPr>
              <w:ind w:left="420"/>
              <w:spacing w:after="0" w:line="174" w:lineRule="exact"/>
              <w:rPr>
                <w:sz w:val="20"/>
                <w:szCs w:val="20"/>
                <w:color w:val="auto"/>
              </w:rPr>
            </w:pPr>
            <w:r>
              <w:rPr>
                <w:rFonts w:ascii="Arial" w:cs="Arial" w:eastAsia="Arial" w:hAnsi="Arial"/>
                <w:sz w:val="17"/>
                <w:szCs w:val="17"/>
                <w:color w:val="auto"/>
              </w:rPr>
              <w:t>28. PPMASI Klamath I,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PPMASI,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1938819</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29.</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Go Green Services,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Texas</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0829355</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30.</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Pumpco,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Texas</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2196341</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31.</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Wanzek Construction,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North Dakota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0311915</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32.</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MasTec Services Company, Inc.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0791004</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33.</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Precision Acquisition,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Inc.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Wisconsin</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1186147</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34.</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Precision Pipeline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Precision Acquisition,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Wisconsin</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0667117</w:t>
            </w: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ind w:left="420"/>
              <w:spacing w:after="0" w:line="174" w:lineRule="exact"/>
              <w:rPr>
                <w:sz w:val="20"/>
                <w:szCs w:val="20"/>
                <w:color w:val="auto"/>
              </w:rPr>
            </w:pPr>
            <w:r>
              <w:rPr>
                <w:rFonts w:ascii="Arial" w:cs="Arial" w:eastAsia="Arial" w:hAnsi="Arial"/>
                <w:sz w:val="17"/>
                <w:szCs w:val="17"/>
                <w:color w:val="auto"/>
                <w:w w:val="84"/>
              </w:rPr>
              <w:t>35.</w:t>
            </w:r>
          </w:p>
        </w:tc>
        <w:tc>
          <w:tcPr>
            <w:tcW w:w="34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7"/>
                <w:szCs w:val="17"/>
                <w:color w:val="auto"/>
              </w:rPr>
              <w:t>Precision Transport Company, LLC</w:t>
            </w:r>
          </w:p>
        </w:tc>
        <w:tc>
          <w:tcPr>
            <w:tcW w:w="44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Precision Acquisition, LLC</w:t>
            </w:r>
          </w:p>
        </w:tc>
        <w:tc>
          <w:tcPr>
            <w:tcW w:w="128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Wisconsin</w:t>
            </w:r>
          </w:p>
        </w:tc>
        <w:tc>
          <w:tcPr>
            <w:tcW w:w="1300" w:type="dxa"/>
            <w:vAlign w:val="bottom"/>
            <w:tcBorders>
              <w:right w:val="single" w:sz="8" w:color="auto"/>
            </w:tcBorders>
          </w:tcPr>
          <w:p>
            <w:pPr>
              <w:jc w:val="right"/>
              <w:ind w:right="417"/>
              <w:spacing w:after="0" w:line="174"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7"/>
                <w:szCs w:val="17"/>
                <w:color w:val="auto"/>
              </w:rPr>
              <w:t>3843698</w:t>
            </w:r>
          </w:p>
        </w:tc>
        <w:tc>
          <w:tcPr>
            <w:tcW w:w="0" w:type="dxa"/>
            <w:vAlign w:val="bottom"/>
          </w:tcPr>
          <w:p>
            <w:pPr>
              <w:spacing w:after="0"/>
              <w:rPr>
                <w:sz w:val="1"/>
                <w:szCs w:val="1"/>
                <w:color w:val="auto"/>
              </w:rPr>
            </w:pPr>
          </w:p>
        </w:tc>
      </w:tr>
    </w:tbl>
    <w:p>
      <w:pPr>
        <w:sectPr>
          <w:pgSz w:w="11900" w:h="16838" w:orient="portrait"/>
          <w:cols w:equalWidth="0" w:num="1">
            <w:col w:w="11040"/>
          </w:cols>
          <w:pgMar w:left="540" w:top="694" w:right="319" w:bottom="129" w:gutter="0" w:footer="0" w:header="0"/>
        </w:sectPr>
      </w:pPr>
    </w:p>
    <w:bookmarkStart w:id="294" w:name="page295"/>
    <w:bookmarkEnd w:id="2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5" w:name="page296"/>
    <w:bookmarkEnd w:id="295"/>
    <w:tbl>
      <w:tblPr>
        <w:tblLayout w:type="fixed"/>
        <w:tblInd w:w="10" w:type="dxa"/>
        <w:tblCellMar>
          <w:top w:w="0" w:type="dxa"/>
          <w:left w:w="0" w:type="dxa"/>
          <w:bottom w:w="0" w:type="dxa"/>
          <w:right w:w="0" w:type="dxa"/>
        </w:tblCellMar>
      </w:tblPr>
      <w:tr>
        <w:trPr>
          <w:trHeight w:val="225"/>
        </w:trPr>
        <w:tc>
          <w:tcPr>
            <w:tcW w:w="640" w:type="dxa"/>
            <w:vAlign w:val="bottom"/>
            <w:tcBorders>
              <w:top w:val="single" w:sz="8" w:color="auto"/>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36.</w:t>
            </w:r>
          </w:p>
        </w:tc>
        <w:tc>
          <w:tcPr>
            <w:tcW w:w="3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Three Phase Line Construction, Inc.</w:t>
            </w:r>
          </w:p>
        </w:tc>
        <w:tc>
          <w:tcPr>
            <w:tcW w:w="4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4"/>
              </w:rPr>
              <w:t>New Hampshire</w:t>
            </w:r>
          </w:p>
        </w:tc>
        <w:tc>
          <w:tcPr>
            <w:tcW w:w="13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02-0486688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37.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EC Source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27-3046138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38.</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EC Source Transportation,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27-3046138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39.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AT Power,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66-0756042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 &amp; D Power,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26-4474622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Energy Environmental Group,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26-4399738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Halsted Communications, Ltd.</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York</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14-1726726</w:t>
            </w:r>
          </w:p>
        </w:tc>
      </w:tr>
      <w:tr>
        <w:trPr>
          <w:trHeight w:val="192"/>
        </w:trPr>
        <w:tc>
          <w:tcPr>
            <w:tcW w:w="640" w:type="dxa"/>
            <w:vAlign w:val="bottom"/>
            <w:tcBorders>
              <w:left w:val="single" w:sz="8" w:color="auto"/>
            </w:tcBorders>
          </w:tcPr>
          <w:p>
            <w:pPr>
              <w:ind w:left="420"/>
              <w:spacing w:after="0" w:line="193" w:lineRule="exact"/>
              <w:rPr>
                <w:sz w:val="20"/>
                <w:szCs w:val="20"/>
                <w:color w:val="auto"/>
              </w:rPr>
            </w:pPr>
            <w:r>
              <w:rPr>
                <w:rFonts w:ascii="Arial" w:cs="Arial" w:eastAsia="Arial" w:hAnsi="Arial"/>
                <w:sz w:val="17"/>
                <w:szCs w:val="17"/>
                <w:color w:val="auto"/>
                <w:w w:val="84"/>
              </w:rPr>
              <w:t>43.</w:t>
            </w:r>
          </w:p>
        </w:tc>
        <w:tc>
          <w:tcPr>
            <w:tcW w:w="342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7"/>
                <w:szCs w:val="17"/>
                <w:color w:val="auto"/>
              </w:rPr>
              <w:t>MasTec Puerto Rico Engineering Services</w:t>
            </w:r>
          </w:p>
        </w:tc>
        <w:tc>
          <w:tcPr>
            <w:tcW w:w="440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GP- MasTec Foreign Holdings, LLC; LP- MasTec Latin</w:t>
            </w:r>
          </w:p>
        </w:tc>
        <w:tc>
          <w:tcPr>
            <w:tcW w:w="12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17"/>
                <w:szCs w:val="17"/>
                <w:color w:val="auto"/>
              </w:rPr>
              <w:t>27-4095246</w:t>
            </w:r>
          </w:p>
        </w:tc>
      </w:tr>
      <w:tr>
        <w:trPr>
          <w:trHeight w:val="175"/>
        </w:trPr>
        <w:tc>
          <w:tcPr>
            <w:tcW w:w="4060" w:type="dxa"/>
            <w:vAlign w:val="bottom"/>
            <w:tcBorders>
              <w:left w:val="single" w:sz="8" w:color="auto"/>
              <w:right w:val="single" w:sz="8" w:color="auto"/>
            </w:tcBorders>
            <w:gridSpan w:val="2"/>
          </w:tcPr>
          <w:p>
            <w:pPr>
              <w:ind w:left="420"/>
              <w:spacing w:after="0" w:line="175" w:lineRule="exact"/>
              <w:rPr>
                <w:sz w:val="20"/>
                <w:szCs w:val="20"/>
                <w:color w:val="auto"/>
              </w:rPr>
            </w:pPr>
            <w:r>
              <w:rPr>
                <w:rFonts w:ascii="Arial" w:cs="Arial" w:eastAsia="Arial" w:hAnsi="Arial"/>
                <w:sz w:val="17"/>
                <w:szCs w:val="17"/>
                <w:color w:val="auto"/>
              </w:rPr>
              <w:t>Holding,</w:t>
            </w:r>
          </w:p>
        </w:tc>
        <w:tc>
          <w:tcPr>
            <w:tcW w:w="44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7"/>
                <w:szCs w:val="17"/>
                <w:color w:val="auto"/>
              </w:rPr>
              <w:t>America</w:t>
            </w: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LLP</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Holdings, LLC</w:t>
            </w: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44.</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Venezuela, Inc. (Holding Company)</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65-0890232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Spain, Inc. (Holding Company)</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65-0890231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Brazil I, Inc. (Holding Company)</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65-0890223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Brazil II, Inc. (Holding Company)</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65-0890224</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48.</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Big Country Energy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27-3989838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49.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FFH,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47-2208772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Power Corp.</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47-4824701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Pipeline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47-4005417</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TPP,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Pipeline Holdings,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32-0466766</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Comanche,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Pipeline Holdings,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37-1794427</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54.</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Pacer Construction Corporation</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47-5488553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Latin America,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65-0726671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West,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85% owned by Precision Pipeline,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30-1007011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Engineering Solutions,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83-0815492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58.</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Dewatering,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83-1792443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59.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Fabrication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N/A (not active)</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Infrastructure,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Pipeline,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83-1800357</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Equipment,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82-3138620</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MasCo Trading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 owned by MasCo Energy,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46-4969463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SEFNCO Communications,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91-1975632</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64. NAL Communications,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SEFNCO Communications,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27-1882962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Cash Construction Company,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74-2774271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6"/>
              </w:rPr>
              <w:t>Running R Pipeline Equipment Specialist,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Pumpco,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81-2081976</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Corporation</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59-1917239</w:t>
            </w: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84"/>
              </w:rPr>
              <w:t>68.</w:t>
            </w:r>
          </w:p>
        </w:tc>
        <w:tc>
          <w:tcPr>
            <w:tcW w:w="34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rPr>
              <w:t>Lemartec USVI, Inc.</w:t>
            </w:r>
          </w:p>
        </w:tc>
        <w:tc>
          <w:tcPr>
            <w:tcW w:w="44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100% owned by Lemartec Corporation</w:t>
            </w:r>
          </w:p>
        </w:tc>
        <w:tc>
          <w:tcPr>
            <w:tcW w:w="12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US Virgin</w:t>
            </w:r>
          </w:p>
        </w:tc>
        <w:tc>
          <w:tcPr>
            <w:tcW w:w="1300" w:type="dxa"/>
            <w:vAlign w:val="bottom"/>
            <w:tcBorders>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66-0892122</w:t>
            </w: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Islands</w:t>
            </w:r>
          </w:p>
        </w:tc>
        <w:tc>
          <w:tcPr>
            <w:tcW w:w="1300" w:type="dxa"/>
            <w:vAlign w:val="bottom"/>
            <w:tcBorders>
              <w:bottom w:val="single" w:sz="8" w:color="auto"/>
              <w:right w:val="single" w:sz="8" w:color="auto"/>
            </w:tcBorders>
          </w:tcPr>
          <w:p>
            <w:pPr>
              <w:spacing w:after="0"/>
              <w:rPr>
                <w:sz w:val="18"/>
                <w:szCs w:val="18"/>
                <w:color w:val="auto"/>
              </w:rPr>
            </w:pP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69.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Engineering Corp.</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Network Solutions,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Michigan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Applied For</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70.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Kingsley Constructors,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76-0017747</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71.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Casey Industrial,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Oregon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91-1175747</w:t>
            </w:r>
          </w:p>
        </w:tc>
      </w:tr>
    </w:tbl>
    <w:p>
      <w:pPr>
        <w:sectPr>
          <w:pgSz w:w="11900" w:h="16838" w:orient="portrait"/>
          <w:cols w:equalWidth="0" w:num="1">
            <w:col w:w="11040"/>
          </w:cols>
          <w:pgMar w:left="540" w:top="1193" w:right="319" w:bottom="1440" w:gutter="0" w:footer="0" w:header="0"/>
        </w:sectPr>
      </w:pPr>
    </w:p>
    <w:bookmarkStart w:id="296" w:name="page297"/>
    <w:bookmarkEnd w:id="2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4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3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Decisive Communications, Inc.</w:t>
            </w:r>
          </w:p>
        </w:tc>
        <w:tc>
          <w:tcPr>
            <w:tcW w:w="4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300" w:type="dxa"/>
            <w:vAlign w:val="bottom"/>
            <w:tcBorders>
              <w:top w:val="single" w:sz="8" w:color="auto"/>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59-3777084</w:t>
            </w:r>
          </w:p>
        </w:tc>
      </w:tr>
      <w:tr>
        <w:trPr>
          <w:trHeight w:val="205"/>
        </w:trPr>
        <w:tc>
          <w:tcPr>
            <w:tcW w:w="6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WYCO Field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Wyoming</w:t>
            </w:r>
          </w:p>
        </w:tc>
        <w:tc>
          <w:tcPr>
            <w:tcW w:w="13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46-4489221</w:t>
            </w:r>
          </w:p>
        </w:tc>
      </w:tr>
      <w:tr>
        <w:trPr>
          <w:trHeight w:val="205"/>
        </w:trPr>
        <w:tc>
          <w:tcPr>
            <w:tcW w:w="6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A1 Traffic Control &amp; Safety,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WYCO Field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84-2267341</w:t>
            </w:r>
          </w:p>
        </w:tc>
      </w:tr>
      <w:tr>
        <w:trPr>
          <w:trHeight w:val="205"/>
        </w:trPr>
        <w:tc>
          <w:tcPr>
            <w:tcW w:w="6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Quadgen Wireless Solutions,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95% owned by MasTec Network Solutions,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20-8387021</w:t>
            </w:r>
          </w:p>
        </w:tc>
      </w:tr>
      <w:tr>
        <w:trPr>
          <w:trHeight w:val="205"/>
        </w:trPr>
        <w:tc>
          <w:tcPr>
            <w:tcW w:w="6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India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Foreign Holdings,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85-0854478</w:t>
            </w:r>
          </w:p>
        </w:tc>
      </w:tr>
      <w:tr>
        <w:trPr>
          <w:trHeight w:val="205"/>
        </w:trPr>
        <w:tc>
          <w:tcPr>
            <w:tcW w:w="64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Civil Constructors,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91%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7"/>
                <w:szCs w:val="17"/>
                <w:color w:val="auto"/>
                <w:w w:val="99"/>
              </w:rPr>
              <w:t>84-3597670</w:t>
            </w:r>
          </w:p>
        </w:tc>
      </w:tr>
    </w:tbl>
    <w:p>
      <w:pPr>
        <w:sectPr>
          <w:pgSz w:w="11900" w:h="16838" w:orient="portrait"/>
          <w:cols w:equalWidth="0" w:num="1">
            <w:col w:w="11040"/>
          </w:cols>
          <w:pgMar w:left="540" w:top="744" w:right="319" w:bottom="1440" w:gutter="0" w:footer="0" w:header="0"/>
        </w:sectPr>
      </w:pPr>
    </w:p>
    <w:bookmarkStart w:id="297" w:name="page298"/>
    <w:bookmarkEnd w:id="2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40" w:type="dxa"/>
            <w:vAlign w:val="bottom"/>
            <w:tcBorders>
              <w:top w:val="single" w:sz="8" w:color="auto"/>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78.</w:t>
            </w:r>
          </w:p>
        </w:tc>
        <w:tc>
          <w:tcPr>
            <w:tcW w:w="3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6"/>
              </w:rPr>
              <w:t>Environmental and Dewatering Solutions, LLC</w:t>
            </w:r>
          </w:p>
        </w:tc>
        <w:tc>
          <w:tcPr>
            <w:tcW w:w="4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85-2599261</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79.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Support Operations Services,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87-1212802</w:t>
            </w:r>
          </w:p>
        </w:tc>
      </w:tr>
      <w:tr>
        <w:trPr>
          <w:trHeight w:val="180"/>
        </w:trPr>
        <w:tc>
          <w:tcPr>
            <w:tcW w:w="640" w:type="dxa"/>
            <w:vAlign w:val="bottom"/>
            <w:tcBorders>
              <w:left w:val="single" w:sz="8" w:color="auto"/>
            </w:tcBorders>
          </w:tcPr>
          <w:p>
            <w:pPr>
              <w:ind w:left="420"/>
              <w:spacing w:after="0" w:line="180" w:lineRule="exact"/>
              <w:rPr>
                <w:sz w:val="20"/>
                <w:szCs w:val="20"/>
                <w:color w:val="auto"/>
              </w:rPr>
            </w:pPr>
            <w:r>
              <w:rPr>
                <w:rFonts w:ascii="Arial" w:cs="Arial" w:eastAsia="Arial" w:hAnsi="Arial"/>
                <w:sz w:val="17"/>
                <w:szCs w:val="17"/>
                <w:color w:val="auto"/>
                <w:w w:val="84"/>
              </w:rPr>
              <w:t>80.</w:t>
            </w:r>
          </w:p>
        </w:tc>
        <w:tc>
          <w:tcPr>
            <w:tcW w:w="342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MasTec Puerto Rico Engineering Services</w:t>
            </w:r>
          </w:p>
        </w:tc>
        <w:tc>
          <w:tcPr>
            <w:tcW w:w="44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w w:val="94"/>
              </w:rPr>
              <w:t>GP - MasTec Foreign Holdings, LLC; MasTec Latin America</w:t>
            </w:r>
          </w:p>
        </w:tc>
        <w:tc>
          <w:tcPr>
            <w:tcW w:w="128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Florida</w:t>
            </w:r>
          </w:p>
        </w:tc>
        <w:tc>
          <w:tcPr>
            <w:tcW w:w="1300" w:type="dxa"/>
            <w:vAlign w:val="bottom"/>
            <w:tcBorders>
              <w:right w:val="single" w:sz="8" w:color="auto"/>
            </w:tcBorders>
          </w:tcPr>
          <w:p>
            <w:pPr>
              <w:ind w:left="120"/>
              <w:spacing w:after="0" w:line="180" w:lineRule="exact"/>
              <w:rPr>
                <w:sz w:val="20"/>
                <w:szCs w:val="20"/>
                <w:color w:val="auto"/>
              </w:rPr>
            </w:pPr>
            <w:r>
              <w:rPr>
                <w:rFonts w:ascii="Arial" w:cs="Arial" w:eastAsia="Arial" w:hAnsi="Arial"/>
                <w:sz w:val="17"/>
                <w:szCs w:val="17"/>
                <w:color w:val="auto"/>
              </w:rPr>
              <w:t>27-4095246</w:t>
            </w:r>
          </w:p>
        </w:tc>
      </w:tr>
      <w:tr>
        <w:trPr>
          <w:trHeight w:val="187"/>
        </w:trPr>
        <w:tc>
          <w:tcPr>
            <w:tcW w:w="4060" w:type="dxa"/>
            <w:vAlign w:val="bottom"/>
            <w:tcBorders>
              <w:left w:val="single" w:sz="8" w:color="auto"/>
              <w:right w:val="single" w:sz="8" w:color="auto"/>
            </w:tcBorders>
            <w:gridSpan w:val="2"/>
          </w:tcPr>
          <w:p>
            <w:pPr>
              <w:ind w:left="420"/>
              <w:spacing w:after="0" w:line="187" w:lineRule="exact"/>
              <w:rPr>
                <w:sz w:val="20"/>
                <w:szCs w:val="20"/>
                <w:color w:val="auto"/>
              </w:rPr>
            </w:pPr>
            <w:r>
              <w:rPr>
                <w:rFonts w:ascii="Arial" w:cs="Arial" w:eastAsia="Arial" w:hAnsi="Arial"/>
                <w:sz w:val="17"/>
                <w:szCs w:val="17"/>
                <w:color w:val="auto"/>
              </w:rPr>
              <w:t>Holding,</w:t>
            </w:r>
          </w:p>
        </w:tc>
        <w:tc>
          <w:tcPr>
            <w:tcW w:w="4400" w:type="dxa"/>
            <w:vAlign w:val="bottom"/>
            <w:tcBorders>
              <w:right w:val="single" w:sz="8" w:color="auto"/>
            </w:tcBorders>
          </w:tcPr>
          <w:p>
            <w:pPr>
              <w:ind w:left="100"/>
              <w:spacing w:after="0" w:line="187" w:lineRule="exact"/>
              <w:rPr>
                <w:sz w:val="20"/>
                <w:szCs w:val="20"/>
                <w:color w:val="auto"/>
              </w:rPr>
            </w:pPr>
            <w:r>
              <w:rPr>
                <w:rFonts w:ascii="Arial" w:cs="Arial" w:eastAsia="Arial" w:hAnsi="Arial"/>
                <w:sz w:val="17"/>
                <w:szCs w:val="17"/>
                <w:color w:val="auto"/>
              </w:rPr>
              <w:t>Holdings, LLC</w:t>
            </w: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LLP</w:t>
            </w:r>
          </w:p>
        </w:tc>
        <w:tc>
          <w:tcPr>
            <w:tcW w:w="4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Masco Energy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47-4004312</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Trans-Pecos Pipeline,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33% owned by MasTec TPP,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47-2576270</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Comanche Trail Pipeline,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33% owned by MasTec Comanche,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47-3169615</w:t>
            </w: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84"/>
              </w:rPr>
              <w:t>84.</w:t>
            </w:r>
          </w:p>
        </w:tc>
        <w:tc>
          <w:tcPr>
            <w:tcW w:w="34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rPr>
              <w:t>MasTec Engineering, PLLC</w:t>
            </w:r>
          </w:p>
        </w:tc>
        <w:tc>
          <w:tcPr>
            <w:tcW w:w="44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9"/>
              </w:rPr>
              <w:t>50% owned by Raphael I. Mohamed; 50% owned by Lee</w:t>
            </w:r>
          </w:p>
        </w:tc>
        <w:tc>
          <w:tcPr>
            <w:tcW w:w="128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North Carolina</w:t>
            </w:r>
          </w:p>
        </w:tc>
        <w:tc>
          <w:tcPr>
            <w:tcW w:w="1300" w:type="dxa"/>
            <w:vAlign w:val="bottom"/>
            <w:tcBorders>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82-1932400</w:t>
            </w: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Robbins</w:t>
            </w: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MCC Investment and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Civil Constructors,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85-4215263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Condotte America,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MCC Investment and Holdings,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65-0012669</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Condotte America Industrial Properties,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27-0366543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88.</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Condotte America Properties,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26-1602828</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89.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Community Condotte de Moya JV</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37-1585067</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Condotte de Moya JV</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03-0569589</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91.</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FNF Acquisition,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N/A</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92.</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Hanging H Companies,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26-4674139</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93.</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Infrastructure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86-2381513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94.</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Infrastructure Development Holdings,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45-3157075</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Infrastructure Holdings Corporation</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26-0888075</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96.</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FNF Construction,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Infrastructure Holdings Corporation</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86-0474623</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97.</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FNF New Mexico,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Mexico</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26-3909785</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98.</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Bakken Aggregates,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45-5056555</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84"/>
              </w:rPr>
              <w:t>99.</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Florence 80,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81-3027400</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100.Thornton 40,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84-4677394</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101.Three-Way 28,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84-4677114</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102.CJ 320,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84-4677282</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103.Phoenix Industrial,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91-2171667</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104.Intren,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Illinois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36-3772971</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105.Union Real Estate,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Illinois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81-4905175</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106.Byers Engineering Company</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Georgia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58-1117270</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107.Rhino Cable Services,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Pennsylvania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20-2222205</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108.Foothills Energy Services, Inc.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80-0457444</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109.MasTec Utility Services Company,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87-1826620</w:t>
            </w:r>
          </w:p>
        </w:tc>
      </w:tr>
      <w:tr>
        <w:trPr>
          <w:trHeight w:val="205"/>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110.FM USA Holdings, LLC</w:t>
            </w:r>
          </w:p>
        </w:tc>
        <w:tc>
          <w:tcPr>
            <w:tcW w:w="4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50% owned by MasTec, Inc.</w:t>
            </w:r>
          </w:p>
        </w:tc>
        <w:tc>
          <w:tcPr>
            <w:tcW w:w="1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87-2419640</w:t>
            </w:r>
          </w:p>
        </w:tc>
      </w:tr>
    </w:tbl>
    <w:p>
      <w:pPr>
        <w:sectPr>
          <w:pgSz w:w="11900" w:h="16838" w:orient="portrait"/>
          <w:cols w:equalWidth="0" w:num="1">
            <w:col w:w="11040"/>
          </w:cols>
          <w:pgMar w:left="540" w:top="744" w:right="319" w:bottom="1440" w:gutter="0" w:footer="0" w:header="0"/>
        </w:sectPr>
      </w:pPr>
    </w:p>
    <w:bookmarkStart w:id="298" w:name="page299"/>
    <w:bookmarkEnd w:id="298"/>
    <w:p>
      <w:pPr>
        <w:ind w:left="420"/>
        <w:spacing w:after="0"/>
        <w:rPr>
          <w:sz w:val="20"/>
          <w:szCs w:val="20"/>
          <w:color w:val="auto"/>
        </w:rPr>
      </w:pPr>
      <w:r>
        <w:rPr>
          <w:rFonts w:ascii="Arial" w:cs="Arial" w:eastAsia="Arial" w:hAnsi="Arial"/>
          <w:sz w:val="17"/>
          <w:szCs w:val="17"/>
          <w:b w:val="1"/>
          <w:bCs w:val="1"/>
          <w:i w:val="1"/>
          <w:iCs w:val="1"/>
          <w:color w:val="auto"/>
        </w:rPr>
        <w:t>Foreign Entities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640" w:type="dxa"/>
            <w:vAlign w:val="bottom"/>
            <w:tcBorders>
              <w:top w:val="single" w:sz="8" w:color="auto"/>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auto"/>
            </w:tcBorders>
          </w:tcPr>
          <w:p>
            <w:pPr>
              <w:spacing w:after="0"/>
              <w:rPr>
                <w:sz w:val="13"/>
                <w:szCs w:val="13"/>
                <w:color w:val="auto"/>
              </w:rPr>
            </w:pPr>
          </w:p>
        </w:tc>
        <w:tc>
          <w:tcPr>
            <w:tcW w:w="3400" w:type="dxa"/>
            <w:vAlign w:val="bottom"/>
            <w:tcBorders>
              <w:top w:val="single" w:sz="8" w:color="auto"/>
              <w:right w:val="single" w:sz="8" w:color="auto"/>
            </w:tcBorders>
          </w:tcPr>
          <w:p>
            <w:pPr>
              <w:ind w:left="40"/>
              <w:spacing w:after="0" w:line="155" w:lineRule="exact"/>
              <w:rPr>
                <w:sz w:val="20"/>
                <w:szCs w:val="20"/>
                <w:color w:val="auto"/>
              </w:rPr>
            </w:pPr>
            <w:r>
              <w:rPr>
                <w:rFonts w:ascii="Arial" w:cs="Arial" w:eastAsia="Arial" w:hAnsi="Arial"/>
                <w:sz w:val="17"/>
                <w:szCs w:val="17"/>
                <w:color w:val="auto"/>
              </w:rPr>
              <w:t>Aidco de Mexico, S.A. de C.V.</w:t>
            </w:r>
          </w:p>
        </w:tc>
        <w:tc>
          <w:tcPr>
            <w:tcW w:w="4400" w:type="dxa"/>
            <w:vAlign w:val="bottom"/>
            <w:tcBorders>
              <w:top w:val="single" w:sz="8" w:color="auto"/>
              <w:right w:val="single" w:sz="8" w:color="auto"/>
            </w:tcBorders>
          </w:tcPr>
          <w:p>
            <w:pPr>
              <w:ind w:left="120"/>
              <w:spacing w:after="0" w:line="155" w:lineRule="exact"/>
              <w:rPr>
                <w:sz w:val="20"/>
                <w:szCs w:val="20"/>
                <w:color w:val="auto"/>
              </w:rPr>
            </w:pPr>
            <w:r>
              <w:rPr>
                <w:rFonts w:ascii="Arial" w:cs="Arial" w:eastAsia="Arial" w:hAnsi="Arial"/>
                <w:sz w:val="17"/>
                <w:szCs w:val="17"/>
                <w:color w:val="auto"/>
              </w:rPr>
              <w:t>98% owned by MasTec, Inc., 2% owned by MasTec</w:t>
            </w:r>
          </w:p>
        </w:tc>
        <w:tc>
          <w:tcPr>
            <w:tcW w:w="1300" w:type="dxa"/>
            <w:vAlign w:val="bottom"/>
            <w:tcBorders>
              <w:top w:val="single" w:sz="8" w:color="auto"/>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Mexico</w:t>
            </w:r>
          </w:p>
        </w:tc>
        <w:tc>
          <w:tcPr>
            <w:tcW w:w="1300" w:type="dxa"/>
            <w:vAlign w:val="bottom"/>
            <w:tcBorders>
              <w:top w:val="single" w:sz="8" w:color="auto"/>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International Holdings, Inc.</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3"/>
                <w:szCs w:val="13"/>
                <w:color w:val="auto"/>
              </w:rPr>
            </w:pPr>
          </w:p>
        </w:tc>
        <w:tc>
          <w:tcPr>
            <w:tcW w:w="340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7"/>
                <w:szCs w:val="17"/>
                <w:color w:val="auto"/>
              </w:rPr>
              <w:t>Acietel Mexicana, S.A.</w:t>
            </w:r>
          </w:p>
        </w:tc>
        <w:tc>
          <w:tcPr>
            <w:tcW w:w="4400" w:type="dxa"/>
            <w:vAlign w:val="bottom"/>
            <w:tcBorders>
              <w:right w:val="single" w:sz="8" w:color="auto"/>
            </w:tcBorders>
          </w:tcPr>
          <w:p>
            <w:pPr>
              <w:ind w:left="120"/>
              <w:spacing w:after="0" w:line="155" w:lineRule="exact"/>
              <w:rPr>
                <w:sz w:val="20"/>
                <w:szCs w:val="20"/>
                <w:color w:val="auto"/>
              </w:rPr>
            </w:pPr>
            <w:r>
              <w:rPr>
                <w:rFonts w:ascii="Arial" w:cs="Arial" w:eastAsia="Arial" w:hAnsi="Arial"/>
                <w:sz w:val="17"/>
                <w:szCs w:val="17"/>
                <w:color w:val="auto"/>
                <w:w w:val="96"/>
              </w:rPr>
              <w:t>99% owned by MasTec North America, Inc., 1% owned by</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Mexico</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MasTec International Holdings, Inc.</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3.</w:t>
            </w:r>
          </w:p>
        </w:tc>
        <w:tc>
          <w:tcPr>
            <w:tcW w:w="34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Blue Rock Quarries, S.A.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Panama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MasTec Canada, Inc.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100% owned by Pacer Construction Holdings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1"/>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5.</w:t>
            </w:r>
          </w:p>
        </w:tc>
        <w:tc>
          <w:tcPr>
            <w:tcW w:w="34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MasTec Solutions Puerto Rico,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Sole Member – MasTec Cooperatief</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spacing w:after="0"/>
              <w:rPr>
                <w:sz w:val="18"/>
                <w:szCs w:val="18"/>
                <w:color w:val="auto"/>
              </w:rPr>
            </w:pPr>
          </w:p>
        </w:tc>
      </w:tr>
      <w:tr>
        <w:trPr>
          <w:trHeight w:val="111"/>
        </w:trPr>
        <w:tc>
          <w:tcPr>
            <w:tcW w:w="64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gridSpan w:val="2"/>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6.</w:t>
            </w:r>
          </w:p>
        </w:tc>
        <w:tc>
          <w:tcPr>
            <w:tcW w:w="34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7"/>
                <w:szCs w:val="17"/>
                <w:color w:val="auto"/>
              </w:rPr>
              <w:t>All Communication Solutions Holdings,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50%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7.</w:t>
            </w:r>
          </w:p>
        </w:tc>
        <w:tc>
          <w:tcPr>
            <w:tcW w:w="34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MasTec Canadian Holdco, Inc.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1"/>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8.</w:t>
            </w:r>
          </w:p>
        </w:tc>
        <w:tc>
          <w:tcPr>
            <w:tcW w:w="34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MasTelecom Europe I APS</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Denmark</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7"/>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9.</w:t>
            </w:r>
          </w:p>
        </w:tc>
        <w:tc>
          <w:tcPr>
            <w:tcW w:w="34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MasTelecom Europe II BV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MasTelecom Europe I APS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Netherlands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1"/>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10.</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Cooperatief (UA)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99.99%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Netherlands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4060" w:type="dxa"/>
            <w:vAlign w:val="bottom"/>
            <w:tcBorders>
              <w:left w:val="single" w:sz="8" w:color="auto"/>
              <w:bottom w:val="single" w:sz="8" w:color="auto"/>
              <w:right w:val="single" w:sz="8" w:color="auto"/>
            </w:tcBorders>
            <w:gridSpan w:val="3"/>
          </w:tcPr>
          <w:p>
            <w:pPr>
              <w:ind w:left="420"/>
              <w:spacing w:after="0"/>
              <w:rPr>
                <w:sz w:val="20"/>
                <w:szCs w:val="20"/>
                <w:color w:val="auto"/>
              </w:rPr>
            </w:pPr>
            <w:r>
              <w:rPr>
                <w:rFonts w:ascii="Arial" w:cs="Arial" w:eastAsia="Arial" w:hAnsi="Arial"/>
                <w:sz w:val="17"/>
                <w:szCs w:val="17"/>
                <w:color w:val="auto"/>
              </w:rPr>
              <w:t>11. MasTec (Mauritius) Limited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Cooperatief</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Mauritius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12.</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Nsoro MasTec (Mauritius) Limited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60% owned by MasTec (Mauritius) Limited</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Mauritius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13.</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Nsoro MasTec India Private, Ltd.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Nsoro MasTec (Mauritius) Limited</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India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14.</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Lux Foreign Finance S.a r.l.</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FFH,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Luxembourg</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4060" w:type="dxa"/>
            <w:vAlign w:val="bottom"/>
            <w:tcBorders>
              <w:left w:val="single" w:sz="8" w:color="auto"/>
              <w:bottom w:val="single" w:sz="8" w:color="auto"/>
              <w:right w:val="single" w:sz="8" w:color="auto"/>
            </w:tcBorders>
            <w:gridSpan w:val="3"/>
          </w:tcPr>
          <w:p>
            <w:pPr>
              <w:ind w:left="420"/>
              <w:spacing w:after="0"/>
              <w:rPr>
                <w:sz w:val="20"/>
                <w:szCs w:val="20"/>
                <w:color w:val="auto"/>
              </w:rPr>
            </w:pPr>
            <w:r>
              <w:rPr>
                <w:rFonts w:ascii="Arial" w:cs="Arial" w:eastAsia="Arial" w:hAnsi="Arial"/>
                <w:sz w:val="17"/>
                <w:szCs w:val="17"/>
                <w:color w:val="auto"/>
              </w:rPr>
              <w:t>15. MasTelecom S. DE R.L. DE C.V.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MasTelecom Europe II BV</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16.</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Renewables Construction, Ltd.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17.</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Pantel Inversiones de Venezuela, CA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Venezuela,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Venezuela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18.</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Burntel Telecommunications, C.A.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50% owned by Pantel Inversiones de Venezuela, CA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Venezuela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19.</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Participacoes Do Brasil LTDA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20.</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Brasil S/A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88% owned by MasTec Latin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21.</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Enterprises, S. de R.L. de C.V.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99.9%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180"/>
        </w:trPr>
        <w:tc>
          <w:tcPr>
            <w:tcW w:w="660" w:type="dxa"/>
            <w:vAlign w:val="bottom"/>
            <w:tcBorders>
              <w:left w:val="single" w:sz="8" w:color="auto"/>
            </w:tcBorders>
            <w:gridSpan w:val="2"/>
          </w:tcPr>
          <w:p>
            <w:pPr>
              <w:ind w:left="420"/>
              <w:spacing w:after="0" w:line="180" w:lineRule="exact"/>
              <w:rPr>
                <w:sz w:val="20"/>
                <w:szCs w:val="20"/>
                <w:color w:val="auto"/>
              </w:rPr>
            </w:pPr>
            <w:r>
              <w:rPr>
                <w:rFonts w:ascii="Arial" w:cs="Arial" w:eastAsia="Arial" w:hAnsi="Arial"/>
                <w:sz w:val="17"/>
                <w:szCs w:val="17"/>
                <w:color w:val="auto"/>
                <w:w w:val="92"/>
              </w:rPr>
              <w:t>22.</w:t>
            </w:r>
          </w:p>
        </w:tc>
        <w:tc>
          <w:tcPr>
            <w:tcW w:w="340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w w:val="89"/>
              </w:rPr>
              <w:t>MTZ Wireless Telecommunications, S. de R.L. de</w:t>
            </w:r>
          </w:p>
        </w:tc>
        <w:tc>
          <w:tcPr>
            <w:tcW w:w="4400" w:type="dxa"/>
            <w:vAlign w:val="bottom"/>
            <w:tcBorders>
              <w:right w:val="single" w:sz="8" w:color="auto"/>
            </w:tcBorders>
          </w:tcPr>
          <w:p>
            <w:pPr>
              <w:ind w:left="120"/>
              <w:spacing w:after="0" w:line="180" w:lineRule="exact"/>
              <w:rPr>
                <w:sz w:val="20"/>
                <w:szCs w:val="20"/>
                <w:color w:val="auto"/>
              </w:rPr>
            </w:pPr>
            <w:r>
              <w:rPr>
                <w:rFonts w:ascii="Arial" w:cs="Arial" w:eastAsia="Arial" w:hAnsi="Arial"/>
                <w:sz w:val="17"/>
                <w:szCs w:val="17"/>
                <w:color w:val="auto"/>
              </w:rPr>
              <w:t>100% owned by MTZ Enterprises</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Mexico</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N/A</w:t>
            </w: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C.V.</w:t>
            </w:r>
          </w:p>
        </w:tc>
        <w:tc>
          <w:tcPr>
            <w:tcW w:w="44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23.</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Personnel Services, S. de R.L. de C.V.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24.</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Energias S. de R.L. de C.V.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99.97%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25.</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5"/>
              </w:rPr>
              <w:t>MTCO Energias de Mexico, S. de R.L. de C.V.</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80%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26.</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MSTEC Enterprises Mexico</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99.97%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192"/>
        </w:trPr>
        <w:tc>
          <w:tcPr>
            <w:tcW w:w="660" w:type="dxa"/>
            <w:vAlign w:val="bottom"/>
            <w:tcBorders>
              <w:left w:val="single" w:sz="8" w:color="auto"/>
            </w:tcBorders>
            <w:gridSpan w:val="2"/>
          </w:tcPr>
          <w:p>
            <w:pPr>
              <w:ind w:left="420"/>
              <w:spacing w:after="0" w:line="193" w:lineRule="exact"/>
              <w:rPr>
                <w:sz w:val="20"/>
                <w:szCs w:val="20"/>
                <w:color w:val="auto"/>
              </w:rPr>
            </w:pPr>
            <w:r>
              <w:rPr>
                <w:rFonts w:ascii="Arial" w:cs="Arial" w:eastAsia="Arial" w:hAnsi="Arial"/>
                <w:sz w:val="17"/>
                <w:szCs w:val="17"/>
                <w:color w:val="auto"/>
                <w:w w:val="92"/>
              </w:rPr>
              <w:t>27.</w:t>
            </w:r>
          </w:p>
        </w:tc>
        <w:tc>
          <w:tcPr>
            <w:tcW w:w="3400" w:type="dxa"/>
            <w:vAlign w:val="bottom"/>
            <w:tcBorders>
              <w:right w:val="single" w:sz="8" w:color="auto"/>
            </w:tcBorders>
          </w:tcPr>
          <w:p>
            <w:pPr>
              <w:ind w:left="20"/>
              <w:spacing w:after="0" w:line="193" w:lineRule="exact"/>
              <w:rPr>
                <w:sz w:val="20"/>
                <w:szCs w:val="20"/>
                <w:color w:val="auto"/>
              </w:rPr>
            </w:pPr>
            <w:r>
              <w:rPr>
                <w:rFonts w:ascii="Arial" w:cs="Arial" w:eastAsia="Arial" w:hAnsi="Arial"/>
                <w:sz w:val="17"/>
                <w:szCs w:val="17"/>
                <w:color w:val="auto"/>
                <w:w w:val="96"/>
              </w:rPr>
              <w:t>MasTec Infraestructuras de Mexico S. de R.L.</w:t>
            </w:r>
          </w:p>
        </w:tc>
        <w:tc>
          <w:tcPr>
            <w:tcW w:w="4400" w:type="dxa"/>
            <w:vAlign w:val="bottom"/>
            <w:tcBorders>
              <w:right w:val="single" w:sz="8" w:color="auto"/>
            </w:tcBorders>
          </w:tcPr>
          <w:p>
            <w:pPr>
              <w:ind w:left="120"/>
              <w:spacing w:after="0" w:line="193" w:lineRule="exact"/>
              <w:rPr>
                <w:sz w:val="20"/>
                <w:szCs w:val="20"/>
                <w:color w:val="auto"/>
              </w:rPr>
            </w:pPr>
            <w:r>
              <w:rPr>
                <w:rFonts w:ascii="Arial" w:cs="Arial" w:eastAsia="Arial" w:hAnsi="Arial"/>
                <w:sz w:val="17"/>
                <w:szCs w:val="17"/>
                <w:color w:val="auto"/>
              </w:rPr>
              <w:t>80% owned by MTZ Energias, S. de R.L. de C.V.</w:t>
            </w:r>
          </w:p>
        </w:tc>
        <w:tc>
          <w:tcPr>
            <w:tcW w:w="130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Mexico</w:t>
            </w:r>
          </w:p>
        </w:tc>
        <w:tc>
          <w:tcPr>
            <w:tcW w:w="130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7"/>
                <w:szCs w:val="17"/>
                <w:color w:val="auto"/>
              </w:rPr>
              <w:t>N/A</w:t>
            </w: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de C.V.</w:t>
            </w:r>
          </w:p>
        </w:tc>
        <w:tc>
          <w:tcPr>
            <w:tcW w:w="44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28.</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Renewables Puerto Rico,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66-0754928</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29.</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Puerto Rico Holdings,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30.</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MasCo PR,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66-0754929</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31.</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Engineering, LLP</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98% owned by MasTec Puerto Rico Engineering Services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32.</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Precision,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66-0756097</w:t>
            </w:r>
          </w:p>
        </w:tc>
      </w:tr>
      <w:tr>
        <w:trPr>
          <w:trHeight w:val="205"/>
        </w:trPr>
        <w:tc>
          <w:tcPr>
            <w:tcW w:w="660" w:type="dxa"/>
            <w:vAlign w:val="bottom"/>
            <w:tcBorders>
              <w:left w:val="single" w:sz="8" w:color="auto"/>
              <w:bottom w:val="single" w:sz="8" w:color="auto"/>
            </w:tcBorders>
            <w:gridSpan w:val="2"/>
          </w:tcPr>
          <w:p>
            <w:pPr>
              <w:ind w:left="420"/>
              <w:spacing w:after="0"/>
              <w:rPr>
                <w:sz w:val="20"/>
                <w:szCs w:val="20"/>
                <w:color w:val="auto"/>
              </w:rPr>
            </w:pPr>
            <w:r>
              <w:rPr>
                <w:rFonts w:ascii="Arial" w:cs="Arial" w:eastAsia="Arial" w:hAnsi="Arial"/>
                <w:sz w:val="17"/>
                <w:szCs w:val="17"/>
                <w:color w:val="auto"/>
                <w:w w:val="92"/>
              </w:rPr>
              <w:t>33.</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BLDM – Precision,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60% owned by MasTec Precision,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66-0756042</w:t>
            </w:r>
          </w:p>
        </w:tc>
      </w:tr>
    </w:tbl>
    <w:p>
      <w:pPr>
        <w:sectPr>
          <w:pgSz w:w="11900" w:h="16838" w:orient="portrait"/>
          <w:cols w:equalWidth="0" w:num="1">
            <w:col w:w="11040"/>
          </w:cols>
          <w:pgMar w:left="420" w:top="764" w:right="439" w:bottom="1440" w:gutter="0" w:footer="0" w:header="0"/>
        </w:sectPr>
      </w:pPr>
    </w:p>
    <w:bookmarkStart w:id="299" w:name="page300"/>
    <w:bookmarkEnd w:id="2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4060" w:type="dxa"/>
            <w:vAlign w:val="bottom"/>
            <w:tcBorders>
              <w:top w:val="single" w:sz="8" w:color="auto"/>
              <w:left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34. MasTec Panama, S. de R.L.</w:t>
            </w:r>
          </w:p>
        </w:tc>
        <w:tc>
          <w:tcPr>
            <w:tcW w:w="4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1"/>
              </w:rPr>
              <w:t>99% owned by MasTec Foreign Holdings, LLC; 1% owned by</w:t>
            </w: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Panama</w:t>
            </w: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8"/>
        </w:trPr>
        <w:tc>
          <w:tcPr>
            <w:tcW w:w="66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MasTec Latin America Holdings, LLC</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186"/>
        </w:trPr>
        <w:tc>
          <w:tcPr>
            <w:tcW w:w="660" w:type="dxa"/>
            <w:vAlign w:val="bottom"/>
            <w:tcBorders>
              <w:left w:val="single" w:sz="8" w:color="auto"/>
            </w:tcBorders>
          </w:tcPr>
          <w:p>
            <w:pPr>
              <w:ind w:left="420"/>
              <w:spacing w:after="0" w:line="186" w:lineRule="exact"/>
              <w:rPr>
                <w:sz w:val="20"/>
                <w:szCs w:val="20"/>
                <w:color w:val="auto"/>
              </w:rPr>
            </w:pPr>
            <w:r>
              <w:rPr>
                <w:rFonts w:ascii="Arial" w:cs="Arial" w:eastAsia="Arial" w:hAnsi="Arial"/>
                <w:sz w:val="17"/>
                <w:szCs w:val="17"/>
                <w:color w:val="auto"/>
                <w:w w:val="92"/>
              </w:rPr>
              <w:t>35.</w:t>
            </w:r>
          </w:p>
        </w:tc>
        <w:tc>
          <w:tcPr>
            <w:tcW w:w="340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w w:val="88"/>
              </w:rPr>
              <w:t>MasTec Servicios Publicos Soterrados, S. de R.L.</w:t>
            </w:r>
          </w:p>
        </w:tc>
        <w:tc>
          <w:tcPr>
            <w:tcW w:w="440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1"/>
              </w:rPr>
              <w:t>99% owned by MasTec Foreign Holdings, LLC; 1% owned by</w:t>
            </w:r>
          </w:p>
        </w:tc>
        <w:tc>
          <w:tcPr>
            <w:tcW w:w="13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Panama</w:t>
            </w:r>
          </w:p>
        </w:tc>
        <w:tc>
          <w:tcPr>
            <w:tcW w:w="13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N/A</w:t>
            </w:r>
          </w:p>
        </w:tc>
      </w:tr>
      <w:tr>
        <w:trPr>
          <w:trHeight w:val="218"/>
        </w:trPr>
        <w:tc>
          <w:tcPr>
            <w:tcW w:w="66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MasTec Latin America Holdings, LLC</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36.</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Network Services Colombia S.A.S.</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Colombia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37.</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Network Solutions Puerto Rico, Inc.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38.</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PR Corporation</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66-0970924</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39.</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Bahamas Holdings, Ltd.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40.</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Bahamas, Ltd.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41.</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Orion – Lemartec Bahamas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35%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167"/>
        </w:trPr>
        <w:tc>
          <w:tcPr>
            <w:tcW w:w="660" w:type="dxa"/>
            <w:vAlign w:val="bottom"/>
            <w:tcBorders>
              <w:left w:val="single" w:sz="8" w:color="auto"/>
            </w:tcBorders>
          </w:tcPr>
          <w:p>
            <w:pPr>
              <w:ind w:left="420"/>
              <w:spacing w:after="0" w:line="167" w:lineRule="exact"/>
              <w:rPr>
                <w:sz w:val="20"/>
                <w:szCs w:val="20"/>
                <w:color w:val="auto"/>
              </w:rPr>
            </w:pPr>
            <w:r>
              <w:rPr>
                <w:rFonts w:ascii="Arial" w:cs="Arial" w:eastAsia="Arial" w:hAnsi="Arial"/>
                <w:sz w:val="17"/>
                <w:szCs w:val="17"/>
                <w:color w:val="auto"/>
                <w:w w:val="92"/>
              </w:rPr>
              <w:t>42.</w:t>
            </w:r>
          </w:p>
        </w:tc>
        <w:tc>
          <w:tcPr>
            <w:tcW w:w="34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2"/>
              </w:rPr>
              <w:t>Proyectos E Ingenieria De America Latina, S.de</w:t>
            </w:r>
          </w:p>
        </w:tc>
        <w:tc>
          <w:tcPr>
            <w:tcW w:w="4400" w:type="dxa"/>
            <w:vAlign w:val="bottom"/>
            <w:tcBorders>
              <w:right w:val="single" w:sz="8" w:color="auto"/>
            </w:tcBorders>
          </w:tcPr>
          <w:p>
            <w:pPr>
              <w:ind w:left="120"/>
              <w:spacing w:after="0" w:line="167" w:lineRule="exact"/>
              <w:rPr>
                <w:sz w:val="20"/>
                <w:szCs w:val="20"/>
                <w:color w:val="auto"/>
              </w:rPr>
            </w:pPr>
            <w:r>
              <w:rPr>
                <w:rFonts w:ascii="Arial" w:cs="Arial" w:eastAsia="Arial" w:hAnsi="Arial"/>
                <w:sz w:val="17"/>
                <w:szCs w:val="17"/>
                <w:color w:val="auto"/>
              </w:rPr>
              <w:t>99% owned by Condotte d’Acqua S.r.l.,</w:t>
            </w:r>
          </w:p>
        </w:tc>
        <w:tc>
          <w:tcPr>
            <w:tcW w:w="130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Panama</w:t>
            </w:r>
          </w:p>
        </w:tc>
        <w:tc>
          <w:tcPr>
            <w:tcW w:w="130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N/A</w:t>
            </w:r>
          </w:p>
        </w:tc>
      </w:tr>
      <w:tr>
        <w:trPr>
          <w:trHeight w:val="231"/>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R.L</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 owned by Tierra Santa, LLC</w:t>
            </w:r>
          </w:p>
        </w:tc>
        <w:tc>
          <w:tcPr>
            <w:tcW w:w="1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11"/>
        </w:trPr>
        <w:tc>
          <w:tcPr>
            <w:tcW w:w="406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43. Hanging H of Canada Ltd.</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Hanging H Companies,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105"/>
        </w:trPr>
        <w:tc>
          <w:tcPr>
            <w:tcW w:w="66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180"/>
        </w:trPr>
        <w:tc>
          <w:tcPr>
            <w:tcW w:w="660" w:type="dxa"/>
            <w:vAlign w:val="bottom"/>
            <w:tcBorders>
              <w:left w:val="single" w:sz="8" w:color="auto"/>
            </w:tcBorders>
          </w:tcPr>
          <w:p>
            <w:pPr>
              <w:ind w:left="420"/>
              <w:spacing w:after="0" w:line="180" w:lineRule="exact"/>
              <w:rPr>
                <w:sz w:val="20"/>
                <w:szCs w:val="20"/>
                <w:color w:val="auto"/>
              </w:rPr>
            </w:pPr>
            <w:r>
              <w:rPr>
                <w:rFonts w:ascii="Arial" w:cs="Arial" w:eastAsia="Arial" w:hAnsi="Arial"/>
                <w:sz w:val="17"/>
                <w:szCs w:val="17"/>
                <w:color w:val="auto"/>
                <w:w w:val="92"/>
              </w:rPr>
              <w:t>44.</w:t>
            </w:r>
          </w:p>
        </w:tc>
        <w:tc>
          <w:tcPr>
            <w:tcW w:w="340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MasTec Quadgen Wireless LLP</w:t>
            </w:r>
          </w:p>
        </w:tc>
        <w:tc>
          <w:tcPr>
            <w:tcW w:w="4400" w:type="dxa"/>
            <w:vAlign w:val="bottom"/>
            <w:tcBorders>
              <w:right w:val="single" w:sz="8" w:color="auto"/>
            </w:tcBorders>
          </w:tcPr>
          <w:p>
            <w:pPr>
              <w:ind w:left="120"/>
              <w:spacing w:after="0" w:line="180" w:lineRule="exact"/>
              <w:rPr>
                <w:sz w:val="20"/>
                <w:szCs w:val="20"/>
                <w:color w:val="auto"/>
              </w:rPr>
            </w:pPr>
            <w:r>
              <w:rPr>
                <w:rFonts w:ascii="Arial" w:cs="Arial" w:eastAsia="Arial" w:hAnsi="Arial"/>
                <w:sz w:val="17"/>
                <w:szCs w:val="17"/>
                <w:color w:val="auto"/>
                <w:w w:val="90"/>
              </w:rPr>
              <w:t>99.9% owned by MasTec India Holdings, LLC; 0.1% owned by</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India</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N/A</w:t>
            </w:r>
          </w:p>
        </w:tc>
      </w:tr>
      <w:tr>
        <w:trPr>
          <w:trHeight w:val="218"/>
        </w:trPr>
        <w:tc>
          <w:tcPr>
            <w:tcW w:w="66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MasTec Foreign Holdings, LLC</w:t>
            </w:r>
          </w:p>
        </w:tc>
        <w:tc>
          <w:tcPr>
            <w:tcW w:w="130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211"/>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45.</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FM Technology Holdings, LLC</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50%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66-0939410</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46.</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CIDE Engenharia, Ltda.</w:t>
            </w:r>
          </w:p>
        </w:tc>
        <w:tc>
          <w:tcPr>
            <w:tcW w:w="4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100% owned by MasTec Brasil S/A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bl>
    <w:p>
      <w:pPr>
        <w:sectPr>
          <w:pgSz w:w="11900" w:h="16838" w:orient="portrait"/>
          <w:cols w:equalWidth="0" w:num="1">
            <w:col w:w="11040"/>
          </w:cols>
          <w:pgMar w:left="420" w:top="744" w:right="439" w:bottom="1440" w:gutter="0" w:footer="0" w:header="0"/>
        </w:sectPr>
      </w:pPr>
    </w:p>
    <w:bookmarkStart w:id="300" w:name="page301"/>
    <w:bookmarkEnd w:id="3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2"/>
          </w:tcPr>
          <w:p>
            <w:pPr>
              <w:jc w:val="right"/>
              <w:ind w:right="177"/>
              <w:spacing w:after="0"/>
              <w:rPr>
                <w:sz w:val="20"/>
                <w:szCs w:val="20"/>
                <w:color w:val="auto"/>
              </w:rPr>
            </w:pPr>
            <w:r>
              <w:rPr>
                <w:rFonts w:ascii="Arial" w:cs="Arial" w:eastAsia="Arial" w:hAnsi="Arial"/>
                <w:sz w:val="17"/>
                <w:szCs w:val="17"/>
                <w:b w:val="1"/>
                <w:bCs w:val="1"/>
                <w:i w:val="1"/>
                <w:iCs w:val="1"/>
                <w:color w:val="auto"/>
                <w:w w:val="92"/>
              </w:rPr>
              <w:t>SCHEDULE 5.13</w:t>
            </w:r>
          </w:p>
        </w:tc>
        <w:tc>
          <w:tcPr>
            <w:tcW w:w="0" w:type="dxa"/>
            <w:vAlign w:val="bottom"/>
          </w:tcPr>
          <w:p>
            <w:pPr>
              <w:spacing w:after="0"/>
              <w:rPr>
                <w:sz w:val="1"/>
                <w:szCs w:val="1"/>
                <w:color w:val="auto"/>
              </w:rPr>
            </w:pPr>
          </w:p>
        </w:tc>
      </w:tr>
      <w:tr>
        <w:trPr>
          <w:trHeight w:val="462"/>
        </w:trPr>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60" w:type="dxa"/>
            <w:vAlign w:val="bottom"/>
            <w:vMerge w:val="restart"/>
          </w:tcPr>
          <w:p>
            <w:pPr>
              <w:ind w:left="1000"/>
              <w:spacing w:after="0"/>
              <w:rPr>
                <w:sz w:val="20"/>
                <w:szCs w:val="20"/>
                <w:color w:val="auto"/>
              </w:rPr>
            </w:pPr>
            <w:r>
              <w:rPr>
                <w:rFonts w:ascii="Arial" w:cs="Arial" w:eastAsia="Arial" w:hAnsi="Arial"/>
                <w:sz w:val="17"/>
                <w:szCs w:val="17"/>
                <w:b w:val="1"/>
                <w:bCs w:val="1"/>
                <w:color w:val="auto"/>
              </w:rPr>
              <w:t>LOAN PARTIES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7"/>
                <w:szCs w:val="17"/>
                <w:b w:val="1"/>
                <w:bCs w:val="1"/>
                <w:i w:val="1"/>
                <w:iCs w:val="1"/>
                <w:color w:val="auto"/>
              </w:rPr>
              <w:t>Part (b)</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6"/>
        </w:trPr>
        <w:tc>
          <w:tcPr>
            <w:tcW w:w="33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Affiliated Entity</w:t>
            </w:r>
          </w:p>
        </w:tc>
        <w:tc>
          <w:tcPr>
            <w:tcW w:w="37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Principal Place of Business</w:t>
            </w:r>
          </w:p>
        </w:tc>
        <w:tc>
          <w:tcPr>
            <w:tcW w:w="10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7"/>
                <w:szCs w:val="17"/>
                <w:b w:val="1"/>
                <w:bCs w:val="1"/>
                <w:color w:val="auto"/>
                <w:w w:val="87"/>
              </w:rPr>
              <w:t>Jurisdiction</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Tax ID</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i w:val="1"/>
                <w:iCs w:val="1"/>
                <w:color w:val="auto"/>
              </w:rPr>
              <w:t>Borrowers</w:t>
            </w:r>
          </w:p>
        </w:tc>
        <w:tc>
          <w:tcPr>
            <w:tcW w:w="3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1.</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MasTec, Inc.</w:t>
            </w:r>
          </w:p>
        </w:tc>
        <w:tc>
          <w:tcPr>
            <w:tcW w:w="37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7"/>
                <w:szCs w:val="17"/>
                <w:color w:val="auto"/>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43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00"/>
        </w:trPr>
        <w:tc>
          <w:tcPr>
            <w:tcW w:w="64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33134</w:t>
            </w: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640" w:type="dxa"/>
            <w:vAlign w:val="bottom"/>
            <w:tcBorders>
              <w:lef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right"/>
              <w:ind w:right="437"/>
              <w:spacing w:after="0"/>
              <w:rPr>
                <w:sz w:val="20"/>
                <w:szCs w:val="20"/>
                <w:color w:val="auto"/>
              </w:rPr>
            </w:pPr>
            <w:r>
              <w:rPr>
                <w:rFonts w:ascii="Arial" w:cs="Arial" w:eastAsia="Arial" w:hAnsi="Arial"/>
                <w:sz w:val="17"/>
                <w:szCs w:val="17"/>
                <w:color w:val="auto"/>
              </w:rPr>
              <w:t>0829355</w:t>
            </w:r>
          </w:p>
        </w:tc>
        <w:tc>
          <w:tcPr>
            <w:tcW w:w="0" w:type="dxa"/>
            <w:vAlign w:val="bottom"/>
          </w:tcPr>
          <w:p>
            <w:pPr>
              <w:spacing w:after="0"/>
              <w:rPr>
                <w:sz w:val="1"/>
                <w:szCs w:val="1"/>
                <w:color w:val="auto"/>
              </w:rPr>
            </w:pPr>
          </w:p>
        </w:tc>
      </w:tr>
      <w:tr>
        <w:trPr>
          <w:trHeight w:val="100"/>
        </w:trPr>
        <w:tc>
          <w:tcPr>
            <w:tcW w:w="640" w:type="dxa"/>
            <w:vAlign w:val="bottom"/>
            <w:tcBorders>
              <w:left w:val="single" w:sz="8" w:color="auto"/>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2.</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MasTec North America, Inc.</w:t>
            </w:r>
          </w:p>
        </w:tc>
        <w:tc>
          <w:tcPr>
            <w:tcW w:w="37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7"/>
                <w:szCs w:val="17"/>
                <w:color w:val="auto"/>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43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00"/>
        </w:trPr>
        <w:tc>
          <w:tcPr>
            <w:tcW w:w="64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33134</w:t>
            </w: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640" w:type="dxa"/>
            <w:vAlign w:val="bottom"/>
            <w:tcBorders>
              <w:lef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right"/>
              <w:ind w:right="437"/>
              <w:spacing w:after="0"/>
              <w:rPr>
                <w:sz w:val="20"/>
                <w:szCs w:val="20"/>
                <w:color w:val="auto"/>
              </w:rPr>
            </w:pPr>
            <w:r>
              <w:rPr>
                <w:rFonts w:ascii="Arial" w:cs="Arial" w:eastAsia="Arial" w:hAnsi="Arial"/>
                <w:sz w:val="17"/>
                <w:szCs w:val="17"/>
                <w:color w:val="auto"/>
              </w:rPr>
              <w:t>0829357</w:t>
            </w:r>
          </w:p>
        </w:tc>
        <w:tc>
          <w:tcPr>
            <w:tcW w:w="0" w:type="dxa"/>
            <w:vAlign w:val="bottom"/>
          </w:tcPr>
          <w:p>
            <w:pPr>
              <w:spacing w:after="0"/>
              <w:rPr>
                <w:sz w:val="1"/>
                <w:szCs w:val="1"/>
                <w:color w:val="auto"/>
              </w:rPr>
            </w:pPr>
          </w:p>
        </w:tc>
      </w:tr>
      <w:tr>
        <w:trPr>
          <w:trHeight w:val="100"/>
        </w:trPr>
        <w:tc>
          <w:tcPr>
            <w:tcW w:w="640" w:type="dxa"/>
            <w:vAlign w:val="bottom"/>
            <w:tcBorders>
              <w:left w:val="single" w:sz="8" w:color="auto"/>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332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b w:val="1"/>
                <w:bCs w:val="1"/>
                <w:i w:val="1"/>
                <w:iCs w:val="1"/>
                <w:color w:val="auto"/>
              </w:rPr>
              <w:t>Guarantors</w:t>
            </w:r>
          </w:p>
        </w:tc>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1.</w:t>
            </w: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Bottom Line Services, LLC</w:t>
            </w: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1010 Hwy 59 West, George West TX 78022</w:t>
            </w:r>
          </w:p>
        </w:tc>
        <w:tc>
          <w:tcPr>
            <w:tcW w:w="1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77"/>
              <w:spacing w:after="0"/>
              <w:rPr>
                <w:sz w:val="20"/>
                <w:szCs w:val="20"/>
                <w:color w:val="auto"/>
              </w:rPr>
            </w:pPr>
            <w:r>
              <w:rPr>
                <w:rFonts w:ascii="Arial" w:cs="Arial" w:eastAsia="Arial" w:hAnsi="Arial"/>
                <w:sz w:val="17"/>
                <w:szCs w:val="17"/>
                <w:color w:val="auto"/>
                <w:w w:val="89"/>
              </w:rPr>
              <w:t>Delaware</w:t>
            </w:r>
          </w:p>
        </w:tc>
        <w:tc>
          <w:tcPr>
            <w:tcW w:w="28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65-0829355</w:t>
            </w: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2.</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EC Source Services, LLC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27-3046138</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3.</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Energy Erectors, Inc.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39-1363163</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4.</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w w:val="92"/>
              </w:rPr>
              <w:t>MasTec ETS Service Company, LLC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46-3702652</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5.</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MasTec Network Solutions, Inc.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45-3250780</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6.</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MasTec Network Solutions, LLC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26-3078035</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7.</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Mastec Power Corp.</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47-4824701</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auto"/>
            </w:tcBorders>
          </w:tcPr>
          <w:p>
            <w:pPr>
              <w:ind w:left="420"/>
              <w:spacing w:after="0" w:line="180" w:lineRule="exact"/>
              <w:rPr>
                <w:sz w:val="20"/>
                <w:szCs w:val="20"/>
                <w:color w:val="auto"/>
              </w:rPr>
            </w:pPr>
            <w:r>
              <w:rPr>
                <w:rFonts w:ascii="Arial" w:cs="Arial" w:eastAsia="Arial" w:hAnsi="Arial"/>
                <w:sz w:val="17"/>
                <w:szCs w:val="17"/>
                <w:color w:val="auto"/>
              </w:rPr>
              <w:t>8.</w:t>
            </w:r>
          </w:p>
        </w:tc>
        <w:tc>
          <w:tcPr>
            <w:tcW w:w="2680" w:type="dxa"/>
            <w:vAlign w:val="bottom"/>
            <w:tcBorders>
              <w:right w:val="single" w:sz="8" w:color="auto"/>
            </w:tcBorders>
          </w:tcPr>
          <w:p>
            <w:pPr>
              <w:ind w:left="80"/>
              <w:spacing w:after="0" w:line="180" w:lineRule="exact"/>
              <w:rPr>
                <w:sz w:val="20"/>
                <w:szCs w:val="20"/>
                <w:color w:val="auto"/>
              </w:rPr>
            </w:pPr>
            <w:r>
              <w:rPr>
                <w:rFonts w:ascii="Arial" w:cs="Arial" w:eastAsia="Arial" w:hAnsi="Arial"/>
                <w:sz w:val="17"/>
                <w:szCs w:val="17"/>
                <w:color w:val="auto"/>
                <w:w w:val="98"/>
              </w:rPr>
              <w:t>MasTec Renewables Construction</w:t>
            </w:r>
          </w:p>
        </w:tc>
        <w:tc>
          <w:tcPr>
            <w:tcW w:w="3760" w:type="dxa"/>
            <w:vAlign w:val="bottom"/>
          </w:tcPr>
          <w:p>
            <w:pPr>
              <w:ind w:left="120"/>
              <w:spacing w:after="0" w:line="180" w:lineRule="exact"/>
              <w:rPr>
                <w:sz w:val="20"/>
                <w:szCs w:val="20"/>
                <w:color w:val="auto"/>
              </w:rPr>
            </w:pPr>
            <w:r>
              <w:rPr>
                <w:rFonts w:ascii="Arial" w:cs="Arial" w:eastAsia="Arial" w:hAnsi="Arial"/>
                <w:sz w:val="17"/>
                <w:szCs w:val="17"/>
                <w:color w:val="auto"/>
                <w:w w:val="94"/>
              </w:rPr>
              <w:t>800 S. Douglas Rd., Suite 1200, Coral Gables, FL,</w:t>
            </w:r>
          </w:p>
        </w:tc>
        <w:tc>
          <w:tcPr>
            <w:tcW w:w="120" w:type="dxa"/>
            <w:vAlign w:val="bottom"/>
            <w:tcBorders>
              <w:right w:val="single" w:sz="8" w:color="auto"/>
            </w:tcBorders>
          </w:tcPr>
          <w:p>
            <w:pPr>
              <w:spacing w:after="0"/>
              <w:rPr>
                <w:sz w:val="15"/>
                <w:szCs w:val="15"/>
                <w:color w:val="auto"/>
              </w:rPr>
            </w:pPr>
          </w:p>
        </w:tc>
        <w:tc>
          <w:tcPr>
            <w:tcW w:w="940" w:type="dxa"/>
            <w:vAlign w:val="bottom"/>
          </w:tcPr>
          <w:p>
            <w:pPr>
              <w:jc w:val="center"/>
              <w:ind w:left="177"/>
              <w:spacing w:after="0" w:line="180"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27-2971344</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tcBorders>
          </w:tcPr>
          <w:p>
            <w:pPr>
              <w:spacing w:after="0"/>
              <w:rPr>
                <w:sz w:val="18"/>
                <w:szCs w:val="18"/>
                <w:color w:val="auto"/>
              </w:rPr>
            </w:pPr>
          </w:p>
        </w:tc>
        <w:tc>
          <w:tcPr>
            <w:tcW w:w="2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Company, Inc.</w:t>
            </w:r>
          </w:p>
        </w:tc>
        <w:tc>
          <w:tcPr>
            <w:tcW w:w="3760" w:type="dxa"/>
            <w:vAlign w:val="bottom"/>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40" w:type="dxa"/>
            <w:vAlign w:val="bottom"/>
            <w:tcBorders>
              <w:left w:val="single" w:sz="8" w:color="auto"/>
            </w:tcBorders>
          </w:tcPr>
          <w:p>
            <w:pPr>
              <w:spacing w:after="0"/>
              <w:rPr>
                <w:sz w:val="4"/>
                <w:szCs w:val="4"/>
                <w:color w:val="auto"/>
              </w:rPr>
            </w:pPr>
          </w:p>
        </w:tc>
        <w:tc>
          <w:tcPr>
            <w:tcW w:w="2680" w:type="dxa"/>
            <w:vAlign w:val="bottom"/>
            <w:tcBorders>
              <w:right w:val="single" w:sz="8" w:color="auto"/>
            </w:tcBorders>
            <w:vMerge w:val="continue"/>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640" w:type="dxa"/>
            <w:vAlign w:val="bottom"/>
            <w:tcBorders>
              <w:left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rPr>
              <w:t>9.</w:t>
            </w:r>
          </w:p>
        </w:tc>
        <w:tc>
          <w:tcPr>
            <w:tcW w:w="2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w w:val="98"/>
              </w:rPr>
              <w:t>MasTec Residential Services, LLC</w:t>
            </w:r>
          </w:p>
        </w:tc>
        <w:tc>
          <w:tcPr>
            <w:tcW w:w="3760" w:type="dxa"/>
            <w:vAlign w:val="bottom"/>
          </w:tcPr>
          <w:p>
            <w:pPr>
              <w:ind w:left="120"/>
              <w:spacing w:after="0" w:line="155" w:lineRule="exact"/>
              <w:rPr>
                <w:sz w:val="20"/>
                <w:szCs w:val="20"/>
                <w:color w:val="auto"/>
              </w:rPr>
            </w:pPr>
            <w:r>
              <w:rPr>
                <w:rFonts w:ascii="Arial" w:cs="Arial" w:eastAsia="Arial" w:hAnsi="Arial"/>
                <w:sz w:val="17"/>
                <w:szCs w:val="17"/>
                <w:color w:val="auto"/>
                <w:w w:val="94"/>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27-0637848</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gridSpan w:val="2"/>
          </w:tcPr>
          <w:p>
            <w:pPr>
              <w:ind w:left="420"/>
              <w:spacing w:after="0" w:line="155" w:lineRule="exact"/>
              <w:rPr>
                <w:sz w:val="20"/>
                <w:szCs w:val="20"/>
                <w:color w:val="auto"/>
              </w:rPr>
            </w:pPr>
            <w:r>
              <w:rPr>
                <w:rFonts w:ascii="Arial" w:cs="Arial" w:eastAsia="Arial" w:hAnsi="Arial"/>
                <w:sz w:val="17"/>
                <w:szCs w:val="17"/>
                <w:color w:val="auto"/>
              </w:rPr>
              <w:t>10. MasTec Wireless Services, LLC</w:t>
            </w:r>
          </w:p>
        </w:tc>
        <w:tc>
          <w:tcPr>
            <w:tcW w:w="3760" w:type="dxa"/>
            <w:vAlign w:val="bottom"/>
          </w:tcPr>
          <w:p>
            <w:pPr>
              <w:ind w:left="10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14-1943970</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gridSpan w:val="2"/>
          </w:tcPr>
          <w:p>
            <w:pPr>
              <w:ind w:left="420"/>
              <w:spacing w:after="0" w:line="155" w:lineRule="exact"/>
              <w:rPr>
                <w:sz w:val="20"/>
                <w:szCs w:val="20"/>
                <w:color w:val="auto"/>
              </w:rPr>
            </w:pPr>
            <w:r>
              <w:rPr>
                <w:rFonts w:ascii="Arial" w:cs="Arial" w:eastAsia="Arial" w:hAnsi="Arial"/>
                <w:sz w:val="17"/>
                <w:szCs w:val="17"/>
                <w:color w:val="auto"/>
              </w:rPr>
              <w:t>11. MP Drilling Holdings, LLC</w:t>
            </w:r>
          </w:p>
        </w:tc>
        <w:tc>
          <w:tcPr>
            <w:tcW w:w="3760" w:type="dxa"/>
            <w:vAlign w:val="bottom"/>
          </w:tcPr>
          <w:p>
            <w:pPr>
              <w:ind w:left="100"/>
              <w:spacing w:after="0" w:line="155" w:lineRule="exact"/>
              <w:rPr>
                <w:sz w:val="20"/>
                <w:szCs w:val="20"/>
                <w:color w:val="auto"/>
              </w:rPr>
            </w:pPr>
            <w:r>
              <w:rPr>
                <w:rFonts w:ascii="Arial" w:cs="Arial" w:eastAsia="Arial" w:hAnsi="Arial"/>
                <w:sz w:val="17"/>
                <w:szCs w:val="17"/>
                <w:color w:val="auto"/>
                <w:w w:val="96"/>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32-0490051</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gridSpan w:val="2"/>
          </w:tcPr>
          <w:p>
            <w:pPr>
              <w:ind w:left="420"/>
              <w:spacing w:after="0" w:line="155" w:lineRule="exact"/>
              <w:rPr>
                <w:sz w:val="20"/>
                <w:szCs w:val="20"/>
                <w:color w:val="auto"/>
              </w:rPr>
            </w:pPr>
            <w:r>
              <w:rPr>
                <w:rFonts w:ascii="Arial" w:cs="Arial" w:eastAsia="Arial" w:hAnsi="Arial"/>
                <w:sz w:val="17"/>
                <w:szCs w:val="17"/>
                <w:color w:val="auto"/>
              </w:rPr>
              <w:t>12. Power Partners MasTec, Inc.</w:t>
            </w:r>
          </w:p>
        </w:tc>
        <w:tc>
          <w:tcPr>
            <w:tcW w:w="3760" w:type="dxa"/>
            <w:vAlign w:val="bottom"/>
          </w:tcPr>
          <w:p>
            <w:pPr>
              <w:ind w:left="100"/>
              <w:spacing w:after="0" w:line="155" w:lineRule="exact"/>
              <w:rPr>
                <w:sz w:val="20"/>
                <w:szCs w:val="20"/>
                <w:color w:val="auto"/>
              </w:rPr>
            </w:pPr>
            <w:r>
              <w:rPr>
                <w:rFonts w:ascii="Arial" w:cs="Arial" w:eastAsia="Arial" w:hAnsi="Arial"/>
                <w:sz w:val="17"/>
                <w:szCs w:val="17"/>
                <w:color w:val="auto"/>
                <w:w w:val="95"/>
              </w:rPr>
              <w:t>800 S. Douglas Rd., Suite 1200, Coral Gables, FL,</w:t>
            </w:r>
          </w:p>
        </w:tc>
        <w:tc>
          <w:tcPr>
            <w:tcW w:w="120" w:type="dxa"/>
            <w:vAlign w:val="bottom"/>
            <w:tcBorders>
              <w:right w:val="single" w:sz="8" w:color="auto"/>
            </w:tcBorders>
          </w:tcPr>
          <w:p>
            <w:pPr>
              <w:spacing w:after="0"/>
              <w:rPr>
                <w:sz w:val="13"/>
                <w:szCs w:val="13"/>
                <w:color w:val="auto"/>
              </w:rPr>
            </w:pPr>
          </w:p>
        </w:tc>
        <w:tc>
          <w:tcPr>
            <w:tcW w:w="940" w:type="dxa"/>
            <w:vAlign w:val="bottom"/>
          </w:tcPr>
          <w:p>
            <w:pPr>
              <w:jc w:val="center"/>
              <w:ind w:left="177"/>
              <w:spacing w:after="0" w:line="155" w:lineRule="exact"/>
              <w:rPr>
                <w:sz w:val="20"/>
                <w:szCs w:val="20"/>
                <w:color w:val="auto"/>
              </w:rPr>
            </w:pPr>
            <w:r>
              <w:rPr>
                <w:rFonts w:ascii="Arial" w:cs="Arial" w:eastAsia="Arial" w:hAnsi="Arial"/>
                <w:sz w:val="17"/>
                <w:szCs w:val="17"/>
                <w:color w:val="auto"/>
                <w:w w:val="92"/>
              </w:rPr>
              <w:t>Florida</w:t>
            </w:r>
          </w:p>
        </w:tc>
        <w:tc>
          <w:tcPr>
            <w:tcW w:w="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27-3506112</w:t>
            </w:r>
          </w:p>
        </w:tc>
        <w:tc>
          <w:tcPr>
            <w:tcW w:w="0" w:type="dxa"/>
            <w:vAlign w:val="bottom"/>
          </w:tcPr>
          <w:p>
            <w:pPr>
              <w:spacing w:after="0"/>
              <w:rPr>
                <w:sz w:val="1"/>
                <w:szCs w:val="1"/>
                <w:color w:val="auto"/>
              </w:rPr>
            </w:pPr>
          </w:p>
        </w:tc>
      </w:tr>
      <w:tr>
        <w:trPr>
          <w:trHeight w:val="212"/>
        </w:trPr>
        <w:tc>
          <w:tcPr>
            <w:tcW w:w="6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33134</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020" w:top="1014" w:right="1239" w:bottom="1440" w:gutter="0" w:footer="0" w:header="0"/>
        </w:sectPr>
      </w:pPr>
    </w:p>
    <w:bookmarkStart w:id="301" w:name="page302"/>
    <w:bookmarkEnd w:id="3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60" w:type="dxa"/>
            <w:vAlign w:val="bottom"/>
            <w:tcBorders>
              <w:top w:val="single" w:sz="8" w:color="auto"/>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13.</w:t>
            </w:r>
          </w:p>
        </w:tc>
        <w:tc>
          <w:tcPr>
            <w:tcW w:w="2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4"/>
              </w:rPr>
              <w:t>Pretec Directional Drilling, LLC</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w w:val="91"/>
              </w:rPr>
              <w:t>800</w:t>
            </w:r>
          </w:p>
        </w:tc>
        <w:tc>
          <w:tcPr>
            <w:tcW w:w="37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94"/>
              </w:rPr>
              <w:t>S. Douglas Rd., Suite 1200, Coral Gables, FL 33134</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240" w:type="dxa"/>
            <w:vAlign w:val="bottom"/>
            <w:tcBorders>
              <w:top w:val="single" w:sz="8" w:color="auto"/>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81-2154750</w:t>
            </w: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14.</w:t>
            </w:r>
          </w:p>
        </w:tc>
        <w:tc>
          <w:tcPr>
            <w:tcW w:w="22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w w:val="97"/>
              </w:rPr>
              <w:t>Energy Environmental Group,</w:t>
            </w:r>
          </w:p>
        </w:tc>
        <w:tc>
          <w:tcPr>
            <w:tcW w:w="380" w:type="dxa"/>
            <w:vAlign w:val="bottom"/>
          </w:tcPr>
          <w:p>
            <w:pPr>
              <w:ind w:left="100"/>
              <w:spacing w:after="0" w:line="155" w:lineRule="exact"/>
              <w:rPr>
                <w:sz w:val="20"/>
                <w:szCs w:val="20"/>
                <w:color w:val="auto"/>
              </w:rPr>
            </w:pPr>
            <w:r>
              <w:rPr>
                <w:rFonts w:ascii="Arial" w:cs="Arial" w:eastAsia="Arial" w:hAnsi="Arial"/>
                <w:sz w:val="17"/>
                <w:szCs w:val="17"/>
                <w:color w:val="auto"/>
                <w:w w:val="91"/>
              </w:rPr>
              <w:t>800</w:t>
            </w:r>
          </w:p>
        </w:tc>
        <w:tc>
          <w:tcPr>
            <w:tcW w:w="3780" w:type="dxa"/>
            <w:vAlign w:val="bottom"/>
            <w:tcBorders>
              <w:right w:val="single" w:sz="8" w:color="auto"/>
            </w:tcBorders>
            <w:gridSpan w:val="2"/>
          </w:tcPr>
          <w:p>
            <w:pPr>
              <w:ind w:left="20"/>
              <w:spacing w:after="0" w:line="155" w:lineRule="exact"/>
              <w:rPr>
                <w:sz w:val="20"/>
                <w:szCs w:val="20"/>
                <w:color w:val="auto"/>
              </w:rPr>
            </w:pPr>
            <w:r>
              <w:rPr>
                <w:rFonts w:ascii="Arial" w:cs="Arial" w:eastAsia="Arial" w:hAnsi="Arial"/>
                <w:sz w:val="17"/>
                <w:szCs w:val="17"/>
                <w:color w:val="auto"/>
                <w:w w:val="91"/>
              </w:rPr>
              <w:t>S. Douglas Road, Suite 1200, Coral Gables FL 33134</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7"/>
                <w:szCs w:val="17"/>
                <w:color w:val="auto"/>
                <w:w w:val="85"/>
              </w:rPr>
              <w:t>Nevada</w:t>
            </w:r>
          </w:p>
        </w:tc>
        <w:tc>
          <w:tcPr>
            <w:tcW w:w="1240" w:type="dxa"/>
            <w:vAlign w:val="bottom"/>
            <w:tcBorders>
              <w:right w:val="single" w:sz="8" w:color="auto"/>
            </w:tcBorders>
          </w:tcPr>
          <w:p>
            <w:pPr>
              <w:jc w:val="right"/>
              <w:ind w:right="257"/>
              <w:spacing w:after="0" w:line="155" w:lineRule="exact"/>
              <w:rPr>
                <w:sz w:val="20"/>
                <w:szCs w:val="20"/>
                <w:color w:val="auto"/>
              </w:rPr>
            </w:pPr>
            <w:r>
              <w:rPr>
                <w:rFonts w:ascii="Arial" w:cs="Arial" w:eastAsia="Arial" w:hAnsi="Arial"/>
                <w:sz w:val="17"/>
                <w:szCs w:val="17"/>
                <w:color w:val="auto"/>
                <w:w w:val="96"/>
              </w:rPr>
              <w:t>26-4399738</w:t>
            </w:r>
          </w:p>
        </w:tc>
      </w:tr>
      <w:tr>
        <w:trPr>
          <w:trHeight w:val="212"/>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Inc.</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15.</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T&amp;D Power, Inc.</w:t>
            </w:r>
          </w:p>
        </w:tc>
        <w:tc>
          <w:tcPr>
            <w:tcW w:w="41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7"/>
                <w:szCs w:val="17"/>
                <w:color w:val="auto"/>
                <w:w w:val="99"/>
              </w:rPr>
              <w:t>1138 N. Alma School Road Ste. 215, Mesa AZ 85201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5"/>
              </w:rPr>
              <w:t>Nevada</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26-4474622</w:t>
            </w:r>
          </w:p>
        </w:tc>
      </w:tr>
      <w:tr>
        <w:trPr>
          <w:trHeight w:val="167"/>
        </w:trPr>
        <w:tc>
          <w:tcPr>
            <w:tcW w:w="660" w:type="dxa"/>
            <w:vAlign w:val="bottom"/>
            <w:tcBorders>
              <w:left w:val="single" w:sz="8" w:color="auto"/>
            </w:tcBorders>
          </w:tcPr>
          <w:p>
            <w:pPr>
              <w:ind w:left="420"/>
              <w:spacing w:after="0" w:line="167" w:lineRule="exact"/>
              <w:rPr>
                <w:sz w:val="20"/>
                <w:szCs w:val="20"/>
                <w:color w:val="auto"/>
              </w:rPr>
            </w:pPr>
            <w:r>
              <w:rPr>
                <w:rFonts w:ascii="Arial" w:cs="Arial" w:eastAsia="Arial" w:hAnsi="Arial"/>
                <w:sz w:val="17"/>
                <w:szCs w:val="17"/>
                <w:color w:val="auto"/>
                <w:w w:val="92"/>
              </w:rPr>
              <w:t>16.</w:t>
            </w:r>
          </w:p>
        </w:tc>
        <w:tc>
          <w:tcPr>
            <w:tcW w:w="2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w w:val="91"/>
              </w:rPr>
              <w:t>Three Phase Line Construction,</w:t>
            </w:r>
          </w:p>
        </w:tc>
        <w:tc>
          <w:tcPr>
            <w:tcW w:w="4160" w:type="dxa"/>
            <w:vAlign w:val="bottom"/>
            <w:tcBorders>
              <w:right w:val="single" w:sz="8" w:color="auto"/>
            </w:tcBorders>
            <w:gridSpan w:val="3"/>
          </w:tcPr>
          <w:p>
            <w:pPr>
              <w:ind w:left="100"/>
              <w:spacing w:after="0" w:line="167" w:lineRule="exact"/>
              <w:rPr>
                <w:sz w:val="20"/>
                <w:szCs w:val="20"/>
                <w:color w:val="auto"/>
              </w:rPr>
            </w:pPr>
            <w:r>
              <w:rPr>
                <w:rFonts w:ascii="Arial" w:cs="Arial" w:eastAsia="Arial" w:hAnsi="Arial"/>
                <w:sz w:val="17"/>
                <w:szCs w:val="17"/>
                <w:color w:val="auto"/>
              </w:rPr>
              <w:t>25 Main Street Farmington, NH 03835</w:t>
            </w:r>
          </w:p>
        </w:tc>
        <w:tc>
          <w:tcPr>
            <w:tcW w:w="124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color w:val="auto"/>
                <w:w w:val="88"/>
              </w:rPr>
              <w:t>New</w:t>
            </w:r>
          </w:p>
        </w:tc>
        <w:tc>
          <w:tcPr>
            <w:tcW w:w="1240" w:type="dxa"/>
            <w:vAlign w:val="bottom"/>
            <w:tcBorders>
              <w:right w:val="single" w:sz="8" w:color="auto"/>
            </w:tcBorders>
          </w:tcPr>
          <w:p>
            <w:pPr>
              <w:jc w:val="right"/>
              <w:ind w:right="257"/>
              <w:spacing w:after="0" w:line="167" w:lineRule="exact"/>
              <w:rPr>
                <w:sz w:val="20"/>
                <w:szCs w:val="20"/>
                <w:color w:val="auto"/>
              </w:rPr>
            </w:pPr>
            <w:r>
              <w:rPr>
                <w:rFonts w:ascii="Arial" w:cs="Arial" w:eastAsia="Arial" w:hAnsi="Arial"/>
                <w:sz w:val="17"/>
                <w:szCs w:val="17"/>
                <w:color w:val="auto"/>
                <w:w w:val="96"/>
              </w:rPr>
              <w:t>02-0486688</w:t>
            </w:r>
          </w:p>
        </w:tc>
      </w:tr>
      <w:tr>
        <w:trPr>
          <w:trHeight w:val="243"/>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Inc.</w:t>
            </w: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Hampshire</w:t>
            </w:r>
          </w:p>
        </w:tc>
        <w:tc>
          <w:tcPr>
            <w:tcW w:w="1240" w:type="dxa"/>
            <w:vAlign w:val="bottom"/>
            <w:tcBorders>
              <w:bottom w:val="single" w:sz="8" w:color="auto"/>
              <w:right w:val="single" w:sz="8" w:color="auto"/>
            </w:tcBorders>
          </w:tcPr>
          <w:p>
            <w:pPr>
              <w:spacing w:after="0"/>
              <w:rPr>
                <w:sz w:val="21"/>
                <w:szCs w:val="21"/>
                <w:color w:val="auto"/>
              </w:rPr>
            </w:pPr>
          </w:p>
        </w:tc>
      </w:tr>
      <w:tr>
        <w:trPr>
          <w:trHeight w:val="161"/>
        </w:trPr>
        <w:tc>
          <w:tcPr>
            <w:tcW w:w="660" w:type="dxa"/>
            <w:vAlign w:val="bottom"/>
            <w:tcBorders>
              <w:left w:val="single" w:sz="8" w:color="auto"/>
            </w:tcBorders>
          </w:tcPr>
          <w:p>
            <w:pPr>
              <w:ind w:left="420"/>
              <w:spacing w:after="0" w:line="161" w:lineRule="exact"/>
              <w:rPr>
                <w:sz w:val="20"/>
                <w:szCs w:val="20"/>
                <w:color w:val="auto"/>
              </w:rPr>
            </w:pPr>
            <w:r>
              <w:rPr>
                <w:rFonts w:ascii="Arial" w:cs="Arial" w:eastAsia="Arial" w:hAnsi="Arial"/>
                <w:sz w:val="17"/>
                <w:szCs w:val="17"/>
                <w:color w:val="auto"/>
                <w:w w:val="92"/>
              </w:rPr>
              <w:t>17.</w:t>
            </w:r>
          </w:p>
        </w:tc>
        <w:tc>
          <w:tcPr>
            <w:tcW w:w="22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w w:val="97"/>
              </w:rPr>
              <w:t>Power Partners MasTec, LLC</w:t>
            </w:r>
          </w:p>
        </w:tc>
        <w:tc>
          <w:tcPr>
            <w:tcW w:w="460" w:type="dxa"/>
            <w:vAlign w:val="bottom"/>
            <w:gridSpan w:val="2"/>
          </w:tcPr>
          <w:p>
            <w:pPr>
              <w:ind w:left="100"/>
              <w:spacing w:after="0" w:line="161" w:lineRule="exact"/>
              <w:rPr>
                <w:sz w:val="20"/>
                <w:szCs w:val="20"/>
                <w:color w:val="auto"/>
              </w:rPr>
            </w:pPr>
            <w:r>
              <w:rPr>
                <w:rFonts w:ascii="Arial" w:cs="Arial" w:eastAsia="Arial" w:hAnsi="Arial"/>
                <w:sz w:val="17"/>
                <w:szCs w:val="17"/>
                <w:color w:val="auto"/>
                <w:w w:val="89"/>
              </w:rPr>
              <w:t>9140</w:t>
            </w:r>
          </w:p>
        </w:tc>
        <w:tc>
          <w:tcPr>
            <w:tcW w:w="37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w w:val="99"/>
              </w:rPr>
              <w:t>Arrowpoint Blvd., Suite 200, Charlotte NC 28273</w:t>
            </w:r>
          </w:p>
        </w:tc>
        <w:tc>
          <w:tcPr>
            <w:tcW w:w="12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7"/>
                <w:szCs w:val="17"/>
                <w:color w:val="auto"/>
                <w:w w:val="91"/>
              </w:rPr>
              <w:t>North</w:t>
            </w:r>
          </w:p>
        </w:tc>
        <w:tc>
          <w:tcPr>
            <w:tcW w:w="1240" w:type="dxa"/>
            <w:vAlign w:val="bottom"/>
            <w:tcBorders>
              <w:right w:val="single" w:sz="8" w:color="auto"/>
            </w:tcBorders>
          </w:tcPr>
          <w:p>
            <w:pPr>
              <w:jc w:val="right"/>
              <w:ind w:right="257"/>
              <w:spacing w:after="0" w:line="161" w:lineRule="exact"/>
              <w:rPr>
                <w:sz w:val="20"/>
                <w:szCs w:val="20"/>
                <w:color w:val="auto"/>
              </w:rPr>
            </w:pPr>
            <w:r>
              <w:rPr>
                <w:rFonts w:ascii="Arial" w:cs="Arial" w:eastAsia="Arial" w:hAnsi="Arial"/>
                <w:sz w:val="17"/>
                <w:szCs w:val="17"/>
                <w:color w:val="auto"/>
                <w:w w:val="96"/>
              </w:rPr>
              <w:t>26-1623356</w:t>
            </w: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Carolina</w:t>
            </w:r>
          </w:p>
        </w:tc>
        <w:tc>
          <w:tcPr>
            <w:tcW w:w="1240" w:type="dxa"/>
            <w:vAlign w:val="bottom"/>
            <w:tcBorders>
              <w:bottom w:val="single" w:sz="8" w:color="auto"/>
              <w:right w:val="single" w:sz="8" w:color="auto"/>
            </w:tcBorders>
          </w:tcPr>
          <w:p>
            <w:pPr>
              <w:spacing w:after="0"/>
              <w:rPr>
                <w:sz w:val="18"/>
                <w:szCs w:val="18"/>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18.</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Wanzek Construction, Inc.</w:t>
            </w:r>
          </w:p>
        </w:tc>
        <w:tc>
          <w:tcPr>
            <w:tcW w:w="41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7"/>
                <w:szCs w:val="17"/>
                <w:color w:val="auto"/>
              </w:rPr>
              <w:t>16553 37R St. SE, Fargo, ND 58103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North Dakota</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45-0311915</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19.</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Go Green Services, LLC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1001</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County Road 230 Giddings, TX 78942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1"/>
              </w:rPr>
              <w:t>Texas</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65-0829355</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20.</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Pumpco, Inc.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1209</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Main Street, Giddings TX 78942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1"/>
              </w:rPr>
              <w:t>Texas</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74-2196341</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21.</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Acquisition, LLC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3314</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56th Street Eau Claire WI 54703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Wisconsin</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27-1186147</w:t>
            </w:r>
          </w:p>
        </w:tc>
      </w:tr>
      <w:tr>
        <w:trPr>
          <w:trHeight w:val="223"/>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22.</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Precision Pipeline LLC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3314</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56th Street Eau Claire WI 54703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Wisconsin</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20-0667117</w:t>
            </w:r>
          </w:p>
        </w:tc>
      </w:tr>
      <w:tr>
        <w:trPr>
          <w:trHeight w:val="161"/>
        </w:trPr>
        <w:tc>
          <w:tcPr>
            <w:tcW w:w="660" w:type="dxa"/>
            <w:vAlign w:val="bottom"/>
            <w:tcBorders>
              <w:left w:val="single" w:sz="8" w:color="auto"/>
            </w:tcBorders>
          </w:tcPr>
          <w:p>
            <w:pPr>
              <w:ind w:left="420"/>
              <w:spacing w:after="0" w:line="161" w:lineRule="exact"/>
              <w:rPr>
                <w:sz w:val="20"/>
                <w:szCs w:val="20"/>
                <w:color w:val="auto"/>
              </w:rPr>
            </w:pPr>
            <w:r>
              <w:rPr>
                <w:rFonts w:ascii="Arial" w:cs="Arial" w:eastAsia="Arial" w:hAnsi="Arial"/>
                <w:sz w:val="17"/>
                <w:szCs w:val="17"/>
                <w:color w:val="auto"/>
                <w:w w:val="92"/>
              </w:rPr>
              <w:t>23.</w:t>
            </w:r>
          </w:p>
        </w:tc>
        <w:tc>
          <w:tcPr>
            <w:tcW w:w="22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w w:val="94"/>
              </w:rPr>
              <w:t>Precision Transport Company,</w:t>
            </w:r>
          </w:p>
        </w:tc>
        <w:tc>
          <w:tcPr>
            <w:tcW w:w="460" w:type="dxa"/>
            <w:vAlign w:val="bottom"/>
            <w:gridSpan w:val="2"/>
          </w:tcPr>
          <w:p>
            <w:pPr>
              <w:ind w:left="100"/>
              <w:spacing w:after="0" w:line="161" w:lineRule="exact"/>
              <w:rPr>
                <w:sz w:val="20"/>
                <w:szCs w:val="20"/>
                <w:color w:val="auto"/>
              </w:rPr>
            </w:pPr>
            <w:r>
              <w:rPr>
                <w:rFonts w:ascii="Arial" w:cs="Arial" w:eastAsia="Arial" w:hAnsi="Arial"/>
                <w:sz w:val="17"/>
                <w:szCs w:val="17"/>
                <w:color w:val="auto"/>
                <w:w w:val="89"/>
              </w:rPr>
              <w:t>3314</w:t>
            </w:r>
          </w:p>
        </w:tc>
        <w:tc>
          <w:tcPr>
            <w:tcW w:w="37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56th Street Eau Claire WI 54703</w:t>
            </w:r>
          </w:p>
        </w:tc>
        <w:tc>
          <w:tcPr>
            <w:tcW w:w="12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7"/>
                <w:szCs w:val="17"/>
                <w:color w:val="auto"/>
                <w:w w:val="90"/>
              </w:rPr>
              <w:t>Wisconsin</w:t>
            </w:r>
          </w:p>
        </w:tc>
        <w:tc>
          <w:tcPr>
            <w:tcW w:w="1240" w:type="dxa"/>
            <w:vAlign w:val="bottom"/>
            <w:tcBorders>
              <w:right w:val="single" w:sz="8" w:color="auto"/>
            </w:tcBorders>
          </w:tcPr>
          <w:p>
            <w:pPr>
              <w:jc w:val="right"/>
              <w:ind w:right="257"/>
              <w:spacing w:after="0" w:line="161" w:lineRule="exact"/>
              <w:rPr>
                <w:sz w:val="20"/>
                <w:szCs w:val="20"/>
                <w:color w:val="auto"/>
              </w:rPr>
            </w:pPr>
            <w:r>
              <w:rPr>
                <w:rFonts w:ascii="Arial" w:cs="Arial" w:eastAsia="Arial" w:hAnsi="Arial"/>
                <w:sz w:val="17"/>
                <w:szCs w:val="17"/>
                <w:color w:val="auto"/>
                <w:w w:val="96"/>
              </w:rPr>
              <w:t>20-3843698</w:t>
            </w:r>
          </w:p>
        </w:tc>
      </w:tr>
      <w:tr>
        <w:trPr>
          <w:trHeight w:val="212"/>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LLC</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24.</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1"/>
              </w:rPr>
              <w:t>SEFNCO Communications, Inc.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1019</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39th Avenue SE Suite 200, Puyallup, WA 98374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Washington</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91-1975632</w:t>
            </w: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25.</w:t>
            </w:r>
          </w:p>
        </w:tc>
        <w:tc>
          <w:tcPr>
            <w:tcW w:w="22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w w:val="98"/>
              </w:rPr>
              <w:t>Cash Construction Company,</w:t>
            </w:r>
          </w:p>
        </w:tc>
        <w:tc>
          <w:tcPr>
            <w:tcW w:w="4160" w:type="dxa"/>
            <w:vAlign w:val="bottom"/>
            <w:tcBorders>
              <w:right w:val="single" w:sz="8" w:color="auto"/>
            </w:tcBorders>
            <w:gridSpan w:val="3"/>
          </w:tcPr>
          <w:p>
            <w:pPr>
              <w:ind w:left="100"/>
              <w:spacing w:after="0" w:line="155" w:lineRule="exact"/>
              <w:rPr>
                <w:sz w:val="20"/>
                <w:szCs w:val="20"/>
                <w:color w:val="auto"/>
              </w:rPr>
            </w:pPr>
            <w:r>
              <w:rPr>
                <w:rFonts w:ascii="Arial" w:cs="Arial" w:eastAsia="Arial" w:hAnsi="Arial"/>
                <w:sz w:val="17"/>
                <w:szCs w:val="17"/>
                <w:color w:val="212121"/>
              </w:rPr>
              <w:t>18607 N Heatherwilde Blvd, Pflugerville, TX 78660</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7"/>
                <w:szCs w:val="17"/>
                <w:color w:val="auto"/>
                <w:w w:val="81"/>
              </w:rPr>
              <w:t>Texas</w:t>
            </w:r>
          </w:p>
        </w:tc>
        <w:tc>
          <w:tcPr>
            <w:tcW w:w="1240" w:type="dxa"/>
            <w:vAlign w:val="bottom"/>
            <w:tcBorders>
              <w:right w:val="single" w:sz="8" w:color="auto"/>
            </w:tcBorders>
          </w:tcPr>
          <w:p>
            <w:pPr>
              <w:jc w:val="right"/>
              <w:ind w:right="257"/>
              <w:spacing w:after="0" w:line="155" w:lineRule="exact"/>
              <w:rPr>
                <w:sz w:val="20"/>
                <w:szCs w:val="20"/>
                <w:color w:val="auto"/>
              </w:rPr>
            </w:pPr>
            <w:r>
              <w:rPr>
                <w:rFonts w:ascii="Arial" w:cs="Arial" w:eastAsia="Arial" w:hAnsi="Arial"/>
                <w:sz w:val="17"/>
                <w:szCs w:val="17"/>
                <w:color w:val="auto"/>
                <w:w w:val="96"/>
              </w:rPr>
              <w:t>74-2774271</w:t>
            </w:r>
          </w:p>
        </w:tc>
      </w:tr>
      <w:tr>
        <w:trPr>
          <w:trHeight w:val="212"/>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Inc.</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26.</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Corporation</w:t>
            </w:r>
          </w:p>
        </w:tc>
        <w:tc>
          <w:tcPr>
            <w:tcW w:w="41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7"/>
                <w:szCs w:val="17"/>
                <w:color w:val="212121"/>
              </w:rPr>
              <w:t>11740 SW 80th St, Miami, FL 33183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59-1917239</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27.</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Equipment, Inc.</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1"/>
              </w:rPr>
              <w:t>800</w:t>
            </w:r>
          </w:p>
        </w:tc>
        <w:tc>
          <w:tcPr>
            <w:tcW w:w="3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88"/>
              </w:rPr>
              <w:t>South Douglas Road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Florida</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82-3138620</w:t>
            </w:r>
          </w:p>
        </w:tc>
      </w:tr>
      <w:tr>
        <w:trPr>
          <w:trHeight w:val="223"/>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28.</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Kingsley Constructors, Inc.</w:t>
            </w: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89"/>
              </w:rPr>
              <w:t>7001</w:t>
            </w:r>
          </w:p>
        </w:tc>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US Hwy 83 Asherton, TX 78827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1"/>
              </w:rPr>
              <w:t>Texas</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76-0017747</w:t>
            </w:r>
          </w:p>
        </w:tc>
      </w:tr>
      <w:tr>
        <w:trPr>
          <w:trHeight w:val="211"/>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29.</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Casey Industrial, Inc.</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1"/>
              </w:rPr>
              <w:t>800</w:t>
            </w:r>
          </w:p>
        </w:tc>
        <w:tc>
          <w:tcPr>
            <w:tcW w:w="3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98"/>
              </w:rPr>
              <w:t>S. Douglas Rd.,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Oregon</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91-1175747</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30.</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3"/>
              </w:rPr>
              <w:t>Decisive Communications, Inc.</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1"/>
              </w:rPr>
              <w:t>800</w:t>
            </w:r>
          </w:p>
        </w:tc>
        <w:tc>
          <w:tcPr>
            <w:tcW w:w="3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98"/>
              </w:rPr>
              <w:t>S. Douglas Rd.,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Maryland</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59-3777084</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31.</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WYCO Field Services, LLC</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1"/>
              </w:rPr>
              <w:t>800</w:t>
            </w:r>
          </w:p>
        </w:tc>
        <w:tc>
          <w:tcPr>
            <w:tcW w:w="37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w w:val="98"/>
              </w:rPr>
              <w:t>S. Douglas Rd.,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Wyoming</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46-4489221</w:t>
            </w:r>
          </w:p>
        </w:tc>
      </w:tr>
    </w:tbl>
    <w:p>
      <w:pPr>
        <w:sectPr>
          <w:pgSz w:w="11900" w:h="16838" w:orient="portrait"/>
          <w:cols w:equalWidth="0" w:num="1">
            <w:col w:w="9520"/>
          </w:cols>
          <w:pgMar w:left="1020" w:top="744" w:right="1359" w:bottom="1440" w:gutter="0" w:footer="0" w:header="0"/>
        </w:sectPr>
      </w:pPr>
    </w:p>
    <w:bookmarkStart w:id="302" w:name="page303"/>
    <w:bookmarkEnd w:id="3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660" w:type="dxa"/>
            <w:vAlign w:val="bottom"/>
            <w:tcBorders>
              <w:top w:val="single" w:sz="8" w:color="auto"/>
              <w:left w:val="single" w:sz="8" w:color="auto"/>
            </w:tcBorders>
          </w:tcPr>
          <w:p>
            <w:pPr>
              <w:ind w:left="420"/>
              <w:spacing w:after="0" w:line="175" w:lineRule="exact"/>
              <w:rPr>
                <w:sz w:val="20"/>
                <w:szCs w:val="20"/>
                <w:color w:val="auto"/>
              </w:rPr>
            </w:pPr>
            <w:r>
              <w:rPr>
                <w:rFonts w:ascii="Arial" w:cs="Arial" w:eastAsia="Arial" w:hAnsi="Arial"/>
                <w:sz w:val="17"/>
                <w:szCs w:val="17"/>
                <w:color w:val="auto"/>
                <w:w w:val="92"/>
              </w:rPr>
              <w:t>32.</w:t>
            </w:r>
          </w:p>
        </w:tc>
        <w:tc>
          <w:tcPr>
            <w:tcW w:w="224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7"/>
                <w:szCs w:val="17"/>
                <w:color w:val="auto"/>
              </w:rPr>
              <w:t>A1 Traffic Control &amp; Safety,</w:t>
            </w:r>
          </w:p>
        </w:tc>
        <w:tc>
          <w:tcPr>
            <w:tcW w:w="4160" w:type="dxa"/>
            <w:vAlign w:val="bottom"/>
            <w:tcBorders>
              <w:top w:val="single" w:sz="8" w:color="auto"/>
              <w:right w:val="single" w:sz="8" w:color="auto"/>
            </w:tcBorders>
          </w:tcPr>
          <w:p>
            <w:pPr>
              <w:ind w:left="100"/>
              <w:spacing w:after="0" w:line="175" w:lineRule="exact"/>
              <w:rPr>
                <w:sz w:val="20"/>
                <w:szCs w:val="20"/>
                <w:color w:val="auto"/>
              </w:rPr>
            </w:pPr>
            <w:r>
              <w:rPr>
                <w:rFonts w:ascii="Arial" w:cs="Arial" w:eastAsia="Arial" w:hAnsi="Arial"/>
                <w:sz w:val="17"/>
                <w:szCs w:val="17"/>
                <w:color w:val="auto"/>
                <w:w w:val="98"/>
              </w:rPr>
              <w:t>800 S. Douglas Rd., Ste 1200, Coral Gables FL 33134</w:t>
            </w:r>
          </w:p>
        </w:tc>
        <w:tc>
          <w:tcPr>
            <w:tcW w:w="124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7"/>
                <w:szCs w:val="17"/>
                <w:color w:val="auto"/>
                <w:w w:val="89"/>
              </w:rPr>
              <w:t>Colorado</w:t>
            </w:r>
          </w:p>
        </w:tc>
        <w:tc>
          <w:tcPr>
            <w:tcW w:w="1240" w:type="dxa"/>
            <w:vAlign w:val="bottom"/>
            <w:tcBorders>
              <w:top w:val="single" w:sz="8" w:color="auto"/>
              <w:right w:val="single" w:sz="8" w:color="auto"/>
            </w:tcBorders>
          </w:tcPr>
          <w:p>
            <w:pPr>
              <w:jc w:val="right"/>
              <w:ind w:right="257"/>
              <w:spacing w:after="0" w:line="175" w:lineRule="exact"/>
              <w:rPr>
                <w:sz w:val="20"/>
                <w:szCs w:val="20"/>
                <w:color w:val="auto"/>
              </w:rPr>
            </w:pPr>
            <w:r>
              <w:rPr>
                <w:rFonts w:ascii="Arial" w:cs="Arial" w:eastAsia="Arial" w:hAnsi="Arial"/>
                <w:sz w:val="17"/>
                <w:szCs w:val="17"/>
                <w:color w:val="auto"/>
                <w:w w:val="96"/>
              </w:rPr>
              <w:t>84-2267341</w:t>
            </w:r>
          </w:p>
        </w:tc>
        <w:tc>
          <w:tcPr>
            <w:tcW w:w="0" w:type="dxa"/>
            <w:vAlign w:val="bottom"/>
          </w:tcPr>
          <w:p>
            <w:pPr>
              <w:spacing w:after="0"/>
              <w:rPr>
                <w:sz w:val="1"/>
                <w:szCs w:val="1"/>
                <w:color w:val="auto"/>
              </w:rPr>
            </w:pPr>
          </w:p>
        </w:tc>
      </w:tr>
      <w:tr>
        <w:trPr>
          <w:trHeight w:val="212"/>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LLC</w:t>
            </w:r>
          </w:p>
        </w:tc>
        <w:tc>
          <w:tcPr>
            <w:tcW w:w="41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33.</w:t>
            </w:r>
          </w:p>
        </w:tc>
        <w:tc>
          <w:tcPr>
            <w:tcW w:w="22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w w:val="98"/>
              </w:rPr>
              <w:t>Support Operations Services,</w:t>
            </w:r>
          </w:p>
        </w:tc>
        <w:tc>
          <w:tcPr>
            <w:tcW w:w="416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8"/>
              </w:rPr>
              <w:t>800 S. Douglas Rd., Ste 1200, Coral Gables FL 33134</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7"/>
                <w:szCs w:val="17"/>
                <w:color w:val="auto"/>
                <w:w w:val="92"/>
              </w:rPr>
              <w:t>Florida</w:t>
            </w:r>
          </w:p>
        </w:tc>
        <w:tc>
          <w:tcPr>
            <w:tcW w:w="1240" w:type="dxa"/>
            <w:vAlign w:val="bottom"/>
            <w:tcBorders>
              <w:right w:val="single" w:sz="8" w:color="auto"/>
            </w:tcBorders>
          </w:tcPr>
          <w:p>
            <w:pPr>
              <w:jc w:val="right"/>
              <w:ind w:right="257"/>
              <w:spacing w:after="0" w:line="155" w:lineRule="exact"/>
              <w:rPr>
                <w:sz w:val="20"/>
                <w:szCs w:val="20"/>
                <w:color w:val="auto"/>
              </w:rPr>
            </w:pPr>
            <w:r>
              <w:rPr>
                <w:rFonts w:ascii="Arial" w:cs="Arial" w:eastAsia="Arial" w:hAnsi="Arial"/>
                <w:sz w:val="17"/>
                <w:szCs w:val="17"/>
                <w:color w:val="auto"/>
                <w:w w:val="96"/>
              </w:rPr>
              <w:t>87-1212802</w:t>
            </w:r>
          </w:p>
        </w:tc>
        <w:tc>
          <w:tcPr>
            <w:tcW w:w="0" w:type="dxa"/>
            <w:vAlign w:val="bottom"/>
          </w:tcPr>
          <w:p>
            <w:pPr>
              <w:spacing w:after="0"/>
              <w:rPr>
                <w:sz w:val="1"/>
                <w:szCs w:val="1"/>
                <w:color w:val="auto"/>
              </w:rPr>
            </w:pPr>
          </w:p>
        </w:tc>
      </w:tr>
      <w:tr>
        <w:trPr>
          <w:trHeight w:val="212"/>
        </w:trPr>
        <w:tc>
          <w:tcPr>
            <w:tcW w:w="29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LLC</w:t>
            </w:r>
          </w:p>
        </w:tc>
        <w:tc>
          <w:tcPr>
            <w:tcW w:w="41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34.</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Hanging H Companies, LLC</w:t>
            </w:r>
          </w:p>
        </w:tc>
        <w:tc>
          <w:tcPr>
            <w:tcW w:w="4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8"/>
              </w:rPr>
              <w:t>800 S. Douglas Rd.,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Colorado</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26-4674139</w:t>
            </w: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35.</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FNF Construction, Inc.</w:t>
            </w:r>
          </w:p>
        </w:tc>
        <w:tc>
          <w:tcPr>
            <w:tcW w:w="4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8"/>
              </w:rPr>
              <w:t>800 S. Douglas Rd., Ste 1200, Coral Gables FL 33134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Arizona</w:t>
            </w:r>
          </w:p>
        </w:tc>
        <w:tc>
          <w:tcPr>
            <w:tcW w:w="124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86-0474623</w:t>
            </w:r>
          </w:p>
        </w:tc>
        <w:tc>
          <w:tcPr>
            <w:tcW w:w="0" w:type="dxa"/>
            <w:vAlign w:val="bottom"/>
          </w:tcPr>
          <w:p>
            <w:pPr>
              <w:spacing w:after="0"/>
              <w:rPr>
                <w:sz w:val="1"/>
                <w:szCs w:val="1"/>
                <w:color w:val="auto"/>
              </w:rPr>
            </w:pPr>
          </w:p>
        </w:tc>
      </w:tr>
      <w:tr>
        <w:trPr>
          <w:trHeight w:val="211"/>
        </w:trPr>
        <w:tc>
          <w:tcPr>
            <w:tcW w:w="660" w:type="dxa"/>
            <w:vAlign w:val="bottom"/>
            <w:tcBorders>
              <w:left w:val="single" w:sz="8" w:color="auto"/>
            </w:tcBorders>
            <w:vMerge w:val="restart"/>
          </w:tcPr>
          <w:p>
            <w:pPr>
              <w:ind w:left="420"/>
              <w:spacing w:after="0"/>
              <w:rPr>
                <w:sz w:val="20"/>
                <w:szCs w:val="20"/>
                <w:color w:val="auto"/>
              </w:rPr>
            </w:pPr>
            <w:r>
              <w:rPr>
                <w:rFonts w:ascii="Arial" w:cs="Arial" w:eastAsia="Arial" w:hAnsi="Arial"/>
                <w:sz w:val="17"/>
                <w:szCs w:val="17"/>
                <w:color w:val="auto"/>
                <w:w w:val="92"/>
              </w:rPr>
              <w:t>36.</w:t>
            </w:r>
          </w:p>
        </w:tc>
        <w:tc>
          <w:tcPr>
            <w:tcW w:w="2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Infrastructure Development</w:t>
            </w:r>
          </w:p>
        </w:tc>
        <w:tc>
          <w:tcPr>
            <w:tcW w:w="4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8"/>
              </w:rPr>
              <w:t>800 S. Douglas Rd., Ste 1200, Coral Gables FL 33134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Arizona</w:t>
            </w:r>
          </w:p>
        </w:tc>
        <w:tc>
          <w:tcPr>
            <w:tcW w:w="1240" w:type="dxa"/>
            <w:vAlign w:val="bottom"/>
            <w:tcBorders>
              <w:right w:val="single" w:sz="8" w:color="auto"/>
            </w:tcBorders>
          </w:tcPr>
          <w:p>
            <w:pPr>
              <w:jc w:val="right"/>
              <w:ind w:right="257"/>
              <w:spacing w:after="0"/>
              <w:rPr>
                <w:sz w:val="20"/>
                <w:szCs w:val="20"/>
                <w:color w:val="auto"/>
              </w:rPr>
            </w:pPr>
            <w:r>
              <w:rPr>
                <w:rFonts w:ascii="Arial" w:cs="Arial" w:eastAsia="Arial" w:hAnsi="Arial"/>
                <w:sz w:val="17"/>
                <w:szCs w:val="17"/>
                <w:color w:val="auto"/>
                <w:w w:val="96"/>
              </w:rPr>
              <w:t>45-3157075</w:t>
            </w:r>
          </w:p>
        </w:tc>
        <w:tc>
          <w:tcPr>
            <w:tcW w:w="0" w:type="dxa"/>
            <w:vAlign w:val="bottom"/>
          </w:tcPr>
          <w:p>
            <w:pPr>
              <w:spacing w:after="0"/>
              <w:rPr>
                <w:sz w:val="1"/>
                <w:szCs w:val="1"/>
                <w:color w:val="auto"/>
              </w:rPr>
            </w:pPr>
          </w:p>
        </w:tc>
      </w:tr>
      <w:tr>
        <w:trPr>
          <w:trHeight w:val="62"/>
        </w:trPr>
        <w:tc>
          <w:tcPr>
            <w:tcW w:w="660" w:type="dxa"/>
            <w:vAlign w:val="bottom"/>
            <w:tcBorders>
              <w:left w:val="single" w:sz="8" w:color="auto"/>
            </w:tcBorders>
            <w:vMerge w:val="continue"/>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1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auto"/>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Holdings, Inc.</w:t>
            </w:r>
          </w:p>
        </w:tc>
        <w:tc>
          <w:tcPr>
            <w:tcW w:w="41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520"/>
          </w:cols>
          <w:pgMar w:left="1020" w:top="744" w:right="1359" w:bottom="1440" w:gutter="0" w:footer="0" w:header="0"/>
        </w:sectPr>
      </w:pPr>
    </w:p>
    <w:bookmarkStart w:id="303" w:name="page304"/>
    <w:bookmarkEnd w:id="303"/>
    <w:p>
      <w:pPr>
        <w:jc w:val="right"/>
        <w:ind w:right="1060"/>
        <w:spacing w:after="0"/>
        <w:rPr>
          <w:sz w:val="20"/>
          <w:szCs w:val="20"/>
          <w:color w:val="auto"/>
        </w:rPr>
      </w:pPr>
      <w:r>
        <w:rPr>
          <w:rFonts w:ascii="Arial" w:cs="Arial" w:eastAsia="Arial" w:hAnsi="Arial"/>
          <w:sz w:val="17"/>
          <w:szCs w:val="17"/>
          <w:b w:val="1"/>
          <w:bCs w:val="1"/>
          <w:i w:val="1"/>
          <w:iCs w:val="1"/>
          <w:color w:val="auto"/>
        </w:rPr>
        <w:t>SCHEDULE 5.13</w:t>
      </w:r>
    </w:p>
    <w:p>
      <w:pPr>
        <w:spacing w:after="0" w:line="192" w:lineRule="exact"/>
        <w:rPr>
          <w:sz w:val="20"/>
          <w:szCs w:val="20"/>
          <w:color w:val="auto"/>
        </w:rPr>
      </w:pPr>
    </w:p>
    <w:p>
      <w:pPr>
        <w:jc w:val="right"/>
        <w:ind w:right="1060"/>
        <w:spacing w:after="0"/>
        <w:rPr>
          <w:sz w:val="20"/>
          <w:szCs w:val="20"/>
          <w:color w:val="auto"/>
        </w:rPr>
      </w:pPr>
      <w:r>
        <w:rPr>
          <w:rFonts w:ascii="Arial" w:cs="Arial" w:eastAsia="Arial" w:hAnsi="Arial"/>
          <w:sz w:val="17"/>
          <w:szCs w:val="17"/>
          <w:b w:val="1"/>
          <w:bCs w:val="1"/>
          <w:i w:val="1"/>
          <w:iCs w:val="1"/>
          <w:color w:val="auto"/>
        </w:rPr>
        <w:t>Part (c)</w:t>
      </w:r>
    </w:p>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RESTRICTED</w:t>
      </w:r>
    </w:p>
    <w:p>
      <w:pPr>
        <w:ind w:left="5040"/>
        <w:spacing w:after="0"/>
        <w:rPr>
          <w:sz w:val="20"/>
          <w:szCs w:val="20"/>
          <w:color w:val="auto"/>
        </w:rPr>
      </w:pPr>
      <w:r>
        <w:rPr>
          <w:rFonts w:ascii="Arial" w:cs="Arial" w:eastAsia="Arial" w:hAnsi="Arial"/>
          <w:sz w:val="17"/>
          <w:szCs w:val="17"/>
          <w:b w:val="1"/>
          <w:bCs w:val="1"/>
          <w:color w:val="auto"/>
        </w:rPr>
        <w:t>SUBSIDIARIES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Affiliated Entity</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MasTec Ownership</w:t>
            </w: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Jurisdiction</w:t>
            </w: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Tax ID</w:t>
            </w:r>
          </w:p>
        </w:tc>
      </w:tr>
      <w:tr>
        <w:trPr>
          <w:trHeight w:val="211"/>
        </w:trPr>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i w:val="1"/>
                <w:iCs w:val="1"/>
                <w:color w:val="auto"/>
              </w:rPr>
              <w:t>Domestic Entities</w:t>
            </w:r>
          </w:p>
        </w:tc>
        <w:tc>
          <w:tcPr>
            <w:tcW w:w="4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7"/>
        </w:trPr>
        <w:tc>
          <w:tcPr>
            <w:tcW w:w="4100" w:type="dxa"/>
            <w:vAlign w:val="bottom"/>
            <w:tcBorders>
              <w:left w:val="single" w:sz="8" w:color="auto"/>
              <w:right w:val="single" w:sz="8" w:color="auto"/>
            </w:tcBorders>
          </w:tcPr>
          <w:p>
            <w:pPr>
              <w:ind w:left="420"/>
              <w:spacing w:after="0" w:line="167" w:lineRule="exact"/>
              <w:rPr>
                <w:sz w:val="20"/>
                <w:szCs w:val="20"/>
                <w:color w:val="auto"/>
              </w:rPr>
            </w:pPr>
            <w:r>
              <w:rPr>
                <w:rFonts w:ascii="Arial" w:cs="Arial" w:eastAsia="Arial" w:hAnsi="Arial"/>
                <w:sz w:val="17"/>
                <w:szCs w:val="17"/>
                <w:color w:val="auto"/>
              </w:rPr>
              <w:t>111.Church &amp; Tower, Inc.</w:t>
            </w:r>
          </w:p>
        </w:tc>
        <w:tc>
          <w:tcPr>
            <w:tcW w:w="444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100% owned by MasTec, Inc.</w:t>
            </w:r>
          </w:p>
        </w:tc>
        <w:tc>
          <w:tcPr>
            <w:tcW w:w="1300" w:type="dxa"/>
            <w:vAlign w:val="bottom"/>
            <w:tcBorders>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67" w:lineRule="exact"/>
              <w:rPr>
                <w:sz w:val="20"/>
                <w:szCs w:val="20"/>
                <w:color w:val="auto"/>
              </w:rPr>
            </w:pPr>
            <w:r>
              <w:rPr>
                <w:rFonts w:ascii="Arial" w:cs="Arial" w:eastAsia="Arial" w:hAnsi="Arial"/>
                <w:sz w:val="17"/>
                <w:szCs w:val="17"/>
                <w:color w:val="auto"/>
              </w:rPr>
              <w:t>65-</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0227979</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w w:val="89"/>
              </w:rPr>
              <w:t>112.MasTec Renewables Construction Company,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2971344</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113.MasTec North America,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65-</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0829357</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114.CCM Investment Holding Co.</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4037665</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115.Douglas Fiber Enterprises,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3147663</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116.Energy Erectors,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39-</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1363163</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117.MasTec ETS Service Company,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3702652</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118.MasTec EV Solutions,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67%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2585223</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119.Masco Energy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4004312</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120.MasTec Foreign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w w:val="94"/>
              </w:rPr>
              <w:t>Sole member – 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0822919</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121.MasTec Mexico Foreign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Cooperatief</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2990566</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122.MasTec Latin America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2669097</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123.MasTec Mexico Holding Company,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w w:val="94"/>
              </w:rPr>
              <w:t>Sole member – 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2990566</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124.MasTec Property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Nevada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4027848</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125.MasTec Network Solutions,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45-</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3250780</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126.MasTec Network Solutions,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3078035</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127.MasTec Residential Services,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0637848</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128.MTZ Alexander,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46-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3355020</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129.Nsoro MasTec International,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Nevada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4097196</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130.MasTec Nsoro Procurement Company,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Network Solutions,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80-</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0792309</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131.MasTec Wireless Services,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Network Solutions,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14-</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1943970</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132.MP Drilling Holdings,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Precision Pipeline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32-</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0490051</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133.Pretec Directional Drilling,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MP Drilling Holdings,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81-</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2154750</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134.Power Partners MasTec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Sole member –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North Carolina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26-</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1623356</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135.Power Partners MasTec, Inc.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100%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3506112</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136.Bottom Line Services,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94% owned by MasTec North America, Inc.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65-</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0829355</w:t>
            </w:r>
          </w:p>
        </w:tc>
      </w:tr>
      <w:tr>
        <w:trPr>
          <w:trHeight w:val="173"/>
        </w:trPr>
        <w:tc>
          <w:tcPr>
            <w:tcW w:w="4100" w:type="dxa"/>
            <w:vAlign w:val="bottom"/>
            <w:tcBorders>
              <w:left w:val="single" w:sz="8" w:color="auto"/>
              <w:right w:val="single" w:sz="8" w:color="auto"/>
            </w:tcBorders>
          </w:tcPr>
          <w:p>
            <w:pPr>
              <w:ind w:left="420"/>
              <w:spacing w:after="0" w:line="174" w:lineRule="exact"/>
              <w:rPr>
                <w:sz w:val="20"/>
                <w:szCs w:val="20"/>
                <w:color w:val="auto"/>
              </w:rPr>
            </w:pPr>
            <w:r>
              <w:rPr>
                <w:rFonts w:ascii="Arial" w:cs="Arial" w:eastAsia="Arial" w:hAnsi="Arial"/>
                <w:sz w:val="17"/>
                <w:szCs w:val="17"/>
                <w:color w:val="auto"/>
              </w:rPr>
              <w:t>137.PPMASI, LLC</w:t>
            </w:r>
          </w:p>
        </w:tc>
        <w:tc>
          <w:tcPr>
            <w:tcW w:w="444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51% owned by Power Partners MasTec, LLC</w:t>
            </w:r>
          </w:p>
        </w:tc>
        <w:tc>
          <w:tcPr>
            <w:tcW w:w="130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7"/>
                <w:szCs w:val="17"/>
                <w:color w:val="auto"/>
              </w:rPr>
              <w:t>Delaware</w:t>
            </w:r>
          </w:p>
        </w:tc>
        <w:tc>
          <w:tcPr>
            <w:tcW w:w="1320" w:type="dxa"/>
            <w:vAlign w:val="bottom"/>
            <w:tcBorders>
              <w:right w:val="single" w:sz="8" w:color="auto"/>
            </w:tcBorders>
          </w:tcPr>
          <w:p>
            <w:pPr>
              <w:jc w:val="right"/>
              <w:ind w:right="437"/>
              <w:spacing w:after="0" w:line="174" w:lineRule="exact"/>
              <w:rPr>
                <w:sz w:val="20"/>
                <w:szCs w:val="20"/>
                <w:color w:val="auto"/>
              </w:rPr>
            </w:pPr>
            <w:r>
              <w:rPr>
                <w:rFonts w:ascii="Arial" w:cs="Arial" w:eastAsia="Arial" w:hAnsi="Arial"/>
                <w:sz w:val="17"/>
                <w:szCs w:val="17"/>
                <w:color w:val="auto"/>
              </w:rPr>
              <w:t>27-</w:t>
            </w:r>
          </w:p>
        </w:tc>
      </w:tr>
      <w:tr>
        <w:trPr>
          <w:trHeight w:val="218"/>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7"/>
                <w:szCs w:val="17"/>
                <w:color w:val="auto"/>
              </w:rPr>
              <w:t>1646891</w:t>
            </w:r>
          </w:p>
        </w:tc>
      </w:tr>
    </w:tbl>
    <w:p>
      <w:pPr>
        <w:sectPr>
          <w:pgSz w:w="11900" w:h="16838" w:orient="portrait"/>
          <w:cols w:equalWidth="0" w:num="1">
            <w:col w:w="11140"/>
          </w:cols>
          <w:pgMar w:left="320" w:top="1014" w:right="439" w:bottom="1440" w:gutter="0" w:footer="0" w:header="0"/>
        </w:sectPr>
      </w:pPr>
    </w:p>
    <w:bookmarkStart w:id="304" w:name="page305"/>
    <w:bookmarkEnd w:id="3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138.PPMASI Klamath I, LLC</w:t>
            </w:r>
          </w:p>
        </w:tc>
        <w:tc>
          <w:tcPr>
            <w:tcW w:w="44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PPMASI, LLC</w:t>
            </w:r>
          </w:p>
        </w:tc>
        <w:tc>
          <w:tcPr>
            <w:tcW w:w="1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27-1938819</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139.Go Green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65-0829355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140.Pumpco,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74-2196341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141.Wanzek Construction,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North Dakota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45-0311915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142.MasTec Services Company,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65-0791004</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143.Precision Acquisition,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Wisconsin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27-1186147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144.Precision Pipeline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Acquisition,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Wisconsin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20-0667117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145.Precision Transport Company,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Acquisition,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Wisconsin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20-3843698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146.Three Phase Line Construction,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5"/>
              </w:rPr>
              <w:t>New Hampshire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02-0486688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147.EC Source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27-3046138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148.EC Source Transportation,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27-3046138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149.AT Power,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66-0756042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150.T &amp; D Power,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26-4474622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151.Energy Environmental Group,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Nevada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26-4399738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152.Halsted Communications,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York</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14-1726726</w:t>
            </w:r>
          </w:p>
        </w:tc>
        <w:tc>
          <w:tcPr>
            <w:tcW w:w="0" w:type="dxa"/>
            <w:vAlign w:val="bottom"/>
          </w:tcPr>
          <w:p>
            <w:pPr>
              <w:spacing w:after="0"/>
              <w:rPr>
                <w:sz w:val="1"/>
                <w:szCs w:val="1"/>
                <w:color w:val="auto"/>
              </w:rPr>
            </w:pPr>
          </w:p>
        </w:tc>
      </w:tr>
      <w:tr>
        <w:trPr>
          <w:trHeight w:val="180"/>
        </w:trPr>
        <w:tc>
          <w:tcPr>
            <w:tcW w:w="4100" w:type="dxa"/>
            <w:vAlign w:val="bottom"/>
            <w:tcBorders>
              <w:left w:val="single" w:sz="8" w:color="auto"/>
              <w:right w:val="single" w:sz="8" w:color="auto"/>
            </w:tcBorders>
          </w:tcPr>
          <w:p>
            <w:pPr>
              <w:ind w:left="420"/>
              <w:spacing w:after="0" w:line="180" w:lineRule="exact"/>
              <w:rPr>
                <w:sz w:val="20"/>
                <w:szCs w:val="20"/>
                <w:color w:val="auto"/>
              </w:rPr>
            </w:pPr>
            <w:r>
              <w:rPr>
                <w:rFonts w:ascii="Arial" w:cs="Arial" w:eastAsia="Arial" w:hAnsi="Arial"/>
                <w:sz w:val="17"/>
                <w:szCs w:val="17"/>
                <w:color w:val="auto"/>
              </w:rPr>
              <w:t>153.MasTec Puerto Rico Engineering Services</w:t>
            </w:r>
          </w:p>
        </w:tc>
        <w:tc>
          <w:tcPr>
            <w:tcW w:w="444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GP- MasTec Foreign Holdings, LLC; LP- MasTec Latin</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27-4095246</w:t>
            </w:r>
          </w:p>
        </w:tc>
        <w:tc>
          <w:tcPr>
            <w:tcW w:w="0" w:type="dxa"/>
            <w:vAlign w:val="bottom"/>
          </w:tcPr>
          <w:p>
            <w:pPr>
              <w:spacing w:after="0"/>
              <w:rPr>
                <w:sz w:val="1"/>
                <w:szCs w:val="1"/>
                <w:color w:val="auto"/>
              </w:rPr>
            </w:pPr>
          </w:p>
        </w:tc>
      </w:tr>
      <w:tr>
        <w:trPr>
          <w:trHeight w:val="212"/>
        </w:trPr>
        <w:tc>
          <w:tcPr>
            <w:tcW w:w="4100" w:type="dxa"/>
            <w:vAlign w:val="bottom"/>
            <w:tcBorders>
              <w:left w:val="single" w:sz="8" w:color="auto"/>
              <w:right w:val="single" w:sz="8" w:color="auto"/>
            </w:tcBorders>
            <w:vMerge w:val="restart"/>
          </w:tcPr>
          <w:p>
            <w:pPr>
              <w:ind w:left="720"/>
              <w:spacing w:after="0"/>
              <w:rPr>
                <w:sz w:val="20"/>
                <w:szCs w:val="20"/>
                <w:color w:val="auto"/>
              </w:rPr>
            </w:pPr>
            <w:r>
              <w:rPr>
                <w:rFonts w:ascii="Arial" w:cs="Arial" w:eastAsia="Arial" w:hAnsi="Arial"/>
                <w:sz w:val="17"/>
                <w:szCs w:val="17"/>
                <w:color w:val="auto"/>
              </w:rPr>
              <w:t>Holding, LLP</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America Holdings, LLC</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100" w:type="dxa"/>
            <w:vAlign w:val="bottom"/>
            <w:tcBorders>
              <w:left w:val="single" w:sz="8" w:color="auto"/>
              <w:right w:val="single" w:sz="8" w:color="auto"/>
            </w:tcBorders>
            <w:vMerge w:val="continue"/>
          </w:tcPr>
          <w:p>
            <w:pPr>
              <w:spacing w:after="0"/>
              <w:rPr>
                <w:sz w:val="4"/>
                <w:szCs w:val="4"/>
                <w:color w:val="auto"/>
              </w:rPr>
            </w:pPr>
          </w:p>
        </w:tc>
        <w:tc>
          <w:tcPr>
            <w:tcW w:w="444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w w:val="99"/>
              </w:rPr>
              <w:t>154.MasTec Venezuela, Inc. (Holding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65-0890232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155.MasTec Spain, Inc. (Holding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65-0890231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156.MasTec Brazil I, Inc. (Holding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65-0890223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157.MasTec Brazil II, Inc. (Holding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65-0890224</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158.Big Country Energy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27-3989838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159.MasTec FFH,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47-2208772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160.MasTec Power Corp.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47-4824701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161.MasTec Pipeline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47-4005417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162.MasTec TPP,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Pipeline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32-0466766</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163.MasTec Comanche,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Pipeline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37-1794427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164.Pacer Construction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47-5488553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165.MasTec Latin America,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65-0726671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166.Precision West,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85% owned by Precision Pipeline,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30-1007011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167.Precision Engineering Solutions,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83-0815492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168.Precision Dewatering,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83-1792443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169.Precision Fabrication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 (not active)</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170.Precision Infrastructure,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Pipeline,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83-1800357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171.MasTec Equipment,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82-3138620</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172.MasCo Trading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 owned by MasCo Energy,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46-4969463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173.SEFNCO Communications,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91-1975632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174.NAL Communications,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SEFNCO Communications,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27-1882962</w:t>
            </w:r>
          </w:p>
        </w:tc>
        <w:tc>
          <w:tcPr>
            <w:tcW w:w="0" w:type="dxa"/>
            <w:vAlign w:val="bottom"/>
          </w:tcPr>
          <w:p>
            <w:pPr>
              <w:spacing w:after="0"/>
              <w:rPr>
                <w:sz w:val="1"/>
                <w:szCs w:val="1"/>
                <w:color w:val="auto"/>
              </w:rPr>
            </w:pPr>
          </w:p>
        </w:tc>
      </w:tr>
    </w:tbl>
    <w:p>
      <w:pPr>
        <w:sectPr>
          <w:pgSz w:w="11900" w:h="16838" w:orient="portrait"/>
          <w:cols w:equalWidth="0" w:num="1">
            <w:col w:w="11140"/>
          </w:cols>
          <w:pgMar w:left="320" w:top="744" w:right="439" w:bottom="1440" w:gutter="0" w:footer="0" w:header="0"/>
        </w:sectPr>
      </w:pPr>
    </w:p>
    <w:bookmarkStart w:id="305" w:name="page306"/>
    <w:bookmarkEnd w:id="3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175.Cash Construction Company, Inc.</w:t>
            </w:r>
          </w:p>
        </w:tc>
        <w:tc>
          <w:tcPr>
            <w:tcW w:w="44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74-2774271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w w:val="95"/>
              </w:rPr>
              <w:t>176.Running R Pipeline Equipment Specialist,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Pumpco,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81-2081976</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177.Lemartec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59-1917239</w:t>
            </w:r>
          </w:p>
        </w:tc>
        <w:tc>
          <w:tcPr>
            <w:tcW w:w="0" w:type="dxa"/>
            <w:vAlign w:val="bottom"/>
          </w:tcPr>
          <w:p>
            <w:pPr>
              <w:spacing w:after="0"/>
              <w:rPr>
                <w:sz w:val="1"/>
                <w:szCs w:val="1"/>
                <w:color w:val="auto"/>
              </w:rPr>
            </w:pPr>
          </w:p>
        </w:tc>
      </w:tr>
      <w:tr>
        <w:trPr>
          <w:trHeight w:val="155"/>
        </w:trPr>
        <w:tc>
          <w:tcPr>
            <w:tcW w:w="4100" w:type="dxa"/>
            <w:vAlign w:val="bottom"/>
            <w:tcBorders>
              <w:left w:val="single" w:sz="8" w:color="auto"/>
              <w:right w:val="single" w:sz="8" w:color="auto"/>
            </w:tcBorders>
          </w:tcPr>
          <w:p>
            <w:pPr>
              <w:ind w:left="420"/>
              <w:spacing w:after="0" w:line="155" w:lineRule="exact"/>
              <w:rPr>
                <w:sz w:val="20"/>
                <w:szCs w:val="20"/>
                <w:color w:val="auto"/>
              </w:rPr>
            </w:pPr>
            <w:r>
              <w:rPr>
                <w:rFonts w:ascii="Arial" w:cs="Arial" w:eastAsia="Arial" w:hAnsi="Arial"/>
                <w:sz w:val="17"/>
                <w:szCs w:val="17"/>
                <w:color w:val="auto"/>
              </w:rPr>
              <w:t>178.Lemartec USVI, Inc.</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100% owned by Lemartec Corporation</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US Virgin</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66-0892122</w:t>
            </w:r>
          </w:p>
        </w:tc>
        <w:tc>
          <w:tcPr>
            <w:tcW w:w="0" w:type="dxa"/>
            <w:vAlign w:val="bottom"/>
          </w:tcPr>
          <w:p>
            <w:pPr>
              <w:spacing w:after="0"/>
              <w:rPr>
                <w:sz w:val="1"/>
                <w:szCs w:val="1"/>
                <w:color w:val="auto"/>
              </w:rPr>
            </w:pPr>
          </w:p>
        </w:tc>
      </w:tr>
      <w:tr>
        <w:trPr>
          <w:trHeight w:val="212"/>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Islands</w:t>
            </w: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179.MasTec Engineering Corp.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Network Solutions,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Michigan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Applied For</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180.Kingsley Constructors,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76-0017747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181.Casey Industrial,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Oregon</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91-1175747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182.Decisive Communications,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59-3777084</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183.WYCO Field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Wyoming</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46-4489221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184.A1 Traffic Control &amp; Safety,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WYCO Field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84-2267341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185.Quadgen Wireless Solutions,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95% owned by MasTec Network Solutions,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20-8387021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186.MasTec India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85-0854478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187.MasTec Civil Constructors,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91%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84-3597670</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w w:val="95"/>
              </w:rPr>
              <w:t>188.Environmental and Dewatering Solutions,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Precision West,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85-2599261</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189.Support Operations Services,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EC Source Services,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87-1212802</w:t>
            </w:r>
          </w:p>
        </w:tc>
        <w:tc>
          <w:tcPr>
            <w:tcW w:w="0" w:type="dxa"/>
            <w:vAlign w:val="bottom"/>
          </w:tcPr>
          <w:p>
            <w:pPr>
              <w:spacing w:after="0"/>
              <w:rPr>
                <w:sz w:val="1"/>
                <w:szCs w:val="1"/>
                <w:color w:val="auto"/>
              </w:rPr>
            </w:pPr>
          </w:p>
        </w:tc>
      </w:tr>
      <w:tr>
        <w:trPr>
          <w:trHeight w:val="180"/>
        </w:trPr>
        <w:tc>
          <w:tcPr>
            <w:tcW w:w="4100" w:type="dxa"/>
            <w:vAlign w:val="bottom"/>
            <w:tcBorders>
              <w:left w:val="single" w:sz="8" w:color="auto"/>
              <w:right w:val="single" w:sz="8" w:color="auto"/>
            </w:tcBorders>
          </w:tcPr>
          <w:p>
            <w:pPr>
              <w:ind w:left="420"/>
              <w:spacing w:after="0" w:line="180" w:lineRule="exact"/>
              <w:rPr>
                <w:sz w:val="20"/>
                <w:szCs w:val="20"/>
                <w:color w:val="auto"/>
              </w:rPr>
            </w:pPr>
            <w:r>
              <w:rPr>
                <w:rFonts w:ascii="Arial" w:cs="Arial" w:eastAsia="Arial" w:hAnsi="Arial"/>
                <w:sz w:val="17"/>
                <w:szCs w:val="17"/>
                <w:color w:val="auto"/>
              </w:rPr>
              <w:t>190.MasTec Puerto Rico Engineering Services</w:t>
            </w:r>
          </w:p>
        </w:tc>
        <w:tc>
          <w:tcPr>
            <w:tcW w:w="444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w w:val="95"/>
              </w:rPr>
              <w:t>GP - MasTec Foreign Holdings, LLC; MasTec Latin America</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Florida</w:t>
            </w:r>
          </w:p>
        </w:tc>
        <w:tc>
          <w:tcPr>
            <w:tcW w:w="132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27-4095246</w:t>
            </w:r>
          </w:p>
        </w:tc>
        <w:tc>
          <w:tcPr>
            <w:tcW w:w="0" w:type="dxa"/>
            <w:vAlign w:val="bottom"/>
          </w:tcPr>
          <w:p>
            <w:pPr>
              <w:spacing w:after="0"/>
              <w:rPr>
                <w:sz w:val="1"/>
                <w:szCs w:val="1"/>
                <w:color w:val="auto"/>
              </w:rPr>
            </w:pPr>
          </w:p>
        </w:tc>
      </w:tr>
      <w:tr>
        <w:trPr>
          <w:trHeight w:val="212"/>
        </w:trPr>
        <w:tc>
          <w:tcPr>
            <w:tcW w:w="4100" w:type="dxa"/>
            <w:vAlign w:val="bottom"/>
            <w:tcBorders>
              <w:left w:val="single" w:sz="8" w:color="auto"/>
              <w:right w:val="single" w:sz="8" w:color="auto"/>
            </w:tcBorders>
            <w:vMerge w:val="restart"/>
          </w:tcPr>
          <w:p>
            <w:pPr>
              <w:ind w:left="720"/>
              <w:spacing w:after="0"/>
              <w:rPr>
                <w:sz w:val="20"/>
                <w:szCs w:val="20"/>
                <w:color w:val="auto"/>
              </w:rPr>
            </w:pPr>
            <w:r>
              <w:rPr>
                <w:rFonts w:ascii="Arial" w:cs="Arial" w:eastAsia="Arial" w:hAnsi="Arial"/>
                <w:sz w:val="17"/>
                <w:szCs w:val="17"/>
                <w:color w:val="auto"/>
              </w:rPr>
              <w:t>Holding, LLP</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Holdings, LLC</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100" w:type="dxa"/>
            <w:vAlign w:val="bottom"/>
            <w:tcBorders>
              <w:left w:val="single" w:sz="8" w:color="auto"/>
              <w:right w:val="single" w:sz="8" w:color="auto"/>
            </w:tcBorders>
            <w:vMerge w:val="continue"/>
          </w:tcPr>
          <w:p>
            <w:pPr>
              <w:spacing w:after="0"/>
              <w:rPr>
                <w:sz w:val="4"/>
                <w:szCs w:val="4"/>
                <w:color w:val="auto"/>
              </w:rPr>
            </w:pPr>
          </w:p>
        </w:tc>
        <w:tc>
          <w:tcPr>
            <w:tcW w:w="444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191.Masco Energy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47-4004312</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192.Trans-Pecos Pipeline,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33% owned by MasTec TPP,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47-2576270</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193.Comanche Trail Pipeline,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33% owned by MasTec Comanche,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Texas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47-3169615</w:t>
            </w:r>
          </w:p>
        </w:tc>
        <w:tc>
          <w:tcPr>
            <w:tcW w:w="0" w:type="dxa"/>
            <w:vAlign w:val="bottom"/>
          </w:tcPr>
          <w:p>
            <w:pPr>
              <w:spacing w:after="0"/>
              <w:rPr>
                <w:sz w:val="1"/>
                <w:szCs w:val="1"/>
                <w:color w:val="auto"/>
              </w:rPr>
            </w:pPr>
          </w:p>
        </w:tc>
      </w:tr>
      <w:tr>
        <w:trPr>
          <w:trHeight w:val="155"/>
        </w:trPr>
        <w:tc>
          <w:tcPr>
            <w:tcW w:w="4100" w:type="dxa"/>
            <w:vAlign w:val="bottom"/>
            <w:tcBorders>
              <w:left w:val="single" w:sz="8" w:color="auto"/>
              <w:right w:val="single" w:sz="8" w:color="auto"/>
            </w:tcBorders>
          </w:tcPr>
          <w:p>
            <w:pPr>
              <w:ind w:left="420"/>
              <w:spacing w:after="0" w:line="155" w:lineRule="exact"/>
              <w:rPr>
                <w:sz w:val="20"/>
                <w:szCs w:val="20"/>
                <w:color w:val="auto"/>
              </w:rPr>
            </w:pPr>
            <w:r>
              <w:rPr>
                <w:rFonts w:ascii="Arial" w:cs="Arial" w:eastAsia="Arial" w:hAnsi="Arial"/>
                <w:sz w:val="17"/>
                <w:szCs w:val="17"/>
                <w:color w:val="auto"/>
              </w:rPr>
              <w:t>194.MasTec Engineering, PLLC</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50% owned by Raphael I. Mohamed; 50% owned by Lee</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North Carolina</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82-1932400</w:t>
            </w:r>
          </w:p>
        </w:tc>
        <w:tc>
          <w:tcPr>
            <w:tcW w:w="0" w:type="dxa"/>
            <w:vAlign w:val="bottom"/>
          </w:tcPr>
          <w:p>
            <w:pPr>
              <w:spacing w:after="0"/>
              <w:rPr>
                <w:sz w:val="1"/>
                <w:szCs w:val="1"/>
                <w:color w:val="auto"/>
              </w:rPr>
            </w:pPr>
          </w:p>
        </w:tc>
      </w:tr>
      <w:tr>
        <w:trPr>
          <w:trHeight w:val="212"/>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Robbins</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195.MCC Investment and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Civil Constructors,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85-4215263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196.Condotte America,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MCC Investment and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65-0012669</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w w:val="99"/>
              </w:rPr>
              <w:t>197.Condotte America Industrial Properties,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27-0366543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198.Condotte America Properties,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26-1602828</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199.Community Condotte de Moya JV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37-1585067</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200.Condotte de Moya JV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Condotte America,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03-0569589</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201.FNF Acquisition,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202.Hanging H Companies,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26-4674139</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203.MasTec Infrastructure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86-2381513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204.Infrastructure Development Holdings,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45-3157075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205.Infrastructure Holdings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26-0888075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206.FNF Construction,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Infrastructure Holdings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86-0474623</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207.FNF New Mexico,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New 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26-3909785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208.Bakken Aggregates,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45-5056555</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209.Florence 80,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81-3027400</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210.Thornton 40,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84-4677394</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211.Three-Way 28,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84-4677114</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7"/>
                <w:szCs w:val="17"/>
                <w:color w:val="auto"/>
              </w:rPr>
              <w:t>212.CJ 320,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FNF Construction,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Arizona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84-4677282</w:t>
            </w:r>
          </w:p>
        </w:tc>
        <w:tc>
          <w:tcPr>
            <w:tcW w:w="0" w:type="dxa"/>
            <w:vAlign w:val="bottom"/>
          </w:tcPr>
          <w:p>
            <w:pPr>
              <w:spacing w:after="0"/>
              <w:rPr>
                <w:sz w:val="1"/>
                <w:szCs w:val="1"/>
                <w:color w:val="auto"/>
              </w:rPr>
            </w:pPr>
          </w:p>
        </w:tc>
      </w:tr>
    </w:tbl>
    <w:p>
      <w:pPr>
        <w:sectPr>
          <w:pgSz w:w="11900" w:h="16838" w:orient="portrait"/>
          <w:cols w:equalWidth="0" w:num="1">
            <w:col w:w="11140"/>
          </w:cols>
          <w:pgMar w:left="320" w:top="744" w:right="439" w:bottom="1440" w:gutter="0" w:footer="0" w:header="0"/>
        </w:sectPr>
      </w:pPr>
    </w:p>
    <w:bookmarkStart w:id="306" w:name="page307"/>
    <w:bookmarkEnd w:id="3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213.Phoenix Industrial, Inc.</w:t>
            </w:r>
          </w:p>
        </w:tc>
        <w:tc>
          <w:tcPr>
            <w:tcW w:w="44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Washington</w:t>
            </w:r>
          </w:p>
        </w:tc>
        <w:tc>
          <w:tcPr>
            <w:tcW w:w="13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91-2171667</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214.Intren,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Illinois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36-3772971</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215.Union Real Estate,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Illinois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81-4905175</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216.Byers Engineering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Georgia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58-1117270</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217.Rhino Cable Services,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Pennsylvania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20-2222205</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218.Foothills Energy Services,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Colorado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80-0457444</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219.MasTec Utility Services Company,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Florida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87-1826620</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220.FM USA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87-2419640</w:t>
            </w:r>
          </w:p>
        </w:tc>
      </w:tr>
      <w:tr>
        <w:trPr>
          <w:trHeight w:val="567"/>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i w:val="1"/>
                <w:iCs w:val="1"/>
                <w:color w:val="auto"/>
              </w:rPr>
              <w:t>Foreign Entities</w:t>
            </w:r>
          </w:p>
        </w:tc>
        <w:tc>
          <w:tcPr>
            <w:tcW w:w="4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47.</w:t>
            </w:r>
          </w:p>
        </w:tc>
        <w:tc>
          <w:tcPr>
            <w:tcW w:w="3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rPr>
              <w:t>Aidco de Mexico, S.A. de C.V.</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98% owned by MasTec, Inc., 2% owned by MasTec</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Mexico</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International Holdings, Inc.</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48.</w:t>
            </w:r>
          </w:p>
        </w:tc>
        <w:tc>
          <w:tcPr>
            <w:tcW w:w="3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rPr>
              <w:t>Acietel Mexicana, S.A.</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8"/>
              </w:rPr>
              <w:t>99% owned by MasTec North America, Inc., 1% owned by</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Mexico</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MasTec International Holdings, Inc.</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49.</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Blue Rock Quarries,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Panama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50.</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Canada,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8"/>
              </w:rPr>
              <w:t>100% owned by Pacer Construction Holdings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51.</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Solutions Puerto Rico,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Sole Member – MasTec Cooperatief</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spacing w:after="0"/>
              <w:rPr>
                <w:sz w:val="17"/>
                <w:szCs w:val="17"/>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52.</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All Communication Solutions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53.</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Canadian Holdco,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54. MasTelecom Europe I APS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Denmark</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55. MasTelecom Europe II BV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MasTelecom Europe I APS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Netherlands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56.</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Cooperatief (UA)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99.99% owned by MasTec North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Netherlands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57.</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(Mauritius) Limited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Cooperatief</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Mauritius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58.</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Nsoro MasTec (Mauritius) Limited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60% owned by MasTec (Mauritius) Limited</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Mauritius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59.</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Nsoro MasTec India Private,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Nsoro MasTec (Mauritius) Limited</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India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60.</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Lux Foreign Finance S.a r.l.</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FFH,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Luxembourg</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61. MasTelecom S. DE R.L.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MasTelecom Europe II BV</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62.</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Renewables Construction,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63.</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Pantel Inversiones de Venezuela, CA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Venezuela,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Venezuela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64.</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Burntel Telecommunications, C.A.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50% owned by Pantel Inversiones de Venezuela, CA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Venezuela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Participacoes Do Brasil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66.</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Brasil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88% owned by MasTec Latin America,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67.</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Enterprises, S. de R.L.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99.9%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30"/>
        </w:trPr>
        <w:tc>
          <w:tcPr>
            <w:tcW w:w="660" w:type="dxa"/>
            <w:vAlign w:val="bottom"/>
            <w:tcBorders>
              <w:left w:val="single" w:sz="8" w:color="auto"/>
            </w:tcBorders>
          </w:tcPr>
          <w:p>
            <w:pPr>
              <w:ind w:left="420"/>
              <w:spacing w:after="0"/>
              <w:rPr>
                <w:sz w:val="20"/>
                <w:szCs w:val="20"/>
                <w:color w:val="auto"/>
              </w:rPr>
            </w:pPr>
            <w:r>
              <w:rPr>
                <w:rFonts w:ascii="Arial" w:cs="Arial" w:eastAsia="Arial" w:hAnsi="Arial"/>
                <w:sz w:val="17"/>
                <w:szCs w:val="17"/>
                <w:color w:val="auto"/>
                <w:w w:val="92"/>
              </w:rPr>
              <w:t>68.</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6"/>
              </w:rPr>
              <w:t>MTZ Wireless Telecommunications, S. de R.L.</w:t>
            </w: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100% owned by MTZ Enterprises</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12"/>
        </w:trPr>
        <w:tc>
          <w:tcPr>
            <w:tcW w:w="66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de C.V.</w:t>
            </w:r>
          </w:p>
        </w:tc>
        <w:tc>
          <w:tcPr>
            <w:tcW w:w="44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5"/>
        </w:trPr>
        <w:tc>
          <w:tcPr>
            <w:tcW w:w="6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69.</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Personnel Services, S. de R.L.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70.</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MTZ Energias S. de R.L.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99.97%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71.</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6"/>
              </w:rPr>
              <w:t>MTCO Energias de Mexico, S. de R.L.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 owned by MTZ Enterprises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72.</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MSTEC Enterprises Mexico</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99.97%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r>
    </w:tbl>
    <w:p>
      <w:pPr>
        <w:sectPr>
          <w:pgSz w:w="11900" w:h="16838" w:orient="portrait"/>
          <w:cols w:equalWidth="0" w:num="1">
            <w:col w:w="11140"/>
          </w:cols>
          <w:pgMar w:left="320" w:top="744" w:right="439" w:bottom="1440" w:gutter="0" w:footer="0" w:header="0"/>
        </w:sectPr>
      </w:pPr>
    </w:p>
    <w:bookmarkStart w:id="307" w:name="page308"/>
    <w:bookmarkEnd w:id="3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60" w:type="dxa"/>
            <w:vAlign w:val="bottom"/>
            <w:tcBorders>
              <w:top w:val="single" w:sz="8" w:color="auto"/>
              <w:left w:val="single" w:sz="8" w:color="auto"/>
            </w:tcBorders>
          </w:tcPr>
          <w:p>
            <w:pPr>
              <w:ind w:left="420"/>
              <w:spacing w:after="0"/>
              <w:rPr>
                <w:sz w:val="20"/>
                <w:szCs w:val="20"/>
                <w:color w:val="auto"/>
              </w:rPr>
            </w:pPr>
            <w:r>
              <w:rPr>
                <w:rFonts w:ascii="Arial" w:cs="Arial" w:eastAsia="Arial" w:hAnsi="Arial"/>
                <w:sz w:val="17"/>
                <w:szCs w:val="17"/>
                <w:color w:val="auto"/>
                <w:w w:val="92"/>
              </w:rPr>
              <w:t>73.</w:t>
            </w:r>
          </w:p>
        </w:tc>
        <w:tc>
          <w:tcPr>
            <w:tcW w:w="3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1"/>
              </w:rPr>
              <w:t>MasTec Infraestructuras de Mexico S. de R.L. de</w:t>
            </w:r>
          </w:p>
        </w:tc>
        <w:tc>
          <w:tcPr>
            <w:tcW w:w="44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80% owned by MTZ Energias, S. de R.L. de C.V.</w:t>
            </w:r>
          </w:p>
        </w:tc>
        <w:tc>
          <w:tcPr>
            <w:tcW w:w="13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Mexico</w:t>
            </w:r>
          </w:p>
        </w:tc>
        <w:tc>
          <w:tcPr>
            <w:tcW w:w="1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C.V.</w:t>
            </w:r>
          </w:p>
        </w:tc>
        <w:tc>
          <w:tcPr>
            <w:tcW w:w="44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74.</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Renewables Puerto Rico,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66-0754928</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Puerto Rico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Foreign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76.</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MasCo PR,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66-0754929</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77.</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Engineering, LLP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8"/>
              </w:rPr>
              <w:t>98% owned by MasTec Puerto Rico Engineering Services</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78.</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Precision,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Puerto Rico Holdings,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66-0756097</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79.</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BLDM – Precision,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60% owned by MasTec Precision,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66-0756042</w:t>
            </w:r>
          </w:p>
        </w:tc>
        <w:tc>
          <w:tcPr>
            <w:tcW w:w="0" w:type="dxa"/>
            <w:vAlign w:val="bottom"/>
          </w:tcPr>
          <w:p>
            <w:pPr>
              <w:spacing w:after="0"/>
              <w:rPr>
                <w:sz w:val="1"/>
                <w:szCs w:val="1"/>
                <w:color w:val="auto"/>
              </w:rPr>
            </w:pPr>
          </w:p>
        </w:tc>
      </w:tr>
      <w:tr>
        <w:trPr>
          <w:trHeight w:val="155"/>
        </w:trPr>
        <w:tc>
          <w:tcPr>
            <w:tcW w:w="4100" w:type="dxa"/>
            <w:vAlign w:val="bottom"/>
            <w:tcBorders>
              <w:left w:val="single" w:sz="8" w:color="auto"/>
              <w:right w:val="single" w:sz="8" w:color="auto"/>
            </w:tcBorders>
            <w:gridSpan w:val="2"/>
          </w:tcPr>
          <w:p>
            <w:pPr>
              <w:ind w:left="420"/>
              <w:spacing w:after="0" w:line="155" w:lineRule="exact"/>
              <w:rPr>
                <w:sz w:val="20"/>
                <w:szCs w:val="20"/>
                <w:color w:val="auto"/>
              </w:rPr>
            </w:pPr>
            <w:r>
              <w:rPr>
                <w:rFonts w:ascii="Arial" w:cs="Arial" w:eastAsia="Arial" w:hAnsi="Arial"/>
                <w:sz w:val="17"/>
                <w:szCs w:val="17"/>
                <w:color w:val="auto"/>
              </w:rPr>
              <w:t>80. MasTec Panama, S. de R.L.</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3"/>
              </w:rPr>
              <w:t>99% owned by MasTec Foreign Holdings, LLC; 1% owned by</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Panama</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MasTec Latin America Holdings, LLC</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81.</w:t>
            </w:r>
          </w:p>
        </w:tc>
        <w:tc>
          <w:tcPr>
            <w:tcW w:w="3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w w:val="89"/>
              </w:rPr>
              <w:t>MasTec Servicios Publicos Soterrados, S. de R.L.</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3"/>
              </w:rPr>
              <w:t>99% owned by MasTec Foreign Holdings, LLC; 1% owned by</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Panama</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MasTec Latin America Holdings, LLC</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82.</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Network Services Colombia S.A.S.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Colombia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83.</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MasTec Network Solutions Puerto Rico,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Cooperatief (UA)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84.</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PR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66-0970924</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Bahamas Holdings,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86.</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Lemartec Bahamas,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87.</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Orion – Lemartec Bahamas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35% owned by Lemartec Corporation</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Bahamas</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0"/>
        </w:trPr>
        <w:tc>
          <w:tcPr>
            <w:tcW w:w="660" w:type="dxa"/>
            <w:vAlign w:val="bottom"/>
            <w:tcBorders>
              <w:left w:val="single" w:sz="8" w:color="auto"/>
            </w:tcBorders>
          </w:tcPr>
          <w:p>
            <w:pPr>
              <w:ind w:left="420"/>
              <w:spacing w:after="0" w:line="180" w:lineRule="exact"/>
              <w:rPr>
                <w:sz w:val="20"/>
                <w:szCs w:val="20"/>
                <w:color w:val="auto"/>
              </w:rPr>
            </w:pPr>
            <w:r>
              <w:rPr>
                <w:rFonts w:ascii="Arial" w:cs="Arial" w:eastAsia="Arial" w:hAnsi="Arial"/>
                <w:sz w:val="17"/>
                <w:szCs w:val="17"/>
                <w:color w:val="auto"/>
                <w:w w:val="92"/>
              </w:rPr>
              <w:t>88.</w:t>
            </w:r>
          </w:p>
        </w:tc>
        <w:tc>
          <w:tcPr>
            <w:tcW w:w="344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w w:val="93"/>
              </w:rPr>
              <w:t>Proyectos E Ingenieria De America Latina, S.de</w:t>
            </w:r>
          </w:p>
        </w:tc>
        <w:tc>
          <w:tcPr>
            <w:tcW w:w="444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99% owned by Condotte d’Acqua</w:t>
            </w:r>
          </w:p>
        </w:tc>
        <w:tc>
          <w:tcPr>
            <w:tcW w:w="130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Panama</w:t>
            </w:r>
          </w:p>
        </w:tc>
        <w:tc>
          <w:tcPr>
            <w:tcW w:w="132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4100" w:type="dxa"/>
            <w:vAlign w:val="bottom"/>
            <w:tcBorders>
              <w:left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R.L</w:t>
            </w:r>
          </w:p>
        </w:tc>
        <w:tc>
          <w:tcPr>
            <w:tcW w:w="44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S.r.l., 1% owned by Tierra Santa,</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60" w:type="dxa"/>
            <w:vAlign w:val="bottom"/>
            <w:tcBorders>
              <w:left w:val="single" w:sz="8" w:color="auto"/>
            </w:tcBorders>
          </w:tcPr>
          <w:p>
            <w:pPr>
              <w:spacing w:after="0"/>
              <w:rPr>
                <w:sz w:val="4"/>
                <w:szCs w:val="4"/>
                <w:color w:val="auto"/>
              </w:rPr>
            </w:pPr>
          </w:p>
        </w:tc>
        <w:tc>
          <w:tcPr>
            <w:tcW w:w="3440" w:type="dxa"/>
            <w:vAlign w:val="bottom"/>
            <w:tcBorders>
              <w:right w:val="single" w:sz="8" w:color="auto"/>
            </w:tcBorders>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LLC</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100" w:type="dxa"/>
            <w:vAlign w:val="bottom"/>
            <w:tcBorders>
              <w:left w:val="single" w:sz="8" w:color="auto"/>
              <w:bottom w:val="single" w:sz="8" w:color="auto"/>
              <w:right w:val="single" w:sz="8" w:color="auto"/>
            </w:tcBorders>
            <w:gridSpan w:val="2"/>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7"/>
                <w:szCs w:val="17"/>
                <w:color w:val="auto"/>
              </w:rPr>
              <w:t>89. Hanging H of Canada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Hanging H Companies, LLC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Canada</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55"/>
        </w:trPr>
        <w:tc>
          <w:tcPr>
            <w:tcW w:w="660" w:type="dxa"/>
            <w:vAlign w:val="bottom"/>
            <w:tcBorders>
              <w:left w:val="single" w:sz="8" w:color="auto"/>
            </w:tcBorders>
          </w:tcPr>
          <w:p>
            <w:pPr>
              <w:ind w:left="420"/>
              <w:spacing w:after="0" w:line="155" w:lineRule="exact"/>
              <w:rPr>
                <w:sz w:val="20"/>
                <w:szCs w:val="20"/>
                <w:color w:val="auto"/>
              </w:rPr>
            </w:pPr>
            <w:r>
              <w:rPr>
                <w:rFonts w:ascii="Arial" w:cs="Arial" w:eastAsia="Arial" w:hAnsi="Arial"/>
                <w:sz w:val="17"/>
                <w:szCs w:val="17"/>
                <w:color w:val="auto"/>
                <w:w w:val="92"/>
              </w:rPr>
              <w:t>90.</w:t>
            </w:r>
          </w:p>
        </w:tc>
        <w:tc>
          <w:tcPr>
            <w:tcW w:w="3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color w:val="auto"/>
              </w:rPr>
              <w:t>MasTec Quadgen Wireless LLP</w:t>
            </w:r>
          </w:p>
        </w:tc>
        <w:tc>
          <w:tcPr>
            <w:tcW w:w="4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w w:val="91"/>
              </w:rPr>
              <w:t>99.9% owned by MasTec India Holdings, LLC; 0.1% owned by</w:t>
            </w:r>
          </w:p>
        </w:tc>
        <w:tc>
          <w:tcPr>
            <w:tcW w:w="1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India</w:t>
            </w:r>
          </w:p>
        </w:tc>
        <w:tc>
          <w:tcPr>
            <w:tcW w:w="1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2"/>
        </w:trPr>
        <w:tc>
          <w:tcPr>
            <w:tcW w:w="660" w:type="dxa"/>
            <w:vAlign w:val="bottom"/>
            <w:tcBorders>
              <w:left w:val="single" w:sz="8" w:color="auto"/>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MasTec Foreign Holdings, LLC</w:t>
            </w:r>
          </w:p>
        </w:tc>
        <w:tc>
          <w:tcPr>
            <w:tcW w:w="1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91.</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FM Technology Holdings,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50% owned by MasTec, Inc.</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Puerto Rico</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66-0939410</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7"/>
                <w:szCs w:val="17"/>
                <w:color w:val="auto"/>
                <w:w w:val="92"/>
              </w:rPr>
              <w:t>92.</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CIDE Engenharia,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 owned by MasTec Brasil S/A</w:t>
            </w:r>
          </w:p>
        </w:tc>
        <w:tc>
          <w:tcPr>
            <w:tcW w:w="1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Brazil</w:t>
            </w:r>
          </w:p>
        </w:tc>
        <w:tc>
          <w:tcPr>
            <w:tcW w:w="1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ectPr>
          <w:pgSz w:w="11900" w:h="16838" w:orient="portrait"/>
          <w:cols w:equalWidth="0" w:num="1">
            <w:col w:w="11140"/>
          </w:cols>
          <w:pgMar w:left="320" w:top="744" w:right="4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SCHEDULE 5.13</w:t>
      </w:r>
    </w:p>
    <w:p>
      <w:pPr>
        <w:jc w:val="right"/>
        <w:spacing w:after="0" w:line="205" w:lineRule="auto"/>
        <w:rPr>
          <w:sz w:val="20"/>
          <w:szCs w:val="20"/>
          <w:color w:val="auto"/>
        </w:rPr>
      </w:pPr>
      <w:r>
        <w:rPr>
          <w:rFonts w:ascii="Arial" w:cs="Arial" w:eastAsia="Arial" w:hAnsi="Arial"/>
          <w:sz w:val="18"/>
          <w:szCs w:val="18"/>
          <w:b w:val="1"/>
          <w:bCs w:val="1"/>
          <w:color w:val="auto"/>
        </w:rPr>
        <w:t>Part (d)</w:t>
      </w:r>
    </w:p>
    <w:p>
      <w:pPr>
        <w:jc w:val="center"/>
        <w:spacing w:after="0"/>
        <w:rPr>
          <w:sz w:val="20"/>
          <w:szCs w:val="20"/>
          <w:color w:val="auto"/>
        </w:rPr>
      </w:pPr>
      <w:r>
        <w:rPr>
          <w:rFonts w:ascii="Arial" w:cs="Arial" w:eastAsia="Arial" w:hAnsi="Arial"/>
          <w:sz w:val="17"/>
          <w:szCs w:val="17"/>
          <w:b w:val="1"/>
          <w:bCs w:val="1"/>
          <w:color w:val="auto"/>
        </w:rPr>
        <w:t>UNRESTRICTED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631"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i w:val="1"/>
          <w:iCs w:val="1"/>
          <w:color w:val="auto"/>
        </w:rPr>
        <w:t>SCHEDULE 5.21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40" w:type="dxa"/>
            <w:vAlign w:val="bottom"/>
            <w:gridSpan w:val="2"/>
          </w:tcPr>
          <w:p>
            <w:pPr>
              <w:jc w:val="center"/>
              <w:ind w:right="3280"/>
              <w:spacing w:after="0"/>
              <w:rPr>
                <w:sz w:val="20"/>
                <w:szCs w:val="20"/>
                <w:color w:val="auto"/>
              </w:rPr>
            </w:pPr>
            <w:r>
              <w:rPr>
                <w:rFonts w:ascii="Arial" w:cs="Arial" w:eastAsia="Arial" w:hAnsi="Arial"/>
                <w:sz w:val="17"/>
                <w:szCs w:val="17"/>
                <w:b w:val="1"/>
                <w:bCs w:val="1"/>
                <w:color w:val="auto"/>
                <w:w w:val="97"/>
              </w:rPr>
              <w:t>LABOR MATTERS</w:t>
            </w:r>
          </w:p>
        </w:tc>
      </w:tr>
      <w:tr>
        <w:trPr>
          <w:trHeight w:val="349"/>
        </w:trPr>
        <w:tc>
          <w:tcPr>
            <w:tcW w:w="1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40" w:type="dxa"/>
            <w:vAlign w:val="bottom"/>
            <w:gridSpan w:val="2"/>
          </w:tcPr>
          <w:p>
            <w:pPr>
              <w:jc w:val="center"/>
              <w:ind w:right="3280"/>
              <w:spacing w:after="0"/>
              <w:rPr>
                <w:sz w:val="20"/>
                <w:szCs w:val="20"/>
                <w:color w:val="auto"/>
              </w:rPr>
            </w:pPr>
            <w:r>
              <w:rPr>
                <w:rFonts w:ascii="Arial" w:cs="Arial" w:eastAsia="Arial" w:hAnsi="Arial"/>
                <w:sz w:val="17"/>
                <w:szCs w:val="17"/>
                <w:b w:val="1"/>
                <w:bCs w:val="1"/>
                <w:color w:val="auto"/>
                <w:w w:val="98"/>
              </w:rPr>
              <w:t>T &amp; D LABOR UNION CONTRACTS</w:t>
            </w:r>
          </w:p>
        </w:tc>
      </w:tr>
      <w:tr>
        <w:trPr>
          <w:trHeight w:val="20"/>
        </w:trPr>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4"/>
        </w:trPr>
        <w:tc>
          <w:tcPr>
            <w:tcW w:w="19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3"/>
          </w:tcPr>
          <w:p>
            <w:pPr>
              <w:ind w:left="1160"/>
              <w:spacing w:after="0"/>
              <w:rPr>
                <w:sz w:val="20"/>
                <w:szCs w:val="20"/>
                <w:color w:val="auto"/>
              </w:rPr>
            </w:pPr>
            <w:r>
              <w:rPr>
                <w:rFonts w:ascii="Arial" w:cs="Arial" w:eastAsia="Arial" w:hAnsi="Arial"/>
                <w:sz w:val="17"/>
                <w:szCs w:val="17"/>
                <w:color w:val="auto"/>
              </w:rPr>
              <w:t>T &amp; D POWER, INC. ACTIVE LABOR AGREEMENTS</w:t>
            </w:r>
          </w:p>
        </w:tc>
      </w:tr>
      <w:tr>
        <w:trPr>
          <w:trHeight w:val="200"/>
        </w:trPr>
        <w:tc>
          <w:tcPr>
            <w:tcW w:w="1980" w:type="dxa"/>
            <w:vAlign w:val="bottom"/>
          </w:tcPr>
          <w:p>
            <w:pPr>
              <w:ind w:left="20"/>
              <w:spacing w:after="0"/>
              <w:rPr>
                <w:sz w:val="20"/>
                <w:szCs w:val="20"/>
                <w:color w:val="auto"/>
              </w:rPr>
            </w:pPr>
            <w:r>
              <w:rPr>
                <w:rFonts w:ascii="Arial" w:cs="Arial" w:eastAsia="Arial" w:hAnsi="Arial"/>
                <w:sz w:val="17"/>
                <w:szCs w:val="17"/>
                <w:color w:val="auto"/>
              </w:rPr>
              <w:t>STATE</w:t>
            </w:r>
          </w:p>
        </w:tc>
        <w:tc>
          <w:tcPr>
            <w:tcW w:w="8200" w:type="dxa"/>
            <w:vAlign w:val="bottom"/>
            <w:gridSpan w:val="3"/>
          </w:tcPr>
          <w:p>
            <w:pPr>
              <w:ind w:left="420"/>
              <w:spacing w:after="0"/>
              <w:rPr>
                <w:sz w:val="20"/>
                <w:szCs w:val="20"/>
                <w:color w:val="auto"/>
              </w:rPr>
            </w:pPr>
            <w:r>
              <w:rPr>
                <w:rFonts w:ascii="Arial" w:cs="Arial" w:eastAsia="Arial" w:hAnsi="Arial"/>
                <w:sz w:val="17"/>
                <w:szCs w:val="17"/>
                <w:color w:val="auto"/>
              </w:rPr>
              <w:t>LOCAL</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ARIZONA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769, approved 09-03-2009</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CALIFORNIA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1245, approved 02-02-2011</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CALIFORNIA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47, approved 01-18-2011</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ILLINOIS</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702, approval pending</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INDIANA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1393, as of 07-29-2014</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IOWA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55, approved 08-07-2013</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LOUISIANA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995, approval pending</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MICHIGAN</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876, approved 05-15-16</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MISSOURI</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53, approved 02-26-2015</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MISSOURI</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2, approved 01-28-2020</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NEVADA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396, approved 11-30-2014</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NEW MEXICO</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611, aqpproved 01-23-2020</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NEW YORK</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1249, approved 10-27-2015</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OHIO</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71, approved 02-18-2016</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PENNSYLVANIA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1319, approved 10-25-2012</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TEXAS</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66, approved 01-03-2017</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TEXAS</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602, approved 01-10-2011</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TEXAS</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738, approved 08-23-2016</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TEXAS</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583, approved 08-23-2016</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UTAH</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57, approved 02-21-2011</w:t>
            </w: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WISCONSIN</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2150, approved 01-30-2020</w:t>
            </w:r>
          </w:p>
        </w:tc>
      </w:tr>
      <w:tr>
        <w:trPr>
          <w:trHeight w:val="233"/>
        </w:trPr>
        <w:tc>
          <w:tcPr>
            <w:tcW w:w="1980" w:type="dxa"/>
            <w:vAlign w:val="bottom"/>
          </w:tcPr>
          <w:p>
            <w:pPr>
              <w:ind w:left="180"/>
              <w:spacing w:after="0"/>
              <w:rPr>
                <w:sz w:val="20"/>
                <w:szCs w:val="20"/>
                <w:color w:val="auto"/>
              </w:rPr>
            </w:pPr>
            <w:r>
              <w:rPr>
                <w:rFonts w:ascii="Arial" w:cs="Arial" w:eastAsia="Arial" w:hAnsi="Arial"/>
                <w:sz w:val="18"/>
                <w:szCs w:val="18"/>
                <w:color w:val="auto"/>
              </w:rPr>
              <w:t>W.VIRIGINA</w:t>
            </w:r>
          </w:p>
        </w:tc>
        <w:tc>
          <w:tcPr>
            <w:tcW w:w="8200" w:type="dxa"/>
            <w:vAlign w:val="bottom"/>
            <w:gridSpan w:val="3"/>
          </w:tcPr>
          <w:p>
            <w:pPr>
              <w:ind w:left="500"/>
              <w:spacing w:after="0"/>
              <w:rPr>
                <w:sz w:val="20"/>
                <w:szCs w:val="20"/>
                <w:color w:val="auto"/>
              </w:rPr>
            </w:pPr>
            <w:r>
              <w:rPr>
                <w:rFonts w:ascii="Arial" w:cs="Arial" w:eastAsia="Arial" w:hAnsi="Arial"/>
                <w:sz w:val="18"/>
                <w:szCs w:val="18"/>
                <w:color w:val="auto"/>
              </w:rPr>
              <w:t>IBEW OUTSIDE LINE, LOCAL UNION 317, approved 11-08-2016</w:t>
            </w:r>
          </w:p>
        </w:tc>
      </w:tr>
    </w:tbl>
    <w:p>
      <w:pPr>
        <w:sectPr>
          <w:pgSz w:w="11900" w:h="16838" w:orient="portrait"/>
          <w:cols w:equalWidth="0" w:num="1">
            <w:col w:w="11060"/>
          </w:cols>
          <w:pgMar w:left="420" w:top="1375" w:right="419" w:bottom="1440" w:gutter="0" w:footer="0" w:header="0"/>
        </w:sectPr>
      </w:pPr>
    </w:p>
    <w:bookmarkStart w:id="310" w:name="page311"/>
    <w:bookmarkEnd w:id="310"/>
    <w:p>
      <w:pPr>
        <w:jc w:val="center"/>
        <w:ind w:right="80"/>
        <w:spacing w:after="0"/>
        <w:rPr>
          <w:sz w:val="20"/>
          <w:szCs w:val="20"/>
          <w:color w:val="auto"/>
        </w:rPr>
      </w:pPr>
      <w:r>
        <w:rPr>
          <w:rFonts w:ascii="Arial" w:cs="Arial" w:eastAsia="Arial" w:hAnsi="Arial"/>
          <w:sz w:val="18"/>
          <w:szCs w:val="18"/>
          <w:b w:val="1"/>
          <w:bCs w:val="1"/>
          <w:u w:val="single" w:color="auto"/>
          <w:color w:val="auto"/>
        </w:rPr>
        <w:t>PRECISION LABOR CONTRACTS</w:t>
      </w:r>
    </w:p>
    <w:p>
      <w:pPr>
        <w:spacing w:after="0" w:line="27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Precision is a member of the Pipeline Contractors Association (“PLCA”). The PLCA has entered into various labor contracts with the laborers, operators, teamsters and welders and helpers. These labor agreements are what set the rates for the labor locals in which Precision operates. Precision itself has not entered into these collective bargaining agreements. Instead, the PLCA enters into the agreements on behalf of Precision.</w:t>
      </w: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THREE PHASE LABOR UNION CONTRACTS</w:t>
      </w:r>
    </w:p>
    <w:p>
      <w:pPr>
        <w:spacing w:after="0" w:line="200" w:lineRule="exact"/>
        <w:rPr>
          <w:sz w:val="20"/>
          <w:szCs w:val="20"/>
          <w:color w:val="auto"/>
        </w:rPr>
      </w:pPr>
    </w:p>
    <w:p>
      <w:pPr>
        <w:spacing w:after="0" w:line="234" w:lineRule="exact"/>
        <w:rPr>
          <w:sz w:val="20"/>
          <w:szCs w:val="20"/>
          <w:color w:val="auto"/>
        </w:rPr>
      </w:pPr>
    </w:p>
    <w:p>
      <w:pPr>
        <w:jc w:val="both"/>
        <w:ind w:right="20" w:firstLine="1198"/>
        <w:spacing w:after="0" w:line="219" w:lineRule="auto"/>
        <w:rPr>
          <w:sz w:val="20"/>
          <w:szCs w:val="20"/>
          <w:color w:val="auto"/>
        </w:rPr>
      </w:pPr>
      <w:r>
        <w:rPr>
          <w:rFonts w:ascii="Arial" w:cs="Arial" w:eastAsia="Arial" w:hAnsi="Arial"/>
          <w:sz w:val="18"/>
          <w:szCs w:val="18"/>
          <w:color w:val="auto"/>
        </w:rPr>
        <w:t>Three Phase is a member of the Northeastern Line Constructors Chapter of the National Electrical Contractors Association, Inc. (“NLCC”) which has entered into a Utility Agreement with Local Union No 104 of the International Brotherhood of Electrical Workers 2009-2012, dated August 31, 2009. Three Phase itself has not entered into this agreement. Instead, the NLCC has entered into this agreement on behalf of Three Phase.</w:t>
      </w:r>
    </w:p>
    <w:p>
      <w:pPr>
        <w:spacing w:after="0" w:line="181" w:lineRule="exact"/>
        <w:rPr>
          <w:sz w:val="20"/>
          <w:szCs w:val="20"/>
          <w:color w:val="auto"/>
        </w:rPr>
      </w:pPr>
    </w:p>
    <w:p>
      <w:pPr>
        <w:ind w:left="600" w:hanging="294"/>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196 approved on May 20, 2014.</w:t>
      </w:r>
    </w:p>
    <w:p>
      <w:pPr>
        <w:spacing w:after="0" w:line="229" w:lineRule="exact"/>
        <w:rPr>
          <w:rFonts w:ascii="Arial" w:cs="Arial" w:eastAsia="Arial" w:hAnsi="Arial"/>
          <w:sz w:val="18"/>
          <w:szCs w:val="18"/>
          <w:color w:val="auto"/>
        </w:rPr>
      </w:pPr>
    </w:p>
    <w:p>
      <w:pPr>
        <w:ind w:left="600" w:hanging="294"/>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309 approved on August 1, 2016.</w:t>
      </w:r>
    </w:p>
    <w:p>
      <w:pPr>
        <w:spacing w:after="0" w:line="217" w:lineRule="exact"/>
        <w:rPr>
          <w:rFonts w:ascii="Arial" w:cs="Arial" w:eastAsia="Arial" w:hAnsi="Arial"/>
          <w:sz w:val="18"/>
          <w:szCs w:val="18"/>
          <w:color w:val="auto"/>
        </w:rPr>
      </w:pPr>
    </w:p>
    <w:p>
      <w:pPr>
        <w:ind w:left="600" w:hanging="294"/>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0051 approved on January 14, 2015.</w:t>
      </w:r>
    </w:p>
    <w:p>
      <w:pPr>
        <w:spacing w:after="0" w:line="204" w:lineRule="exact"/>
        <w:rPr>
          <w:rFonts w:ascii="Arial" w:cs="Arial" w:eastAsia="Arial" w:hAnsi="Arial"/>
          <w:sz w:val="18"/>
          <w:szCs w:val="18"/>
          <w:color w:val="auto"/>
        </w:rPr>
      </w:pPr>
    </w:p>
    <w:p>
      <w:pPr>
        <w:ind w:left="600" w:hanging="294"/>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Penn Del Jersey Chapter NECA and I.B.E.W. Local Union 126 approved on August 11, 2010.</w:t>
      </w:r>
    </w:p>
    <w:p>
      <w:pPr>
        <w:spacing w:after="0" w:line="204" w:lineRule="exact"/>
        <w:rPr>
          <w:rFonts w:ascii="Arial" w:cs="Arial" w:eastAsia="Arial" w:hAnsi="Arial"/>
          <w:sz w:val="18"/>
          <w:szCs w:val="18"/>
          <w:color w:val="auto"/>
        </w:rPr>
      </w:pPr>
    </w:p>
    <w:p>
      <w:pPr>
        <w:ind w:left="600" w:right="20" w:hanging="294"/>
        <w:spacing w:after="0" w:line="236" w:lineRule="auto"/>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Middle States Electrical Contractors Association of Chicago and I.B.E.W. Local Union 009 approved on May 27, 2014.</w:t>
      </w:r>
    </w:p>
    <w:p>
      <w:pPr>
        <w:spacing w:after="0" w:line="179" w:lineRule="exact"/>
        <w:rPr>
          <w:rFonts w:ascii="Arial" w:cs="Arial" w:eastAsia="Arial" w:hAnsi="Arial"/>
          <w:sz w:val="18"/>
          <w:szCs w:val="18"/>
          <w:color w:val="auto"/>
        </w:rPr>
      </w:pPr>
    </w:p>
    <w:p>
      <w:pPr>
        <w:ind w:left="600" w:hanging="294"/>
        <w:spacing w:after="0"/>
        <w:tabs>
          <w:tab w:leader="none" w:pos="6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Letter of Assent from the Southwestern Line Contractor Chapter &amp; NECA and I.B.E.W. Local Union 66 approved on June 23, 2014.</w:t>
      </w:r>
    </w:p>
    <w:p>
      <w:pPr>
        <w:spacing w:after="0" w:line="241" w:lineRule="exact"/>
        <w:rPr>
          <w:rFonts w:ascii="Arial" w:cs="Arial" w:eastAsia="Arial" w:hAnsi="Arial"/>
          <w:sz w:val="17"/>
          <w:szCs w:val="17"/>
          <w:color w:val="auto"/>
        </w:rPr>
      </w:pPr>
    </w:p>
    <w:p>
      <w:pPr>
        <w:ind w:left="600" w:hanging="294"/>
        <w:spacing w:after="0"/>
        <w:tabs>
          <w:tab w:leader="none" w:pos="6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Letter of Assent from the Northeastern Line Constructors Chapter, NECA and I.B.E.W. Local Union 104 approved on May 20, 1998.</w:t>
      </w:r>
    </w:p>
    <w:p>
      <w:pPr>
        <w:spacing w:after="0" w:line="228" w:lineRule="exact"/>
        <w:rPr>
          <w:rFonts w:ascii="Arial" w:cs="Arial" w:eastAsia="Arial" w:hAnsi="Arial"/>
          <w:sz w:val="17"/>
          <w:szCs w:val="17"/>
          <w:color w:val="auto"/>
        </w:rPr>
      </w:pPr>
    </w:p>
    <w:p>
      <w:pPr>
        <w:ind w:left="600" w:hanging="294"/>
        <w:spacing w:after="0"/>
        <w:tabs>
          <w:tab w:leader="none" w:pos="6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Letter of Assent from the Northeastern Line Constructors Chapter of NECA and I.B.E.W. Local Union 1249 approved on December 1, 2003.</w:t>
      </w:r>
    </w:p>
    <w:p>
      <w:pPr>
        <w:spacing w:after="0" w:line="227" w:lineRule="exact"/>
        <w:rPr>
          <w:rFonts w:ascii="Arial" w:cs="Arial" w:eastAsia="Arial" w:hAnsi="Arial"/>
          <w:sz w:val="16"/>
          <w:szCs w:val="16"/>
          <w:color w:val="auto"/>
        </w:rPr>
      </w:pPr>
    </w:p>
    <w:p>
      <w:pPr>
        <w:ind w:left="600" w:hanging="294"/>
        <w:spacing w:after="0" w:line="236" w:lineRule="auto"/>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Southern Division – Southern NJ Chapter, Inc. NECA and I.B.E.W. Local Union 351 approved on November 2, 2016.</w:t>
      </w:r>
    </w:p>
    <w:p>
      <w:pPr>
        <w:spacing w:after="0" w:line="179" w:lineRule="exact"/>
        <w:rPr>
          <w:rFonts w:ascii="Arial" w:cs="Arial" w:eastAsia="Arial" w:hAnsi="Arial"/>
          <w:sz w:val="18"/>
          <w:szCs w:val="18"/>
          <w:color w:val="auto"/>
        </w:rPr>
      </w:pPr>
    </w:p>
    <w:p>
      <w:pPr>
        <w:ind w:left="600" w:right="20" w:hanging="294"/>
        <w:spacing w:after="0" w:line="236" w:lineRule="auto"/>
        <w:tabs>
          <w:tab w:leader="none" w:pos="5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Memorandum of Agreement (Local 150 Heavery, Highway &amp; Underground Agreements) with Local Union 150 I.U.O.E., dated August 2, 2016.</w:t>
      </w:r>
    </w:p>
    <w:p>
      <w:pPr>
        <w:spacing w:after="0" w:line="167" w:lineRule="exact"/>
        <w:rPr>
          <w:rFonts w:ascii="Arial" w:cs="Arial" w:eastAsia="Arial" w:hAnsi="Arial"/>
          <w:sz w:val="18"/>
          <w:szCs w:val="18"/>
          <w:color w:val="auto"/>
        </w:rPr>
      </w:pPr>
    </w:p>
    <w:p>
      <w:pPr>
        <w:ind w:left="600" w:right="20" w:hanging="294"/>
        <w:spacing w:after="0" w:line="238" w:lineRule="auto"/>
        <w:tabs>
          <w:tab w:leader="none" w:pos="58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National Distribution Pipeline Agreement Acceptance of Agreement between the United Association of Journeymen and Apprentices of the Plumbing and Pipe Fitting Industry of the United States and Canada and the Distribution Contractors Association dated August 5, 2016.</w:t>
      </w:r>
    </w:p>
    <w:p>
      <w:pPr>
        <w:ind w:left="600" w:hanging="294"/>
        <w:spacing w:after="0" w:line="227" w:lineRule="auto"/>
        <w:tabs>
          <w:tab w:leader="none" w:pos="5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Construction &amp; General Laborers’ District Council of Chicago and Vicinity Independent Construction Industry Collective Bargaining Agreement dated August 3, 2016.</w:t>
      </w:r>
    </w:p>
    <w:p>
      <w:pPr>
        <w:spacing w:after="0" w:line="179" w:lineRule="exact"/>
        <w:rPr>
          <w:rFonts w:ascii="Arial" w:cs="Arial" w:eastAsia="Arial" w:hAnsi="Arial"/>
          <w:sz w:val="18"/>
          <w:szCs w:val="18"/>
          <w:color w:val="auto"/>
        </w:rPr>
      </w:pPr>
    </w:p>
    <w:p>
      <w:pPr>
        <w:ind w:left="600" w:hanging="295"/>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42</w:t>
      </w:r>
    </w:p>
    <w:p>
      <w:pPr>
        <w:spacing w:after="0" w:line="192" w:lineRule="exact"/>
        <w:rPr>
          <w:rFonts w:ascii="Arial" w:cs="Arial" w:eastAsia="Arial" w:hAnsi="Arial"/>
          <w:sz w:val="18"/>
          <w:szCs w:val="18"/>
          <w:color w:val="auto"/>
        </w:rPr>
      </w:pPr>
    </w:p>
    <w:p>
      <w:pPr>
        <w:ind w:left="600" w:hanging="295"/>
        <w:spacing w:after="0"/>
        <w:tabs>
          <w:tab w:leader="none" w:pos="6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02</w:t>
      </w:r>
    </w:p>
    <w:p>
      <w:pPr>
        <w:sectPr>
          <w:pgSz w:w="11900" w:h="16838" w:orient="portrait"/>
          <w:cols w:equalWidth="0" w:num="1">
            <w:col w:w="11000"/>
          </w:cols>
          <w:pgMar w:left="480" w:top="1367" w:right="419" w:bottom="1440" w:gutter="0" w:footer="0" w:header="0"/>
        </w:sectPr>
      </w:pPr>
    </w:p>
    <w:bookmarkStart w:id="311" w:name="page312"/>
    <w:bookmarkEnd w:id="311"/>
    <w:p>
      <w:pPr>
        <w:spacing w:after="0" w:line="94" w:lineRule="exact"/>
        <w:rPr>
          <w:sz w:val="20"/>
          <w:szCs w:val="20"/>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Letter of Assent from the American Line Builders Chapter NECA and IBEW Local Union 702</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Agreement from International Union of Operating Engineers, Local 15 and its Branches, AFL-CIO</w:t>
      </w:r>
    </w:p>
    <w:p>
      <w:pPr>
        <w:spacing w:after="0" w:line="204" w:lineRule="exact"/>
        <w:rPr>
          <w:rFonts w:ascii="Arial" w:cs="Arial" w:eastAsia="Arial" w:hAnsi="Arial"/>
          <w:sz w:val="18"/>
          <w:szCs w:val="18"/>
          <w:color w:val="auto"/>
        </w:rPr>
      </w:pPr>
    </w:p>
    <w:p>
      <w:pPr>
        <w:ind w:left="311" w:hanging="294"/>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Agreement from International Union of Operating Engineers, Local 18 and its Branches, AFL-CIO dated March 29, 2019</w:t>
      </w:r>
    </w:p>
    <w:p>
      <w:pPr>
        <w:spacing w:after="0" w:line="192" w:lineRule="exact"/>
        <w:rPr>
          <w:rFonts w:ascii="Arial" w:cs="Arial" w:eastAsia="Arial" w:hAnsi="Arial"/>
          <w:sz w:val="18"/>
          <w:szCs w:val="18"/>
          <w:color w:val="auto"/>
        </w:rPr>
      </w:pPr>
    </w:p>
    <w:p>
      <w:pPr>
        <w:ind w:left="311" w:hanging="294"/>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Collective Bargaining Agreement Construction General Laborers District Council of Chicago and Vicinity and its Local 681</w:t>
      </w:r>
    </w:p>
    <w:p>
      <w:pPr>
        <w:spacing w:after="0" w:line="204"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189 - KY</w:t>
      </w:r>
    </w:p>
    <w:p>
      <w:pPr>
        <w:spacing w:after="0" w:line="192" w:lineRule="exact"/>
        <w:rPr>
          <w:rFonts w:ascii="Arial" w:cs="Arial" w:eastAsia="Arial" w:hAnsi="Arial"/>
          <w:sz w:val="18"/>
          <w:szCs w:val="18"/>
          <w:color w:val="auto"/>
        </w:rPr>
      </w:pPr>
    </w:p>
    <w:p>
      <w:pPr>
        <w:ind w:left="311" w:hanging="294"/>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Collective Bargaining Agreement Construction General Laborers District Council of Chicago and Vicinity and its Local 68</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265 - OH</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576 - KY</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582 - IL</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710 - MD</w:t>
      </w:r>
    </w:p>
    <w:p>
      <w:pPr>
        <w:spacing w:after="0" w:line="192" w:lineRule="exact"/>
        <w:rPr>
          <w:rFonts w:ascii="Arial" w:cs="Arial" w:eastAsia="Arial" w:hAnsi="Arial"/>
          <w:sz w:val="18"/>
          <w:szCs w:val="18"/>
          <w:color w:val="auto"/>
        </w:rPr>
      </w:pPr>
    </w:p>
    <w:p>
      <w:pPr>
        <w:ind w:left="311" w:hanging="295"/>
        <w:spacing w:after="0"/>
        <w:tabs>
          <w:tab w:leader="none" w:pos="3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LiUNA Local 731 - NY</w:t>
      </w:r>
    </w:p>
    <w:p>
      <w:pPr>
        <w:spacing w:after="0" w:line="192" w:lineRule="exact"/>
        <w:rPr>
          <w:rFonts w:ascii="Arial" w:cs="Arial" w:eastAsia="Arial" w:hAnsi="Arial"/>
          <w:sz w:val="18"/>
          <w:szCs w:val="18"/>
          <w:color w:val="auto"/>
        </w:rPr>
      </w:pPr>
    </w:p>
    <w:p>
      <w:pPr>
        <w:ind w:left="311" w:hanging="294"/>
        <w:spacing w:after="0" w:line="236" w:lineRule="auto"/>
        <w:tabs>
          <w:tab w:leader="none" w:pos="30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Agreement from United Association of Journeymen and Apprentices of the Plumbing and Pipe Fitting Industry of the United States and Canada, AFL-CIO, Local Union 190</w:t>
      </w:r>
    </w:p>
    <w:p>
      <w:pPr>
        <w:spacing w:after="0" w:line="192" w:lineRule="exact"/>
        <w:rPr>
          <w:rFonts w:ascii="Arial" w:cs="Arial" w:eastAsia="Arial" w:hAnsi="Arial"/>
          <w:sz w:val="18"/>
          <w:szCs w:val="18"/>
          <w:color w:val="auto"/>
        </w:rPr>
      </w:pPr>
    </w:p>
    <w:p>
      <w:pPr>
        <w:ind w:left="291" w:right="20" w:hanging="291"/>
        <w:spacing w:after="0" w:line="276" w:lineRule="auto"/>
        <w:tabs>
          <w:tab w:leader="none" w:pos="28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Agreement from United Association of Journeymen and Apprentices of the Plumbing and Pipe Fitting Industry of the United States and Canada, AFL-CIO, Local Union 597</w:t>
      </w:r>
    </w:p>
    <w:p>
      <w:pPr>
        <w:sectPr>
          <w:pgSz w:w="11900" w:h="16838" w:orient="portrait"/>
          <w:cols w:equalWidth="0" w:num="1">
            <w:col w:w="10251"/>
          </w:cols>
          <w:pgMar w:left="769" w:top="1440" w:right="879" w:bottom="1440" w:gutter="0" w:footer="0" w:header="0"/>
        </w:sectPr>
      </w:pPr>
    </w:p>
    <w:bookmarkStart w:id="312" w:name="page313"/>
    <w:bookmarkEnd w:id="312"/>
    <w:p>
      <w:pPr>
        <w:jc w:val="right"/>
        <w:spacing w:after="0"/>
        <w:rPr>
          <w:sz w:val="20"/>
          <w:szCs w:val="20"/>
          <w:color w:val="auto"/>
        </w:rPr>
      </w:pPr>
      <w:r>
        <w:rPr>
          <w:rFonts w:ascii="Arial" w:cs="Arial" w:eastAsia="Arial" w:hAnsi="Arial"/>
          <w:sz w:val="17"/>
          <w:szCs w:val="17"/>
          <w:b w:val="1"/>
          <w:bCs w:val="1"/>
          <w:i w:val="1"/>
          <w:iCs w:val="1"/>
          <w:color w:val="auto"/>
        </w:rPr>
        <w:t>SCHEDULE 6.12(c)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EXCLUDED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080"/>
          </w:cols>
          <w:pgMar w:left="400" w:top="1013" w:right="4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7"/>
          <w:szCs w:val="17"/>
          <w:b w:val="1"/>
          <w:bCs w:val="1"/>
          <w:i w:val="1"/>
          <w:iCs w:val="1"/>
          <w:color w:val="auto"/>
        </w:rPr>
        <w:t>SCHEDULE 7.01</w:t>
      </w:r>
    </w:p>
    <w:p>
      <w:pPr>
        <w:spacing w:after="0" w:line="20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EXISTING LIENS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Liens securing the following cash-collateralized letters of credit:</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780" w:type="dxa"/>
            <w:vAlign w:val="bottom"/>
            <w:gridSpan w:val="3"/>
          </w:tcPr>
          <w:p>
            <w:pPr>
              <w:ind w:left="380"/>
              <w:spacing w:after="0"/>
              <w:rPr>
                <w:sz w:val="20"/>
                <w:szCs w:val="20"/>
                <w:color w:val="auto"/>
              </w:rPr>
            </w:pPr>
            <w:r>
              <w:rPr>
                <w:rFonts w:ascii="Arial" w:cs="Arial" w:eastAsia="Arial" w:hAnsi="Arial"/>
                <w:sz w:val="17"/>
                <w:szCs w:val="17"/>
                <w:color w:val="auto"/>
              </w:rPr>
              <w:t>L/C Issuer</w:t>
            </w: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Obligation Number</w:t>
            </w:r>
          </w:p>
        </w:tc>
        <w:tc>
          <w:tcPr>
            <w:tcW w:w="3420" w:type="dxa"/>
            <w:vAlign w:val="bottom"/>
            <w:gridSpan w:val="2"/>
          </w:tcPr>
          <w:p>
            <w:pPr>
              <w:spacing w:after="0"/>
              <w:rPr>
                <w:sz w:val="20"/>
                <w:szCs w:val="20"/>
                <w:color w:val="auto"/>
              </w:rPr>
            </w:pPr>
            <w:r>
              <w:rPr>
                <w:rFonts w:ascii="Arial" w:cs="Arial" w:eastAsia="Arial" w:hAnsi="Arial"/>
                <w:sz w:val="17"/>
                <w:szCs w:val="17"/>
                <w:color w:val="auto"/>
              </w:rPr>
              <w:t>Outstanding Principal Amount</w:t>
            </w:r>
          </w:p>
        </w:tc>
        <w:tc>
          <w:tcPr>
            <w:tcW w:w="940" w:type="dxa"/>
            <w:vAlign w:val="bottom"/>
          </w:tcPr>
          <w:p>
            <w:pPr>
              <w:spacing w:after="0"/>
              <w:rPr>
                <w:sz w:val="20"/>
                <w:szCs w:val="20"/>
                <w:color w:val="auto"/>
              </w:rPr>
            </w:pPr>
            <w:r>
              <w:rPr>
                <w:rFonts w:ascii="Arial" w:cs="Arial" w:eastAsia="Arial" w:hAnsi="Arial"/>
                <w:sz w:val="17"/>
                <w:szCs w:val="17"/>
                <w:color w:val="auto"/>
                <w:w w:val="90"/>
              </w:rPr>
              <w:t>Maturity Date</w:t>
            </w:r>
          </w:p>
        </w:tc>
      </w:tr>
      <w:tr>
        <w:trPr>
          <w:trHeight w:val="20"/>
        </w:trPr>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30"/>
        </w:trPr>
        <w:tc>
          <w:tcPr>
            <w:tcW w:w="2780" w:type="dxa"/>
            <w:vAlign w:val="bottom"/>
            <w:gridSpan w:val="3"/>
          </w:tcPr>
          <w:p>
            <w:pPr>
              <w:spacing w:after="0"/>
              <w:rPr>
                <w:sz w:val="20"/>
                <w:szCs w:val="20"/>
                <w:color w:val="auto"/>
              </w:rPr>
            </w:pPr>
            <w:r>
              <w:rPr>
                <w:rFonts w:ascii="Arial" w:cs="Arial" w:eastAsia="Arial" w:hAnsi="Arial"/>
                <w:sz w:val="17"/>
                <w:szCs w:val="17"/>
                <w:color w:val="auto"/>
              </w:rPr>
              <w:t>Bank of the West</w:t>
            </w:r>
          </w:p>
        </w:tc>
        <w:tc>
          <w:tcPr>
            <w:tcW w:w="2700" w:type="dxa"/>
            <w:vAlign w:val="bottom"/>
            <w:gridSpan w:val="2"/>
          </w:tcPr>
          <w:p>
            <w:pPr>
              <w:jc w:val="center"/>
              <w:ind w:right="1380"/>
              <w:spacing w:after="0"/>
              <w:rPr>
                <w:sz w:val="20"/>
                <w:szCs w:val="20"/>
                <w:color w:val="auto"/>
              </w:rPr>
            </w:pPr>
            <w:r>
              <w:rPr>
                <w:rFonts w:ascii="Arial" w:cs="Arial" w:eastAsia="Arial" w:hAnsi="Arial"/>
                <w:sz w:val="17"/>
                <w:szCs w:val="17"/>
                <w:color w:val="auto"/>
                <w:w w:val="90"/>
              </w:rPr>
              <w:t>MB60517411</w:t>
            </w: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$400,000</w:t>
            </w:r>
          </w:p>
        </w:tc>
        <w:tc>
          <w:tcPr>
            <w:tcW w:w="1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3/1/2022</w:t>
            </w:r>
          </w:p>
        </w:tc>
      </w:tr>
      <w:tr>
        <w:trPr>
          <w:trHeight w:val="225"/>
        </w:trPr>
        <w:tc>
          <w:tcPr>
            <w:tcW w:w="2780" w:type="dxa"/>
            <w:vAlign w:val="bottom"/>
            <w:gridSpan w:val="3"/>
          </w:tcPr>
          <w:p>
            <w:pPr>
              <w:spacing w:after="0"/>
              <w:rPr>
                <w:sz w:val="20"/>
                <w:szCs w:val="20"/>
                <w:color w:val="auto"/>
              </w:rPr>
            </w:pPr>
            <w:r>
              <w:rPr>
                <w:rFonts w:ascii="Arial" w:cs="Arial" w:eastAsia="Arial" w:hAnsi="Arial"/>
                <w:sz w:val="17"/>
                <w:szCs w:val="17"/>
                <w:color w:val="auto"/>
              </w:rPr>
              <w:t>Bank of the West</w:t>
            </w:r>
          </w:p>
        </w:tc>
        <w:tc>
          <w:tcPr>
            <w:tcW w:w="2700" w:type="dxa"/>
            <w:vAlign w:val="bottom"/>
            <w:gridSpan w:val="2"/>
          </w:tcPr>
          <w:p>
            <w:pPr>
              <w:jc w:val="center"/>
              <w:ind w:right="1380"/>
              <w:spacing w:after="0"/>
              <w:rPr>
                <w:sz w:val="20"/>
                <w:szCs w:val="20"/>
                <w:color w:val="auto"/>
              </w:rPr>
            </w:pPr>
            <w:r>
              <w:rPr>
                <w:rFonts w:ascii="Arial" w:cs="Arial" w:eastAsia="Arial" w:hAnsi="Arial"/>
                <w:sz w:val="17"/>
                <w:szCs w:val="17"/>
                <w:color w:val="auto"/>
                <w:w w:val="90"/>
              </w:rPr>
              <w:t>MB60517417</w:t>
            </w: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$847,000</w:t>
            </w:r>
          </w:p>
        </w:tc>
        <w:tc>
          <w:tcPr>
            <w:tcW w:w="1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4/1/2022</w:t>
            </w:r>
          </w:p>
        </w:tc>
      </w:tr>
      <w:tr>
        <w:trPr>
          <w:trHeight w:val="225"/>
        </w:trPr>
        <w:tc>
          <w:tcPr>
            <w:tcW w:w="2780" w:type="dxa"/>
            <w:vAlign w:val="bottom"/>
            <w:gridSpan w:val="3"/>
          </w:tcPr>
          <w:p>
            <w:pPr>
              <w:spacing w:after="0"/>
              <w:rPr>
                <w:sz w:val="20"/>
                <w:szCs w:val="20"/>
                <w:color w:val="auto"/>
              </w:rPr>
            </w:pPr>
            <w:r>
              <w:rPr>
                <w:rFonts w:ascii="Arial" w:cs="Arial" w:eastAsia="Arial" w:hAnsi="Arial"/>
                <w:sz w:val="17"/>
                <w:szCs w:val="17"/>
                <w:color w:val="auto"/>
              </w:rPr>
              <w:t>PNC Bank, N.A.</w:t>
            </w:r>
          </w:p>
        </w:tc>
        <w:tc>
          <w:tcPr>
            <w:tcW w:w="1300" w:type="dxa"/>
            <w:vAlign w:val="bottom"/>
          </w:tcPr>
          <w:p>
            <w:pPr>
              <w:jc w:val="center"/>
              <w:spacing w:after="0"/>
              <w:rPr>
                <w:sz w:val="20"/>
                <w:szCs w:val="20"/>
                <w:color w:val="auto"/>
              </w:rPr>
            </w:pPr>
            <w:r>
              <w:rPr>
                <w:rFonts w:ascii="Arial" w:cs="Arial" w:eastAsia="Arial" w:hAnsi="Arial"/>
                <w:sz w:val="17"/>
                <w:szCs w:val="17"/>
                <w:color w:val="auto"/>
                <w:w w:val="89"/>
              </w:rPr>
              <w:t>18128309-00-000</w:t>
            </w:r>
          </w:p>
        </w:tc>
        <w:tc>
          <w:tcPr>
            <w:tcW w:w="14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6"/>
              </w:rPr>
              <w:t>$3,500,000</w:t>
            </w:r>
          </w:p>
        </w:tc>
        <w:tc>
          <w:tcPr>
            <w:tcW w:w="1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9"/>
              </w:rPr>
              <w:t>12/15/2021</w:t>
            </w:r>
          </w:p>
        </w:tc>
      </w:tr>
      <w:tr>
        <w:trPr>
          <w:trHeight w:val="225"/>
        </w:trPr>
        <w:tc>
          <w:tcPr>
            <w:tcW w:w="2780" w:type="dxa"/>
            <w:vAlign w:val="bottom"/>
            <w:gridSpan w:val="3"/>
          </w:tcPr>
          <w:p>
            <w:pPr>
              <w:spacing w:after="0"/>
              <w:rPr>
                <w:sz w:val="20"/>
                <w:szCs w:val="20"/>
                <w:color w:val="auto"/>
              </w:rPr>
            </w:pPr>
            <w:r>
              <w:rPr>
                <w:rFonts w:ascii="Arial" w:cs="Arial" w:eastAsia="Arial" w:hAnsi="Arial"/>
                <w:sz w:val="17"/>
                <w:szCs w:val="17"/>
                <w:color w:val="auto"/>
              </w:rPr>
              <w:t>PNC Bank, N.A.</w:t>
            </w:r>
          </w:p>
        </w:tc>
        <w:tc>
          <w:tcPr>
            <w:tcW w:w="1300" w:type="dxa"/>
            <w:vAlign w:val="bottom"/>
          </w:tcPr>
          <w:p>
            <w:pPr>
              <w:jc w:val="center"/>
              <w:spacing w:after="0"/>
              <w:rPr>
                <w:sz w:val="20"/>
                <w:szCs w:val="20"/>
                <w:color w:val="auto"/>
              </w:rPr>
            </w:pPr>
            <w:r>
              <w:rPr>
                <w:rFonts w:ascii="Arial" w:cs="Arial" w:eastAsia="Arial" w:hAnsi="Arial"/>
                <w:sz w:val="17"/>
                <w:szCs w:val="17"/>
                <w:color w:val="auto"/>
                <w:w w:val="89"/>
              </w:rPr>
              <w:t>18128316-00-000</w:t>
            </w:r>
          </w:p>
        </w:tc>
        <w:tc>
          <w:tcPr>
            <w:tcW w:w="14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$25,000</w:t>
            </w:r>
          </w:p>
        </w:tc>
        <w:tc>
          <w:tcPr>
            <w:tcW w:w="1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89"/>
              </w:rPr>
              <w:t>12/31/2024</w:t>
            </w:r>
          </w:p>
        </w:tc>
      </w:tr>
      <w:tr>
        <w:trPr>
          <w:trHeight w:val="225"/>
        </w:trPr>
        <w:tc>
          <w:tcPr>
            <w:tcW w:w="2780" w:type="dxa"/>
            <w:vAlign w:val="bottom"/>
            <w:gridSpan w:val="3"/>
          </w:tcPr>
          <w:p>
            <w:pPr>
              <w:spacing w:after="0"/>
              <w:rPr>
                <w:sz w:val="20"/>
                <w:szCs w:val="20"/>
                <w:color w:val="auto"/>
              </w:rPr>
            </w:pPr>
            <w:r>
              <w:rPr>
                <w:rFonts w:ascii="Arial" w:cs="Arial" w:eastAsia="Arial" w:hAnsi="Arial"/>
                <w:sz w:val="17"/>
                <w:szCs w:val="17"/>
                <w:color w:val="auto"/>
              </w:rPr>
              <w:t>PNC Bank, N.A.</w:t>
            </w:r>
          </w:p>
        </w:tc>
        <w:tc>
          <w:tcPr>
            <w:tcW w:w="1300" w:type="dxa"/>
            <w:vAlign w:val="bottom"/>
          </w:tcPr>
          <w:p>
            <w:pPr>
              <w:jc w:val="center"/>
              <w:spacing w:after="0"/>
              <w:rPr>
                <w:sz w:val="20"/>
                <w:szCs w:val="20"/>
                <w:color w:val="auto"/>
              </w:rPr>
            </w:pPr>
            <w:r>
              <w:rPr>
                <w:rFonts w:ascii="Arial" w:cs="Arial" w:eastAsia="Arial" w:hAnsi="Arial"/>
                <w:sz w:val="17"/>
                <w:szCs w:val="17"/>
                <w:color w:val="auto"/>
                <w:w w:val="89"/>
              </w:rPr>
              <w:t>18133445-00-000</w:t>
            </w:r>
          </w:p>
        </w:tc>
        <w:tc>
          <w:tcPr>
            <w:tcW w:w="14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$88,403</w:t>
            </w:r>
          </w:p>
        </w:tc>
        <w:tc>
          <w:tcPr>
            <w:tcW w:w="1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1/6/2022</w:t>
            </w:r>
          </w:p>
        </w:tc>
      </w:tr>
    </w:tbl>
    <w:p>
      <w:pPr>
        <w:sectPr>
          <w:pgSz w:w="11900" w:h="16838" w:orient="portrait"/>
          <w:cols w:equalWidth="0" w:num="1">
            <w:col w:w="10300"/>
          </w:cols>
          <w:pgMar w:left="560" w:top="1375" w:right="1039" w:bottom="1440" w:gutter="0" w:footer="0" w:header="0"/>
        </w:sectPr>
      </w:pPr>
    </w:p>
    <w:bookmarkStart w:id="314" w:name="page315"/>
    <w:bookmarkEnd w:id="3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3"/>
          </w:tcPr>
          <w:p>
            <w:pPr>
              <w:ind w:left="340"/>
              <w:spacing w:after="0"/>
              <w:rPr>
                <w:sz w:val="20"/>
                <w:szCs w:val="20"/>
                <w:color w:val="auto"/>
              </w:rPr>
            </w:pPr>
            <w:r>
              <w:rPr>
                <w:rFonts w:ascii="Arial" w:cs="Arial" w:eastAsia="Arial" w:hAnsi="Arial"/>
                <w:sz w:val="17"/>
                <w:szCs w:val="17"/>
                <w:b w:val="1"/>
                <w:bCs w:val="1"/>
                <w:i w:val="1"/>
                <w:iCs w:val="1"/>
                <w:color w:val="auto"/>
                <w:w w:val="92"/>
              </w:rPr>
              <w:t>SCHEDULE 7.03</w:t>
            </w:r>
          </w:p>
        </w:tc>
      </w:tr>
      <w:tr>
        <w:trPr>
          <w:trHeight w:val="399"/>
        </w:trPr>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60" w:type="dxa"/>
            <w:vAlign w:val="bottom"/>
            <w:gridSpan w:val="5"/>
          </w:tcPr>
          <w:p>
            <w:pPr>
              <w:jc w:val="center"/>
              <w:ind w:right="1300"/>
              <w:spacing w:after="0"/>
              <w:rPr>
                <w:sz w:val="20"/>
                <w:szCs w:val="20"/>
                <w:color w:val="auto"/>
              </w:rPr>
            </w:pPr>
            <w:r>
              <w:rPr>
                <w:rFonts w:ascii="Arial" w:cs="Arial" w:eastAsia="Arial" w:hAnsi="Arial"/>
                <w:sz w:val="17"/>
                <w:szCs w:val="17"/>
                <w:b w:val="1"/>
                <w:bCs w:val="1"/>
                <w:color w:val="auto"/>
                <w:w w:val="98"/>
              </w:rPr>
              <w:t>EXISTING INDEBTEDNESS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6"/>
        </w:trPr>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6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89"/>
              </w:rPr>
              <w:t>Notes Payable</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3"/>
          </w:tcPr>
          <w:p>
            <w:pPr>
              <w:jc w:val="center"/>
              <w:ind w:right="2980"/>
              <w:spacing w:after="0"/>
              <w:rPr>
                <w:sz w:val="20"/>
                <w:szCs w:val="20"/>
                <w:color w:val="auto"/>
              </w:rPr>
            </w:pPr>
            <w:r>
              <w:rPr>
                <w:rFonts w:ascii="Arial" w:cs="Arial" w:eastAsia="Arial" w:hAnsi="Arial"/>
                <w:sz w:val="18"/>
                <w:szCs w:val="18"/>
                <w:color w:val="auto"/>
                <w:w w:val="91"/>
              </w:rPr>
              <w:t>None.</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6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93"/>
              </w:rPr>
              <w:t>Letters of Credit</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4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w w:val="91"/>
              </w:rPr>
              <w:t>L/C Issuer</w:t>
            </w:r>
          </w:p>
        </w:tc>
        <w:tc>
          <w:tcPr>
            <w:tcW w:w="1300" w:type="dxa"/>
            <w:vAlign w:val="bottom"/>
          </w:tcPr>
          <w:p>
            <w:pPr>
              <w:spacing w:after="0"/>
              <w:rPr>
                <w:sz w:val="24"/>
                <w:szCs w:val="24"/>
                <w:color w:val="auto"/>
              </w:rPr>
            </w:pPr>
          </w:p>
        </w:tc>
        <w:tc>
          <w:tcPr>
            <w:tcW w:w="2480" w:type="dxa"/>
            <w:vAlign w:val="bottom"/>
            <w:gridSpan w:val="3"/>
          </w:tcPr>
          <w:p>
            <w:pPr>
              <w:ind w:left="820"/>
              <w:spacing w:after="0"/>
              <w:rPr>
                <w:sz w:val="20"/>
                <w:szCs w:val="20"/>
                <w:color w:val="auto"/>
              </w:rPr>
            </w:pPr>
            <w:r>
              <w:rPr>
                <w:rFonts w:ascii="Arial" w:cs="Arial" w:eastAsia="Arial" w:hAnsi="Arial"/>
                <w:sz w:val="18"/>
                <w:szCs w:val="18"/>
                <w:b w:val="1"/>
                <w:bCs w:val="1"/>
                <w:color w:val="auto"/>
              </w:rPr>
              <w:t>Obligation Number</w:t>
            </w:r>
          </w:p>
        </w:tc>
        <w:tc>
          <w:tcPr>
            <w:tcW w:w="9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Outstanding Principal Amount</w:t>
            </w:r>
          </w:p>
        </w:tc>
        <w:tc>
          <w:tcPr>
            <w:tcW w:w="4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9"/>
              </w:rPr>
              <w:t>Maturity Date</w:t>
            </w:r>
          </w:p>
        </w:tc>
      </w:tr>
      <w:tr>
        <w:trPr>
          <w:trHeight w:val="20"/>
        </w:trPr>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2600" w:type="dxa"/>
            <w:vAlign w:val="bottom"/>
            <w:gridSpan w:val="3"/>
          </w:tcPr>
          <w:p>
            <w:pPr>
              <w:spacing w:after="0"/>
              <w:rPr>
                <w:sz w:val="20"/>
                <w:szCs w:val="20"/>
                <w:color w:val="auto"/>
              </w:rPr>
            </w:pPr>
            <w:r>
              <w:rPr>
                <w:rFonts w:ascii="Arial" w:cs="Arial" w:eastAsia="Arial" w:hAnsi="Arial"/>
                <w:sz w:val="18"/>
                <w:szCs w:val="18"/>
                <w:color w:val="auto"/>
              </w:rPr>
              <w:t>HSBC Bank USA, N.A.</w:t>
            </w:r>
          </w:p>
        </w:tc>
        <w:tc>
          <w:tcPr>
            <w:tcW w:w="820" w:type="dxa"/>
            <w:vAlign w:val="bottom"/>
          </w:tcPr>
          <w:p>
            <w:pPr>
              <w:spacing w:after="0"/>
              <w:rPr>
                <w:sz w:val="22"/>
                <w:szCs w:val="22"/>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SDCMTN574063</w:t>
            </w: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1"/>
              </w:rPr>
              <w:t>$17,082,994</w:t>
            </w:r>
          </w:p>
        </w:tc>
        <w:tc>
          <w:tcPr>
            <w:tcW w:w="360" w:type="dxa"/>
            <w:vAlign w:val="bottom"/>
          </w:tcPr>
          <w:p>
            <w:pPr>
              <w:spacing w:after="0"/>
              <w:rPr>
                <w:sz w:val="22"/>
                <w:szCs w:val="22"/>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2"/>
              </w:rPr>
              <w:t>9/18/2021</w:t>
            </w:r>
          </w:p>
        </w:tc>
        <w:tc>
          <w:tcPr>
            <w:tcW w:w="20" w:type="dxa"/>
            <w:vAlign w:val="bottom"/>
          </w:tcPr>
          <w:p>
            <w:pPr>
              <w:spacing w:after="0"/>
              <w:rPr>
                <w:sz w:val="22"/>
                <w:szCs w:val="22"/>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HSBC Bank USA, N.A.</w:t>
            </w:r>
          </w:p>
        </w:tc>
        <w:tc>
          <w:tcPr>
            <w:tcW w:w="82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SDCMTN576535</w:t>
            </w: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0"/>
              </w:rPr>
              <w:t>$102,816</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2"/>
              </w:rPr>
              <w:t>4/20/2022</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HSBC Bank USA, N.A.</w:t>
            </w:r>
          </w:p>
        </w:tc>
        <w:tc>
          <w:tcPr>
            <w:tcW w:w="82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SDCMTN578646</w:t>
            </w:r>
          </w:p>
        </w:tc>
        <w:tc>
          <w:tcPr>
            <w:tcW w:w="3340" w:type="dxa"/>
            <w:vAlign w:val="bottom"/>
            <w:gridSpan w:val="2"/>
          </w:tcPr>
          <w:p>
            <w:pPr>
              <w:jc w:val="center"/>
              <w:ind w:left="788"/>
              <w:spacing w:after="0"/>
              <w:rPr>
                <w:sz w:val="20"/>
                <w:szCs w:val="20"/>
                <w:color w:val="auto"/>
              </w:rPr>
            </w:pPr>
            <w:r>
              <w:rPr>
                <w:rFonts w:ascii="Arial" w:cs="Arial" w:eastAsia="Arial" w:hAnsi="Arial"/>
                <w:sz w:val="18"/>
                <w:szCs w:val="18"/>
                <w:color w:val="auto"/>
                <w:w w:val="90"/>
              </w:rPr>
              <w:t>$9,004,529</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0"/>
              </w:rPr>
              <w:t>12/31/2021</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Bank of the West</w:t>
            </w:r>
          </w:p>
        </w:tc>
        <w:tc>
          <w:tcPr>
            <w:tcW w:w="82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MB60517411</w:t>
            </w: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0"/>
              </w:rPr>
              <w:t>$400,000</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4"/>
              </w:rPr>
              <w:t>3/1/2022</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Bank of the West</w:t>
            </w:r>
          </w:p>
        </w:tc>
        <w:tc>
          <w:tcPr>
            <w:tcW w:w="82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MB60517417</w:t>
            </w: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0"/>
              </w:rPr>
              <w:t>$847,000</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4"/>
              </w:rPr>
              <w:t>4/1/2022</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PNC Bank, N.A.</w:t>
            </w:r>
          </w:p>
        </w:tc>
        <w:tc>
          <w:tcPr>
            <w:tcW w:w="2340" w:type="dxa"/>
            <w:vAlign w:val="bottom"/>
            <w:gridSpan w:val="2"/>
          </w:tcPr>
          <w:p>
            <w:pPr>
              <w:jc w:val="center"/>
              <w:ind w:left="728"/>
              <w:spacing w:after="0"/>
              <w:rPr>
                <w:sz w:val="20"/>
                <w:szCs w:val="20"/>
                <w:color w:val="auto"/>
              </w:rPr>
            </w:pPr>
            <w:r>
              <w:rPr>
                <w:rFonts w:ascii="Arial" w:cs="Arial" w:eastAsia="Arial" w:hAnsi="Arial"/>
                <w:sz w:val="18"/>
                <w:szCs w:val="18"/>
                <w:color w:val="auto"/>
                <w:w w:val="92"/>
              </w:rPr>
              <w:t>18128309-00-000</w:t>
            </w:r>
          </w:p>
        </w:tc>
        <w:tc>
          <w:tcPr>
            <w:tcW w:w="140" w:type="dxa"/>
            <w:vAlign w:val="bottom"/>
          </w:tcPr>
          <w:p>
            <w:pPr>
              <w:spacing w:after="0"/>
              <w:rPr>
                <w:sz w:val="20"/>
                <w:szCs w:val="20"/>
                <w:color w:val="auto"/>
              </w:rPr>
            </w:pPr>
          </w:p>
        </w:tc>
        <w:tc>
          <w:tcPr>
            <w:tcW w:w="3340" w:type="dxa"/>
            <w:vAlign w:val="bottom"/>
            <w:gridSpan w:val="2"/>
          </w:tcPr>
          <w:p>
            <w:pPr>
              <w:jc w:val="center"/>
              <w:ind w:left="788"/>
              <w:spacing w:after="0"/>
              <w:rPr>
                <w:sz w:val="20"/>
                <w:szCs w:val="20"/>
                <w:color w:val="auto"/>
              </w:rPr>
            </w:pPr>
            <w:r>
              <w:rPr>
                <w:rFonts w:ascii="Arial" w:cs="Arial" w:eastAsia="Arial" w:hAnsi="Arial"/>
                <w:sz w:val="18"/>
                <w:szCs w:val="18"/>
                <w:color w:val="auto"/>
                <w:w w:val="90"/>
              </w:rPr>
              <w:t>$3,500,000</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0"/>
              </w:rPr>
              <w:t>12/15/2021</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PNC Bank, N.A.</w:t>
            </w:r>
          </w:p>
        </w:tc>
        <w:tc>
          <w:tcPr>
            <w:tcW w:w="2340" w:type="dxa"/>
            <w:vAlign w:val="bottom"/>
            <w:gridSpan w:val="2"/>
          </w:tcPr>
          <w:p>
            <w:pPr>
              <w:jc w:val="center"/>
              <w:ind w:left="728"/>
              <w:spacing w:after="0"/>
              <w:rPr>
                <w:sz w:val="20"/>
                <w:szCs w:val="20"/>
                <w:color w:val="auto"/>
              </w:rPr>
            </w:pPr>
            <w:r>
              <w:rPr>
                <w:rFonts w:ascii="Arial" w:cs="Arial" w:eastAsia="Arial" w:hAnsi="Arial"/>
                <w:sz w:val="18"/>
                <w:szCs w:val="18"/>
                <w:color w:val="auto"/>
                <w:w w:val="92"/>
              </w:rPr>
              <w:t>18128316-00-000</w:t>
            </w:r>
          </w:p>
        </w:tc>
        <w:tc>
          <w:tcPr>
            <w:tcW w:w="140" w:type="dxa"/>
            <w:vAlign w:val="bottom"/>
          </w:tcPr>
          <w:p>
            <w:pPr>
              <w:spacing w:after="0"/>
              <w:rPr>
                <w:sz w:val="20"/>
                <w:szCs w:val="20"/>
                <w:color w:val="auto"/>
              </w:rPr>
            </w:pP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2"/>
              </w:rPr>
              <w:t>$25,000</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0"/>
              </w:rPr>
              <w:t>12/31/2024</w:t>
            </w:r>
          </w:p>
        </w:tc>
        <w:tc>
          <w:tcPr>
            <w:tcW w:w="20" w:type="dxa"/>
            <w:vAlign w:val="bottom"/>
          </w:tcPr>
          <w:p>
            <w:pPr>
              <w:spacing w:after="0"/>
              <w:rPr>
                <w:sz w:val="20"/>
                <w:szCs w:val="20"/>
                <w:color w:val="auto"/>
              </w:rPr>
            </w:pPr>
          </w:p>
        </w:tc>
      </w:tr>
      <w:tr>
        <w:trPr>
          <w:trHeight w:val="237"/>
        </w:trPr>
        <w:tc>
          <w:tcPr>
            <w:tcW w:w="2600" w:type="dxa"/>
            <w:vAlign w:val="bottom"/>
            <w:gridSpan w:val="3"/>
          </w:tcPr>
          <w:p>
            <w:pPr>
              <w:spacing w:after="0"/>
              <w:rPr>
                <w:sz w:val="20"/>
                <w:szCs w:val="20"/>
                <w:color w:val="auto"/>
              </w:rPr>
            </w:pPr>
            <w:r>
              <w:rPr>
                <w:rFonts w:ascii="Arial" w:cs="Arial" w:eastAsia="Arial" w:hAnsi="Arial"/>
                <w:sz w:val="18"/>
                <w:szCs w:val="18"/>
                <w:color w:val="auto"/>
              </w:rPr>
              <w:t>PNC Bank, N.A.</w:t>
            </w:r>
          </w:p>
        </w:tc>
        <w:tc>
          <w:tcPr>
            <w:tcW w:w="2340" w:type="dxa"/>
            <w:vAlign w:val="bottom"/>
            <w:gridSpan w:val="2"/>
          </w:tcPr>
          <w:p>
            <w:pPr>
              <w:jc w:val="center"/>
              <w:ind w:left="728"/>
              <w:spacing w:after="0"/>
              <w:rPr>
                <w:sz w:val="20"/>
                <w:szCs w:val="20"/>
                <w:color w:val="auto"/>
              </w:rPr>
            </w:pPr>
            <w:r>
              <w:rPr>
                <w:rFonts w:ascii="Arial" w:cs="Arial" w:eastAsia="Arial" w:hAnsi="Arial"/>
                <w:sz w:val="18"/>
                <w:szCs w:val="18"/>
                <w:color w:val="auto"/>
                <w:w w:val="92"/>
              </w:rPr>
              <w:t>18133445-00-000</w:t>
            </w:r>
          </w:p>
        </w:tc>
        <w:tc>
          <w:tcPr>
            <w:tcW w:w="140" w:type="dxa"/>
            <w:vAlign w:val="bottom"/>
          </w:tcPr>
          <w:p>
            <w:pPr>
              <w:spacing w:after="0"/>
              <w:rPr>
                <w:sz w:val="20"/>
                <w:szCs w:val="20"/>
                <w:color w:val="auto"/>
              </w:rPr>
            </w:pPr>
          </w:p>
        </w:tc>
        <w:tc>
          <w:tcPr>
            <w:tcW w:w="3340" w:type="dxa"/>
            <w:vAlign w:val="bottom"/>
            <w:gridSpan w:val="2"/>
          </w:tcPr>
          <w:p>
            <w:pPr>
              <w:jc w:val="center"/>
              <w:ind w:left="808"/>
              <w:spacing w:after="0"/>
              <w:rPr>
                <w:sz w:val="20"/>
                <w:szCs w:val="20"/>
                <w:color w:val="auto"/>
              </w:rPr>
            </w:pPr>
            <w:r>
              <w:rPr>
                <w:rFonts w:ascii="Arial" w:cs="Arial" w:eastAsia="Arial" w:hAnsi="Arial"/>
                <w:sz w:val="18"/>
                <w:szCs w:val="18"/>
                <w:color w:val="auto"/>
                <w:w w:val="92"/>
              </w:rPr>
              <w:t>$88,403</w:t>
            </w:r>
          </w:p>
        </w:tc>
        <w:tc>
          <w:tcPr>
            <w:tcW w:w="360" w:type="dxa"/>
            <w:vAlign w:val="bottom"/>
          </w:tcPr>
          <w:p>
            <w:pPr>
              <w:spacing w:after="0"/>
              <w:rPr>
                <w:sz w:val="20"/>
                <w:szCs w:val="20"/>
                <w:color w:val="auto"/>
              </w:rPr>
            </w:pPr>
          </w:p>
        </w:tc>
        <w:tc>
          <w:tcPr>
            <w:tcW w:w="1560" w:type="dxa"/>
            <w:vAlign w:val="bottom"/>
            <w:gridSpan w:val="2"/>
          </w:tcPr>
          <w:p>
            <w:pPr>
              <w:jc w:val="center"/>
              <w:ind w:left="329"/>
              <w:spacing w:after="0"/>
              <w:rPr>
                <w:sz w:val="20"/>
                <w:szCs w:val="20"/>
                <w:color w:val="auto"/>
              </w:rPr>
            </w:pPr>
            <w:r>
              <w:rPr>
                <w:rFonts w:ascii="Arial" w:cs="Arial" w:eastAsia="Arial" w:hAnsi="Arial"/>
                <w:sz w:val="18"/>
                <w:szCs w:val="18"/>
                <w:color w:val="auto"/>
                <w:w w:val="94"/>
              </w:rPr>
              <w:t>1/6/2022</w:t>
            </w:r>
          </w:p>
        </w:tc>
        <w:tc>
          <w:tcPr>
            <w:tcW w:w="20" w:type="dxa"/>
            <w:vAlign w:val="bottom"/>
          </w:tcPr>
          <w:p>
            <w:pPr>
              <w:spacing w:after="0"/>
              <w:rPr>
                <w:sz w:val="20"/>
                <w:szCs w:val="20"/>
                <w:color w:val="auto"/>
              </w:rPr>
            </w:pPr>
          </w:p>
        </w:tc>
      </w:tr>
    </w:tbl>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Other Credit Facilities</w:t>
      </w:r>
    </w:p>
    <w:p>
      <w:pPr>
        <w:spacing w:after="0" w:line="267" w:lineRule="exact"/>
        <w:rPr>
          <w:sz w:val="20"/>
          <w:szCs w:val="20"/>
          <w:color w:val="auto"/>
        </w:rPr>
      </w:pPr>
    </w:p>
    <w:p>
      <w:pPr>
        <w:ind w:left="660" w:right="400" w:hanging="291"/>
        <w:spacing w:after="0" w:line="236"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Indebtedness outstanding under the credit facility between Mastec Canada, Inc., Mastec Canada Projects, Inc. and HSBC Bank Canada, with an aggregate commitment amount of C$20,000,000.</w:t>
      </w:r>
    </w:p>
    <w:p>
      <w:pPr>
        <w:sectPr>
          <w:pgSz w:w="11900" w:h="16838" w:orient="portrait"/>
          <w:cols w:equalWidth="0" w:num="1">
            <w:col w:w="10360"/>
          </w:cols>
          <w:pgMar w:left="500" w:top="1375" w:right="10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b w:val="1"/>
          <w:bCs w:val="1"/>
          <w:i w:val="1"/>
          <w:iCs w:val="1"/>
          <w:color w:val="auto"/>
        </w:rPr>
        <w:t>SCHEDULE 7.08</w:t>
      </w:r>
    </w:p>
    <w:p>
      <w:pPr>
        <w:spacing w:after="0" w:line="200"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EXISTING TRANSACTIONS WITH AFFILIATES</w:t>
      </w: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420"/>
          </w:cols>
          <w:pgMar w:left="1440" w:top="777" w:right="10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7"/>
          <w:szCs w:val="17"/>
          <w:b w:val="1"/>
          <w:bCs w:val="1"/>
          <w:i w:val="1"/>
          <w:iCs w:val="1"/>
          <w:color w:val="auto"/>
        </w:rPr>
        <w:t>SCHEDULE 7.09</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EXISTING BURDENSOME AGREEMENTS</w:t>
      </w:r>
    </w:p>
    <w:p>
      <w:pPr>
        <w:spacing w:after="0" w:line="354" w:lineRule="exact"/>
        <w:rPr>
          <w:sz w:val="20"/>
          <w:szCs w:val="20"/>
          <w:color w:val="auto"/>
        </w:rPr>
      </w:pPr>
    </w:p>
    <w:p>
      <w:pPr>
        <w:ind w:left="300" w:hanging="292"/>
        <w:spacing w:after="0"/>
        <w:tabs>
          <w:tab w:leader="none" w:pos="3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Senior Notes Indenture.</w:t>
      </w:r>
    </w:p>
    <w:p>
      <w:pPr>
        <w:spacing w:after="0" w:line="267" w:lineRule="exact"/>
        <w:rPr>
          <w:rFonts w:ascii="Arial" w:cs="Arial" w:eastAsia="Arial" w:hAnsi="Arial"/>
          <w:sz w:val="18"/>
          <w:szCs w:val="18"/>
          <w:color w:val="auto"/>
        </w:rPr>
      </w:pPr>
    </w:p>
    <w:p>
      <w:pPr>
        <w:ind w:left="300" w:right="20" w:hanging="291"/>
        <w:spacing w:after="0" w:line="236" w:lineRule="auto"/>
        <w:tabs>
          <w:tab w:leader="none" w:pos="3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Indebtedness outstanding under the credit facility between Mastec Canada, Inc., Mastec Canada Projects, Inc. and HSBC Bank Canada, with an aggregate commitment amount of C$20,000,000.</w:t>
      </w:r>
    </w:p>
    <w:p>
      <w:pPr>
        <w:sectPr>
          <w:pgSz w:w="11900" w:h="16838" w:orient="portrait"/>
          <w:cols w:equalWidth="0" w:num="1">
            <w:col w:w="10000"/>
          </w:cols>
          <w:pgMar w:left="860" w:top="1375" w:right="10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i w:val="1"/>
          <w:iCs w:val="1"/>
          <w:color w:val="auto"/>
        </w:rPr>
        <w:t>SCHEDULE 10.02</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ADMINISTRATIVE AGENT’S OFFICE;</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CERTAIN ADDRESSES FOR NOTICES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MasTec,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800 S. Douglas Road, Suite 1200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 33134</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Alberto de Cardenas, Secretary and General Counsel</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305-406-1849</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305-406-1907</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albert.decardenas@mastec.com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Paul DiMarco, Senior Vice President Corporate Finance and Treasurer</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305-406-1885</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305-406-1947</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paul.dimarco@mastec.com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Number(s): 65-0829355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DESIGNATED BORROWER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MasTec North America,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800 S. Douglas Road, Suite 1200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 33134</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Alberto de Cardenas, Secretary and General Counsel</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305-406-1849</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305-406-1907</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albert.decardenas@mastec.com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Paul DiMarco, Senior Vice President Corporate Finance and Treasurer</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305-406-1885</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305-406-1947</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paul.dimarco@mastec.com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www.mastec.com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Number(s): 65-0829357</w:t>
      </w:r>
    </w:p>
    <w:p>
      <w:pPr>
        <w:sectPr>
          <w:pgSz w:w="11900" w:h="16838" w:orient="portrait"/>
          <w:cols w:equalWidth="0" w:num="1">
            <w:col w:w="10540"/>
          </w:cols>
          <w:pgMar w:left="320" w:top="1388" w:right="10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Administrative Agent’s Office (daily borrowing/repaying activity, billing and fee activity):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900 W. Trade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Mailcode: NC1-026-06-04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28255-0001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 Code: NC1-026-06-04</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Patrick Lipps</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980-387-7003</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704-683-7195</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patrick.lipps@bofa.com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 Instructions: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Account No.: 1366072250600</w:t>
      </w:r>
    </w:p>
    <w:p>
      <w:pPr>
        <w:spacing w:after="0" w:line="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7"/>
          <w:szCs w:val="17"/>
          <w:color w:val="auto"/>
        </w:rPr>
        <w:t>MASTEC, INC.</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Wire Clearing Acct for Syn Loans - LIQ</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6"/>
          <w:szCs w:val="16"/>
          <w:color w:val="auto"/>
        </w:rPr>
        <w:t>026009593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Notices as 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(Agency related questions, financial reporting requirements, bank group related issues, etc):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Contact</w:t>
      </w:r>
      <w:r>
        <w:rPr>
          <w:rFonts w:ascii="Arial" w:cs="Arial" w:eastAsia="Arial" w:hAnsi="Arial"/>
          <w:sz w:val="18"/>
          <w:szCs w:val="18"/>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540 W. Madison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Mailcode: IL4-540-22-29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60661</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Felicia Brinson, Agency Management Officer</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312-828-7299</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877-216-2432</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felicia.brinson@bofa.com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Secondary 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540 W. Madison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Mailcode: IL4-540-22-29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60661</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Elizabeth Uribe</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312-828-5060</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877-216-2432</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elizabeth.uribe@bofa.com</w:t>
      </w:r>
    </w:p>
    <w:p>
      <w:pPr>
        <w:sectPr>
          <w:pgSz w:w="11900" w:h="16838" w:orient="portrait"/>
          <w:cols w:equalWidth="0" w:num="1">
            <w:col w:w="10139"/>
          </w:cols>
          <w:pgMar w:left="320" w:top="1317" w:right="1440"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auto"/>
        </w:rPr>
        <w:t>CREDIT CONTACT: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701 Brickell Avenue</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Julia Rocawich</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305-347-2770</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877-216-2432</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julia.rocawich@baml.com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L/C ISSUER: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Kimberly Corcoran</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kimberly.corcoran@bofa.com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SWING LINE LENDER: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900 W. Trade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Mailcode: NC1-026-06-04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28255-0001</w:t>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Patrick Lipps</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980-387-7003</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704-683-7195</w:t>
      </w:r>
    </w:p>
    <w:p>
      <w:pPr>
        <w:spacing w:after="0" w:line="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patrick.lipps@bofa.com</w:t>
      </w:r>
    </w:p>
    <w:p>
      <w:pPr>
        <w:sectPr>
          <w:pgSz w:w="11900" w:h="16838" w:orient="portrait"/>
          <w:cols w:equalWidth="0" w:num="1">
            <w:col w:w="10139"/>
          </w:cols>
          <w:pgMar w:left="320" w:top="1317" w:right="1440" w:bottom="1440" w:gutter="0" w:footer="0" w:header="0"/>
        </w:sectPr>
      </w:pPr>
    </w:p>
    <w:bookmarkStart w:id="320" w:name="page321"/>
    <w:bookmarkEnd w:id="320"/>
    <w:p>
      <w:pPr>
        <w:spacing w:after="0" w:line="9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LOAN NOTICE</w:t>
      </w:r>
    </w:p>
    <w:p>
      <w:pPr>
        <w:spacing w:after="0" w:line="191"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Date: _________, _____</w:t>
      </w:r>
    </w:p>
    <w:p>
      <w:pPr>
        <w:spacing w:after="0" w:line="2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Bank of America, N.A., as Administrative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 L/C Issuer and Swing Line Lender.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The Company hereby requests, on behalf of itself or, if applicable, the Borrower referenced in item 6 below (select one):</w:t>
      </w:r>
    </w:p>
    <w:p>
      <w:pPr>
        <w:spacing w:after="0" w:line="194" w:lineRule="exact"/>
        <w:rPr>
          <w:sz w:val="20"/>
          <w:szCs w:val="20"/>
          <w:color w:val="auto"/>
        </w:rPr>
      </w:pPr>
    </w:p>
    <w:p>
      <w:pPr>
        <w:ind w:left="1040" w:hanging="366"/>
        <w:spacing w:after="0"/>
        <w:tabs>
          <w:tab w:leader="none" w:pos="1040" w:val="left"/>
        </w:tabs>
        <w:numPr>
          <w:ilvl w:val="0"/>
          <w:numId w:val="252"/>
        </w:numPr>
        <w:rPr>
          <w:rFonts w:ascii="MS PGothic" w:cs="MS PGothic" w:eastAsia="MS PGothic" w:hAnsi="MS PGothic"/>
          <w:sz w:val="20"/>
          <w:szCs w:val="20"/>
          <w:color w:val="auto"/>
        </w:rPr>
      </w:pPr>
      <w:r>
        <w:rPr>
          <w:rFonts w:ascii="Arial" w:cs="Arial" w:eastAsia="Arial" w:hAnsi="Arial"/>
          <w:sz w:val="20"/>
          <w:szCs w:val="20"/>
          <w:color w:val="auto"/>
        </w:rPr>
        <w:t>A Borrowing of [Committed (USD) Loans][Committed (MC) Loans][Term Loans]</w:t>
      </w:r>
    </w:p>
    <w:p>
      <w:pPr>
        <w:spacing w:after="0" w:line="69" w:lineRule="exact"/>
        <w:rPr>
          <w:rFonts w:ascii="MS PGothic" w:cs="MS PGothic" w:eastAsia="MS PGothic" w:hAnsi="MS PGothic"/>
          <w:sz w:val="20"/>
          <w:szCs w:val="20"/>
          <w:color w:val="auto"/>
        </w:rPr>
      </w:pPr>
    </w:p>
    <w:p>
      <w:pPr>
        <w:ind w:left="1040" w:hanging="366"/>
        <w:spacing w:after="0"/>
        <w:tabs>
          <w:tab w:leader="none" w:pos="1040" w:val="left"/>
        </w:tabs>
        <w:numPr>
          <w:ilvl w:val="0"/>
          <w:numId w:val="252"/>
        </w:numPr>
        <w:rPr>
          <w:rFonts w:ascii="MS PGothic" w:cs="MS PGothic" w:eastAsia="MS PGothic" w:hAnsi="MS PGothic"/>
          <w:sz w:val="20"/>
          <w:szCs w:val="20"/>
          <w:color w:val="auto"/>
        </w:rPr>
      </w:pPr>
      <w:r>
        <w:rPr>
          <w:rFonts w:ascii="Arial" w:cs="Arial" w:eastAsia="Arial" w:hAnsi="Arial"/>
          <w:sz w:val="20"/>
          <w:szCs w:val="20"/>
          <w:color w:val="auto"/>
        </w:rPr>
        <w:t>A conversion or continuation of [Committed (USD) Loans][Committed (MC) Loans][Term Loans]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20"/>
                <w:szCs w:val="20"/>
                <w:color w:val="auto"/>
              </w:rPr>
              <w:t>1.</w:t>
            </w:r>
          </w:p>
        </w:tc>
        <w:tc>
          <w:tcPr>
            <w:tcW w:w="9120" w:type="dxa"/>
            <w:vAlign w:val="bottom"/>
            <w:gridSpan w:val="10"/>
          </w:tcPr>
          <w:p>
            <w:pPr>
              <w:ind w:left="180"/>
              <w:spacing w:after="0"/>
              <w:rPr>
                <w:sz w:val="20"/>
                <w:szCs w:val="20"/>
                <w:color w:val="auto"/>
              </w:rPr>
            </w:pPr>
            <w:r>
              <w:rPr>
                <w:rFonts w:ascii="Arial" w:cs="Arial" w:eastAsia="Arial" w:hAnsi="Arial"/>
                <w:sz w:val="20"/>
                <w:szCs w:val="20"/>
                <w:color w:val="auto"/>
              </w:rPr>
              <w:t>On   (a Business Day).</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40" w:type="dxa"/>
            <w:vAlign w:val="bottom"/>
          </w:tcPr>
          <w:p>
            <w:pPr>
              <w:spacing w:after="0"/>
              <w:rPr>
                <w:sz w:val="20"/>
                <w:szCs w:val="20"/>
                <w:color w:val="auto"/>
              </w:rPr>
            </w:pPr>
            <w:r>
              <w:rPr>
                <w:rFonts w:ascii="Arial" w:cs="Arial" w:eastAsia="Arial" w:hAnsi="Arial"/>
                <w:sz w:val="20"/>
                <w:szCs w:val="20"/>
                <w:color w:val="auto"/>
              </w:rPr>
              <w:t>2.</w:t>
            </w:r>
          </w:p>
        </w:tc>
        <w:tc>
          <w:tcPr>
            <w:tcW w:w="9120" w:type="dxa"/>
            <w:vAlign w:val="bottom"/>
            <w:gridSpan w:val="10"/>
          </w:tcPr>
          <w:p>
            <w:pPr>
              <w:ind w:left="180"/>
              <w:spacing w:after="0"/>
              <w:rPr>
                <w:sz w:val="20"/>
                <w:szCs w:val="20"/>
                <w:color w:val="auto"/>
              </w:rPr>
            </w:pPr>
            <w:r>
              <w:rPr>
                <w:rFonts w:ascii="Arial" w:cs="Arial" w:eastAsia="Arial" w:hAnsi="Arial"/>
                <w:sz w:val="20"/>
                <w:szCs w:val="20"/>
                <w:color w:val="auto"/>
              </w:rPr>
              <w:t>In the amount of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40" w:type="dxa"/>
            <w:vAlign w:val="bottom"/>
          </w:tcPr>
          <w:p>
            <w:pPr>
              <w:spacing w:after="0"/>
              <w:rPr>
                <w:sz w:val="20"/>
                <w:szCs w:val="20"/>
                <w:color w:val="auto"/>
              </w:rPr>
            </w:pPr>
            <w:r>
              <w:rPr>
                <w:rFonts w:ascii="Arial" w:cs="Arial" w:eastAsia="Arial" w:hAnsi="Arial"/>
                <w:sz w:val="20"/>
                <w:szCs w:val="20"/>
                <w:color w:val="auto"/>
              </w:rPr>
              <w:t>3.</w:t>
            </w:r>
          </w:p>
        </w:tc>
        <w:tc>
          <w:tcPr>
            <w:tcW w:w="9120" w:type="dxa"/>
            <w:vAlign w:val="bottom"/>
            <w:gridSpan w:val="10"/>
          </w:tcPr>
          <w:p>
            <w:pPr>
              <w:ind w:left="180"/>
              <w:spacing w:after="0"/>
              <w:rPr>
                <w:sz w:val="20"/>
                <w:szCs w:val="20"/>
                <w:color w:val="auto"/>
              </w:rPr>
            </w:pPr>
            <w:r>
              <w:rPr>
                <w:rFonts w:ascii="Arial" w:cs="Arial" w:eastAsia="Arial" w:hAnsi="Arial"/>
                <w:sz w:val="20"/>
                <w:szCs w:val="20"/>
                <w:color w:val="auto"/>
              </w:rPr>
              <w:t>Comprised of   .</w:t>
            </w:r>
          </w:p>
        </w:tc>
        <w:tc>
          <w:tcPr>
            <w:tcW w:w="0" w:type="dxa"/>
            <w:vAlign w:val="bottom"/>
          </w:tcPr>
          <w:p>
            <w:pPr>
              <w:spacing w:after="0"/>
              <w:rPr>
                <w:sz w:val="1"/>
                <w:szCs w:val="1"/>
                <w:color w:val="auto"/>
              </w:rPr>
            </w:pPr>
          </w:p>
        </w:tc>
      </w:tr>
      <w:tr>
        <w:trPr>
          <w:trHeight w:val="20"/>
        </w:trPr>
        <w:tc>
          <w:tcPr>
            <w:tcW w:w="1620" w:type="dxa"/>
            <w:vAlign w:val="bottom"/>
            <w:gridSpan w:val="4"/>
            <w:vMerge w:val="restart"/>
          </w:tcPr>
          <w:p>
            <w:pPr>
              <w:spacing w:after="0"/>
              <w:rPr>
                <w:sz w:val="20"/>
                <w:szCs w:val="20"/>
                <w:color w:val="auto"/>
              </w:rPr>
            </w:pPr>
            <w:r>
              <w:rPr>
                <w:rFonts w:ascii="Arial" w:cs="Arial" w:eastAsia="Arial" w:hAnsi="Arial"/>
                <w:sz w:val="20"/>
                <w:szCs w:val="20"/>
                <w:color w:val="auto"/>
                <w:w w:val="91"/>
              </w:rPr>
              <w:t>[Type of Committed</w:t>
            </w: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620" w:type="dxa"/>
            <w:vAlign w:val="bottom"/>
            <w:gridSpan w:val="4"/>
            <w:vMerge w:val="continue"/>
          </w:tcPr>
          <w:p>
            <w:pPr>
              <w:spacing w:after="0"/>
              <w:rPr>
                <w:sz w:val="21"/>
                <w:szCs w:val="21"/>
                <w:color w:val="auto"/>
              </w:rPr>
            </w:pPr>
          </w:p>
        </w:tc>
        <w:tc>
          <w:tcPr>
            <w:tcW w:w="7840" w:type="dxa"/>
            <w:vAlign w:val="bottom"/>
            <w:gridSpan w:val="7"/>
          </w:tcPr>
          <w:p>
            <w:pPr>
              <w:ind w:left="60"/>
              <w:spacing w:after="0"/>
              <w:rPr>
                <w:sz w:val="20"/>
                <w:szCs w:val="20"/>
                <w:color w:val="auto"/>
              </w:rPr>
            </w:pPr>
            <w:r>
              <w:rPr>
                <w:rFonts w:ascii="Arial" w:cs="Arial" w:eastAsia="Arial" w:hAnsi="Arial"/>
                <w:sz w:val="20"/>
                <w:szCs w:val="20"/>
                <w:color w:val="auto"/>
              </w:rPr>
              <w:t>Loan or Term Loan requested]</w:t>
            </w:r>
          </w:p>
        </w:tc>
        <w:tc>
          <w:tcPr>
            <w:tcW w:w="0" w:type="dxa"/>
            <w:vAlign w:val="bottom"/>
          </w:tcPr>
          <w:p>
            <w:pPr>
              <w:spacing w:after="0"/>
              <w:rPr>
                <w:sz w:val="1"/>
                <w:szCs w:val="1"/>
                <w:color w:val="auto"/>
              </w:rPr>
            </w:pPr>
          </w:p>
        </w:tc>
      </w:tr>
      <w:tr>
        <w:trPr>
          <w:trHeight w:val="370"/>
        </w:trPr>
        <w:tc>
          <w:tcPr>
            <w:tcW w:w="340" w:type="dxa"/>
            <w:vAlign w:val="bottom"/>
          </w:tcPr>
          <w:p>
            <w:pPr>
              <w:spacing w:after="0"/>
              <w:rPr>
                <w:sz w:val="20"/>
                <w:szCs w:val="20"/>
                <w:color w:val="auto"/>
              </w:rPr>
            </w:pPr>
            <w:r>
              <w:rPr>
                <w:rFonts w:ascii="Arial" w:cs="Arial" w:eastAsia="Arial" w:hAnsi="Arial"/>
                <w:sz w:val="20"/>
                <w:szCs w:val="20"/>
                <w:color w:val="auto"/>
              </w:rPr>
              <w:t>4.</w:t>
            </w:r>
          </w:p>
        </w:tc>
        <w:tc>
          <w:tcPr>
            <w:tcW w:w="9120" w:type="dxa"/>
            <w:vAlign w:val="bottom"/>
            <w:gridSpan w:val="10"/>
          </w:tcPr>
          <w:p>
            <w:pPr>
              <w:ind w:left="180"/>
              <w:spacing w:after="0"/>
              <w:rPr>
                <w:sz w:val="20"/>
                <w:szCs w:val="20"/>
                <w:color w:val="auto"/>
              </w:rPr>
            </w:pPr>
            <w:r>
              <w:rPr>
                <w:rFonts w:ascii="Arial" w:cs="Arial" w:eastAsia="Arial" w:hAnsi="Arial"/>
                <w:sz w:val="20"/>
                <w:szCs w:val="20"/>
                <w:color w:val="auto"/>
              </w:rPr>
              <w:t>In the following currency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40" w:type="dxa"/>
            <w:vAlign w:val="bottom"/>
          </w:tcPr>
          <w:p>
            <w:pPr>
              <w:spacing w:after="0"/>
              <w:rPr>
                <w:sz w:val="20"/>
                <w:szCs w:val="20"/>
                <w:color w:val="auto"/>
              </w:rPr>
            </w:pPr>
            <w:r>
              <w:rPr>
                <w:rFonts w:ascii="Arial" w:cs="Arial" w:eastAsia="Arial" w:hAnsi="Arial"/>
                <w:sz w:val="20"/>
                <w:szCs w:val="20"/>
                <w:color w:val="auto"/>
              </w:rPr>
              <w:t>5.</w:t>
            </w:r>
          </w:p>
        </w:tc>
        <w:tc>
          <w:tcPr>
            <w:tcW w:w="9120" w:type="dxa"/>
            <w:vAlign w:val="bottom"/>
            <w:gridSpan w:val="10"/>
          </w:tcPr>
          <w:p>
            <w:pPr>
              <w:ind w:left="180"/>
              <w:spacing w:after="0"/>
              <w:rPr>
                <w:sz w:val="20"/>
                <w:szCs w:val="20"/>
                <w:color w:val="auto"/>
              </w:rPr>
            </w:pPr>
            <w:r>
              <w:rPr>
                <w:rFonts w:ascii="Arial" w:cs="Arial" w:eastAsia="Arial" w:hAnsi="Arial"/>
                <w:sz w:val="20"/>
                <w:szCs w:val="20"/>
                <w:color w:val="auto"/>
                <w:w w:val="93"/>
              </w:rPr>
              <w:t>For [Eurocurrency Rate][Alternative Currency Term Rate] Loans: with an Interest Period of   [days][months].</w:t>
            </w:r>
            <w:r>
              <w:rPr>
                <w:rFonts w:ascii="Arial" w:cs="Arial" w:eastAsia="Arial" w:hAnsi="Arial"/>
                <w:sz w:val="13"/>
                <w:szCs w:val="13"/>
                <w:color w:val="auto"/>
                <w:w w:val="93"/>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00" w:hanging="526"/>
        <w:spacing w:after="0"/>
        <w:tabs>
          <w:tab w:leader="none" w:pos="12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On behalf of   </w:t>
      </w:r>
      <w:r>
        <w:rPr>
          <w:rFonts w:ascii="Arial" w:cs="Arial" w:eastAsia="Arial" w:hAnsi="Arial"/>
          <w:sz w:val="20"/>
          <w:szCs w:val="20"/>
          <w:i w:val="1"/>
          <w:iCs w:val="1"/>
          <w:color w:val="auto"/>
        </w:rPr>
        <w:t>[insert name of applicable Borrower]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-14605</wp:posOffset>
            </wp:positionV>
            <wp:extent cx="1587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5" w:lineRule="exact"/>
        <w:rPr>
          <w:sz w:val="20"/>
          <w:szCs w:val="20"/>
          <w:color w:val="auto"/>
        </w:rPr>
      </w:pPr>
    </w:p>
    <w:p>
      <w:pPr>
        <w:ind w:left="240" w:firstLine="598"/>
        <w:spacing w:after="0" w:line="248" w:lineRule="auto"/>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If denominated in Dollars or Canadian Dollars, select one, three or six months or such other period that is twelve months or less requested by the</w:t>
      </w:r>
      <w:r>
        <w:rPr>
          <w:rFonts w:ascii="Arial" w:cs="Arial" w:eastAsia="Arial" w:hAnsi="Arial"/>
          <w:sz w:val="11"/>
          <w:szCs w:val="11"/>
          <w:color w:val="auto"/>
        </w:rPr>
        <w:t xml:space="preserve"> </w:t>
      </w:r>
      <w:r>
        <w:rPr>
          <w:rFonts w:ascii="Arial" w:cs="Arial" w:eastAsia="Arial" w:hAnsi="Arial"/>
          <w:sz w:val="16"/>
          <w:szCs w:val="16"/>
          <w:color w:val="auto"/>
        </w:rPr>
        <w:t>Company and consented to by all the applicable Lenders. If denominated in Mexican Pesos, select 28, 91 or 182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jc w:val="center"/>
        <w:spacing w:after="0" w:line="194" w:lineRule="auto"/>
        <w:rPr>
          <w:sz w:val="20"/>
          <w:szCs w:val="20"/>
          <w:color w:val="auto"/>
        </w:rPr>
      </w:pPr>
      <w:r>
        <w:rPr>
          <w:rFonts w:ascii="Arial" w:cs="Arial" w:eastAsia="Arial" w:hAnsi="Arial"/>
          <w:sz w:val="15"/>
          <w:szCs w:val="15"/>
          <w:color w:val="auto"/>
        </w:rPr>
        <w:t>Form of Loan Notice</w:t>
      </w:r>
    </w:p>
    <w:p>
      <w:pPr>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440" w:right="339" w:bottom="1440" w:gutter="0" w:footer="0" w:header="0"/>
        </w:sectPr>
      </w:pPr>
    </w:p>
    <w:bookmarkStart w:id="321" w:name="page322"/>
    <w:bookmarkEnd w:id="321"/>
    <w:p>
      <w:pPr>
        <w:ind w:left="240" w:firstLine="598"/>
        <w:spacing w:after="0" w:line="246" w:lineRule="auto"/>
        <w:rPr>
          <w:sz w:val="20"/>
          <w:szCs w:val="20"/>
          <w:color w:val="auto"/>
        </w:rPr>
      </w:pPr>
      <w:r>
        <w:rPr>
          <w:rFonts w:ascii="Arial" w:cs="Arial" w:eastAsia="Arial" w:hAnsi="Arial"/>
          <w:sz w:val="20"/>
          <w:szCs w:val="20"/>
          <w:color w:val="auto"/>
        </w:rPr>
        <w:t xml:space="preserve">[The [Committed (USD) Borrowing][Committed (MC) Borrowing], if any, requested herein complies with the proviso to the first sentence of </w:t>
      </w:r>
      <w:r>
        <w:rPr>
          <w:rFonts w:ascii="Arial" w:cs="Arial" w:eastAsia="Arial" w:hAnsi="Arial"/>
          <w:sz w:val="20"/>
          <w:szCs w:val="20"/>
          <w:u w:val="single" w:color="auto"/>
          <w:color w:val="auto"/>
        </w:rPr>
        <w:t>Section 2.01[(a)][(b)]</w:t>
      </w:r>
      <w:r>
        <w:rPr>
          <w:rFonts w:ascii="Arial" w:cs="Arial" w:eastAsia="Arial" w:hAnsi="Arial"/>
          <w:sz w:val="20"/>
          <w:szCs w:val="20"/>
          <w:color w:val="auto"/>
        </w:rPr>
        <w:t xml:space="preserve"> of the Agreement.]</w:t>
      </w:r>
      <w:r>
        <w:rPr>
          <w:rFonts w:ascii="Arial" w:cs="Arial" w:eastAsia="Arial" w:hAnsi="Arial"/>
          <w:sz w:val="13"/>
          <w:szCs w:val="13"/>
          <w:color w:val="auto"/>
        </w:rPr>
        <w:t>2</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MASTEC, INC.</w:t>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 _________________________________</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2 </w:t>
      </w:r>
      <w:r>
        <w:rPr>
          <w:rFonts w:ascii="Arial" w:cs="Arial" w:eastAsia="Arial" w:hAnsi="Arial"/>
          <w:sz w:val="16"/>
          <w:szCs w:val="16"/>
          <w:color w:val="auto"/>
        </w:rPr>
        <w:t>To be deleted when used in connection with a Borrowing of Term Loans.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jc w:val="center"/>
        <w:spacing w:after="0" w:line="194" w:lineRule="auto"/>
        <w:rPr>
          <w:sz w:val="20"/>
          <w:szCs w:val="20"/>
          <w:color w:val="auto"/>
        </w:rPr>
      </w:pPr>
      <w:r>
        <w:rPr>
          <w:rFonts w:ascii="Arial" w:cs="Arial" w:eastAsia="Arial" w:hAnsi="Arial"/>
          <w:sz w:val="15"/>
          <w:szCs w:val="15"/>
          <w:color w:val="auto"/>
        </w:rPr>
        <w:t>Form of Loan Notice</w:t>
      </w:r>
    </w:p>
    <w:p>
      <w:pPr>
        <w:sectPr>
          <w:pgSz w:w="11900" w:h="16838" w:orient="portrait"/>
          <w:cols w:equalWidth="0" w:num="1">
            <w:col w:w="11240"/>
          </w:cols>
          <w:pgMar w:left="320" w:top="1394" w:right="339" w:bottom="1440" w:gutter="0" w:footer="0" w:header="0"/>
        </w:sectPr>
      </w:pPr>
    </w:p>
    <w:p>
      <w:pPr>
        <w:spacing w:after="0"/>
        <w:rPr>
          <w:sz w:val="20"/>
          <w:szCs w:val="20"/>
          <w:color w:val="auto"/>
        </w:rPr>
      </w:pPr>
      <w:r>
        <w:rPr>
          <w:rFonts w:ascii="Arial" w:cs="Arial" w:eastAsia="Arial" w:hAnsi="Arial"/>
          <w:sz w:val="11"/>
          <w:szCs w:val="11"/>
          <w:color w:val="auto"/>
        </w:rPr>
        <w:t>151084595</w:t>
      </w:r>
    </w:p>
    <w:p>
      <w:pPr>
        <w:sectPr>
          <w:pgSz w:w="11900" w:h="16838" w:orient="portrait"/>
          <w:cols w:equalWidth="0" w:num="1">
            <w:col w:w="11240"/>
          </w:cols>
          <w:pgMar w:left="320" w:top="1394" w:right="339" w:bottom="1440" w:gutter="0" w:footer="0" w:header="0"/>
          <w:type w:val="continuous"/>
        </w:sectPr>
      </w:pPr>
    </w:p>
    <w:bookmarkStart w:id="322" w:name="page323"/>
    <w:bookmarkEnd w:id="322"/>
    <w:p>
      <w:pPr>
        <w:jc w:val="right"/>
        <w:spacing w:after="0"/>
        <w:rPr>
          <w:sz w:val="20"/>
          <w:szCs w:val="20"/>
          <w:color w:val="auto"/>
        </w:rPr>
      </w:pPr>
      <w:r>
        <w:rPr>
          <w:rFonts w:ascii="Arial" w:cs="Arial" w:eastAsia="Arial" w:hAnsi="Arial"/>
          <w:sz w:val="17"/>
          <w:szCs w:val="17"/>
          <w:b w:val="1"/>
          <w:bCs w:val="1"/>
          <w:i w:val="1"/>
          <w:iCs w:val="1"/>
          <w:color w:val="auto"/>
        </w:rPr>
        <w:t>EXHIBIT B</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FORM OF SWING LINE LOAN NOTICE</w:t>
      </w:r>
    </w:p>
    <w:p>
      <w:pPr>
        <w:spacing w:after="0" w:line="189" w:lineRule="exact"/>
        <w:rPr>
          <w:sz w:val="20"/>
          <w:szCs w:val="20"/>
          <w:color w:val="auto"/>
        </w:rPr>
      </w:pPr>
    </w:p>
    <w:p>
      <w:pPr>
        <w:ind w:left="9240"/>
        <w:spacing w:after="0"/>
        <w:rPr>
          <w:sz w:val="20"/>
          <w:szCs w:val="20"/>
          <w:color w:val="auto"/>
        </w:rPr>
      </w:pPr>
      <w:r>
        <w:rPr>
          <w:rFonts w:ascii="Arial" w:cs="Arial" w:eastAsia="Arial" w:hAnsi="Arial"/>
          <w:sz w:val="17"/>
          <w:szCs w:val="17"/>
          <w:color w:val="auto"/>
        </w:rPr>
        <w:t>Date__________, _____</w:t>
      </w:r>
    </w:p>
    <w:p>
      <w:pPr>
        <w:spacing w:after="0" w:line="227"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Swing Line Lender</w:t>
      </w:r>
    </w:p>
    <w:p>
      <w:pPr>
        <w:ind w:left="780"/>
        <w:spacing w:after="0"/>
        <w:rPr>
          <w:sz w:val="20"/>
          <w:szCs w:val="20"/>
          <w:color w:val="auto"/>
        </w:rPr>
      </w:pPr>
      <w:r>
        <w:rPr>
          <w:rFonts w:ascii="Arial" w:cs="Arial" w:eastAsia="Arial" w:hAnsi="Arial"/>
          <w:sz w:val="20"/>
          <w:szCs w:val="20"/>
          <w:color w:val="auto"/>
        </w:rPr>
        <w:t>Bank of America, N.A., as Administrative Agent</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269" w:lineRule="exact"/>
        <w:rPr>
          <w:sz w:val="20"/>
          <w:szCs w:val="20"/>
          <w:color w:val="auto"/>
        </w:rPr>
      </w:pPr>
    </w:p>
    <w:p>
      <w:pPr>
        <w:jc w:val="both"/>
        <w:ind w:left="200" w:firstLine="598"/>
        <w:spacing w:after="0" w:line="231" w:lineRule="auto"/>
        <w:rPr>
          <w:sz w:val="20"/>
          <w:szCs w:val="20"/>
          <w:color w:val="auto"/>
        </w:rPr>
      </w:pPr>
      <w:r>
        <w:rPr>
          <w:rFonts w:ascii="Arial" w:cs="Arial" w:eastAsia="Arial" w:hAnsi="Arial"/>
          <w:sz w:val="19"/>
          <w:szCs w:val="19"/>
          <w:color w:val="auto"/>
        </w:rPr>
        <w:t>Reference is made to that certain Credit Agreement, dated as of November 1, 2021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MasTec, Inc., a Florida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MasTec North America, Inc., a Florida corporation (together with the Company,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 L/C Issuer and Swing Line Lender.</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undersigned hereby requests a Swing Line Loan:</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380" w:type="dxa"/>
            <w:vAlign w:val="bottom"/>
          </w:tcPr>
          <w:p>
            <w:pPr>
              <w:jc w:val="right"/>
              <w:ind w:right="120"/>
              <w:spacing w:after="0"/>
              <w:rPr>
                <w:sz w:val="20"/>
                <w:szCs w:val="20"/>
                <w:color w:val="auto"/>
              </w:rPr>
            </w:pPr>
            <w:r>
              <w:rPr>
                <w:rFonts w:ascii="Arial" w:cs="Arial" w:eastAsia="Arial" w:hAnsi="Arial"/>
                <w:sz w:val="20"/>
                <w:szCs w:val="20"/>
                <w:color w:val="auto"/>
                <w:w w:val="83"/>
              </w:rPr>
              <w:t>1.</w:t>
            </w:r>
          </w:p>
        </w:tc>
        <w:tc>
          <w:tcPr>
            <w:tcW w:w="2140" w:type="dxa"/>
            <w:vAlign w:val="bottom"/>
            <w:gridSpan w:val="5"/>
          </w:tcPr>
          <w:p>
            <w:pPr>
              <w:ind w:left="220"/>
              <w:spacing w:after="0"/>
              <w:rPr>
                <w:sz w:val="20"/>
                <w:szCs w:val="20"/>
                <w:color w:val="auto"/>
              </w:rPr>
            </w:pPr>
            <w:r>
              <w:rPr>
                <w:rFonts w:ascii="Arial" w:cs="Arial" w:eastAsia="Arial" w:hAnsi="Arial"/>
                <w:sz w:val="20"/>
                <w:szCs w:val="20"/>
                <w:color w:val="auto"/>
                <w:w w:val="94"/>
              </w:rPr>
              <w:t>On   (a Business Day).</w:t>
            </w: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7"/>
        </w:trPr>
        <w:tc>
          <w:tcPr>
            <w:tcW w:w="380" w:type="dxa"/>
            <w:vAlign w:val="bottom"/>
          </w:tcPr>
          <w:p>
            <w:pPr>
              <w:jc w:val="right"/>
              <w:ind w:right="120"/>
              <w:spacing w:after="0"/>
              <w:rPr>
                <w:sz w:val="20"/>
                <w:szCs w:val="20"/>
                <w:color w:val="auto"/>
              </w:rPr>
            </w:pPr>
            <w:r>
              <w:rPr>
                <w:rFonts w:ascii="Arial" w:cs="Arial" w:eastAsia="Arial" w:hAnsi="Arial"/>
                <w:sz w:val="20"/>
                <w:szCs w:val="20"/>
                <w:color w:val="auto"/>
                <w:w w:val="83"/>
              </w:rPr>
              <w:t>2.</w:t>
            </w:r>
          </w:p>
        </w:tc>
        <w:tc>
          <w:tcPr>
            <w:tcW w:w="2140" w:type="dxa"/>
            <w:vAlign w:val="bottom"/>
            <w:gridSpan w:val="5"/>
          </w:tcPr>
          <w:p>
            <w:pPr>
              <w:ind w:left="220"/>
              <w:spacing w:after="0"/>
              <w:rPr>
                <w:sz w:val="20"/>
                <w:szCs w:val="20"/>
                <w:color w:val="auto"/>
              </w:rPr>
            </w:pPr>
            <w:r>
              <w:rPr>
                <w:rFonts w:ascii="Arial" w:cs="Arial" w:eastAsia="Arial" w:hAnsi="Arial"/>
                <w:sz w:val="20"/>
                <w:szCs w:val="20"/>
                <w:color w:val="auto"/>
              </w:rPr>
              <w:t>In the amount of $   .</w:t>
            </w: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0" w:firstLine="598"/>
        <w:spacing w:after="0" w:line="236" w:lineRule="auto"/>
        <w:rPr>
          <w:sz w:val="20"/>
          <w:szCs w:val="20"/>
          <w:color w:val="auto"/>
        </w:rPr>
      </w:pPr>
      <w:r>
        <w:rPr>
          <w:rFonts w:ascii="Arial" w:cs="Arial" w:eastAsia="Arial" w:hAnsi="Arial"/>
          <w:sz w:val="20"/>
          <w:szCs w:val="20"/>
          <w:color w:val="auto"/>
        </w:rPr>
        <w:t xml:space="preserve">The Swing Line Borrowing requested herein complies with the requirements of the provisos to the first sentence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2.04(a)</w:t>
      </w:r>
      <w:r>
        <w:rPr>
          <w:rFonts w:ascii="Arial" w:cs="Arial" w:eastAsia="Arial" w:hAnsi="Arial"/>
          <w:sz w:val="20"/>
          <w:szCs w:val="20"/>
          <w:color w:val="auto"/>
        </w:rPr>
        <w:t xml:space="preserve"> of the Agreement.</w:t>
      </w:r>
    </w:p>
    <w:p>
      <w:pPr>
        <w:spacing w:after="0" w:line="18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MASTEC, INC.</w:t>
      </w:r>
    </w:p>
    <w:p>
      <w:pPr>
        <w:spacing w:after="0" w:line="193" w:lineRule="exact"/>
        <w:rPr>
          <w:sz w:val="20"/>
          <w:szCs w:val="20"/>
          <w:color w:val="auto"/>
        </w:rPr>
      </w:pPr>
    </w:p>
    <w:p>
      <w:pPr>
        <w:ind w:left="3800"/>
        <w:spacing w:after="0"/>
        <w:tabs>
          <w:tab w:leader="none" w:pos="432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-5080</wp:posOffset>
            </wp:positionV>
            <wp:extent cx="1270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B-1</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Swing Line Loan Notice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00"/>
          </w:cols>
          <w:pgMar w:left="360" w:top="1376" w:right="339" w:bottom="1440" w:gutter="0" w:footer="0" w:header="0"/>
        </w:sectPr>
      </w:pPr>
    </w:p>
    <w:bookmarkStart w:id="323" w:name="page324"/>
    <w:bookmarkEnd w:id="323"/>
    <w:p>
      <w:pPr>
        <w:spacing w:after="0" w:line="160" w:lineRule="exact"/>
        <w:rPr>
          <w:sz w:val="20"/>
          <w:szCs w:val="20"/>
          <w:color w:val="auto"/>
        </w:rPr>
      </w:pPr>
    </w:p>
    <w:p>
      <w:pPr>
        <w:ind w:left="9700"/>
        <w:spacing w:after="0"/>
        <w:rPr>
          <w:sz w:val="20"/>
          <w:szCs w:val="20"/>
          <w:color w:val="auto"/>
        </w:rPr>
      </w:pPr>
      <w:r>
        <w:rPr>
          <w:rFonts w:ascii="Arial" w:cs="Arial" w:eastAsia="Arial" w:hAnsi="Arial"/>
          <w:sz w:val="17"/>
          <w:szCs w:val="17"/>
          <w:b w:val="1"/>
          <w:bCs w:val="1"/>
          <w:i w:val="1"/>
          <w:iCs w:val="1"/>
          <w:color w:val="auto"/>
        </w:rPr>
        <w:t>EXHIBIT 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NOTE</w:t>
      </w:r>
    </w:p>
    <w:p>
      <w:pPr>
        <w:spacing w:after="0" w:line="189" w:lineRule="exact"/>
        <w:rPr>
          <w:sz w:val="20"/>
          <w:szCs w:val="20"/>
          <w:color w:val="auto"/>
        </w:rPr>
      </w:pPr>
    </w:p>
    <w:p>
      <w:pPr>
        <w:ind w:left="9120"/>
        <w:spacing w:after="0"/>
        <w:rPr>
          <w:sz w:val="20"/>
          <w:szCs w:val="20"/>
          <w:color w:val="auto"/>
        </w:rPr>
      </w:pPr>
      <w:r>
        <w:rPr>
          <w:rFonts w:ascii="Arial" w:cs="Arial" w:eastAsia="Arial" w:hAnsi="Arial"/>
          <w:sz w:val="20"/>
          <w:szCs w:val="20"/>
          <w:color w:val="auto"/>
        </w:rPr>
        <w:t>Date__________, 20__</w:t>
      </w:r>
    </w:p>
    <w:p>
      <w:pPr>
        <w:spacing w:after="0" w:line="194" w:lineRule="exact"/>
        <w:rPr>
          <w:sz w:val="20"/>
          <w:szCs w:val="20"/>
          <w:color w:val="auto"/>
        </w:rPr>
      </w:pPr>
    </w:p>
    <w:p>
      <w:pPr>
        <w:jc w:val="both"/>
        <w:ind w:firstLine="599"/>
        <w:spacing w:after="0" w:line="229" w:lineRule="auto"/>
        <w:rPr>
          <w:sz w:val="20"/>
          <w:szCs w:val="20"/>
          <w:color w:val="auto"/>
        </w:rPr>
      </w:pPr>
      <w:r>
        <w:rPr>
          <w:rFonts w:ascii="Arial" w:cs="Arial" w:eastAsia="Arial" w:hAnsi="Arial"/>
          <w:sz w:val="19"/>
          <w:szCs w:val="19"/>
          <w:color w:val="auto"/>
        </w:rPr>
        <w:t>FOR VALUE RECEIVED, each of the undersigned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hereby, jointly and severally, promises to pay to or its registered assigns (the “</w:t>
      </w:r>
      <w:r>
        <w:rPr>
          <w:rFonts w:ascii="Arial" w:cs="Arial" w:eastAsia="Arial" w:hAnsi="Arial"/>
          <w:sz w:val="19"/>
          <w:szCs w:val="19"/>
          <w:u w:val="single" w:color="auto"/>
          <w:color w:val="auto"/>
        </w:rPr>
        <w:t>Lender</w:t>
      </w:r>
      <w:r>
        <w:rPr>
          <w:rFonts w:ascii="Arial" w:cs="Arial" w:eastAsia="Arial" w:hAnsi="Arial"/>
          <w:sz w:val="19"/>
          <w:szCs w:val="19"/>
          <w:color w:val="auto"/>
        </w:rPr>
        <w:t>”), in accordance with the provisions of the Agreement (as hereinafter defined), the principal amount of each Loan from time to time made by the Lender to any Borrower under that certain Credit Agreement, dated as of November 1, 2021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the Borrowers, the Lenders from time to time party thereto, and Bank of America, N.A., as Administrative Agent, L/C Issuer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-535940</wp:posOffset>
            </wp:positionV>
            <wp:extent cx="18224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182245" cy="7620"/>
                    </a:xfrm>
                    <a:prstGeom prst="rect">
                      <a:avLst/>
                    </a:prstGeom>
                    <a:noFill/>
                  </pic:spPr>
                </pic:pic>
              </a:graphicData>
            </a:graphic>
          </wp:anchor>
        </w:drawing>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Each Borrower, jointly and severally, promises to pay interest on the unpaid principal amount of each Loan from the date of such Loan until such principal amount is paid in full, at such interest rates and at such times as provided in the Agreement. Except as otherwise provided in </w:t>
      </w:r>
      <w:r>
        <w:rPr>
          <w:rFonts w:ascii="Arial" w:cs="Arial" w:eastAsia="Arial" w:hAnsi="Arial"/>
          <w:sz w:val="18"/>
          <w:szCs w:val="18"/>
          <w:u w:val="single" w:color="auto"/>
          <w:color w:val="auto"/>
        </w:rPr>
        <w:t>Section 2.04(f)</w:t>
      </w:r>
      <w:r>
        <w:rPr>
          <w:rFonts w:ascii="Arial" w:cs="Arial" w:eastAsia="Arial" w:hAnsi="Arial"/>
          <w:sz w:val="18"/>
          <w:szCs w:val="18"/>
          <w:color w:val="auto"/>
        </w:rPr>
        <w:t xml:space="preserve"> of the Agreement with respect to Swing Line Loans, all payments of principal and interest shall be made to the Administrative Agent for the account of the Lender and in Same Day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83" w:lineRule="exact"/>
        <w:rPr>
          <w:sz w:val="20"/>
          <w:szCs w:val="20"/>
          <w:color w:val="auto"/>
        </w:rPr>
      </w:pPr>
    </w:p>
    <w:p>
      <w:pPr>
        <w:jc w:val="both"/>
        <w:ind w:firstLine="598"/>
        <w:spacing w:after="0" w:line="216" w:lineRule="auto"/>
        <w:rPr>
          <w:sz w:val="20"/>
          <w:szCs w:val="20"/>
          <w:color w:val="auto"/>
        </w:rPr>
      </w:pPr>
      <w:r>
        <w:rPr>
          <w:rFonts w:ascii="Arial" w:cs="Arial" w:eastAsia="Arial" w:hAnsi="Arial"/>
          <w:sz w:val="20"/>
          <w:szCs w:val="20"/>
          <w:color w:val="auto"/>
        </w:rPr>
        <w:t>This Note (this “</w:t>
      </w:r>
      <w:r>
        <w:rPr>
          <w:rFonts w:ascii="Arial" w:cs="Arial" w:eastAsia="Arial" w:hAnsi="Arial"/>
          <w:sz w:val="20"/>
          <w:szCs w:val="20"/>
          <w:u w:val="single" w:color="auto"/>
          <w:color w:val="auto"/>
        </w:rPr>
        <w:t>Note</w:t>
      </w:r>
      <w:r>
        <w:rPr>
          <w:rFonts w:ascii="Arial" w:cs="Arial" w:eastAsia="Arial" w:hAnsi="Arial"/>
          <w:sz w:val="20"/>
          <w:szCs w:val="20"/>
          <w:color w:val="auto"/>
        </w:rPr>
        <w:t>”) is one of the Notes referred to in the Agreement, is entitled to the benefits thereof and may be prepaid in whole or in part subject to the terms and conditions provided therein. This Note is also entitled to the benefits of the Subsidiary Guaranty.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87" w:lineRule="exact"/>
        <w:rPr>
          <w:sz w:val="20"/>
          <w:szCs w:val="20"/>
          <w:color w:val="auto"/>
        </w:rPr>
      </w:pPr>
    </w:p>
    <w:p>
      <w:pPr>
        <w:jc w:val="both"/>
        <w:ind w:firstLine="598"/>
        <w:spacing w:after="0" w:line="236" w:lineRule="auto"/>
        <w:rPr>
          <w:sz w:val="20"/>
          <w:szCs w:val="20"/>
          <w:color w:val="auto"/>
        </w:rPr>
      </w:pPr>
      <w:r>
        <w:rPr>
          <w:rFonts w:ascii="Arial" w:cs="Arial" w:eastAsia="Arial" w:hAnsi="Arial"/>
          <w:sz w:val="20"/>
          <w:szCs w:val="20"/>
          <w:color w:val="auto"/>
        </w:rPr>
        <w:t>Each Borrower, for itself, its successors and assigns, hereby waives diligence, presentment, protest and demand and notice of protest, demand, dishonor and non-payment of this Note.</w:t>
      </w:r>
    </w:p>
    <w:p>
      <w:pPr>
        <w:spacing w:after="0" w:line="172" w:lineRule="exact"/>
        <w:rPr>
          <w:sz w:val="20"/>
          <w:szCs w:val="20"/>
          <w:color w:val="auto"/>
        </w:rPr>
      </w:pPr>
    </w:p>
    <w:p>
      <w:pPr>
        <w:jc w:val="both"/>
        <w:ind w:firstLine="598"/>
        <w:spacing w:after="0" w:line="227" w:lineRule="auto"/>
        <w:rPr>
          <w:sz w:val="20"/>
          <w:szCs w:val="20"/>
          <w:color w:val="auto"/>
        </w:rPr>
      </w:pPr>
      <w:r>
        <w:rPr>
          <w:rFonts w:ascii="Arial" w:cs="Arial" w:eastAsia="Arial" w:hAnsi="Arial"/>
          <w:sz w:val="20"/>
          <w:szCs w:val="20"/>
          <w:color w:val="auto"/>
        </w:rPr>
        <w:t>THIS NOTE SHALL BE GOVERNED BY AND CONSTRUED IN ACCORDANCE WITH THE LAWS OF THE STATE OF NEW YORK, WITHOUT REGARD TO CONFLICTS OF LAW THAT WOULD REQUIRE THE APPLICATION OF THE LAWS OF ANOTHER JURISDICTION.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Notice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440" w:right="339" w:bottom="1440" w:gutter="0" w:footer="0" w:header="0"/>
        </w:sectPr>
      </w:pPr>
    </w:p>
    <w:bookmarkStart w:id="324" w:name="page325"/>
    <w:bookmarkEnd w:id="324"/>
    <w:p>
      <w:pPr>
        <w:ind w:left="560"/>
        <w:spacing w:after="0"/>
        <w:rPr>
          <w:sz w:val="20"/>
          <w:szCs w:val="20"/>
          <w:color w:val="auto"/>
        </w:rPr>
      </w:pPr>
      <w:r>
        <w:rPr>
          <w:rFonts w:ascii="Arial" w:cs="Arial" w:eastAsia="Arial" w:hAnsi="Arial"/>
          <w:sz w:val="18"/>
          <w:szCs w:val="18"/>
          <w:color w:val="auto"/>
        </w:rPr>
        <w:t>IN WITNESS WHEREOF, the undersigned have duly executed this Note as of the date first written above.</w:t>
      </w:r>
    </w:p>
    <w:p>
      <w:pPr>
        <w:sectPr>
          <w:pgSz w:w="11900" w:h="16838" w:orient="portrait"/>
          <w:cols w:equalWidth="0" w:num="1">
            <w:col w:w="10099"/>
          </w:cols>
          <w:pgMar w:left="360" w:top="1306" w:right="1440" w:bottom="1440" w:gutter="0" w:footer="0" w:header="0"/>
        </w:sectPr>
      </w:pPr>
    </w:p>
    <w:p>
      <w:pPr>
        <w:spacing w:after="0" w:line="217"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MASTEC, INC.</w:t>
      </w:r>
    </w:p>
    <w:p>
      <w:pPr>
        <w:spacing w:after="0" w:line="180" w:lineRule="exact"/>
        <w:rPr>
          <w:sz w:val="20"/>
          <w:szCs w:val="20"/>
          <w:color w:val="auto"/>
        </w:rPr>
      </w:pPr>
    </w:p>
    <w:p>
      <w:pPr>
        <w:ind w:left="3800"/>
        <w:spacing w:after="0"/>
        <w:tabs>
          <w:tab w:leader="none" w:pos="432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-5080</wp:posOffset>
            </wp:positionV>
            <wp:extent cx="1270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MASTEC NORTH AMERICA, INC.</w:t>
      </w:r>
    </w:p>
    <w:p>
      <w:pPr>
        <w:spacing w:after="0" w:line="192" w:lineRule="exact"/>
        <w:rPr>
          <w:sz w:val="20"/>
          <w:szCs w:val="20"/>
          <w:color w:val="auto"/>
        </w:rPr>
      </w:pPr>
    </w:p>
    <w:p>
      <w:pPr>
        <w:ind w:left="3800"/>
        <w:spacing w:after="0"/>
        <w:tabs>
          <w:tab w:leader="none" w:pos="432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-5080</wp:posOffset>
            </wp:positionV>
            <wp:extent cx="1270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C-2</w:t>
      </w:r>
    </w:p>
    <w:p>
      <w:pPr>
        <w:spacing w:after="0" w:line="2"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Form of Notice</w:t>
      </w:r>
    </w:p>
    <w:p>
      <w:pPr>
        <w:sectPr>
          <w:pgSz w:w="11900" w:h="16838" w:orient="portrait"/>
          <w:cols w:equalWidth="0" w:num="1">
            <w:col w:w="10099"/>
          </w:cols>
          <w:pgMar w:left="360" w:top="130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151084595</w:t>
      </w:r>
    </w:p>
    <w:p>
      <w:pPr>
        <w:sectPr>
          <w:pgSz w:w="11900" w:h="16838" w:orient="portrait"/>
          <w:cols w:equalWidth="0" w:num="1">
            <w:col w:w="10099"/>
          </w:cols>
          <w:pgMar w:left="360" w:top="1306" w:right="1440" w:bottom="1440" w:gutter="0" w:footer="0" w:header="0"/>
          <w:type w:val="continuous"/>
        </w:sectPr>
      </w:pPr>
    </w:p>
    <w:bookmarkStart w:id="325" w:name="page326"/>
    <w:bookmarkEnd w:id="325"/>
    <w:p>
      <w:pPr>
        <w:jc w:val="center"/>
        <w:spacing w:after="0"/>
        <w:rPr>
          <w:sz w:val="20"/>
          <w:szCs w:val="20"/>
          <w:color w:val="auto"/>
        </w:rPr>
      </w:pPr>
      <w:r>
        <w:rPr>
          <w:rFonts w:ascii="Arial" w:cs="Arial" w:eastAsia="Arial" w:hAnsi="Arial"/>
          <w:sz w:val="17"/>
          <w:szCs w:val="17"/>
          <w:b w:val="1"/>
          <w:bCs w:val="1"/>
          <w:color w:val="auto"/>
        </w:rPr>
        <w:t>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3"/>
              </w:rPr>
              <w:t>Currency and</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Amount of</w:t>
            </w: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Type of Loan</w:t>
            </w:r>
          </w:p>
        </w:tc>
        <w:tc>
          <w:tcPr>
            <w:tcW w:w="1600" w:type="dxa"/>
            <w:vAlign w:val="bottom"/>
            <w:gridSpan w:val="2"/>
            <w:vMerge w:val="continue"/>
          </w:tcPr>
          <w:p>
            <w:pPr>
              <w:spacing w:after="0"/>
              <w:rPr>
                <w:sz w:val="15"/>
                <w:szCs w:val="15"/>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3"/>
              </w:rPr>
              <w:t>End of Interest</w:t>
            </w:r>
          </w:p>
        </w:tc>
        <w:tc>
          <w:tcPr>
            <w:tcW w:w="1620" w:type="dxa"/>
            <w:vAlign w:val="bottom"/>
            <w:gridSpan w:val="2"/>
          </w:tcPr>
          <w:p>
            <w:pPr>
              <w:jc w:val="center"/>
              <w:ind w:right="160"/>
              <w:spacing w:after="0" w:line="175" w:lineRule="exact"/>
              <w:rPr>
                <w:sz w:val="20"/>
                <w:szCs w:val="20"/>
                <w:color w:val="auto"/>
              </w:rPr>
            </w:pPr>
            <w:r>
              <w:rPr>
                <w:rFonts w:ascii="Arial" w:cs="Arial" w:eastAsia="Arial" w:hAnsi="Arial"/>
                <w:sz w:val="18"/>
                <w:szCs w:val="18"/>
                <w:b w:val="1"/>
                <w:bCs w:val="1"/>
                <w:color w:val="auto"/>
                <w:w w:val="94"/>
              </w:rPr>
              <w:t>Principal or</w:t>
            </w:r>
          </w:p>
        </w:tc>
        <w:tc>
          <w:tcPr>
            <w:tcW w:w="1760" w:type="dxa"/>
            <w:vAlign w:val="bottom"/>
            <w:gridSpan w:val="2"/>
            <w:vMerge w:val="continue"/>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Notation Made</w:t>
            </w:r>
          </w:p>
        </w:tc>
        <w:tc>
          <w:tcPr>
            <w:tcW w:w="0" w:type="dxa"/>
            <w:vAlign w:val="bottom"/>
          </w:tcPr>
          <w:p>
            <w:pPr>
              <w:spacing w:after="0"/>
              <w:rPr>
                <w:sz w:val="1"/>
                <w:szCs w:val="1"/>
                <w:color w:val="auto"/>
              </w:rPr>
            </w:pPr>
          </w:p>
        </w:tc>
      </w:tr>
      <w:tr>
        <w:trPr>
          <w:trHeight w:val="175"/>
        </w:trPr>
        <w:tc>
          <w:tcPr>
            <w:tcW w:w="15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Date</w:t>
            </w:r>
          </w:p>
        </w:tc>
        <w:tc>
          <w:tcPr>
            <w:tcW w:w="1600" w:type="dxa"/>
            <w:vAlign w:val="bottom"/>
            <w:gridSpan w:val="2"/>
            <w:vMerge w:val="continue"/>
          </w:tcPr>
          <w:p>
            <w:pPr>
              <w:spacing w:after="0"/>
              <w:rPr>
                <w:sz w:val="15"/>
                <w:szCs w:val="15"/>
                <w:color w:val="auto"/>
              </w:rPr>
            </w:pPr>
          </w:p>
        </w:tc>
        <w:tc>
          <w:tcPr>
            <w:tcW w:w="1600" w:type="dxa"/>
            <w:vAlign w:val="bottom"/>
            <w:gridSpan w:val="2"/>
          </w:tcPr>
          <w:p>
            <w:pPr>
              <w:jc w:val="center"/>
              <w:ind w:right="180"/>
              <w:spacing w:after="0" w:line="175" w:lineRule="exact"/>
              <w:rPr>
                <w:sz w:val="20"/>
                <w:szCs w:val="20"/>
                <w:color w:val="auto"/>
              </w:rPr>
            </w:pPr>
            <w:r>
              <w:rPr>
                <w:rFonts w:ascii="Arial" w:cs="Arial" w:eastAsia="Arial" w:hAnsi="Arial"/>
                <w:sz w:val="18"/>
                <w:szCs w:val="18"/>
                <w:b w:val="1"/>
                <w:bCs w:val="1"/>
                <w:color w:val="auto"/>
                <w:w w:val="94"/>
              </w:rPr>
              <w:t>Amount of Loan</w:t>
            </w:r>
          </w:p>
        </w:tc>
        <w:tc>
          <w:tcPr>
            <w:tcW w:w="1620" w:type="dxa"/>
            <w:vAlign w:val="bottom"/>
            <w:gridSpan w:val="2"/>
            <w:vMerge w:val="continue"/>
          </w:tcPr>
          <w:p>
            <w:pPr>
              <w:spacing w:after="0"/>
              <w:rPr>
                <w:sz w:val="15"/>
                <w:szCs w:val="15"/>
                <w:color w:val="auto"/>
              </w:rPr>
            </w:pPr>
          </w:p>
        </w:tc>
        <w:tc>
          <w:tcPr>
            <w:tcW w:w="1620" w:type="dxa"/>
            <w:vAlign w:val="bottom"/>
            <w:gridSpan w:val="2"/>
          </w:tcPr>
          <w:p>
            <w:pPr>
              <w:jc w:val="center"/>
              <w:ind w:right="180"/>
              <w:spacing w:after="0" w:line="175" w:lineRule="exact"/>
              <w:rPr>
                <w:sz w:val="20"/>
                <w:szCs w:val="20"/>
                <w:color w:val="auto"/>
              </w:rPr>
            </w:pPr>
            <w:r>
              <w:rPr>
                <w:rFonts w:ascii="Arial" w:cs="Arial" w:eastAsia="Arial" w:hAnsi="Arial"/>
                <w:sz w:val="18"/>
                <w:szCs w:val="18"/>
                <w:b w:val="1"/>
                <w:bCs w:val="1"/>
                <w:color w:val="auto"/>
                <w:w w:val="93"/>
              </w:rPr>
              <w:t>Interest Paid This</w:t>
            </w:r>
          </w:p>
        </w:tc>
        <w:tc>
          <w:tcPr>
            <w:tcW w:w="1760" w:type="dxa"/>
            <w:vAlign w:val="bottom"/>
            <w:gridSpan w:val="2"/>
          </w:tcPr>
          <w:p>
            <w:pPr>
              <w:jc w:val="center"/>
              <w:ind w:right="160"/>
              <w:spacing w:after="0" w:line="175" w:lineRule="exact"/>
              <w:rPr>
                <w:sz w:val="20"/>
                <w:szCs w:val="20"/>
                <w:color w:val="auto"/>
              </w:rPr>
            </w:pPr>
            <w:r>
              <w:rPr>
                <w:rFonts w:ascii="Arial" w:cs="Arial" w:eastAsia="Arial" w:hAnsi="Arial"/>
                <w:sz w:val="18"/>
                <w:szCs w:val="18"/>
                <w:b w:val="1"/>
                <w:bCs w:val="1"/>
                <w:color w:val="auto"/>
                <w:w w:val="94"/>
              </w:rPr>
              <w:t>Principal</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80" w:type="dxa"/>
            <w:vAlign w:val="bottom"/>
            <w:gridSpan w:val="2"/>
            <w:vMerge w:val="continue"/>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Made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Made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Period</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Date</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BalanceThis Date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By</w:t>
            </w:r>
          </w:p>
        </w:tc>
        <w:tc>
          <w:tcPr>
            <w:tcW w:w="0" w:type="dxa"/>
            <w:vAlign w:val="bottom"/>
          </w:tcPr>
          <w:p>
            <w:pPr>
              <w:spacing w:after="0"/>
              <w:rPr>
                <w:sz w:val="1"/>
                <w:szCs w:val="1"/>
                <w:color w:val="auto"/>
              </w:rPr>
            </w:pPr>
          </w:p>
        </w:tc>
      </w:tr>
      <w:tr>
        <w:trPr>
          <w:trHeight w:val="300"/>
        </w:trPr>
        <w:tc>
          <w:tcPr>
            <w:tcW w:w="1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Notice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309" w:right="339" w:bottom="1440" w:gutter="0" w:footer="0" w:header="0"/>
        </w:sectPr>
      </w:pPr>
    </w:p>
    <w:bookmarkStart w:id="326" w:name="page327"/>
    <w:bookmarkEnd w:id="326"/>
    <w:p>
      <w:pPr>
        <w:ind w:left="9680"/>
        <w:spacing w:after="0"/>
        <w:rPr>
          <w:sz w:val="20"/>
          <w:szCs w:val="20"/>
          <w:color w:val="auto"/>
        </w:rPr>
      </w:pPr>
      <w:r>
        <w:rPr>
          <w:rFonts w:ascii="Arial" w:cs="Arial" w:eastAsia="Arial" w:hAnsi="Arial"/>
          <w:sz w:val="17"/>
          <w:szCs w:val="17"/>
          <w:b w:val="1"/>
          <w:bCs w:val="1"/>
          <w:i w:val="1"/>
          <w:iCs w:val="1"/>
          <w:color w:val="auto"/>
        </w:rPr>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COMPLIANCE CERTIFICATE</w:t>
      </w:r>
    </w:p>
    <w:p>
      <w:pPr>
        <w:spacing w:after="0" w:line="21" w:lineRule="exact"/>
        <w:rPr>
          <w:sz w:val="20"/>
          <w:szCs w:val="20"/>
          <w:color w:val="auto"/>
        </w:rPr>
      </w:pPr>
    </w:p>
    <w:p>
      <w:pPr>
        <w:jc w:val="center"/>
        <w:spacing w:after="0" w:line="909" w:lineRule="exact"/>
        <w:rPr>
          <w:sz w:val="20"/>
          <w:szCs w:val="20"/>
          <w:color w:val="auto"/>
        </w:rPr>
      </w:pPr>
      <w:r>
        <w:rPr>
          <w:rFonts w:ascii="MS PGothic" w:cs="MS PGothic" w:eastAsia="MS PGothic" w:hAnsi="MS PGothic"/>
          <w:sz w:val="79"/>
          <w:szCs w:val="79"/>
          <w:color w:val="auto"/>
        </w:rPr>
        <w:t>☐</w:t>
      </w:r>
      <w:r>
        <w:rPr>
          <w:rFonts w:ascii="Arial" w:cs="Arial" w:eastAsia="Arial" w:hAnsi="Arial"/>
          <w:sz w:val="18"/>
          <w:szCs w:val="18"/>
          <w:b w:val="1"/>
          <w:bCs w:val="1"/>
          <w:color w:val="auto"/>
        </w:rPr>
        <w:t xml:space="preserve">Check for distribution to PUBLIC </w:t>
      </w:r>
      <w:r>
        <w:rPr>
          <w:rFonts w:ascii="Arial" w:cs="Arial" w:eastAsia="Arial" w:hAnsi="Arial"/>
          <w:sz w:val="18"/>
          <w:szCs w:val="18"/>
          <w:b w:val="1"/>
          <w:bCs w:val="1"/>
          <w:u w:val="single" w:color="auto"/>
          <w:color w:val="auto"/>
        </w:rPr>
        <w:t>and</w:t>
      </w:r>
      <w:r>
        <w:rPr>
          <w:rFonts w:ascii="Arial" w:cs="Arial" w:eastAsia="Arial" w:hAnsi="Arial"/>
          <w:sz w:val="18"/>
          <w:szCs w:val="18"/>
          <w:b w:val="1"/>
          <w:bCs w:val="1"/>
          <w:color w:val="auto"/>
        </w:rPr>
        <w:t xml:space="preserve"> Private side Lenders3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Financial Statement Date: __________, _____</w:t>
      </w:r>
    </w:p>
    <w:p>
      <w:pPr>
        <w:spacing w:after="0" w:line="9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rPr>
          <w:sz w:val="20"/>
          <w:szCs w:val="20"/>
          <w:color w:val="auto"/>
        </w:rPr>
      </w:pPr>
      <w:r>
        <w:rPr>
          <w:rFonts w:ascii="Arial" w:cs="Arial" w:eastAsia="Arial" w:hAnsi="Arial"/>
          <w:sz w:val="20"/>
          <w:szCs w:val="20"/>
          <w:color w:val="auto"/>
        </w:rPr>
        <w:t>Ladies and Gentlemen:</w:t>
      </w:r>
    </w:p>
    <w:p>
      <w:pPr>
        <w:spacing w:after="0" w:line="191" w:lineRule="exact"/>
        <w:rPr>
          <w:sz w:val="20"/>
          <w:szCs w:val="20"/>
          <w:color w:val="auto"/>
        </w:rPr>
      </w:pPr>
    </w:p>
    <w:p>
      <w:pPr>
        <w:jc w:val="both"/>
        <w:ind w:firstLine="598"/>
        <w:spacing w:after="0" w:line="219"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 L/C Issuer and Swing Line Lender.</w:t>
      </w:r>
    </w:p>
    <w:p>
      <w:pPr>
        <w:spacing w:after="0" w:line="172" w:lineRule="exact"/>
        <w:rPr>
          <w:sz w:val="20"/>
          <w:szCs w:val="20"/>
          <w:color w:val="auto"/>
        </w:rPr>
      </w:pPr>
    </w:p>
    <w:p>
      <w:pPr>
        <w:ind w:left="600"/>
        <w:spacing w:after="0"/>
        <w:tabs>
          <w:tab w:leader="none" w:pos="8400" w:val="left"/>
        </w:tabs>
        <w:rPr>
          <w:sz w:val="20"/>
          <w:szCs w:val="20"/>
          <w:color w:val="auto"/>
        </w:rPr>
      </w:pPr>
      <w:r>
        <w:rPr>
          <w:rFonts w:ascii="Arial" w:cs="Arial" w:eastAsia="Arial" w:hAnsi="Arial"/>
          <w:sz w:val="20"/>
          <w:szCs w:val="20"/>
          <w:color w:val="auto"/>
        </w:rPr>
        <w:t>The undersigned Responsible Officer hereby certifies as of the date hereof that he/she is the</w:t>
      </w:r>
      <w:r>
        <w:rPr>
          <w:sz w:val="20"/>
          <w:szCs w:val="20"/>
          <w:color w:val="auto"/>
        </w:rPr>
        <w:tab/>
      </w:r>
      <w:r>
        <w:rPr>
          <w:rFonts w:ascii="Arial" w:cs="Arial" w:eastAsia="Arial" w:hAnsi="Arial"/>
          <w:sz w:val="18"/>
          <w:szCs w:val="18"/>
          <w:color w:val="auto"/>
        </w:rPr>
        <w:t>of the Company, and that,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-5080</wp:posOffset>
            </wp:positionV>
            <wp:extent cx="19812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198120" cy="762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he/she is authorized to execute and deliver this certificate (this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to the Administrative Agent on the behalf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and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07" w:lineRule="exact"/>
        <w:rPr>
          <w:sz w:val="20"/>
          <w:szCs w:val="20"/>
          <w:color w:val="auto"/>
        </w:rPr>
      </w:pPr>
    </w:p>
    <w:p>
      <w:pPr>
        <w:jc w:val="both"/>
        <w:ind w:firstLine="598"/>
        <w:spacing w:after="0" w:line="227" w:lineRule="auto"/>
        <w:tabs>
          <w:tab w:leader="none" w:pos="805"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The Company has delivered the year-end audited financial statements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of the Agreement for the fiscal year of the Company ended as of the above date, together with the report and opinion of an independent certified public accountant required by such section and a Reconciliation if required by such Section.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194" w:lineRule="exact"/>
        <w:rPr>
          <w:sz w:val="20"/>
          <w:szCs w:val="20"/>
          <w:color w:val="auto"/>
        </w:rPr>
      </w:pPr>
    </w:p>
    <w:p>
      <w:pPr>
        <w:jc w:val="both"/>
        <w:ind w:firstLine="598"/>
        <w:spacing w:after="0" w:line="242" w:lineRule="auto"/>
        <w:tabs>
          <w:tab w:leader="none" w:pos="119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The Company has delivered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Agreement for the fiscal quarter of the Company ended as of the above date and a Reconciliation if required by such Section. Such financial statements fairly present the financial condition, results of operations and cash flows of the Company and its Subsidiaries in accordance with GAAP as at such date and for such period, subject only to normal year-end audit adjustments and the absence of footnotes and such Reconciliations fairly present in all material respects the financial condition, results of operations and cash flows of the Company and its Restricted Subsidiaries in accordance with GAAP as at such date and for such period, subject only to normal year-end audit adjustments and the absence of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 </w:t>
      </w:r>
      <w:r>
        <w:rPr>
          <w:rFonts w:ascii="Arial" w:cs="Arial" w:eastAsia="Arial" w:hAnsi="Arial"/>
          <w:sz w:val="16"/>
          <w:szCs w:val="16"/>
          <w:color w:val="auto"/>
        </w:rPr>
        <w:t>If this is not checked, this certificate will only be posted to Private side Lenders.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Compliance Certificate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376" w:right="339" w:bottom="1440" w:gutter="0" w:footer="0" w:header="0"/>
        </w:sectPr>
      </w:pPr>
    </w:p>
    <w:bookmarkStart w:id="327" w:name="page328"/>
    <w:bookmarkEnd w:id="327"/>
    <w:p>
      <w:pPr>
        <w:jc w:val="both"/>
        <w:ind w:firstLine="598"/>
        <w:spacing w:after="0" w:line="227" w:lineRule="auto"/>
        <w:tabs>
          <w:tab w:leader="none" w:pos="1198"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Agreement and has made, or has caused to be made under his/her supervision, a reasonably detailed review of the transactions and condition (financial or otherwise) of the Company during the accounting period covered by such financial statements.</w:t>
      </w:r>
    </w:p>
    <w:p>
      <w:pPr>
        <w:spacing w:after="0" w:line="183" w:lineRule="exact"/>
        <w:rPr>
          <w:rFonts w:ascii="Arial" w:cs="Arial" w:eastAsia="Arial" w:hAnsi="Arial"/>
          <w:sz w:val="20"/>
          <w:szCs w:val="20"/>
          <w:color w:val="auto"/>
        </w:rPr>
      </w:pPr>
    </w:p>
    <w:p>
      <w:pPr>
        <w:jc w:val="both"/>
        <w:ind w:firstLine="598"/>
        <w:spacing w:after="0" w:line="227" w:lineRule="auto"/>
        <w:tabs>
          <w:tab w:leader="none" w:pos="1198"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[select one:]</w:t>
      </w:r>
    </w:p>
    <w:p>
      <w:pPr>
        <w:spacing w:after="0" w:line="188" w:lineRule="exact"/>
        <w:rPr>
          <w:sz w:val="20"/>
          <w:szCs w:val="20"/>
          <w:color w:val="auto"/>
        </w:rPr>
      </w:pPr>
    </w:p>
    <w:p>
      <w:pPr>
        <w:ind w:firstLine="598"/>
        <w:spacing w:after="0" w:line="239" w:lineRule="auto"/>
        <w:rPr>
          <w:sz w:val="20"/>
          <w:szCs w:val="20"/>
          <w:color w:val="auto"/>
        </w:rPr>
      </w:pPr>
      <w:r>
        <w:rPr>
          <w:rFonts w:ascii="Arial" w:cs="Arial" w:eastAsia="Arial" w:hAnsi="Arial"/>
          <w:sz w:val="20"/>
          <w:szCs w:val="20"/>
          <w:b w:val="1"/>
          <w:bCs w:val="1"/>
          <w:color w:val="auto"/>
        </w:rPr>
        <w:t>[to the best knowledge of the undersigned, during such fiscal period, the Company performed and observed each covenant and condition of the Loan Documents applicable to it, and no Default has occurred and is continuing.]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--or--</w:t>
      </w:r>
    </w:p>
    <w:p>
      <w:pPr>
        <w:spacing w:after="0" w:line="201" w:lineRule="exact"/>
        <w:rPr>
          <w:sz w:val="20"/>
          <w:szCs w:val="20"/>
          <w:color w:val="auto"/>
        </w:rPr>
      </w:pPr>
    </w:p>
    <w:p>
      <w:pPr>
        <w:ind w:firstLine="598"/>
        <w:spacing w:after="0" w:line="239" w:lineRule="auto"/>
        <w:rPr>
          <w:sz w:val="20"/>
          <w:szCs w:val="20"/>
          <w:color w:val="auto"/>
        </w:rPr>
      </w:pPr>
      <w:r>
        <w:rPr>
          <w:rFonts w:ascii="Arial" w:cs="Arial" w:eastAsia="Arial" w:hAnsi="Arial"/>
          <w:sz w:val="20"/>
          <w:szCs w:val="20"/>
          <w:b w:val="1"/>
          <w:bCs w:val="1"/>
          <w:color w:val="auto"/>
        </w:rPr>
        <w:t>[to the best knowledge of the undersigned, during such fiscal period, the following covenants or conditions have not been performed or observed and the following is a list of each such Default and its nature and status:]</w:t>
      </w:r>
    </w:p>
    <w:p>
      <w:pPr>
        <w:spacing w:after="0" w:line="172" w:lineRule="exact"/>
        <w:rPr>
          <w:sz w:val="20"/>
          <w:szCs w:val="20"/>
          <w:color w:val="auto"/>
        </w:rPr>
      </w:pPr>
    </w:p>
    <w:p>
      <w:pPr>
        <w:jc w:val="both"/>
        <w:ind w:firstLine="598"/>
        <w:spacing w:after="0" w:line="239" w:lineRule="auto"/>
        <w:tabs>
          <w:tab w:leader="none" w:pos="11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Borrowers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Agreement and (ii) each Loan Party contained in each other Loan Document or in any document furnished at any time under or in connection with the Loan Documents, are true and correct in all material respects on and as of the date hereof, except that (A) if a qualifier relating to materiality, Material Adverse Effect or a similar concept applies, such representation or warranty shall be required to be true and correct in all material respects, (B) to the extent that such representations and warranties specifically refer to an earlier date, in which case they are true and correct as of such earlier date, and (C) except that for purposes of this Compliance Certificate,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of the Agreement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Agreement, including the statements in connection with which this Compliance Certificate is delivered.</w:t>
      </w:r>
    </w:p>
    <w:p>
      <w:pPr>
        <w:spacing w:after="0" w:line="186" w:lineRule="exact"/>
        <w:rPr>
          <w:rFonts w:ascii="Arial" w:cs="Arial" w:eastAsia="Arial" w:hAnsi="Arial"/>
          <w:sz w:val="18"/>
          <w:szCs w:val="18"/>
          <w:color w:val="auto"/>
        </w:rPr>
      </w:pPr>
    </w:p>
    <w:p>
      <w:pPr>
        <w:ind w:firstLine="598"/>
        <w:spacing w:after="0" w:line="236" w:lineRule="auto"/>
        <w:tabs>
          <w:tab w:leader="none" w:pos="119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Schedules 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w:t>
      </w:r>
      <w:r>
        <w:rPr>
          <w:rFonts w:ascii="Arial" w:cs="Arial" w:eastAsia="Arial" w:hAnsi="Arial"/>
          <w:sz w:val="20"/>
          <w:szCs w:val="20"/>
          <w:color w:val="auto"/>
        </w:rPr>
        <w:t xml:space="preserve"> attached hereto are true and accurate in all material respects on and as of the date of this Compliance Certificate.</w:t>
      </w:r>
    </w:p>
    <w:p>
      <w:pPr>
        <w:spacing w:after="0" w:line="184" w:lineRule="exact"/>
        <w:rPr>
          <w:rFonts w:ascii="Arial" w:cs="Arial" w:eastAsia="Arial" w:hAnsi="Arial"/>
          <w:sz w:val="20"/>
          <w:szCs w:val="20"/>
          <w:color w:val="auto"/>
        </w:rPr>
      </w:pPr>
    </w:p>
    <w:p>
      <w:pPr>
        <w:ind w:firstLine="598"/>
        <w:spacing w:after="0" w:line="236" w:lineRule="auto"/>
        <w:tabs>
          <w:tab w:leader="none" w:pos="119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The following Loan Parties listed on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attached hereto have been added to the Indemnity Agreement since the date of the last delivered Compliance Certificate.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Compliance Certificate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306" w:right="339" w:bottom="1440" w:gutter="0" w:footer="0" w:header="0"/>
        </w:sectPr>
      </w:pPr>
    </w:p>
    <w:bookmarkStart w:id="328" w:name="page329"/>
    <w:bookmarkEnd w:id="328"/>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 WITNESS WHEREOF, </w:t>
      </w:r>
      <w:r>
        <w:rPr>
          <w:rFonts w:ascii="Arial" w:cs="Arial" w:eastAsia="Arial" w:hAnsi="Arial"/>
          <w:sz w:val="17"/>
          <w:szCs w:val="17"/>
          <w:color w:val="auto"/>
        </w:rPr>
        <w:t>the undersigned has executed this Compliance Certificate as of</w:t>
      </w:r>
    </w:p>
    <w:p>
      <w:pPr>
        <w:spacing w:after="0" w:line="20" w:lineRule="exact"/>
        <w:rPr>
          <w:sz w:val="20"/>
          <w:szCs w:val="20"/>
          <w:color w:val="auto"/>
        </w:rPr>
      </w:pPr>
    </w:p>
    <w:p>
      <w:pPr>
        <w:ind w:left="740" w:hanging="291"/>
        <w:spacing w:after="0"/>
        <w:tabs>
          <w:tab w:leader="none" w:pos="7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-24765</wp:posOffset>
            </wp:positionV>
            <wp:extent cx="31686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16865" cy="7620"/>
                    </a:xfrm>
                    <a:prstGeom prst="rect">
                      <a:avLst/>
                    </a:prstGeom>
                    <a:noFill/>
                  </pic:spPr>
                </pic:pic>
              </a:graphicData>
            </a:graphic>
          </wp:anchor>
        </w:drawing>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MASTEC, INC.</w:t>
      </w:r>
    </w:p>
    <w:p>
      <w:pPr>
        <w:spacing w:after="0" w:line="193" w:lineRule="exact"/>
        <w:rPr>
          <w:sz w:val="20"/>
          <w:szCs w:val="20"/>
          <w:color w:val="auto"/>
        </w:rPr>
      </w:pPr>
    </w:p>
    <w:p>
      <w:pPr>
        <w:ind w:left="3840"/>
        <w:spacing w:after="0"/>
        <w:tabs>
          <w:tab w:leader="none" w:pos="436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-5080</wp:posOffset>
            </wp:positionV>
            <wp:extent cx="1270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D-3</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Form of Compliance Certificate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0139"/>
          </w:cols>
          <w:pgMar w:left="320" w:top="1440" w:right="1440" w:bottom="1440" w:gutter="0" w:footer="0" w:header="0"/>
        </w:sectPr>
      </w:pPr>
    </w:p>
    <w:bookmarkStart w:id="329" w:name="page330"/>
    <w:bookmarkEnd w:id="329"/>
    <w:p>
      <w:pPr>
        <w:spacing w:after="0" w:line="154" w:lineRule="exact"/>
        <w:rPr>
          <w:sz w:val="20"/>
          <w:szCs w:val="20"/>
          <w:color w:val="auto"/>
        </w:rPr>
      </w:pPr>
    </w:p>
    <w:p>
      <w:pPr>
        <w:ind w:left="5624"/>
        <w:spacing w:after="0"/>
        <w:rPr>
          <w:sz w:val="20"/>
          <w:szCs w:val="20"/>
          <w:color w:val="auto"/>
        </w:rPr>
      </w:pPr>
      <w:r>
        <w:rPr>
          <w:rFonts w:ascii="Arial" w:cs="Arial" w:eastAsia="Arial" w:hAnsi="Arial"/>
          <w:sz w:val="17"/>
          <w:szCs w:val="17"/>
          <w:color w:val="auto"/>
        </w:rPr>
        <w:t>For the Quarter/Year ended __________________ (“</w:t>
      </w:r>
      <w:r>
        <w:rPr>
          <w:rFonts w:ascii="Arial" w:cs="Arial" w:eastAsia="Arial" w:hAnsi="Arial"/>
          <w:sz w:val="17"/>
          <w:szCs w:val="17"/>
          <w:u w:val="single" w:color="auto"/>
          <w:color w:val="auto"/>
        </w:rPr>
        <w:t>Statement Date</w:t>
      </w:r>
      <w:r>
        <w:rPr>
          <w:rFonts w:ascii="Arial" w:cs="Arial" w:eastAsia="Arial" w:hAnsi="Arial"/>
          <w:sz w:val="17"/>
          <w:szCs w:val="17"/>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1</w:t>
      </w:r>
    </w:p>
    <w:p>
      <w:pPr>
        <w:jc w:val="center"/>
        <w:ind w:right="-3"/>
        <w:spacing w:after="0" w:line="208" w:lineRule="auto"/>
        <w:rPr>
          <w:sz w:val="20"/>
          <w:szCs w:val="20"/>
          <w:color w:val="auto"/>
        </w:rPr>
      </w:pPr>
      <w:r>
        <w:rPr>
          <w:rFonts w:ascii="Arial" w:cs="Arial" w:eastAsia="Arial" w:hAnsi="Arial"/>
          <w:sz w:val="20"/>
          <w:szCs w:val="20"/>
          <w:color w:val="auto"/>
        </w:rPr>
        <w:t>to the Compliance Certificate</w:t>
      </w:r>
    </w:p>
    <w:p>
      <w:pPr>
        <w:jc w:val="center"/>
        <w:ind w:right="-3"/>
        <w:spacing w:after="0"/>
        <w:rPr>
          <w:sz w:val="20"/>
          <w:szCs w:val="20"/>
          <w:color w:val="auto"/>
        </w:rPr>
      </w:pPr>
      <w:r>
        <w:rPr>
          <w:rFonts w:ascii="Arial" w:cs="Arial" w:eastAsia="Arial" w:hAnsi="Arial"/>
          <w:sz w:val="20"/>
          <w:szCs w:val="20"/>
          <w:color w:val="auto"/>
        </w:rPr>
        <w:t>($ in 000’s)</w:t>
      </w:r>
    </w:p>
    <w:p>
      <w:pPr>
        <w:spacing w:after="0" w:line="222" w:lineRule="exact"/>
        <w:rPr>
          <w:sz w:val="20"/>
          <w:szCs w:val="20"/>
          <w:color w:val="auto"/>
        </w:rPr>
      </w:pPr>
    </w:p>
    <w:p>
      <w:pPr>
        <w:ind w:left="324" w:hanging="324"/>
        <w:spacing w:after="0"/>
        <w:tabs>
          <w:tab w:leader="none" w:pos="324"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Section 7.11 (a) – Consolidated Interest Coverage Ratio.</w:t>
      </w:r>
    </w:p>
    <w:p>
      <w:pPr>
        <w:sectPr>
          <w:pgSz w:w="11900" w:h="16838" w:orient="portrait"/>
          <w:cols w:equalWidth="0" w:num="1">
            <w:col w:w="11224"/>
          </w:cols>
          <w:pgMar w:left="336" w:top="1440" w:right="339" w:bottom="1440" w:gutter="0" w:footer="0" w:header="0"/>
        </w:sectPr>
      </w:pPr>
    </w:p>
    <w:p>
      <w:pPr>
        <w:spacing w:after="0" w:line="128" w:lineRule="exact"/>
        <w:rPr>
          <w:sz w:val="20"/>
          <w:szCs w:val="20"/>
          <w:color w:val="auto"/>
        </w:rPr>
      </w:pPr>
    </w:p>
    <w:p>
      <w:pPr>
        <w:ind w:left="1224" w:hanging="362"/>
        <w:spacing w:after="0"/>
        <w:tabs>
          <w:tab w:leader="none" w:pos="12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Consolidated EBITDA for four consecutive fiscal quarters ending on above date (“</w:t>
      </w:r>
      <w:r>
        <w:rPr>
          <w:rFonts w:ascii="Arial" w:cs="Arial" w:eastAsia="Arial" w:hAnsi="Arial"/>
          <w:sz w:val="18"/>
          <w:szCs w:val="18"/>
          <w:u w:val="single" w:color="auto"/>
          <w:color w:val="auto"/>
        </w:rPr>
        <w:t>Subject Period</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124" w:hanging="326"/>
        <w:spacing w:after="0"/>
        <w:tabs>
          <w:tab w:leader="none" w:pos="212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Consolidated Net Income for Subject Period:</w:t>
      </w:r>
    </w:p>
    <w:p>
      <w:pPr>
        <w:spacing w:after="0" w:line="67" w:lineRule="exact"/>
        <w:rPr>
          <w:rFonts w:ascii="Arial" w:cs="Arial" w:eastAsia="Arial" w:hAnsi="Arial"/>
          <w:sz w:val="18"/>
          <w:szCs w:val="18"/>
          <w:color w:val="auto"/>
        </w:rPr>
      </w:pPr>
    </w:p>
    <w:p>
      <w:pPr>
        <w:ind w:left="2884" w:hanging="174"/>
        <w:spacing w:after="0"/>
        <w:tabs>
          <w:tab w:leader="none" w:pos="288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net income for the Company and its Restricted Subsidiaries for Subject Period:</w:t>
      </w:r>
    </w:p>
    <w:p>
      <w:pPr>
        <w:spacing w:after="0" w:line="67" w:lineRule="exact"/>
        <w:rPr>
          <w:rFonts w:ascii="Arial" w:cs="Arial" w:eastAsia="Arial" w:hAnsi="Arial"/>
          <w:sz w:val="18"/>
          <w:szCs w:val="18"/>
          <w:color w:val="auto"/>
        </w:rPr>
      </w:pPr>
    </w:p>
    <w:p>
      <w:pPr>
        <w:ind w:left="2884" w:hanging="174"/>
        <w:spacing w:after="0"/>
        <w:tabs>
          <w:tab w:leader="none" w:pos="288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gains or losses arising from the sale of capital assets for Subject Period:</w:t>
      </w:r>
    </w:p>
    <w:p>
      <w:pPr>
        <w:spacing w:after="0" w:line="26" w:lineRule="exact"/>
        <w:rPr>
          <w:rFonts w:ascii="Arial" w:cs="Arial" w:eastAsia="Arial" w:hAnsi="Arial"/>
          <w:sz w:val="18"/>
          <w:szCs w:val="18"/>
          <w:color w:val="auto"/>
        </w:rPr>
      </w:pPr>
    </w:p>
    <w:p>
      <w:pPr>
        <w:ind w:left="2704" w:firstLine="6"/>
        <w:spacing w:after="0" w:line="231" w:lineRule="auto"/>
        <w:tabs>
          <w:tab w:leader="none" w:pos="2892" w:val="left"/>
        </w:tabs>
        <w:numPr>
          <w:ilvl w:val="2"/>
          <w:numId w:val="260"/>
        </w:numPr>
        <w:rPr>
          <w:rFonts w:ascii="Arial" w:cs="Arial" w:eastAsia="Arial" w:hAnsi="Arial"/>
          <w:sz w:val="18"/>
          <w:szCs w:val="18"/>
          <w:color w:val="auto"/>
        </w:rPr>
      </w:pPr>
      <w:r>
        <w:rPr>
          <w:rFonts w:ascii="Arial" w:cs="Arial" w:eastAsia="Arial" w:hAnsi="Arial"/>
          <w:sz w:val="18"/>
          <w:szCs w:val="18"/>
          <w:color w:val="auto"/>
        </w:rPr>
        <w:t>gains or losses arising from any write-up or write-down of assets or liabilities for Subject Period:</w:t>
      </w:r>
    </w:p>
    <w:p>
      <w:pPr>
        <w:spacing w:after="0" w:line="1" w:lineRule="exact"/>
        <w:rPr>
          <w:rFonts w:ascii="Arial" w:cs="Arial" w:eastAsia="Arial" w:hAnsi="Arial"/>
          <w:sz w:val="18"/>
          <w:szCs w:val="18"/>
          <w:color w:val="auto"/>
        </w:rPr>
      </w:pPr>
    </w:p>
    <w:p>
      <w:pPr>
        <w:ind w:left="2704" w:firstLine="6"/>
        <w:spacing w:after="0" w:line="231" w:lineRule="auto"/>
        <w:tabs>
          <w:tab w:leader="none" w:pos="2886"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portion of the net earnings of any Subsidiary unavailable for payment of distributions to a Borrower for Subject Period:</w:t>
      </w:r>
    </w:p>
    <w:p>
      <w:pPr>
        <w:spacing w:after="0" w:line="1" w:lineRule="exact"/>
        <w:rPr>
          <w:rFonts w:ascii="Arial" w:cs="Arial" w:eastAsia="Arial" w:hAnsi="Arial"/>
          <w:sz w:val="18"/>
          <w:szCs w:val="18"/>
          <w:color w:val="auto"/>
        </w:rPr>
      </w:pPr>
    </w:p>
    <w:p>
      <w:pPr>
        <w:ind w:left="2704" w:firstLine="6"/>
        <w:spacing w:after="0" w:line="231" w:lineRule="auto"/>
        <w:tabs>
          <w:tab w:leader="none" w:pos="289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gain or loss arising from the acquisition of Equity Interests of a Borrower for Subject Period:</w:t>
      </w:r>
    </w:p>
    <w:p>
      <w:pPr>
        <w:spacing w:after="0" w:line="1" w:lineRule="exact"/>
        <w:rPr>
          <w:rFonts w:ascii="Arial" w:cs="Arial" w:eastAsia="Arial" w:hAnsi="Arial"/>
          <w:sz w:val="18"/>
          <w:szCs w:val="18"/>
          <w:color w:val="auto"/>
        </w:rPr>
      </w:pPr>
    </w:p>
    <w:p>
      <w:pPr>
        <w:jc w:val="both"/>
        <w:ind w:left="2704" w:firstLine="6"/>
        <w:spacing w:after="0" w:line="223" w:lineRule="auto"/>
        <w:tabs>
          <w:tab w:leader="none" w:pos="2880" w:val="left"/>
        </w:tabs>
        <w:numPr>
          <w:ilvl w:val="2"/>
          <w:numId w:val="260"/>
        </w:numPr>
        <w:rPr>
          <w:rFonts w:ascii="Arial" w:cs="Arial" w:eastAsia="Arial" w:hAnsi="Arial"/>
          <w:sz w:val="17"/>
          <w:szCs w:val="17"/>
          <w:color w:val="auto"/>
        </w:rPr>
      </w:pPr>
      <w:r>
        <w:rPr>
          <w:rFonts w:ascii="Arial" w:cs="Arial" w:eastAsia="Arial" w:hAnsi="Arial"/>
          <w:sz w:val="17"/>
          <w:szCs w:val="17"/>
          <w:color w:val="auto"/>
        </w:rPr>
        <w:t>any income (or loss) for Subject Period of any Person if such Person is not a Restricted Subsidiary, except that the Company’s equity in the net income of any such Person for Subject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 Subsidiary, such Restricted Subsidiary is not precluded from further distributing such amount to a Borrower as described in Line A(1)(d)):</w:t>
      </w:r>
    </w:p>
    <w:p>
      <w:pPr>
        <w:spacing w:after="0" w:line="6" w:lineRule="exact"/>
        <w:rPr>
          <w:rFonts w:ascii="Arial" w:cs="Arial" w:eastAsia="Arial" w:hAnsi="Arial"/>
          <w:sz w:val="17"/>
          <w:szCs w:val="17"/>
          <w:color w:val="auto"/>
        </w:rPr>
      </w:pPr>
    </w:p>
    <w:p>
      <w:pPr>
        <w:ind w:left="2884" w:hanging="174"/>
        <w:spacing w:after="0"/>
        <w:tabs>
          <w:tab w:leader="none" w:pos="288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Consolidated Net Income (Line I.A.1.a - (b + c+ d + e + f):</w:t>
      </w:r>
    </w:p>
    <w:p>
      <w:pPr>
        <w:spacing w:after="0" w:line="26" w:lineRule="exact"/>
        <w:rPr>
          <w:sz w:val="20"/>
          <w:szCs w:val="20"/>
          <w:color w:val="auto"/>
        </w:rPr>
      </w:pPr>
    </w:p>
    <w:p>
      <w:pPr>
        <w:ind w:left="1804"/>
        <w:spacing w:after="0"/>
        <w:rPr>
          <w:sz w:val="20"/>
          <w:szCs w:val="20"/>
          <w:color w:val="auto"/>
        </w:rPr>
      </w:pPr>
      <w:r>
        <w:rPr>
          <w:rFonts w:ascii="Arial" w:cs="Arial" w:eastAsia="Arial" w:hAnsi="Arial"/>
          <w:sz w:val="20"/>
          <w:szCs w:val="20"/>
          <w:color w:val="auto"/>
        </w:rPr>
        <w:t>2</w:t>
      </w:r>
      <w:r>
        <w:rPr>
          <w:rFonts w:ascii="Arial" w:cs="Arial" w:eastAsia="Arial" w:hAnsi="Arial"/>
          <w:sz w:val="18"/>
          <w:szCs w:val="18"/>
          <w:color w:val="auto"/>
        </w:rPr>
        <w:t>. interest expense for Subject Period:</w:t>
      </w:r>
    </w:p>
    <w:p>
      <w:pPr>
        <w:spacing w:after="0" w:line="13" w:lineRule="exact"/>
        <w:rPr>
          <w:sz w:val="20"/>
          <w:szCs w:val="20"/>
          <w:color w:val="auto"/>
        </w:rPr>
      </w:pPr>
    </w:p>
    <w:p>
      <w:pPr>
        <w:ind w:left="1804" w:hanging="6"/>
        <w:spacing w:after="0" w:line="233" w:lineRule="auto"/>
        <w:tabs>
          <w:tab w:leader="none" w:pos="240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provision for Federal, state, local and foreign income Taxes payable by the Company and its Restricted Subsidiaries for Subject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4" w:lineRule="exact"/>
        <w:rPr>
          <w:sz w:val="20"/>
          <w:szCs w:val="20"/>
          <w:color w:val="auto"/>
        </w:rPr>
      </w:pPr>
    </w:p>
    <w:p>
      <w:pPr>
        <w:sectPr>
          <w:pgSz w:w="11900" w:h="16838" w:orient="portrait"/>
          <w:cols w:equalWidth="0" w:num="2">
            <w:col w:w="9644" w:space="40"/>
            <w:col w:w="1540"/>
          </w:cols>
          <w:pgMar w:left="336" w:top="1440" w:right="339" w:bottom="1440" w:gutter="0" w:footer="0" w:header="0"/>
          <w:type w:val="continuous"/>
        </w:sectPr>
      </w:pPr>
    </w:p>
    <w:tbl>
      <w:tblPr>
        <w:tblLayout w:type="fixed"/>
        <w:tblInd w:w="1804" w:type="dxa"/>
        <w:tblCellMar>
          <w:top w:w="0" w:type="dxa"/>
          <w:left w:w="0" w:type="dxa"/>
          <w:bottom w:w="0" w:type="dxa"/>
          <w:right w:w="0" w:type="dxa"/>
        </w:tblCellMar>
      </w:tblPr>
      <w:tr>
        <w:trPr>
          <w:trHeight w:val="217"/>
        </w:trPr>
        <w:tc>
          <w:tcPr>
            <w:tcW w:w="360" w:type="dxa"/>
            <w:vAlign w:val="bottom"/>
          </w:tcPr>
          <w:p>
            <w:pPr>
              <w:jc w:val="right"/>
              <w:ind w:right="128"/>
              <w:spacing w:after="0"/>
              <w:rPr>
                <w:sz w:val="20"/>
                <w:szCs w:val="20"/>
                <w:color w:val="auto"/>
              </w:rPr>
            </w:pPr>
            <w:r>
              <w:rPr>
                <w:rFonts w:ascii="Arial" w:cs="Arial" w:eastAsia="Arial" w:hAnsi="Arial"/>
                <w:sz w:val="18"/>
                <w:szCs w:val="18"/>
                <w:color w:val="auto"/>
                <w:w w:val="79"/>
              </w:rPr>
              <w:t>4.</w:t>
            </w:r>
          </w:p>
        </w:tc>
        <w:tc>
          <w:tcPr>
            <w:tcW w:w="7500" w:type="dxa"/>
            <w:vAlign w:val="bottom"/>
          </w:tcPr>
          <w:p>
            <w:pPr>
              <w:ind w:left="240"/>
              <w:spacing w:after="0"/>
              <w:rPr>
                <w:sz w:val="20"/>
                <w:szCs w:val="20"/>
                <w:color w:val="auto"/>
              </w:rPr>
            </w:pPr>
            <w:r>
              <w:rPr>
                <w:rFonts w:ascii="Arial" w:cs="Arial" w:eastAsia="Arial" w:hAnsi="Arial"/>
                <w:sz w:val="18"/>
                <w:szCs w:val="18"/>
                <w:color w:val="auto"/>
              </w:rPr>
              <w:t>depreciation expenses for Subject Period:</w:t>
            </w:r>
          </w:p>
        </w:tc>
        <w:tc>
          <w:tcPr>
            <w:tcW w:w="1500" w:type="dxa"/>
            <w:vAlign w:val="bottom"/>
            <w:tcBorders>
              <w:top w:val="single" w:sz="8" w:color="auto"/>
              <w:bottom w:val="single" w:sz="8" w:color="auto"/>
            </w:tcBorders>
          </w:tcPr>
          <w:p>
            <w:pPr>
              <w:jc w:val="right"/>
              <w:ind w:right="1288"/>
              <w:spacing w:after="0"/>
              <w:rPr>
                <w:sz w:val="20"/>
                <w:szCs w:val="20"/>
                <w:color w:val="auto"/>
              </w:rPr>
            </w:pPr>
            <w:r>
              <w:rPr>
                <w:rFonts w:ascii="Arial" w:cs="Arial" w:eastAsia="Arial" w:hAnsi="Arial"/>
                <w:sz w:val="18"/>
                <w:szCs w:val="18"/>
                <w:color w:val="auto"/>
                <w:w w:val="99"/>
              </w:rPr>
              <w:t>$</w:t>
            </w:r>
          </w:p>
        </w:tc>
      </w:tr>
      <w:tr>
        <w:trPr>
          <w:trHeight w:val="226"/>
        </w:trPr>
        <w:tc>
          <w:tcPr>
            <w:tcW w:w="360" w:type="dxa"/>
            <w:vAlign w:val="bottom"/>
          </w:tcPr>
          <w:p>
            <w:pPr>
              <w:jc w:val="right"/>
              <w:ind w:right="128"/>
              <w:spacing w:after="0"/>
              <w:rPr>
                <w:sz w:val="20"/>
                <w:szCs w:val="20"/>
                <w:color w:val="auto"/>
              </w:rPr>
            </w:pPr>
            <w:r>
              <w:rPr>
                <w:rFonts w:ascii="Arial" w:cs="Arial" w:eastAsia="Arial" w:hAnsi="Arial"/>
                <w:sz w:val="18"/>
                <w:szCs w:val="18"/>
                <w:color w:val="auto"/>
                <w:w w:val="79"/>
              </w:rPr>
              <w:t>5.</w:t>
            </w:r>
          </w:p>
        </w:tc>
        <w:tc>
          <w:tcPr>
            <w:tcW w:w="7500" w:type="dxa"/>
            <w:vAlign w:val="bottom"/>
          </w:tcPr>
          <w:p>
            <w:pPr>
              <w:ind w:left="240"/>
              <w:spacing w:after="0"/>
              <w:rPr>
                <w:sz w:val="20"/>
                <w:szCs w:val="20"/>
                <w:color w:val="auto"/>
              </w:rPr>
            </w:pPr>
            <w:r>
              <w:rPr>
                <w:rFonts w:ascii="Arial" w:cs="Arial" w:eastAsia="Arial" w:hAnsi="Arial"/>
                <w:sz w:val="18"/>
                <w:szCs w:val="18"/>
                <w:color w:val="auto"/>
              </w:rPr>
              <w:t>amortization expenses for Subject Period:</w:t>
            </w:r>
          </w:p>
        </w:tc>
        <w:tc>
          <w:tcPr>
            <w:tcW w:w="1500" w:type="dxa"/>
            <w:vAlign w:val="bottom"/>
          </w:tcPr>
          <w:p>
            <w:pPr>
              <w:jc w:val="right"/>
              <w:ind w:right="1288"/>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-4445</wp:posOffset>
            </wp:positionV>
            <wp:extent cx="9512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ind w:left="2404" w:hanging="606"/>
        <w:spacing w:after="0" w:line="206" w:lineRule="auto"/>
        <w:tabs>
          <w:tab w:leader="none" w:pos="240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charges related to purchase accounting adjustments required by FASB ASC Topic 805 for Subject</w:t>
      </w:r>
    </w:p>
    <w:p>
      <w:pPr>
        <w:ind w:left="1804"/>
        <w:spacing w:after="0"/>
        <w:tabs>
          <w:tab w:leader="none" w:pos="9663" w:val="left"/>
        </w:tabs>
        <w:rPr>
          <w:sz w:val="20"/>
          <w:szCs w:val="20"/>
          <w:color w:val="auto"/>
        </w:rPr>
      </w:pPr>
      <w:r>
        <w:rPr>
          <w:rFonts w:ascii="Arial" w:cs="Arial" w:eastAsia="Arial" w:hAnsi="Arial"/>
          <w:sz w:val="18"/>
          <w:szCs w:val="18"/>
          <w:color w:val="auto"/>
        </w:rPr>
        <w:t>Period: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3810</wp:posOffset>
            </wp:positionV>
            <wp:extent cx="95123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ind w:left="2404" w:hanging="606"/>
        <w:spacing w:after="0" w:line="223" w:lineRule="auto"/>
        <w:tabs>
          <w:tab w:leader="none" w:pos="240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charges included in Consolidated Net Income relating to stock based compensation which do not</w:t>
      </w:r>
    </w:p>
    <w:tbl>
      <w:tblPr>
        <w:tblLayout w:type="fixed"/>
        <w:tblInd w:w="1804" w:type="dxa"/>
        <w:tblCellMar>
          <w:top w:w="0" w:type="dxa"/>
          <w:left w:w="0" w:type="dxa"/>
          <w:bottom w:w="0" w:type="dxa"/>
          <w:right w:w="0" w:type="dxa"/>
        </w:tblCellMar>
      </w:tblPr>
      <w:tr>
        <w:trPr>
          <w:trHeight w:val="213"/>
        </w:trPr>
        <w:tc>
          <w:tcPr>
            <w:tcW w:w="7860" w:type="dxa"/>
            <w:vAlign w:val="bottom"/>
            <w:gridSpan w:val="2"/>
          </w:tcPr>
          <w:p>
            <w:pPr>
              <w:spacing w:after="0"/>
              <w:rPr>
                <w:sz w:val="20"/>
                <w:szCs w:val="20"/>
                <w:color w:val="auto"/>
              </w:rPr>
            </w:pPr>
            <w:r>
              <w:rPr>
                <w:rFonts w:ascii="Arial" w:cs="Arial" w:eastAsia="Arial" w:hAnsi="Arial"/>
                <w:sz w:val="18"/>
                <w:szCs w:val="18"/>
                <w:color w:val="auto"/>
              </w:rPr>
              <w:t>represent a cash item for Subject Period or any future period:</w:t>
            </w:r>
          </w:p>
        </w:tc>
        <w:tc>
          <w:tcPr>
            <w:tcW w:w="1500" w:type="dxa"/>
            <w:vAlign w:val="bottom"/>
            <w:tcBorders>
              <w:bottom w:val="single" w:sz="8" w:color="auto"/>
            </w:tcBorders>
          </w:tcPr>
          <w:p>
            <w:pPr>
              <w:jc w:val="right"/>
              <w:ind w:right="1288"/>
              <w:spacing w:after="0"/>
              <w:rPr>
                <w:sz w:val="20"/>
                <w:szCs w:val="20"/>
                <w:color w:val="auto"/>
              </w:rPr>
            </w:pPr>
            <w:r>
              <w:rPr>
                <w:rFonts w:ascii="Arial" w:cs="Arial" w:eastAsia="Arial" w:hAnsi="Arial"/>
                <w:sz w:val="18"/>
                <w:szCs w:val="18"/>
                <w:color w:val="auto"/>
                <w:w w:val="99"/>
              </w:rPr>
              <w:t>$</w:t>
            </w:r>
          </w:p>
        </w:tc>
      </w:tr>
      <w:tr>
        <w:trPr>
          <w:trHeight w:val="22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7500" w:type="dxa"/>
            <w:vAlign w:val="bottom"/>
          </w:tcPr>
          <w:p>
            <w:pPr>
              <w:ind w:left="240"/>
              <w:spacing w:after="0"/>
              <w:rPr>
                <w:sz w:val="20"/>
                <w:szCs w:val="20"/>
                <w:color w:val="auto"/>
              </w:rPr>
            </w:pPr>
            <w:r>
              <w:rPr>
                <w:rFonts w:ascii="Arial" w:cs="Arial" w:eastAsia="Arial" w:hAnsi="Arial"/>
                <w:sz w:val="18"/>
                <w:szCs w:val="18"/>
                <w:color w:val="auto"/>
              </w:rPr>
              <w:t>other charges which do not represent a cash item for Subject Period or any future period:</w:t>
            </w:r>
          </w:p>
        </w:tc>
        <w:tc>
          <w:tcPr>
            <w:tcW w:w="1500" w:type="dxa"/>
            <w:vAlign w:val="bottom"/>
          </w:tcPr>
          <w:p>
            <w:pPr>
              <w:jc w:val="right"/>
              <w:ind w:right="1288"/>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-4445</wp:posOffset>
            </wp:positionV>
            <wp:extent cx="9512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ind w:left="2404" w:hanging="606"/>
        <w:spacing w:after="0" w:line="206" w:lineRule="auto"/>
        <w:tabs>
          <w:tab w:leader="none" w:pos="240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expenses incurred in connection with the prepayment, amendment, modification or refinancing of</w:t>
      </w:r>
    </w:p>
    <w:p>
      <w:pPr>
        <w:ind w:left="1804"/>
        <w:spacing w:after="0"/>
        <w:tabs>
          <w:tab w:leader="none" w:pos="9663" w:val="left"/>
        </w:tabs>
        <w:rPr>
          <w:sz w:val="20"/>
          <w:szCs w:val="20"/>
          <w:color w:val="auto"/>
        </w:rPr>
      </w:pPr>
      <w:r>
        <w:rPr>
          <w:rFonts w:ascii="Arial" w:cs="Arial" w:eastAsia="Arial" w:hAnsi="Arial"/>
          <w:sz w:val="18"/>
          <w:szCs w:val="18"/>
          <w:color w:val="auto"/>
        </w:rPr>
        <w:t>Indebtedness (whether or not consummated) during Subject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3810</wp:posOffset>
            </wp:positionV>
            <wp:extent cx="9512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SCHEDULE 1</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Form of Compliance Certificate</w:t>
      </w:r>
    </w:p>
    <w:p>
      <w:pPr>
        <w:sectPr>
          <w:pgSz w:w="11900" w:h="16838" w:orient="portrait"/>
          <w:cols w:equalWidth="0" w:num="1">
            <w:col w:w="11224"/>
          </w:cols>
          <w:pgMar w:left="336" w:top="1440" w:right="339" w:bottom="1440" w:gutter="0" w:footer="0" w:header="0"/>
          <w:type w:val="continuous"/>
        </w:sectPr>
      </w:pPr>
    </w:p>
    <w:bookmarkStart w:id="330" w:name="page331"/>
    <w:bookmarkEnd w:id="330"/>
    <w:p>
      <w:pPr>
        <w:jc w:val="both"/>
        <w:ind w:left="1820" w:hanging="6"/>
        <w:spacing w:after="0" w:line="225" w:lineRule="auto"/>
        <w:tabs>
          <w:tab w:leader="none" w:pos="24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non-capitalized transaction costs in connection with an incurrence of Indebtedness, during a refinancing thereof, issuance of Equity Interests, Investment, Acquisition, Disposition or recapitalization (whether or not consummated), as permitted, during Subject Period:</w:t>
      </w:r>
    </w:p>
    <w:p>
      <w:pPr>
        <w:jc w:val="both"/>
        <w:ind w:left="1820" w:hanging="6"/>
        <w:spacing w:after="0" w:line="221" w:lineRule="auto"/>
        <w:tabs>
          <w:tab w:leader="none" w:pos="240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tender premiums, redemption premiums, fees and other amounts and expenses incurred in connection with the tender for and/or redemption of Indebtedness incurred under Section 7.03(r) during Subject Period:</w:t>
      </w:r>
    </w:p>
    <w:p>
      <w:pPr>
        <w:spacing w:after="0" w:line="2" w:lineRule="exact"/>
        <w:rPr>
          <w:rFonts w:ascii="Arial" w:cs="Arial" w:eastAsia="Arial" w:hAnsi="Arial"/>
          <w:sz w:val="18"/>
          <w:szCs w:val="18"/>
          <w:color w:val="auto"/>
        </w:rPr>
      </w:pPr>
    </w:p>
    <w:p>
      <w:pPr>
        <w:jc w:val="both"/>
        <w:ind w:left="1820" w:hanging="6"/>
        <w:spacing w:after="0" w:line="221" w:lineRule="auto"/>
        <w:tabs>
          <w:tab w:leader="none" w:pos="24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earn-out expenses resulting from Permitted Acquisitions in which the Company and/or any Restricted Subsidiary is required to treat such earn- out expenses as compensation costs during Subject Period:</w:t>
      </w:r>
    </w:p>
    <w:p>
      <w:pPr>
        <w:spacing w:after="0" w:line="2"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expenses arising from the impact of FASB ASC 470-50-40 on certain capitalized fees and costs during Subject Period:</w:t>
      </w:r>
    </w:p>
    <w:p>
      <w:pPr>
        <w:spacing w:after="0" w:line="1"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net loss incurred during Subject Period from Swap Contracts and the application of FASB ASC Topic 815:</w:t>
      </w:r>
    </w:p>
    <w:p>
      <w:pPr>
        <w:spacing w:after="0" w:line="5" w:lineRule="exact"/>
        <w:rPr>
          <w:rFonts w:ascii="Arial" w:cs="Arial" w:eastAsia="Arial" w:hAnsi="Arial"/>
          <w:sz w:val="18"/>
          <w:szCs w:val="18"/>
          <w:color w:val="auto"/>
        </w:rPr>
      </w:pPr>
    </w:p>
    <w:p>
      <w:pPr>
        <w:ind w:left="2400" w:hanging="586"/>
        <w:spacing w:after="0"/>
        <w:tabs>
          <w:tab w:leader="none" w:pos="24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net loss incurred during Subject Period from currency translation losses:</w:t>
      </w:r>
    </w:p>
    <w:p>
      <w:pPr>
        <w:spacing w:after="0" w:line="26"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loss from the early extinguishment of Indebtedness or Swap Contracts or other derivative instruments during Subject Period:</w:t>
      </w:r>
    </w:p>
    <w:p>
      <w:pPr>
        <w:spacing w:after="0" w:line="1" w:lineRule="exact"/>
        <w:rPr>
          <w:rFonts w:ascii="Arial" w:cs="Arial" w:eastAsia="Arial" w:hAnsi="Arial"/>
          <w:sz w:val="18"/>
          <w:szCs w:val="18"/>
          <w:color w:val="auto"/>
        </w:rPr>
      </w:pPr>
    </w:p>
    <w:p>
      <w:pPr>
        <w:ind w:left="2400" w:hanging="586"/>
        <w:spacing w:after="0" w:line="233" w:lineRule="auto"/>
        <w:tabs>
          <w:tab w:leader="none" w:pos="2400" w:val="left"/>
        </w:tabs>
        <w:numPr>
          <w:ilvl w:val="0"/>
          <w:numId w:val="265"/>
        </w:numPr>
        <w:rPr>
          <w:rFonts w:ascii="Arial" w:cs="Arial" w:eastAsia="Arial" w:hAnsi="Arial"/>
          <w:sz w:val="18"/>
          <w:szCs w:val="18"/>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clause (xv) addbacks during Subject Period:</w:t>
      </w:r>
    </w:p>
    <w:p>
      <w:pPr>
        <w:ind w:left="272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other non-recurring or unusual charges for Subject Period: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95123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9512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9660" w:space="40"/>
            <w:col w:w="820"/>
          </w:cols>
          <w:pgMar w:left="320" w:top="1359" w:right="1059" w:bottom="1440" w:gutter="0" w:footer="0" w:header="0"/>
        </w:sectPr>
      </w:pPr>
    </w:p>
    <w:p>
      <w:pPr>
        <w:jc w:val="both"/>
        <w:ind w:left="2720" w:firstLine="6"/>
        <w:spacing w:after="0" w:line="221" w:lineRule="auto"/>
        <w:tabs>
          <w:tab w:leader="none" w:pos="331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cash charges paid in connection with corporate restructurings (including severance costs in connection with any reduction in the workforce of the Company and its Restricted Subsidiaries) for Subject Period:</w:t>
      </w:r>
    </w:p>
    <w:p>
      <w:pPr>
        <w:spacing w:after="0" w:line="2" w:lineRule="exact"/>
        <w:rPr>
          <w:rFonts w:ascii="Arial" w:cs="Arial" w:eastAsia="Arial" w:hAnsi="Arial"/>
          <w:sz w:val="18"/>
          <w:szCs w:val="18"/>
          <w:color w:val="auto"/>
        </w:rPr>
      </w:pPr>
    </w:p>
    <w:p>
      <w:pPr>
        <w:jc w:val="both"/>
        <w:ind w:left="2720" w:firstLine="6"/>
        <w:spacing w:after="0" w:line="204" w:lineRule="auto"/>
        <w:tabs>
          <w:tab w:leader="none" w:pos="330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expected cost savings, operating expense reductions, restructuring charges and expenses and cost-saving synergies projected by the Company in good faith to result from actions with respect to which substantial steps have been, will be, or are expected to be, taken (in the good faith determination of the Company and evidenced by a certificate of a Responsible Officer of the Company) within 15 months of</w:t>
      </w:r>
    </w:p>
    <w:p>
      <w:pPr>
        <w:spacing w:after="0" w:line="1"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Subject Period:</w:t>
      </w:r>
    </w:p>
    <w:p>
      <w:pPr>
        <w:spacing w:after="0" w:line="10"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Company and its Subsidiaries for Subject Period</w:t>
      </w:r>
    </w:p>
    <w:p>
      <w:pPr>
        <w:spacing w:after="0" w:line="1"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net gain incurred during Subject Period from Swap Contracts and the application of FASB ASC Topic 815:</w:t>
      </w:r>
    </w:p>
    <w:p>
      <w:pPr>
        <w:spacing w:after="0" w:line="5" w:lineRule="exact"/>
        <w:rPr>
          <w:rFonts w:ascii="Arial" w:cs="Arial" w:eastAsia="Arial" w:hAnsi="Arial"/>
          <w:sz w:val="18"/>
          <w:szCs w:val="18"/>
          <w:color w:val="auto"/>
        </w:rPr>
      </w:pPr>
    </w:p>
    <w:p>
      <w:pPr>
        <w:ind w:left="2400" w:hanging="586"/>
        <w:spacing w:after="0"/>
        <w:tabs>
          <w:tab w:leader="none" w:pos="24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net gain incurred during Subject Period from currency translation gains:</w:t>
      </w:r>
    </w:p>
    <w:p>
      <w:pPr>
        <w:spacing w:after="0" w:line="26" w:lineRule="exact"/>
        <w:rPr>
          <w:rFonts w:ascii="Arial" w:cs="Arial" w:eastAsia="Arial" w:hAnsi="Arial"/>
          <w:sz w:val="18"/>
          <w:szCs w:val="18"/>
          <w:color w:val="auto"/>
        </w:rPr>
      </w:pPr>
    </w:p>
    <w:p>
      <w:pPr>
        <w:ind w:left="1820" w:hanging="6"/>
        <w:spacing w:after="0" w:line="231" w:lineRule="auto"/>
        <w:tabs>
          <w:tab w:leader="none" w:pos="24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gains from the early extinguishment of Indebtedness or Swap Contracts or other derivative instruments during Subject Period:</w:t>
      </w:r>
    </w:p>
    <w:p>
      <w:pPr>
        <w:spacing w:after="0" w:line="5" w:lineRule="exact"/>
        <w:rPr>
          <w:rFonts w:ascii="Arial" w:cs="Arial" w:eastAsia="Arial" w:hAnsi="Arial"/>
          <w:sz w:val="18"/>
          <w:szCs w:val="18"/>
          <w:color w:val="auto"/>
        </w:rPr>
      </w:pPr>
    </w:p>
    <w:p>
      <w:pPr>
        <w:ind w:left="2400" w:hanging="586"/>
        <w:spacing w:after="0"/>
        <w:tabs>
          <w:tab w:leader="none" w:pos="24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non-cash additions to Consolidated Net Income for Subject Period: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9512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951230" cy="7620"/>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9660" w:space="40"/>
            <w:col w:w="820"/>
          </w:cols>
          <w:pgMar w:left="320" w:top="1359" w:right="1059" w:bottom="1440" w:gutter="0" w:footer="0" w:header="0"/>
          <w:type w:val="continuous"/>
        </w:sectPr>
      </w:pPr>
    </w:p>
    <w:p>
      <w:pPr>
        <w:ind w:left="240" w:firstLine="608"/>
        <w:spacing w:after="0" w:line="209" w:lineRule="auto"/>
        <w:tabs>
          <w:tab w:leader="none" w:pos="935" w:val="left"/>
        </w:tabs>
        <w:numPr>
          <w:ilvl w:val="0"/>
          <w:numId w:val="268"/>
        </w:numPr>
        <w:rPr>
          <w:rFonts w:ascii="Arial" w:cs="Arial" w:eastAsia="Arial" w:hAnsi="Arial"/>
          <w:sz w:val="21"/>
          <w:szCs w:val="21"/>
          <w:color w:val="auto"/>
          <w:vertAlign w:val="superscript"/>
        </w:rPr>
      </w:pPr>
      <w:r>
        <w:rPr>
          <w:rFonts w:ascii="Arial" w:cs="Arial" w:eastAsia="Arial" w:hAnsi="Arial"/>
          <w:sz w:val="16"/>
          <w:szCs w:val="16"/>
          <w:color w:val="auto"/>
        </w:rPr>
        <w:t xml:space="preserve">The charges described in 17 together with any adjustments made 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of the Credit Agreement shall only be permitted to be added back for such period to the extent such charges collectively do not increase Consolidated EBITDA by more than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19"/>
        <w:spacing w:after="0"/>
        <w:rPr>
          <w:sz w:val="20"/>
          <w:szCs w:val="20"/>
          <w:color w:val="auto"/>
        </w:rPr>
      </w:pPr>
      <w:r>
        <w:rPr>
          <w:rFonts w:ascii="Arial" w:cs="Arial" w:eastAsia="Arial" w:hAnsi="Arial"/>
          <w:sz w:val="10"/>
          <w:szCs w:val="10"/>
          <w:color w:val="auto"/>
        </w:rPr>
        <w:t>SCHEDULE 1</w:t>
      </w:r>
    </w:p>
    <w:p>
      <w:pPr>
        <w:spacing w:after="0" w:line="5" w:lineRule="exact"/>
        <w:rPr>
          <w:sz w:val="20"/>
          <w:szCs w:val="20"/>
          <w:color w:val="auto"/>
        </w:rPr>
      </w:pPr>
    </w:p>
    <w:p>
      <w:pPr>
        <w:jc w:val="center"/>
        <w:ind w:right="-719"/>
        <w:spacing w:after="0"/>
        <w:rPr>
          <w:sz w:val="20"/>
          <w:szCs w:val="20"/>
          <w:color w:val="auto"/>
        </w:rPr>
      </w:pPr>
      <w:r>
        <w:rPr>
          <w:rFonts w:ascii="Arial" w:cs="Arial" w:eastAsia="Arial" w:hAnsi="Arial"/>
          <w:sz w:val="10"/>
          <w:szCs w:val="10"/>
          <w:color w:val="auto"/>
        </w:rPr>
        <w:t>Form of Compliance Certificate</w:t>
      </w:r>
    </w:p>
    <w:p>
      <w:pPr>
        <w:sectPr>
          <w:pgSz w:w="11900" w:h="16838" w:orient="portrait"/>
          <w:cols w:equalWidth="0" w:num="1">
            <w:col w:w="10520"/>
          </w:cols>
          <w:pgMar w:left="320" w:top="1359" w:right="1059" w:bottom="1440" w:gutter="0" w:footer="0" w:header="0"/>
          <w:type w:val="continuous"/>
        </w:sectPr>
      </w:pPr>
    </w:p>
    <w:bookmarkStart w:id="331" w:name="page332"/>
    <w:bookmarkEnd w:id="331"/>
    <w:p>
      <w:pPr>
        <w:spacing w:after="0" w:line="200" w:lineRule="exact"/>
        <w:rPr>
          <w:sz w:val="20"/>
          <w:szCs w:val="20"/>
          <w:color w:val="auto"/>
        </w:rPr>
      </w:pPr>
    </w:p>
    <w:p>
      <w:pPr>
        <w:spacing w:after="0" w:line="214" w:lineRule="exact"/>
        <w:rPr>
          <w:sz w:val="20"/>
          <w:szCs w:val="20"/>
          <w:color w:val="auto"/>
        </w:rPr>
      </w:pPr>
    </w:p>
    <w:p>
      <w:pPr>
        <w:ind w:left="2400" w:hanging="586"/>
        <w:spacing w:after="0"/>
        <w:tabs>
          <w:tab w:leader="none" w:pos="24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Consolidated EBITDA for Subject Period (Lines I.A.1.g + 2 + 3 + 4 + 5 + 6 + 7 + 8 + 9 + 10 + 11</w:t>
      </w:r>
    </w:p>
    <w:tbl>
      <w:tblPr>
        <w:tblLayout w:type="fixed"/>
        <w:tblInd w:w="880" w:type="dxa"/>
        <w:tblCellMar>
          <w:top w:w="0" w:type="dxa"/>
          <w:left w:w="0" w:type="dxa"/>
          <w:bottom w:w="0" w:type="dxa"/>
          <w:right w:w="0" w:type="dxa"/>
        </w:tblCellMar>
      </w:tblPr>
      <w:tr>
        <w:trPr>
          <w:trHeight w:val="213"/>
        </w:trPr>
        <w:tc>
          <w:tcPr>
            <w:tcW w:w="380" w:type="dxa"/>
            <w:vAlign w:val="bottom"/>
          </w:tcPr>
          <w:p>
            <w:pPr>
              <w:spacing w:after="0"/>
              <w:rPr>
                <w:sz w:val="18"/>
                <w:szCs w:val="18"/>
                <w:color w:val="auto"/>
              </w:rPr>
            </w:pPr>
          </w:p>
        </w:tc>
        <w:tc>
          <w:tcPr>
            <w:tcW w:w="8420" w:type="dxa"/>
            <w:vAlign w:val="bottom"/>
          </w:tcPr>
          <w:p>
            <w:pPr>
              <w:ind w:left="560"/>
              <w:spacing w:after="0"/>
              <w:rPr>
                <w:sz w:val="20"/>
                <w:szCs w:val="20"/>
                <w:color w:val="auto"/>
              </w:rPr>
            </w:pPr>
            <w:r>
              <w:rPr>
                <w:rFonts w:ascii="Arial" w:cs="Arial" w:eastAsia="Arial" w:hAnsi="Arial"/>
                <w:sz w:val="18"/>
                <w:szCs w:val="18"/>
                <w:color w:val="auto"/>
              </w:rPr>
              <w:t>+ 12 + 13 + 14 + 15 + 16 + 17(a) + 17(b) + 17(c) –18 – 19 – 20 – 22):</w:t>
            </w:r>
          </w:p>
        </w:tc>
        <w:tc>
          <w:tcPr>
            <w:tcW w:w="1500" w:type="dxa"/>
            <w:vAlign w:val="bottom"/>
            <w:tcBorders>
              <w:bottom w:val="single" w:sz="8" w:color="auto"/>
            </w:tcBorders>
          </w:tcPr>
          <w:p>
            <w:pPr>
              <w:jc w:val="right"/>
              <w:ind w:right="1288"/>
              <w:spacing w:after="0"/>
              <w:rPr>
                <w:sz w:val="20"/>
                <w:szCs w:val="20"/>
                <w:color w:val="auto"/>
              </w:rPr>
            </w:pPr>
            <w:r>
              <w:rPr>
                <w:rFonts w:ascii="Arial" w:cs="Arial" w:eastAsia="Arial" w:hAnsi="Arial"/>
                <w:sz w:val="18"/>
                <w:szCs w:val="18"/>
                <w:color w:val="auto"/>
                <w:w w:val="99"/>
              </w:rPr>
              <w:t>$</w:t>
            </w:r>
          </w:p>
        </w:tc>
      </w:tr>
      <w:tr>
        <w:trPr>
          <w:trHeight w:val="224"/>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8420" w:type="dxa"/>
            <w:vAlign w:val="bottom"/>
          </w:tcPr>
          <w:p>
            <w:pPr>
              <w:ind w:left="220"/>
              <w:spacing w:after="0"/>
              <w:rPr>
                <w:sz w:val="20"/>
                <w:szCs w:val="20"/>
                <w:color w:val="auto"/>
              </w:rPr>
            </w:pPr>
            <w:r>
              <w:rPr>
                <w:rFonts w:ascii="Arial" w:cs="Arial" w:eastAsia="Arial" w:hAnsi="Arial"/>
                <w:sz w:val="18"/>
                <w:szCs w:val="18"/>
                <w:color w:val="auto"/>
              </w:rPr>
              <w:t>Consolidated Interest Charges for Subject Period:</w:t>
            </w:r>
          </w:p>
        </w:tc>
        <w:tc>
          <w:tcPr>
            <w:tcW w:w="1500" w:type="dxa"/>
            <w:vAlign w:val="bottom"/>
          </w:tcPr>
          <w:p>
            <w:pPr>
              <w:jc w:val="right"/>
              <w:ind w:right="1288"/>
              <w:spacing w:after="0"/>
              <w:rPr>
                <w:sz w:val="20"/>
                <w:szCs w:val="20"/>
                <w:color w:val="auto"/>
              </w:rPr>
            </w:pPr>
            <w:r>
              <w:rPr>
                <w:rFonts w:ascii="Arial" w:cs="Arial" w:eastAsia="Arial" w:hAnsi="Arial"/>
                <w:sz w:val="18"/>
                <w:szCs w:val="18"/>
                <w:color w:val="auto"/>
                <w:w w:val="99"/>
              </w:rPr>
              <w:t>$</w:t>
            </w:r>
          </w:p>
        </w:tc>
      </w:tr>
    </w:tbl>
    <w:p>
      <w:pPr>
        <w:ind w:left="1820" w:right="5040" w:hanging="942"/>
        <w:spacing w:after="0" w:line="227" w:lineRule="auto"/>
        <w:tabs>
          <w:tab w:leader="none" w:pos="147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Consolidated Interest Coverage Ratio (Line I.A.23 ÷ Line I.B)</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i w:val="1"/>
          <w:iCs w:val="1"/>
          <w:color w:val="auto"/>
        </w:rPr>
        <w:t>Minimum permitted:</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20"/>
          <w:szCs w:val="20"/>
          <w:b w:val="1"/>
          <w:bCs w:val="1"/>
          <w:color w:val="auto"/>
        </w:rPr>
        <w:t>II.</w:t>
      </w:r>
      <w:r>
        <w:rPr>
          <w:rFonts w:ascii="Arial" w:cs="Arial" w:eastAsia="Arial" w:hAnsi="Arial"/>
          <w:sz w:val="17"/>
          <w:szCs w:val="17"/>
          <w:b w:val="1"/>
          <w:bCs w:val="1"/>
          <w:color w:val="auto"/>
        </w:rPr>
        <w:t>Section 7.11 (b) – Consolidated Leverage Ratio.</w:t>
      </w:r>
    </w:p>
    <w:p>
      <w:pPr>
        <w:spacing w:after="0" w:line="29" w:lineRule="exact"/>
        <w:rPr>
          <w:rFonts w:ascii="Arial" w:cs="Arial" w:eastAsia="Arial" w:hAnsi="Arial"/>
          <w:sz w:val="18"/>
          <w:szCs w:val="18"/>
          <w:color w:val="auto"/>
        </w:rPr>
      </w:pPr>
    </w:p>
    <w:p>
      <w:pPr>
        <w:jc w:val="both"/>
        <w:ind w:left="880" w:right="1520" w:hanging="2"/>
        <w:spacing w:after="0" w:line="224" w:lineRule="auto"/>
        <w:tabs>
          <w:tab w:leader="none" w:pos="147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Consolidated Funded Indebtedness at Statement Date (but excluding, to the extent outstanding and undrawn and included in Consolidated Funded Indebtedness, the stated amount of all standby performance letters of credit as of such date):</w:t>
      </w:r>
    </w:p>
    <w:p>
      <w:pPr>
        <w:spacing w:after="0" w:line="92" w:lineRule="exact"/>
        <w:rPr>
          <w:rFonts w:ascii="Arial" w:cs="Arial" w:eastAsia="Arial" w:hAnsi="Arial"/>
          <w:sz w:val="18"/>
          <w:szCs w:val="18"/>
          <w:color w:val="auto"/>
        </w:rPr>
      </w:pPr>
    </w:p>
    <w:p>
      <w:pPr>
        <w:ind w:left="1480" w:hanging="602"/>
        <w:spacing w:after="0"/>
        <w:tabs>
          <w:tab w:leader="none" w:pos="14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Unrestricted Domestic Cash at Statement Date:</w:t>
      </w:r>
    </w:p>
    <w:p>
      <w:pPr>
        <w:spacing w:after="0" w:line="101" w:lineRule="exact"/>
        <w:rPr>
          <w:rFonts w:ascii="Arial" w:cs="Arial" w:eastAsia="Arial" w:hAnsi="Arial"/>
          <w:sz w:val="18"/>
          <w:szCs w:val="18"/>
          <w:color w:val="auto"/>
        </w:rPr>
      </w:pPr>
    </w:p>
    <w:p>
      <w:pPr>
        <w:ind w:left="1480" w:hanging="602"/>
        <w:spacing w:after="0"/>
        <w:tabs>
          <w:tab w:leader="none" w:pos="14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Consolidated EBITDA for Subject Period (Line I.A.23</w:t>
      </w:r>
    </w:p>
    <w:tbl>
      <w:tblPr>
        <w:tblLayout w:type="fixed"/>
        <w:tblInd w:w="880" w:type="dxa"/>
        <w:tblCellMar>
          <w:top w:w="0" w:type="dxa"/>
          <w:left w:w="0" w:type="dxa"/>
          <w:bottom w:w="0" w:type="dxa"/>
          <w:right w:w="0" w:type="dxa"/>
        </w:tblCellMar>
      </w:tblPr>
      <w:tr>
        <w:trPr>
          <w:trHeight w:val="213"/>
        </w:trPr>
        <w:tc>
          <w:tcPr>
            <w:tcW w:w="560" w:type="dxa"/>
            <w:vAlign w:val="bottom"/>
          </w:tcPr>
          <w:p>
            <w:pPr>
              <w:spacing w:after="0"/>
              <w:rPr>
                <w:sz w:val="20"/>
                <w:szCs w:val="20"/>
                <w:color w:val="auto"/>
              </w:rPr>
            </w:pPr>
            <w:r>
              <w:rPr>
                <w:rFonts w:ascii="Arial" w:cs="Arial" w:eastAsia="Arial" w:hAnsi="Arial"/>
                <w:sz w:val="18"/>
                <w:szCs w:val="18"/>
                <w:color w:val="auto"/>
                <w:w w:val="89"/>
              </w:rPr>
              <w:t>above):</w:t>
            </w:r>
          </w:p>
        </w:tc>
        <w:tc>
          <w:tcPr>
            <w:tcW w:w="8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416"/>
        </w:trPr>
        <w:tc>
          <w:tcPr>
            <w:tcW w:w="560" w:type="dxa"/>
            <w:vAlign w:val="bottom"/>
          </w:tcPr>
          <w:p>
            <w:pPr>
              <w:spacing w:after="0"/>
              <w:rPr>
                <w:sz w:val="20"/>
                <w:szCs w:val="20"/>
                <w:color w:val="auto"/>
              </w:rPr>
            </w:pPr>
            <w:r>
              <w:rPr>
                <w:rFonts w:ascii="Arial" w:cs="Arial" w:eastAsia="Arial" w:hAnsi="Arial"/>
                <w:sz w:val="18"/>
                <w:szCs w:val="18"/>
                <w:color w:val="auto"/>
              </w:rPr>
              <w:t>D.</w:t>
            </w:r>
          </w:p>
        </w:tc>
        <w:tc>
          <w:tcPr>
            <w:tcW w:w="8240" w:type="dxa"/>
            <w:vAlign w:val="bottom"/>
          </w:tcPr>
          <w:p>
            <w:pPr>
              <w:ind w:left="20"/>
              <w:spacing w:after="0"/>
              <w:rPr>
                <w:sz w:val="20"/>
                <w:szCs w:val="20"/>
                <w:color w:val="auto"/>
              </w:rPr>
            </w:pPr>
            <w:r>
              <w:rPr>
                <w:rFonts w:ascii="Arial" w:cs="Arial" w:eastAsia="Arial" w:hAnsi="Arial"/>
                <w:sz w:val="18"/>
                <w:szCs w:val="18"/>
                <w:color w:val="auto"/>
              </w:rPr>
              <w:t xml:space="preserve">Consolidated Leverage Ratio ((Line II.A – Line II.B) ÷ </w:t>
            </w:r>
            <w:r>
              <w:rPr>
                <w:rFonts w:ascii="Arial" w:cs="Arial" w:eastAsia="Arial" w:hAnsi="Arial"/>
                <w:sz w:val="19"/>
                <w:szCs w:val="19"/>
                <w:color w:val="auto"/>
              </w:rPr>
              <w:t>Line II.C)</w:t>
            </w:r>
            <w:r>
              <w:rPr>
                <w:rFonts w:ascii="Arial" w:cs="Arial" w:eastAsia="Arial" w:hAnsi="Arial"/>
                <w:sz w:val="25"/>
                <w:szCs w:val="25"/>
                <w:color w:val="auto"/>
                <w:vertAlign w:val="superscript"/>
              </w:rPr>
              <w:t>6</w:t>
            </w:r>
            <w:r>
              <w:rPr>
                <w:rFonts w:ascii="Arial" w:cs="Arial" w:eastAsia="Arial" w:hAnsi="Arial"/>
                <w:sz w:val="19"/>
                <w:szCs w:val="19"/>
                <w:color w:val="auto"/>
              </w:rPr>
              <w:t>:</w:t>
            </w:r>
          </w:p>
        </w:tc>
        <w:tc>
          <w:tcPr>
            <w:tcW w:w="1500" w:type="dxa"/>
            <w:vAlign w:val="bottom"/>
          </w:tcPr>
          <w:p>
            <w:pPr>
              <w:ind w:left="620"/>
              <w:spacing w:after="0"/>
              <w:rPr>
                <w:sz w:val="20"/>
                <w:szCs w:val="20"/>
                <w:color w:val="auto"/>
              </w:rPr>
            </w:pPr>
            <w:r>
              <w:rPr>
                <w:rFonts w:ascii="Arial" w:cs="Arial" w:eastAsia="Arial" w:hAnsi="Arial"/>
                <w:sz w:val="18"/>
                <w:szCs w:val="18"/>
                <w:color w:val="auto"/>
                <w:w w:val="90"/>
              </w:rPr>
              <w:t>____to 1.00</w:t>
            </w:r>
          </w:p>
        </w:tc>
      </w:tr>
      <w:tr>
        <w:trPr>
          <w:trHeight w:val="242"/>
        </w:trPr>
        <w:tc>
          <w:tcPr>
            <w:tcW w:w="560" w:type="dxa"/>
            <w:vAlign w:val="bottom"/>
          </w:tcPr>
          <w:p>
            <w:pPr>
              <w:spacing w:after="0"/>
              <w:rPr>
                <w:sz w:val="21"/>
                <w:szCs w:val="21"/>
                <w:color w:val="auto"/>
              </w:rPr>
            </w:pPr>
          </w:p>
        </w:tc>
        <w:tc>
          <w:tcPr>
            <w:tcW w:w="8240" w:type="dxa"/>
            <w:vAlign w:val="bottom"/>
          </w:tcPr>
          <w:p>
            <w:pPr>
              <w:ind w:left="380"/>
              <w:spacing w:after="0"/>
              <w:rPr>
                <w:sz w:val="20"/>
                <w:szCs w:val="20"/>
                <w:color w:val="auto"/>
              </w:rPr>
            </w:pPr>
            <w:r>
              <w:rPr>
                <w:rFonts w:ascii="Arial" w:cs="Arial" w:eastAsia="Arial" w:hAnsi="Arial"/>
                <w:sz w:val="18"/>
                <w:szCs w:val="18"/>
                <w:i w:val="1"/>
                <w:iCs w:val="1"/>
                <w:color w:val="auto"/>
              </w:rPr>
              <w:t>Maximum permitted:</w:t>
            </w:r>
          </w:p>
        </w:tc>
        <w:tc>
          <w:tcPr>
            <w:tcW w:w="1500" w:type="dxa"/>
            <w:vAlign w:val="bottom"/>
          </w:tcPr>
          <w:p>
            <w:pPr>
              <w:ind w:left="620"/>
              <w:spacing w:after="0"/>
              <w:rPr>
                <w:sz w:val="20"/>
                <w:szCs w:val="20"/>
                <w:color w:val="auto"/>
              </w:rPr>
            </w:pPr>
            <w:r>
              <w:rPr>
                <w:rFonts w:ascii="Arial" w:cs="Arial" w:eastAsia="Arial" w:hAnsi="Arial"/>
                <w:sz w:val="18"/>
                <w:szCs w:val="18"/>
                <w:i w:val="1"/>
                <w:iCs w:val="1"/>
                <w:color w:val="auto"/>
                <w:w w:val="90"/>
              </w:rPr>
              <w:t>3.00 to 1.00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3" w:lineRule="exact"/>
        <w:rPr>
          <w:sz w:val="20"/>
          <w:szCs w:val="20"/>
          <w:color w:val="auto"/>
        </w:rPr>
      </w:pPr>
    </w:p>
    <w:p>
      <w:pPr>
        <w:ind w:left="920" w:hanging="71"/>
        <w:spacing w:after="0"/>
        <w:tabs>
          <w:tab w:leader="none" w:pos="920" w:val="left"/>
        </w:tabs>
        <w:numPr>
          <w:ilvl w:val="0"/>
          <w:numId w:val="272"/>
        </w:numPr>
        <w:rPr>
          <w:rFonts w:ascii="Arial" w:cs="Arial" w:eastAsia="Arial" w:hAnsi="Arial"/>
          <w:sz w:val="19"/>
          <w:szCs w:val="19"/>
          <w:color w:val="auto"/>
          <w:vertAlign w:val="superscript"/>
        </w:rPr>
      </w:pPr>
      <w:r>
        <w:rPr>
          <w:rFonts w:ascii="Arial" w:cs="Arial" w:eastAsia="Arial" w:hAnsi="Arial"/>
          <w:sz w:val="15"/>
          <w:szCs w:val="15"/>
          <w:color w:val="auto"/>
        </w:rPr>
        <w:t xml:space="preserve">Subject to the pro forma adjustments contemplated by </w:t>
      </w:r>
      <w:r>
        <w:rPr>
          <w:rFonts w:ascii="Arial" w:cs="Arial" w:eastAsia="Arial" w:hAnsi="Arial"/>
          <w:sz w:val="15"/>
          <w:szCs w:val="15"/>
          <w:u w:val="single" w:color="auto"/>
          <w:color w:val="auto"/>
        </w:rPr>
        <w:t>Section 1.10</w:t>
      </w:r>
      <w:r>
        <w:rPr>
          <w:rFonts w:ascii="Arial" w:cs="Arial" w:eastAsia="Arial" w:hAnsi="Arial"/>
          <w:sz w:val="15"/>
          <w:szCs w:val="15"/>
          <w:color w:val="auto"/>
        </w:rPr>
        <w:t xml:space="preserve"> of the Credit Agreement.</w:t>
      </w:r>
    </w:p>
    <w:p>
      <w:pPr>
        <w:spacing w:after="0" w:line="106" w:lineRule="exact"/>
        <w:rPr>
          <w:sz w:val="20"/>
          <w:szCs w:val="20"/>
          <w:color w:val="auto"/>
        </w:rPr>
      </w:pPr>
    </w:p>
    <w:p>
      <w:pPr>
        <w:ind w:left="920" w:hanging="71"/>
        <w:spacing w:after="0"/>
        <w:tabs>
          <w:tab w:leader="none" w:pos="920" w:val="left"/>
        </w:tabs>
        <w:numPr>
          <w:ilvl w:val="0"/>
          <w:numId w:val="273"/>
        </w:numPr>
        <w:rPr>
          <w:rFonts w:ascii="Arial" w:cs="Arial" w:eastAsia="Arial" w:hAnsi="Arial"/>
          <w:sz w:val="19"/>
          <w:szCs w:val="19"/>
          <w:color w:val="auto"/>
          <w:vertAlign w:val="superscript"/>
        </w:rPr>
      </w:pPr>
      <w:r>
        <w:rPr>
          <w:rFonts w:ascii="Arial" w:cs="Arial" w:eastAsia="Arial" w:hAnsi="Arial"/>
          <w:sz w:val="15"/>
          <w:szCs w:val="15"/>
          <w:color w:val="auto"/>
        </w:rPr>
        <w:t xml:space="preserve">Subject to the pro forma adjustments contemplated by </w:t>
      </w:r>
      <w:r>
        <w:rPr>
          <w:rFonts w:ascii="Arial" w:cs="Arial" w:eastAsia="Arial" w:hAnsi="Arial"/>
          <w:sz w:val="15"/>
          <w:szCs w:val="15"/>
          <w:u w:val="single" w:color="auto"/>
          <w:color w:val="auto"/>
        </w:rPr>
        <w:t>Section 1.10</w:t>
      </w:r>
      <w:r>
        <w:rPr>
          <w:rFonts w:ascii="Arial" w:cs="Arial" w:eastAsia="Arial" w:hAnsi="Arial"/>
          <w:sz w:val="15"/>
          <w:szCs w:val="15"/>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SCHEDULE 1</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Form of Compliance Certificate</w:t>
      </w:r>
    </w:p>
    <w:p>
      <w:pPr>
        <w:sectPr>
          <w:pgSz w:w="11900" w:h="16838" w:orient="portrait"/>
          <w:cols w:equalWidth="0" w:num="1">
            <w:col w:w="11180"/>
          </w:cols>
          <w:pgMar w:left="320" w:top="1440" w:right="399" w:bottom="1440" w:gutter="0" w:footer="0" w:header="0"/>
        </w:sectPr>
      </w:pPr>
    </w:p>
    <w:bookmarkStart w:id="332" w:name="page333"/>
    <w:bookmarkEnd w:id="332"/>
    <w:p>
      <w:pPr>
        <w:spacing w:after="0" w:line="379"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For the Quarter/Year ended_____________(“</w:t>
      </w:r>
      <w:r>
        <w:rPr>
          <w:rFonts w:ascii="Arial" w:cs="Arial" w:eastAsia="Arial" w:hAnsi="Arial"/>
          <w:sz w:val="17"/>
          <w:szCs w:val="17"/>
          <w:u w:val="single" w:color="auto"/>
          <w:color w:val="auto"/>
        </w:rPr>
        <w:t>Statement Date</w:t>
      </w:r>
      <w:r>
        <w:rPr>
          <w:rFonts w:ascii="Arial" w:cs="Arial" w:eastAsia="Arial" w:hAnsi="Arial"/>
          <w:sz w:val="17"/>
          <w:szCs w:val="17"/>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2</w:t>
      </w:r>
    </w:p>
    <w:p>
      <w:pPr>
        <w:jc w:val="center"/>
        <w:ind w:right="20"/>
        <w:spacing w:after="0" w:line="202" w:lineRule="auto"/>
        <w:rPr>
          <w:sz w:val="20"/>
          <w:szCs w:val="20"/>
          <w:color w:val="auto"/>
        </w:rPr>
      </w:pPr>
      <w:r>
        <w:rPr>
          <w:rFonts w:ascii="Arial" w:cs="Arial" w:eastAsia="Arial" w:hAnsi="Arial"/>
          <w:sz w:val="18"/>
          <w:szCs w:val="18"/>
          <w:color w:val="auto"/>
        </w:rPr>
        <w:t>to the Compliance Certificate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in 000’s)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EBITDA</w:t>
      </w:r>
    </w:p>
    <w:p>
      <w:pPr>
        <w:jc w:val="center"/>
        <w:ind w:right="20"/>
        <w:spacing w:after="0" w:line="202" w:lineRule="auto"/>
        <w:rPr>
          <w:sz w:val="20"/>
          <w:szCs w:val="20"/>
          <w:color w:val="auto"/>
        </w:rPr>
      </w:pPr>
      <w:r>
        <w:rPr>
          <w:rFonts w:ascii="Arial" w:cs="Arial" w:eastAsia="Arial" w:hAnsi="Arial"/>
          <w:sz w:val="18"/>
          <w:szCs w:val="18"/>
          <w:color w:val="auto"/>
        </w:rPr>
        <w:t>(in accordance with the definition of Consolidated EBITDA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146685</wp:posOffset>
            </wp:positionV>
            <wp:extent cx="7000240" cy="3250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000240" cy="3250565"/>
                    </a:xfrm>
                    <a:prstGeom prst="rect">
                      <a:avLst/>
                    </a:prstGeom>
                    <a:noFill/>
                  </pic:spPr>
                </pic:pic>
              </a:graphicData>
            </a:graphic>
          </wp:anchor>
        </w:drawing>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2460" w:type="dxa"/>
            <w:vAlign w:val="bottom"/>
            <w:vMerge w:val="restart"/>
          </w:tcPr>
          <w:p>
            <w:pPr>
              <w:jc w:val="center"/>
              <w:ind w:left="1080"/>
              <w:spacing w:after="0"/>
              <w:rPr>
                <w:sz w:val="20"/>
                <w:szCs w:val="20"/>
                <w:color w:val="auto"/>
              </w:rPr>
            </w:pPr>
            <w:r>
              <w:rPr>
                <w:rFonts w:ascii="Arial" w:cs="Arial" w:eastAsia="Arial" w:hAnsi="Arial"/>
                <w:sz w:val="20"/>
                <w:szCs w:val="20"/>
                <w:b w:val="1"/>
                <w:bCs w:val="1"/>
                <w:color w:val="auto"/>
                <w:w w:val="94"/>
              </w:rPr>
              <w:t>Quarter</w:t>
            </w: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3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4"/>
              </w:rPr>
              <w:t>Quarter</w:t>
            </w:r>
          </w:p>
        </w:tc>
        <w:tc>
          <w:tcPr>
            <w:tcW w:w="960" w:type="dxa"/>
            <w:vAlign w:val="bottom"/>
          </w:tcPr>
          <w:p>
            <w:pPr>
              <w:jc w:val="center"/>
              <w:ind w:left="180"/>
              <w:spacing w:after="0"/>
              <w:rPr>
                <w:sz w:val="20"/>
                <w:szCs w:val="20"/>
                <w:color w:val="auto"/>
              </w:rPr>
            </w:pPr>
            <w:r>
              <w:rPr>
                <w:rFonts w:ascii="Arial" w:cs="Arial" w:eastAsia="Arial" w:hAnsi="Arial"/>
                <w:sz w:val="20"/>
                <w:szCs w:val="20"/>
                <w:b w:val="1"/>
                <w:bCs w:val="1"/>
                <w:color w:val="auto"/>
                <w:w w:val="89"/>
              </w:rPr>
              <w:t>Twelve</w:t>
            </w:r>
          </w:p>
        </w:tc>
        <w:tc>
          <w:tcPr>
            <w:tcW w:w="0" w:type="dxa"/>
            <w:vAlign w:val="bottom"/>
          </w:tcPr>
          <w:p>
            <w:pPr>
              <w:spacing w:after="0"/>
              <w:rPr>
                <w:sz w:val="1"/>
                <w:szCs w:val="1"/>
                <w:color w:val="auto"/>
              </w:rPr>
            </w:pPr>
          </w:p>
        </w:tc>
      </w:tr>
      <w:tr>
        <w:trPr>
          <w:trHeight w:val="200"/>
        </w:trPr>
        <w:tc>
          <w:tcPr>
            <w:tcW w:w="342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EBITDA</w:t>
            </w:r>
          </w:p>
        </w:tc>
        <w:tc>
          <w:tcPr>
            <w:tcW w:w="24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960" w:type="dxa"/>
            <w:vAlign w:val="bottom"/>
          </w:tcPr>
          <w:p>
            <w:pPr>
              <w:jc w:val="center"/>
              <w:ind w:left="200"/>
              <w:spacing w:after="0" w:line="200" w:lineRule="exact"/>
              <w:rPr>
                <w:sz w:val="20"/>
                <w:szCs w:val="20"/>
                <w:color w:val="auto"/>
              </w:rPr>
            </w:pPr>
            <w:r>
              <w:rPr>
                <w:rFonts w:ascii="Arial" w:cs="Arial" w:eastAsia="Arial" w:hAnsi="Arial"/>
                <w:sz w:val="20"/>
                <w:szCs w:val="20"/>
                <w:b w:val="1"/>
                <w:bCs w:val="1"/>
                <w:color w:val="auto"/>
                <w:w w:val="92"/>
              </w:rPr>
              <w:t>Months</w:t>
            </w:r>
          </w:p>
        </w:tc>
        <w:tc>
          <w:tcPr>
            <w:tcW w:w="0" w:type="dxa"/>
            <w:vAlign w:val="bottom"/>
          </w:tcPr>
          <w:p>
            <w:pPr>
              <w:spacing w:after="0"/>
              <w:rPr>
                <w:sz w:val="1"/>
                <w:szCs w:val="1"/>
                <w:color w:val="auto"/>
              </w:rPr>
            </w:pPr>
          </w:p>
        </w:tc>
      </w:tr>
      <w:tr>
        <w:trPr>
          <w:trHeight w:val="260"/>
        </w:trPr>
        <w:tc>
          <w:tcPr>
            <w:tcW w:w="3420" w:type="dxa"/>
            <w:vAlign w:val="bottom"/>
            <w:vMerge w:val="continue"/>
          </w:tcPr>
          <w:p>
            <w:pPr>
              <w:spacing w:after="0"/>
              <w:rPr>
                <w:sz w:val="22"/>
                <w:szCs w:val="22"/>
                <w:color w:val="auto"/>
              </w:rPr>
            </w:pPr>
          </w:p>
        </w:tc>
        <w:tc>
          <w:tcPr>
            <w:tcW w:w="2460" w:type="dxa"/>
            <w:vAlign w:val="bottom"/>
          </w:tcPr>
          <w:p>
            <w:pPr>
              <w:jc w:val="center"/>
              <w:ind w:left="1080"/>
              <w:spacing w:after="0"/>
              <w:rPr>
                <w:sz w:val="20"/>
                <w:szCs w:val="20"/>
                <w:color w:val="auto"/>
              </w:rPr>
            </w:pPr>
            <w:r>
              <w:rPr>
                <w:rFonts w:ascii="Arial" w:cs="Arial" w:eastAsia="Arial" w:hAnsi="Arial"/>
                <w:sz w:val="20"/>
                <w:szCs w:val="20"/>
                <w:b w:val="1"/>
                <w:bCs w:val="1"/>
                <w:color w:val="auto"/>
                <w:w w:val="91"/>
              </w:rPr>
              <w:t>Ended</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1"/>
              </w:rPr>
              <w:t>Ended</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1"/>
              </w:rPr>
              <w:t>Ended</w:t>
            </w:r>
          </w:p>
        </w:tc>
        <w:tc>
          <w:tcPr>
            <w:tcW w:w="960" w:type="dxa"/>
            <w:vAlign w:val="bottom"/>
          </w:tcPr>
          <w:p>
            <w:pPr>
              <w:jc w:val="center"/>
              <w:ind w:left="180"/>
              <w:spacing w:after="0"/>
              <w:rPr>
                <w:sz w:val="20"/>
                <w:szCs w:val="20"/>
                <w:color w:val="auto"/>
              </w:rPr>
            </w:pPr>
            <w:r>
              <w:rPr>
                <w:rFonts w:ascii="Arial" w:cs="Arial" w:eastAsia="Arial" w:hAnsi="Arial"/>
                <w:sz w:val="20"/>
                <w:szCs w:val="20"/>
                <w:b w:val="1"/>
                <w:bCs w:val="1"/>
                <w:color w:val="auto"/>
                <w:w w:val="91"/>
              </w:rPr>
              <w:t>Ended</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20" w:right="6620" w:hanging="278"/>
        <w:spacing w:after="0" w:line="219"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tender premiums, redemption premiums, fees and other amounts and expenses incurred in connection with the tender for and/or redemption of Indebtedness incurred under </w:t>
      </w:r>
      <w:r>
        <w:rPr>
          <w:rFonts w:ascii="Arial" w:cs="Arial" w:eastAsia="Arial" w:hAnsi="Arial"/>
          <w:sz w:val="18"/>
          <w:szCs w:val="18"/>
          <w:u w:val="single" w:color="auto"/>
          <w:color w:val="auto"/>
        </w:rPr>
        <w:t>Section 7.03(r)</w:t>
      </w:r>
    </w:p>
    <w:p>
      <w:pPr>
        <w:spacing w:after="0" w:line="55" w:lineRule="exact"/>
        <w:rPr>
          <w:rFonts w:ascii="Arial" w:cs="Arial" w:eastAsia="Arial" w:hAnsi="Arial"/>
          <w:sz w:val="18"/>
          <w:szCs w:val="18"/>
          <w:color w:val="auto"/>
        </w:rPr>
      </w:pPr>
    </w:p>
    <w:p>
      <w:pPr>
        <w:ind w:left="520" w:right="6680" w:hanging="278"/>
        <w:spacing w:after="0" w:line="219"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earn-out expenses resulting from Permitted Acquisitions in which the Company and/or any Restricted Subsidiary is required to treat such earn-out expenses as compensation costs</w:t>
      </w:r>
    </w:p>
    <w:p>
      <w:pPr>
        <w:spacing w:after="0" w:line="55" w:lineRule="exact"/>
        <w:rPr>
          <w:rFonts w:ascii="Arial" w:cs="Arial" w:eastAsia="Arial" w:hAnsi="Arial"/>
          <w:sz w:val="18"/>
          <w:szCs w:val="18"/>
          <w:color w:val="auto"/>
        </w:rPr>
      </w:pPr>
    </w:p>
    <w:p>
      <w:pPr>
        <w:ind w:left="520" w:right="6780" w:hanging="278"/>
        <w:spacing w:after="0" w:line="236"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expenses arising from the impact of FASB ASC 470-50-40</w:t>
      </w:r>
    </w:p>
    <w:p>
      <w:pPr>
        <w:spacing w:after="0" w:line="54" w:lineRule="exact"/>
        <w:rPr>
          <w:rFonts w:ascii="Arial" w:cs="Arial" w:eastAsia="Arial" w:hAnsi="Arial"/>
          <w:sz w:val="18"/>
          <w:szCs w:val="18"/>
          <w:color w:val="auto"/>
        </w:rPr>
      </w:pPr>
    </w:p>
    <w:p>
      <w:pPr>
        <w:ind w:left="520" w:right="7160" w:hanging="278"/>
        <w:spacing w:after="0" w:line="236"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net losses from Swap Contracts and FASB ASC Topic 815</w:t>
      </w:r>
    </w:p>
    <w:p>
      <w:pPr>
        <w:spacing w:after="0" w:line="54" w:lineRule="exact"/>
        <w:rPr>
          <w:rFonts w:ascii="Arial" w:cs="Arial" w:eastAsia="Arial" w:hAnsi="Arial"/>
          <w:sz w:val="18"/>
          <w:szCs w:val="18"/>
          <w:color w:val="auto"/>
        </w:rPr>
      </w:pPr>
    </w:p>
    <w:p>
      <w:pPr>
        <w:ind w:left="520" w:hanging="278"/>
        <w:spacing w:after="0"/>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net losses from currency translation losses</w:t>
      </w:r>
    </w:p>
    <w:p>
      <w:pPr>
        <w:spacing w:after="0" w:line="80" w:lineRule="exact"/>
        <w:rPr>
          <w:rFonts w:ascii="Arial" w:cs="Arial" w:eastAsia="Arial" w:hAnsi="Arial"/>
          <w:sz w:val="18"/>
          <w:szCs w:val="18"/>
          <w:color w:val="auto"/>
        </w:rPr>
      </w:pPr>
    </w:p>
    <w:p>
      <w:pPr>
        <w:ind w:left="520" w:right="6580" w:hanging="278"/>
        <w:spacing w:after="0" w:line="236"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losses from the early extinguishment of Indebtedness or Swap Contracts</w:t>
      </w:r>
    </w:p>
    <w:p>
      <w:pPr>
        <w:spacing w:after="0" w:line="54" w:lineRule="exact"/>
        <w:rPr>
          <w:rFonts w:ascii="Arial" w:cs="Arial" w:eastAsia="Arial" w:hAnsi="Arial"/>
          <w:sz w:val="18"/>
          <w:szCs w:val="18"/>
          <w:color w:val="auto"/>
        </w:rPr>
      </w:pPr>
    </w:p>
    <w:p>
      <w:pPr>
        <w:ind w:left="520" w:hanging="278"/>
        <w:spacing w:after="0"/>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other non-recurring or unusual charges</w:t>
      </w:r>
    </w:p>
    <w:p>
      <w:pPr>
        <w:spacing w:after="0" w:line="80" w:lineRule="exact"/>
        <w:rPr>
          <w:rFonts w:ascii="Arial" w:cs="Arial" w:eastAsia="Arial" w:hAnsi="Arial"/>
          <w:sz w:val="18"/>
          <w:szCs w:val="18"/>
          <w:color w:val="auto"/>
        </w:rPr>
      </w:pPr>
    </w:p>
    <w:p>
      <w:pPr>
        <w:ind w:left="520" w:right="6720" w:hanging="278"/>
        <w:spacing w:after="0" w:line="219" w:lineRule="auto"/>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cash charges paid in connection with corporate restructurings (including severance costs in connection with any reduction in the workforce of the Company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SCHEDULE 2</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Form of Compliance Certificate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00"/>
          </w:cols>
          <w:pgMar w:left="360" w:top="1440" w:right="339" w:bottom="1440" w:gutter="0" w:footer="0" w:header="0"/>
        </w:sectPr>
      </w:pPr>
    </w:p>
    <w:bookmarkStart w:id="333" w:name="page334"/>
    <w:bookmarkEnd w:id="333"/>
    <w:tbl>
      <w:tblPr>
        <w:tblLayout w:type="fixed"/>
        <w:tblInd w:w="130" w:type="dxa"/>
        <w:tblCellMar>
          <w:top w:w="0" w:type="dxa"/>
          <w:left w:w="0" w:type="dxa"/>
          <w:bottom w:w="0" w:type="dxa"/>
          <w:right w:w="0" w:type="dxa"/>
        </w:tblCellMar>
      </w:tblPr>
      <w:tr>
        <w:trPr>
          <w:trHeight w:val="250"/>
        </w:trPr>
        <w:tc>
          <w:tcPr>
            <w:tcW w:w="300" w:type="dxa"/>
            <w:vAlign w:val="bottom"/>
            <w:tcBorders>
              <w:top w:val="single" w:sz="8" w:color="auto"/>
              <w:left w:val="single" w:sz="8" w:color="auto"/>
            </w:tcBorders>
          </w:tcPr>
          <w:p>
            <w:pPr>
              <w:spacing w:after="0"/>
              <w:rPr>
                <w:sz w:val="21"/>
                <w:szCs w:val="21"/>
                <w:color w:val="auto"/>
              </w:rPr>
            </w:pPr>
          </w:p>
        </w:tc>
        <w:tc>
          <w:tcPr>
            <w:tcW w:w="450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Twelve</w:t>
            </w:r>
          </w:p>
        </w:tc>
        <w:tc>
          <w:tcPr>
            <w:tcW w:w="0" w:type="dxa"/>
            <w:vAlign w:val="bottom"/>
          </w:tcPr>
          <w:p>
            <w:pPr>
              <w:spacing w:after="0"/>
              <w:rPr>
                <w:sz w:val="1"/>
                <w:szCs w:val="1"/>
                <w:color w:val="auto"/>
              </w:rPr>
            </w:pPr>
          </w:p>
        </w:tc>
      </w:tr>
      <w:tr>
        <w:trPr>
          <w:trHeight w:val="200"/>
        </w:trPr>
        <w:tc>
          <w:tcPr>
            <w:tcW w:w="48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b w:val="1"/>
                <w:bCs w:val="1"/>
                <w:color w:val="auto"/>
              </w:rPr>
              <w:t>Consolidated EBITDA</w:t>
            </w:r>
          </w:p>
        </w:tc>
        <w:tc>
          <w:tcPr>
            <w:tcW w:w="126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Months</w:t>
            </w:r>
          </w:p>
        </w:tc>
        <w:tc>
          <w:tcPr>
            <w:tcW w:w="0" w:type="dxa"/>
            <w:vAlign w:val="bottom"/>
          </w:tcPr>
          <w:p>
            <w:pPr>
              <w:spacing w:after="0"/>
              <w:rPr>
                <w:sz w:val="1"/>
                <w:szCs w:val="1"/>
                <w:color w:val="auto"/>
              </w:rPr>
            </w:pPr>
          </w:p>
        </w:tc>
      </w:tr>
      <w:tr>
        <w:trPr>
          <w:trHeight w:val="261"/>
        </w:trPr>
        <w:tc>
          <w:tcPr>
            <w:tcW w:w="4800" w:type="dxa"/>
            <w:vAlign w:val="bottom"/>
            <w:tcBorders>
              <w:left w:val="single" w:sz="8" w:color="auto"/>
              <w:bottom w:val="single" w:sz="8" w:color="auto"/>
              <w:right w:val="single" w:sz="8" w:color="auto"/>
            </w:tcBorders>
            <w:gridSpan w:val="2"/>
            <w:vMerge w:val="continue"/>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0" w:type="dxa"/>
            <w:vAlign w:val="bottom"/>
          </w:tcPr>
          <w:p>
            <w:pPr>
              <w:spacing w:after="0"/>
              <w:rPr>
                <w:sz w:val="1"/>
                <w:szCs w:val="1"/>
                <w:color w:val="auto"/>
              </w:rPr>
            </w:pPr>
          </w:p>
        </w:tc>
      </w:tr>
      <w:tr>
        <w:trPr>
          <w:trHeight w:val="218"/>
        </w:trPr>
        <w:tc>
          <w:tcPr>
            <w:tcW w:w="48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expected cost savings, operating expense reductions,</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rPr>
              <w:t>restructuring charges and expenses and cost- saving</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rPr>
              <w:t>synergies projected by the Company in good faith to</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w w:val="95"/>
              </w:rPr>
              <w:t>result from actions with respect to which substantial steps</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rPr>
              <w:t>have been, will be, or are expected to be, taken (in the</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w w:val="97"/>
              </w:rPr>
              <w:t>good faith determination of the Company and evidenced</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Borders>
              <w:left w:val="single" w:sz="8" w:color="auto"/>
            </w:tcBorders>
          </w:tcPr>
          <w:p>
            <w:pPr>
              <w:spacing w:after="0"/>
              <w:rPr>
                <w:sz w:val="15"/>
                <w:szCs w:val="15"/>
                <w:color w:val="auto"/>
              </w:rPr>
            </w:pPr>
          </w:p>
        </w:tc>
        <w:tc>
          <w:tcPr>
            <w:tcW w:w="45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8"/>
                <w:szCs w:val="18"/>
                <w:color w:val="auto"/>
                <w:w w:val="96"/>
              </w:rPr>
              <w:t>by a certificate of a Responsible Officer of the Company)</w:t>
            </w: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 w:type="dxa"/>
            <w:vAlign w:val="bottom"/>
            <w:tcBorders>
              <w:left w:val="single" w:sz="8" w:color="auto"/>
              <w:bottom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within 15 months of Subject Period</w:t>
            </w: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Federal, state, local and foreign income tax credits</w:t>
            </w: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0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8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net gains from Swap Contracts and FASB ASC Topic</w:t>
            </w: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00" w:type="dxa"/>
            <w:vAlign w:val="bottom"/>
            <w:tcBorders>
              <w:left w:val="single" w:sz="8" w:color="auto"/>
            </w:tcBorders>
          </w:tcPr>
          <w:p>
            <w:pPr>
              <w:spacing w:after="0"/>
              <w:rPr>
                <w:sz w:val="20"/>
                <w:szCs w:val="20"/>
                <w:color w:val="auto"/>
              </w:rPr>
            </w:pPr>
          </w:p>
        </w:tc>
        <w:tc>
          <w:tcPr>
            <w:tcW w:w="4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815</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0" w:type="dxa"/>
            <w:vAlign w:val="bottom"/>
            <w:tcBorders>
              <w:left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any net gain incurred in such period from currency</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 w:type="dxa"/>
            <w:vAlign w:val="bottom"/>
            <w:tcBorders>
              <w:left w:val="single" w:sz="8" w:color="auto"/>
              <w:bottom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translation gains</w:t>
            </w: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gains from the early extinguishment of Indebtedness or</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 w:type="dxa"/>
            <w:vAlign w:val="bottom"/>
            <w:tcBorders>
              <w:left w:val="single" w:sz="8" w:color="auto"/>
              <w:bottom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Swap Contracts or other derivative instruments</w:t>
            </w: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8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non-cash additions to Consolidated Net Income</w:t>
            </w:r>
          </w:p>
        </w:tc>
        <w:tc>
          <w:tcPr>
            <w:tcW w:w="126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8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ConsolidatedEBITDA</w:t>
            </w:r>
          </w:p>
        </w:tc>
        <w:tc>
          <w:tcPr>
            <w:tcW w:w="1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130" w:type="dxa"/>
        <w:tblCellMar>
          <w:top w:w="0" w:type="dxa"/>
          <w:left w:w="0" w:type="dxa"/>
          <w:bottom w:w="0" w:type="dxa"/>
          <w:right w:w="0" w:type="dxa"/>
        </w:tblCellMar>
      </w:tblPr>
      <w:tr>
        <w:trPr>
          <w:trHeight w:val="250"/>
        </w:trPr>
        <w:tc>
          <w:tcPr>
            <w:tcW w:w="320" w:type="dxa"/>
            <w:vAlign w:val="bottom"/>
            <w:tcBorders>
              <w:top w:val="single" w:sz="8" w:color="auto"/>
              <w:left w:val="single" w:sz="8" w:color="auto"/>
            </w:tcBorders>
          </w:tcPr>
          <w:p>
            <w:pPr>
              <w:spacing w:after="0"/>
              <w:rPr>
                <w:sz w:val="21"/>
                <w:szCs w:val="21"/>
                <w:color w:val="auto"/>
              </w:rPr>
            </w:pPr>
          </w:p>
        </w:tc>
        <w:tc>
          <w:tcPr>
            <w:tcW w:w="4320" w:type="dxa"/>
            <w:vAlign w:val="bottom"/>
            <w:tcBorders>
              <w:top w:val="single" w:sz="8" w:color="auto"/>
              <w:right w:val="single" w:sz="8" w:color="auto"/>
            </w:tcBorders>
          </w:tcPr>
          <w:p>
            <w:pPr>
              <w:spacing w:after="0"/>
              <w:rPr>
                <w:sz w:val="21"/>
                <w:szCs w:val="21"/>
                <w:color w:val="auto"/>
              </w:rPr>
            </w:pP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Quarter</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Quarter</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Quarter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Twelve</w:t>
            </w:r>
          </w:p>
        </w:tc>
        <w:tc>
          <w:tcPr>
            <w:tcW w:w="0" w:type="dxa"/>
            <w:vAlign w:val="bottom"/>
          </w:tcPr>
          <w:p>
            <w:pPr>
              <w:spacing w:after="0"/>
              <w:rPr>
                <w:sz w:val="1"/>
                <w:szCs w:val="1"/>
                <w:color w:val="auto"/>
              </w:rPr>
            </w:pPr>
          </w:p>
        </w:tc>
      </w:tr>
      <w:tr>
        <w:trPr>
          <w:trHeight w:val="200"/>
        </w:trPr>
        <w:tc>
          <w:tcPr>
            <w:tcW w:w="464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b w:val="1"/>
                <w:bCs w:val="1"/>
                <w:color w:val="auto"/>
              </w:rPr>
              <w:t>Consolidated EBITDA</w:t>
            </w:r>
          </w:p>
        </w:tc>
        <w:tc>
          <w:tcPr>
            <w:tcW w:w="128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2"/>
              </w:rPr>
              <w:t>Months</w:t>
            </w:r>
          </w:p>
        </w:tc>
        <w:tc>
          <w:tcPr>
            <w:tcW w:w="0" w:type="dxa"/>
            <w:vAlign w:val="bottom"/>
          </w:tcPr>
          <w:p>
            <w:pPr>
              <w:spacing w:after="0"/>
              <w:rPr>
                <w:sz w:val="1"/>
                <w:szCs w:val="1"/>
                <w:color w:val="auto"/>
              </w:rPr>
            </w:pPr>
          </w:p>
        </w:tc>
      </w:tr>
      <w:tr>
        <w:trPr>
          <w:trHeight w:val="261"/>
        </w:trPr>
        <w:tc>
          <w:tcPr>
            <w:tcW w:w="4640" w:type="dxa"/>
            <w:vAlign w:val="bottom"/>
            <w:tcBorders>
              <w:left w:val="single" w:sz="8" w:color="auto"/>
              <w:bottom w:val="single" w:sz="8" w:color="auto"/>
              <w:right w:val="single" w:sz="8" w:color="auto"/>
            </w:tcBorders>
            <w:gridSpan w:val="2"/>
            <w:vMerge w:val="continue"/>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Ended</w:t>
            </w:r>
          </w:p>
        </w:tc>
        <w:tc>
          <w:tcPr>
            <w:tcW w:w="0" w:type="dxa"/>
            <w:vAlign w:val="bottom"/>
          </w:tcPr>
          <w:p>
            <w:pPr>
              <w:spacing w:after="0"/>
              <w:rPr>
                <w:sz w:val="1"/>
                <w:szCs w:val="1"/>
                <w:color w:val="auto"/>
              </w:rPr>
            </w:pPr>
          </w:p>
        </w:tc>
      </w:tr>
      <w:tr>
        <w:trPr>
          <w:trHeight w:val="218"/>
        </w:trPr>
        <w:tc>
          <w:tcPr>
            <w:tcW w:w="4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Consolidated Net Income</w:t>
            </w:r>
          </w:p>
        </w:tc>
        <w:tc>
          <w:tcPr>
            <w:tcW w:w="1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Consolidated Interest Charges</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Federal, state, local and foreign income Taxes</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depreciation expense</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amortization expense</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charges related to purchase accounting adjustments</w:t>
            </w: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Borders>
              <w:left w:val="single" w:sz="8" w:color="auto"/>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required by FASB ASC Topic 805</w:t>
            </w: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6"/>
              </w:rPr>
              <w:t>+  non-cash charges relating to stock based compensation</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other non-cash charges</w:t>
            </w:r>
          </w:p>
        </w:tc>
        <w:tc>
          <w:tcPr>
            <w:tcW w:w="1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6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expenses in connection with prepayment,</w:t>
            </w: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43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8"/>
                <w:szCs w:val="18"/>
                <w:color w:val="auto"/>
              </w:rPr>
              <w:t>amendment, modification or refinancing of</w:t>
            </w: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Borders>
              <w:left w:val="single" w:sz="8" w:color="auto"/>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Indebtedness (whether or not consummated)</w:t>
            </w: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  any non-capitalized transaction costs incurred during</w:t>
            </w: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43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8"/>
                <w:szCs w:val="18"/>
                <w:color w:val="auto"/>
              </w:rPr>
              <w:t>such period in connection with an incurrence of</w:t>
            </w: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43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8"/>
                <w:szCs w:val="18"/>
                <w:color w:val="auto"/>
                <w:w w:val="95"/>
              </w:rPr>
              <w:t>Indebtedness, during a refinancing thereof, issuance of</w:t>
            </w: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43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8"/>
                <w:szCs w:val="18"/>
                <w:color w:val="auto"/>
              </w:rPr>
              <w:t>Equity Interests, Investment, Acquisition, Disposition</w:t>
            </w: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43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8"/>
                <w:szCs w:val="18"/>
                <w:color w:val="auto"/>
                <w:w w:val="99"/>
              </w:rPr>
              <w:t>or recapitalization (whether or not consummated), as</w:t>
            </w:r>
          </w:p>
        </w:tc>
        <w:tc>
          <w:tcPr>
            <w:tcW w:w="12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Borders>
              <w:left w:val="single" w:sz="8" w:color="auto"/>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permitted</w:t>
            </w:r>
          </w:p>
        </w:tc>
        <w:tc>
          <w:tcPr>
            <w:tcW w:w="12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SCHEDULE 2</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Form of Compliance Certificate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20"/>
          </w:cols>
          <w:pgMar w:left="360" w:top="1343" w:right="319" w:bottom="1440" w:gutter="0" w:footer="0" w:header="0"/>
        </w:sectPr>
      </w:pPr>
    </w:p>
    <w:bookmarkStart w:id="334" w:name="page335"/>
    <w:bookmarkEnd w:id="334"/>
    <w:p>
      <w:pPr>
        <w:ind w:left="5980"/>
        <w:spacing w:after="0"/>
        <w:rPr>
          <w:sz w:val="20"/>
          <w:szCs w:val="20"/>
          <w:color w:val="auto"/>
        </w:rPr>
      </w:pPr>
      <w:r>
        <w:rPr>
          <w:rFonts w:ascii="Arial" w:cs="Arial" w:eastAsia="Arial" w:hAnsi="Arial"/>
          <w:sz w:val="18"/>
          <w:szCs w:val="18"/>
          <w:color w:val="auto"/>
        </w:rPr>
        <w:t>For the Quarter/Year ended _______________(“</w:t>
      </w:r>
      <w:r>
        <w:rPr>
          <w:rFonts w:ascii="Arial" w:cs="Arial" w:eastAsia="Arial" w:hAnsi="Arial"/>
          <w:sz w:val="18"/>
          <w:szCs w:val="18"/>
          <w:u w:val="single" w:color="auto"/>
          <w:color w:val="auto"/>
        </w:rPr>
        <w:t>Statement Date</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ind w:left="4440"/>
        <w:spacing w:after="0"/>
        <w:rPr>
          <w:sz w:val="20"/>
          <w:szCs w:val="20"/>
          <w:color w:val="auto"/>
        </w:rPr>
      </w:pPr>
      <w:r>
        <w:rPr>
          <w:rFonts w:ascii="Arial" w:cs="Arial" w:eastAsia="Arial" w:hAnsi="Arial"/>
          <w:sz w:val="20"/>
          <w:szCs w:val="20"/>
          <w:color w:val="auto"/>
        </w:rPr>
        <w:t>to the Compliance Certificate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List of Loan Parties added to the Indemnity Agreement since the date of the last Compliance Certificate delivered: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Compliance Certificate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40"/>
          </w:cols>
          <w:pgMar w:left="320" w:top="1369" w:right="339" w:bottom="1440" w:gutter="0" w:footer="0" w:header="0"/>
        </w:sectPr>
      </w:pPr>
    </w:p>
    <w:bookmarkStart w:id="335" w:name="page336"/>
    <w:bookmarkEnd w:id="335"/>
    <w:p>
      <w:pPr>
        <w:ind w:left="9600"/>
        <w:spacing w:after="0"/>
        <w:rPr>
          <w:sz w:val="20"/>
          <w:szCs w:val="20"/>
          <w:color w:val="auto"/>
        </w:rPr>
      </w:pPr>
      <w:r>
        <w:rPr>
          <w:rFonts w:ascii="Arial" w:cs="Arial" w:eastAsia="Arial" w:hAnsi="Arial"/>
          <w:sz w:val="18"/>
          <w:szCs w:val="18"/>
          <w:b w:val="1"/>
          <w:bCs w:val="1"/>
          <w:i w:val="1"/>
          <w:iCs w:val="1"/>
          <w:color w:val="auto"/>
        </w:rPr>
        <w:t>EXHIBIT E</w:t>
      </w:r>
    </w:p>
    <w:p>
      <w:pPr>
        <w:spacing w:after="0" w:line="20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ASSIGNMENT AND ASSUMPTION</w:t>
      </w:r>
    </w:p>
    <w:p>
      <w:pPr>
        <w:spacing w:after="0" w:line="281" w:lineRule="exact"/>
        <w:rPr>
          <w:sz w:val="20"/>
          <w:szCs w:val="20"/>
          <w:color w:val="auto"/>
        </w:rPr>
      </w:pPr>
    </w:p>
    <w:p>
      <w:pPr>
        <w:jc w:val="both"/>
        <w:ind w:left="240" w:firstLine="598"/>
        <w:spacing w:after="0" w:line="228"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is dated as of the Effective Date set forth below and is entered into by and between </w:t>
      </w:r>
      <w:r>
        <w:rPr>
          <w:rFonts w:ascii="Arial" w:cs="Arial" w:eastAsia="Arial" w:hAnsi="Arial"/>
          <w:sz w:val="19"/>
          <w:szCs w:val="19"/>
          <w:b w:val="1"/>
          <w:bCs w:val="1"/>
          <w:color w:val="auto"/>
        </w:rPr>
        <w:t>[the][each]</w:t>
      </w:r>
      <w:r>
        <w:rPr>
          <w:rFonts w:ascii="Arial" w:cs="Arial" w:eastAsia="Arial" w:hAnsi="Arial"/>
          <w:sz w:val="24"/>
          <w:szCs w:val="24"/>
          <w:color w:val="auto"/>
          <w:vertAlign w:val="superscript"/>
        </w:rPr>
        <w:t>7</w:t>
      </w:r>
      <w:r>
        <w:rPr>
          <w:rFonts w:ascii="Arial" w:cs="Arial" w:eastAsia="Arial" w:hAnsi="Arial"/>
          <w:sz w:val="19"/>
          <w:szCs w:val="19"/>
          <w:color w:val="auto"/>
        </w:rPr>
        <w:t xml:space="preserve"> Assignor identified in item 1 below (</w:t>
      </w:r>
      <w:r>
        <w:rPr>
          <w:rFonts w:ascii="Arial" w:cs="Arial" w:eastAsia="Arial" w:hAnsi="Arial"/>
          <w:sz w:val="19"/>
          <w:szCs w:val="19"/>
          <w:b w:val="1"/>
          <w:bCs w:val="1"/>
          <w:color w:val="auto"/>
        </w:rPr>
        <w:t>[the][each, 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Assignor</w:t>
      </w:r>
      <w:r>
        <w:rPr>
          <w:rFonts w:ascii="Arial" w:cs="Arial" w:eastAsia="Arial" w:hAnsi="Arial"/>
          <w:sz w:val="19"/>
          <w:szCs w:val="19"/>
          <w:color w:val="auto"/>
        </w:rPr>
        <w:t xml:space="preserve">”) and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[each]</w:t>
      </w:r>
      <w:r>
        <w:rPr>
          <w:rFonts w:ascii="Arial" w:cs="Arial" w:eastAsia="Arial" w:hAnsi="Arial"/>
          <w:sz w:val="24"/>
          <w:szCs w:val="24"/>
          <w:color w:val="auto"/>
          <w:vertAlign w:val="superscript"/>
        </w:rPr>
        <w:t>8</w:t>
      </w:r>
      <w:r>
        <w:rPr>
          <w:rFonts w:ascii="Arial" w:cs="Arial" w:eastAsia="Arial" w:hAnsi="Arial"/>
          <w:sz w:val="19"/>
          <w:szCs w:val="19"/>
          <w:b w:val="1"/>
          <w:bCs w:val="1"/>
          <w:color w:val="auto"/>
        </w:rPr>
        <w:t xml:space="preserve"> </w:t>
      </w:r>
      <w:r>
        <w:rPr>
          <w:rFonts w:ascii="Arial" w:cs="Arial" w:eastAsia="Arial" w:hAnsi="Arial"/>
          <w:sz w:val="19"/>
          <w:szCs w:val="19"/>
          <w:color w:val="auto"/>
        </w:rPr>
        <w:t>Assignee identified in item 2 below (</w:t>
      </w:r>
      <w:r>
        <w:rPr>
          <w:rFonts w:ascii="Arial" w:cs="Arial" w:eastAsia="Arial" w:hAnsi="Arial"/>
          <w:sz w:val="19"/>
          <w:szCs w:val="19"/>
          <w:b w:val="1"/>
          <w:bCs w:val="1"/>
          <w:color w:val="auto"/>
        </w:rPr>
        <w:t xml:space="preserve">[the][each, an] </w:t>
      </w:r>
      <w:r>
        <w:rPr>
          <w:rFonts w:ascii="Arial" w:cs="Arial" w:eastAsia="Arial" w:hAnsi="Arial"/>
          <w:sz w:val="19"/>
          <w:szCs w:val="19"/>
          <w:color w:val="auto"/>
        </w:rPr>
        <w:t>“</w:t>
      </w:r>
      <w:r>
        <w:rPr>
          <w:rFonts w:ascii="Arial" w:cs="Arial" w:eastAsia="Arial" w:hAnsi="Arial"/>
          <w:sz w:val="19"/>
          <w:szCs w:val="19"/>
          <w:u w:val="single" w:color="auto"/>
          <w:color w:val="auto"/>
        </w:rPr>
        <w:t>Assignee</w:t>
      </w:r>
      <w:r>
        <w:rPr>
          <w:rFonts w:ascii="Arial" w:cs="Arial" w:eastAsia="Arial" w:hAnsi="Arial"/>
          <w:sz w:val="19"/>
          <w:szCs w:val="19"/>
          <w:color w:val="auto"/>
        </w:rPr>
        <w:t>”).</w:t>
      </w:r>
      <w:r>
        <w:rPr>
          <w:rFonts w:ascii="Arial" w:cs="Arial" w:eastAsia="Arial" w:hAnsi="Arial"/>
          <w:sz w:val="19"/>
          <w:szCs w:val="19"/>
          <w:b w:val="1"/>
          <w:bCs w:val="1"/>
          <w:color w:val="auto"/>
        </w:rPr>
        <w:t xml:space="preserve"> [It is understood and agreed that the rights and obligations of [the Assignors][the Assignees]</w:t>
      </w:r>
      <w:r>
        <w:rPr>
          <w:rFonts w:ascii="Arial" w:cs="Arial" w:eastAsia="Arial" w:hAnsi="Arial"/>
          <w:sz w:val="24"/>
          <w:szCs w:val="24"/>
          <w:b w:val="1"/>
          <w:bCs w:val="1"/>
          <w:color w:val="auto"/>
          <w:vertAlign w:val="superscript"/>
        </w:rPr>
        <w:t>9</w:t>
      </w:r>
      <w:r>
        <w:rPr>
          <w:rFonts w:ascii="Arial" w:cs="Arial" w:eastAsia="Arial" w:hAnsi="Arial"/>
          <w:sz w:val="19"/>
          <w:szCs w:val="19"/>
          <w:b w:val="1"/>
          <w:bCs w:val="1"/>
          <w:color w:val="auto"/>
        </w:rPr>
        <w:t xml:space="preserve"> hereunder are several and not joint.]</w:t>
      </w:r>
      <w:r>
        <w:rPr>
          <w:rFonts w:ascii="Arial" w:cs="Arial" w:eastAsia="Arial" w:hAnsi="Arial"/>
          <w:sz w:val="24"/>
          <w:szCs w:val="24"/>
          <w:color w:val="auto"/>
          <w:vertAlign w:val="superscript"/>
        </w:rPr>
        <w:t>10</w:t>
      </w:r>
      <w:r>
        <w:rPr>
          <w:rFonts w:ascii="Arial" w:cs="Arial" w:eastAsia="Arial" w:hAnsi="Arial"/>
          <w:sz w:val="19"/>
          <w:szCs w:val="19"/>
          <w:b w:val="1"/>
          <w:bCs w:val="1"/>
          <w:color w:val="auto"/>
        </w:rPr>
        <w:t xml:space="preserve"> </w:t>
      </w:r>
      <w:r>
        <w:rPr>
          <w:rFonts w:ascii="Arial" w:cs="Arial" w:eastAsia="Arial" w:hAnsi="Arial"/>
          <w:sz w:val="19"/>
          <w:szCs w:val="19"/>
          <w:color w:val="auto"/>
        </w:rPr>
        <w:t>Capitalized terms used but not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shall have the meanings given to them in the Credit Agreement identified below (as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jc w:val="both"/>
        <w:ind w:left="240" w:firstLine="598"/>
        <w:spacing w:after="0" w:line="241" w:lineRule="auto"/>
        <w:rPr>
          <w:sz w:val="20"/>
          <w:szCs w:val="20"/>
          <w:color w:val="auto"/>
        </w:rPr>
      </w:pPr>
      <w:r>
        <w:rPr>
          <w:rFonts w:ascii="Arial" w:cs="Arial" w:eastAsia="Arial" w:hAnsi="Arial"/>
          <w:sz w:val="17"/>
          <w:szCs w:val="17"/>
          <w:color w:val="auto"/>
        </w:rPr>
        <w:t xml:space="preserve">For an agreed consideration,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Assignor hereby irrevocably sells and assigns to </w:t>
      </w:r>
      <w:r>
        <w:rPr>
          <w:rFonts w:ascii="Arial" w:cs="Arial" w:eastAsia="Arial" w:hAnsi="Arial"/>
          <w:sz w:val="17"/>
          <w:szCs w:val="17"/>
          <w:b w:val="1"/>
          <w:bCs w:val="1"/>
          <w:color w:val="auto"/>
        </w:rPr>
        <w:t>[the Assignee][the respective</w:t>
      </w:r>
      <w:r>
        <w:rPr>
          <w:rFonts w:ascii="Arial" w:cs="Arial" w:eastAsia="Arial" w:hAnsi="Arial"/>
          <w:sz w:val="17"/>
          <w:szCs w:val="17"/>
          <w:color w:val="auto"/>
        </w:rPr>
        <w:t xml:space="preserve"> </w:t>
      </w:r>
      <w:r>
        <w:rPr>
          <w:rFonts w:ascii="Arial" w:cs="Arial" w:eastAsia="Arial" w:hAnsi="Arial"/>
          <w:sz w:val="17"/>
          <w:szCs w:val="17"/>
          <w:b w:val="1"/>
          <w:bCs w:val="1"/>
          <w:color w:val="auto"/>
        </w:rPr>
        <w:t>Assignees]</w:t>
      </w:r>
      <w:r>
        <w:rPr>
          <w:rFonts w:ascii="Arial" w:cs="Arial" w:eastAsia="Arial" w:hAnsi="Arial"/>
          <w:sz w:val="17"/>
          <w:szCs w:val="17"/>
          <w:color w:val="auto"/>
        </w:rPr>
        <w:t>, and</w:t>
      </w:r>
      <w:r>
        <w:rPr>
          <w:rFonts w:ascii="Arial" w:cs="Arial" w:eastAsia="Arial" w:hAnsi="Arial"/>
          <w:sz w:val="17"/>
          <w:szCs w:val="17"/>
          <w:b w:val="1"/>
          <w:bCs w:val="1"/>
          <w:color w:val="auto"/>
        </w:rPr>
        <w:t xml:space="preserve"> [the][each] </w:t>
      </w:r>
      <w:r>
        <w:rPr>
          <w:rFonts w:ascii="Arial" w:cs="Arial" w:eastAsia="Arial" w:hAnsi="Arial"/>
          <w:sz w:val="17"/>
          <w:szCs w:val="17"/>
          <w:color w:val="auto"/>
        </w:rPr>
        <w:t>Assignee hereby irrevocably purchases and assumes from</w:t>
      </w:r>
      <w:r>
        <w:rPr>
          <w:rFonts w:ascii="Arial" w:cs="Arial" w:eastAsia="Arial" w:hAnsi="Arial"/>
          <w:sz w:val="17"/>
          <w:szCs w:val="17"/>
          <w:b w:val="1"/>
          <w:bCs w:val="1"/>
          <w:color w:val="auto"/>
        </w:rPr>
        <w:t xml:space="preserve"> [the Assignor][the respective Assignors]</w:t>
      </w:r>
      <w:r>
        <w:rPr>
          <w:rFonts w:ascii="Arial" w:cs="Arial" w:eastAsia="Arial" w:hAnsi="Arial"/>
          <w:sz w:val="17"/>
          <w:szCs w:val="17"/>
          <w:color w:val="auto"/>
        </w:rPr>
        <w:t>, subject to and in accordance with the Standard Terms and Conditions and the Credit Agreement, as of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inserted by the Administrative Agent as contemplated below (i) all of </w:t>
      </w:r>
      <w:r>
        <w:rPr>
          <w:rFonts w:ascii="Arial" w:cs="Arial" w:eastAsia="Arial" w:hAnsi="Arial"/>
          <w:sz w:val="17"/>
          <w:szCs w:val="17"/>
          <w:b w:val="1"/>
          <w:bCs w:val="1"/>
          <w:color w:val="auto"/>
        </w:rPr>
        <w:t>[the Assignor's][the respective Assignors’]</w:t>
      </w:r>
      <w:r>
        <w:rPr>
          <w:rFonts w:ascii="Arial" w:cs="Arial" w:eastAsia="Arial" w:hAnsi="Arial"/>
          <w:sz w:val="17"/>
          <w:szCs w:val="17"/>
          <w:color w:val="auto"/>
        </w:rPr>
        <w:t xml:space="preserve"> rights and obligations in </w:t>
      </w:r>
      <w:r>
        <w:rPr>
          <w:rFonts w:ascii="Arial" w:cs="Arial" w:eastAsia="Arial" w:hAnsi="Arial"/>
          <w:sz w:val="17"/>
          <w:szCs w:val="17"/>
          <w:b w:val="1"/>
          <w:bCs w:val="1"/>
          <w:color w:val="auto"/>
        </w:rPr>
        <w:t>[its capacity as a Lender][their respective capacities as Lenders]</w:t>
      </w:r>
      <w:r>
        <w:rPr>
          <w:rFonts w:ascii="Arial" w:cs="Arial" w:eastAsia="Arial" w:hAnsi="Arial"/>
          <w:sz w:val="17"/>
          <w:szCs w:val="17"/>
          <w:color w:val="auto"/>
        </w:rPr>
        <w:t xml:space="preserve"> under the Credit Agreement and any other documents or instruments delivered pursuant thereto in the amount[s] and equal to the percentage interest[s] identified below of all the outstanding rights and obligations of </w:t>
      </w:r>
      <w:r>
        <w:rPr>
          <w:rFonts w:ascii="Arial" w:cs="Arial" w:eastAsia="Arial" w:hAnsi="Arial"/>
          <w:sz w:val="17"/>
          <w:szCs w:val="17"/>
          <w:b w:val="1"/>
          <w:bCs w:val="1"/>
          <w:color w:val="auto"/>
        </w:rPr>
        <w:t>[the Assignor][the respective Assignors]</w:t>
      </w:r>
      <w:r>
        <w:rPr>
          <w:rFonts w:ascii="Arial" w:cs="Arial" w:eastAsia="Arial" w:hAnsi="Arial"/>
          <w:sz w:val="17"/>
          <w:szCs w:val="17"/>
          <w:color w:val="auto"/>
        </w:rPr>
        <w:t xml:space="preserve"> under the respective facilities identified below (including, without limitation, the Letters of Credit and the Swing Line Loans included in such facilities</w:t>
      </w:r>
      <w:r>
        <w:rPr>
          <w:rFonts w:ascii="Arial" w:cs="Arial" w:eastAsia="Arial" w:hAnsi="Arial"/>
          <w:sz w:val="21"/>
          <w:szCs w:val="21"/>
          <w:color w:val="auto"/>
          <w:vertAlign w:val="superscript"/>
        </w:rPr>
        <w:t>11</w:t>
      </w:r>
      <w:r>
        <w:rPr>
          <w:rFonts w:ascii="Arial" w:cs="Arial" w:eastAsia="Arial" w:hAnsi="Arial"/>
          <w:sz w:val="17"/>
          <w:szCs w:val="17"/>
          <w:color w:val="auto"/>
        </w:rPr>
        <w:t>) and</w:t>
      </w:r>
    </w:p>
    <w:p>
      <w:pPr>
        <w:spacing w:after="0" w:line="3" w:lineRule="exact"/>
        <w:rPr>
          <w:sz w:val="20"/>
          <w:szCs w:val="20"/>
          <w:color w:val="auto"/>
        </w:rPr>
      </w:pPr>
    </w:p>
    <w:p>
      <w:pPr>
        <w:jc w:val="both"/>
        <w:ind w:left="240" w:firstLine="10"/>
        <w:spacing w:after="0" w:line="231" w:lineRule="auto"/>
        <w:tabs>
          <w:tab w:leader="none" w:pos="55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to the extent permitted to be assigned under applicable law, all claims, suits, causes of action and any other right of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Assignor (in its capacity as a Lender)][the respective Assignors (in their respective capacities as Lenders)] </w:t>
      </w:r>
      <w:r>
        <w:rPr>
          <w:rFonts w:ascii="Arial" w:cs="Arial" w:eastAsia="Arial" w:hAnsi="Arial"/>
          <w:sz w:val="18"/>
          <w:szCs w:val="18"/>
          <w:color w:val="auto"/>
        </w:rPr>
        <w:t>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w:t>
      </w:r>
      <w:r>
        <w:rPr>
          <w:rFonts w:ascii="Arial" w:cs="Arial" w:eastAsia="Arial" w:hAnsi="Arial"/>
          <w:sz w:val="18"/>
          <w:szCs w:val="18"/>
          <w:b w:val="1"/>
          <w:bCs w:val="1"/>
          <w:color w:val="auto"/>
        </w:rPr>
        <w:t>[the][any]</w:t>
      </w:r>
      <w:r>
        <w:rPr>
          <w:rFonts w:ascii="Arial" w:cs="Arial" w:eastAsia="Arial" w:hAnsi="Arial"/>
          <w:sz w:val="18"/>
          <w:szCs w:val="18"/>
          <w:color w:val="auto"/>
        </w:rPr>
        <w:t xml:space="preserve"> Assignor to </w:t>
      </w:r>
      <w:r>
        <w:rPr>
          <w:rFonts w:ascii="Arial" w:cs="Arial" w:eastAsia="Arial" w:hAnsi="Arial"/>
          <w:sz w:val="18"/>
          <w:szCs w:val="18"/>
          <w:b w:val="1"/>
          <w:bCs w:val="1"/>
          <w:color w:val="auto"/>
        </w:rPr>
        <w:t>[the][any]</w:t>
      </w:r>
      <w:r>
        <w:rPr>
          <w:rFonts w:ascii="Arial" w:cs="Arial" w:eastAsia="Arial" w:hAnsi="Arial"/>
          <w:sz w:val="18"/>
          <w:szCs w:val="18"/>
          <w:color w:val="auto"/>
        </w:rPr>
        <w:t xml:space="preserve"> Assignee pursuant to clauses (i) and (ii) above being referred to herein collectively as </w:t>
      </w:r>
      <w:r>
        <w:rPr>
          <w:rFonts w:ascii="Arial" w:cs="Arial" w:eastAsia="Arial" w:hAnsi="Arial"/>
          <w:sz w:val="18"/>
          <w:szCs w:val="18"/>
          <w:b w:val="1"/>
          <w:bCs w:val="1"/>
          <w:color w:val="auto"/>
        </w:rPr>
        <w:t>[the][an]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Assigned Interest</w:t>
      </w:r>
      <w:r>
        <w:rPr>
          <w:rFonts w:ascii="Arial" w:cs="Arial" w:eastAsia="Arial" w:hAnsi="Arial"/>
          <w:sz w:val="18"/>
          <w:szCs w:val="18"/>
          <w:color w:val="auto"/>
        </w:rPr>
        <w:t xml:space="preserve">”). Each such sale and assignment is without recourse to </w:t>
      </w:r>
      <w:r>
        <w:rPr>
          <w:rFonts w:ascii="Arial" w:cs="Arial" w:eastAsia="Arial" w:hAnsi="Arial"/>
          <w:sz w:val="18"/>
          <w:szCs w:val="18"/>
          <w:b w:val="1"/>
          <w:bCs w:val="1"/>
          <w:color w:val="auto"/>
        </w:rPr>
        <w:t>[the][any]</w:t>
      </w:r>
      <w:r>
        <w:rPr>
          <w:rFonts w:ascii="Arial" w:cs="Arial" w:eastAsia="Arial" w:hAnsi="Arial"/>
          <w:sz w:val="18"/>
          <w:szCs w:val="18"/>
          <w:color w:val="auto"/>
        </w:rPr>
        <w:t xml:space="preserve"> Assignor and, except as expressly provided in this Assignment and Assumption, without representation or warranty by </w:t>
      </w:r>
      <w:r>
        <w:rPr>
          <w:rFonts w:ascii="Arial" w:cs="Arial" w:eastAsia="Arial" w:hAnsi="Arial"/>
          <w:sz w:val="18"/>
          <w:szCs w:val="18"/>
          <w:b w:val="1"/>
          <w:bCs w:val="1"/>
          <w:color w:val="auto"/>
        </w:rPr>
        <w:t>[the][any]</w:t>
      </w:r>
      <w:r>
        <w:rPr>
          <w:rFonts w:ascii="Arial" w:cs="Arial" w:eastAsia="Arial" w:hAnsi="Arial"/>
          <w:sz w:val="18"/>
          <w:szCs w:val="18"/>
          <w:color w:val="auto"/>
        </w:rPr>
        <w:t xml:space="preserve"> Assignor.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0" w:lineRule="exact"/>
        <w:rPr>
          <w:sz w:val="20"/>
          <w:szCs w:val="20"/>
          <w:color w:val="auto"/>
        </w:rPr>
      </w:pPr>
    </w:p>
    <w:p>
      <w:pPr>
        <w:ind w:left="240" w:right="20" w:firstLine="598"/>
        <w:spacing w:after="0" w:line="218" w:lineRule="auto"/>
        <w:rPr>
          <w:sz w:val="20"/>
          <w:szCs w:val="20"/>
          <w:color w:val="auto"/>
        </w:rPr>
      </w:pPr>
      <w:r>
        <w:rPr>
          <w:rFonts w:ascii="Arial" w:cs="Arial" w:eastAsia="Arial" w:hAnsi="Arial"/>
          <w:sz w:val="11"/>
          <w:szCs w:val="11"/>
          <w:color w:val="auto"/>
        </w:rPr>
        <w:t xml:space="preserve">7 </w:t>
      </w:r>
      <w:r>
        <w:rPr>
          <w:rFonts w:ascii="Arial" w:cs="Arial" w:eastAsia="Arial" w:hAnsi="Arial"/>
          <w:sz w:val="16"/>
          <w:szCs w:val="16"/>
          <w:color w:val="auto"/>
        </w:rPr>
        <w:t>For bracketed language here and elsewhere in this form relating to the Assignor(s), if the assignment is from a single Assignor, choose the first</w:t>
      </w:r>
      <w:r>
        <w:rPr>
          <w:rFonts w:ascii="Arial" w:cs="Arial" w:eastAsia="Arial" w:hAnsi="Arial"/>
          <w:sz w:val="11"/>
          <w:szCs w:val="11"/>
          <w:color w:val="auto"/>
        </w:rPr>
        <w:t xml:space="preserve"> </w:t>
      </w:r>
      <w:r>
        <w:rPr>
          <w:rFonts w:ascii="Arial" w:cs="Arial" w:eastAsia="Arial" w:hAnsi="Arial"/>
          <w:sz w:val="16"/>
          <w:szCs w:val="16"/>
          <w:color w:val="auto"/>
        </w:rPr>
        <w:t>bracketed language. If the assignment is from multiple Assignors, choose the second bracketed language.</w:t>
      </w:r>
    </w:p>
    <w:p>
      <w:pPr>
        <w:ind w:left="240" w:right="20" w:firstLine="598"/>
        <w:spacing w:after="0" w:line="227" w:lineRule="auto"/>
        <w:rPr>
          <w:sz w:val="20"/>
          <w:szCs w:val="20"/>
          <w:color w:val="auto"/>
        </w:rPr>
      </w:pPr>
      <w:r>
        <w:rPr>
          <w:rFonts w:ascii="Arial" w:cs="Arial" w:eastAsia="Arial" w:hAnsi="Arial"/>
          <w:sz w:val="11"/>
          <w:szCs w:val="11"/>
          <w:color w:val="auto"/>
        </w:rPr>
        <w:t xml:space="preserve">8 </w:t>
      </w:r>
      <w:r>
        <w:rPr>
          <w:rFonts w:ascii="Arial" w:cs="Arial" w:eastAsia="Arial" w:hAnsi="Arial"/>
          <w:sz w:val="16"/>
          <w:szCs w:val="16"/>
          <w:color w:val="auto"/>
        </w:rPr>
        <w:t>For bracketed language here and elsewhere in this form relating to the Assignee(s), if the assignment is to a single Assignee, choose the first</w:t>
      </w:r>
      <w:r>
        <w:rPr>
          <w:rFonts w:ascii="Arial" w:cs="Arial" w:eastAsia="Arial" w:hAnsi="Arial"/>
          <w:sz w:val="11"/>
          <w:szCs w:val="11"/>
          <w:color w:val="auto"/>
        </w:rPr>
        <w:t xml:space="preserve"> </w:t>
      </w:r>
      <w:r>
        <w:rPr>
          <w:rFonts w:ascii="Arial" w:cs="Arial" w:eastAsia="Arial" w:hAnsi="Arial"/>
          <w:sz w:val="16"/>
          <w:szCs w:val="16"/>
          <w:color w:val="auto"/>
        </w:rPr>
        <w:t>bracketed language. If the assignment is to multiple Assignees, choose the second bracketed language.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9 </w:t>
      </w:r>
      <w:r>
        <w:rPr>
          <w:rFonts w:ascii="Arial" w:cs="Arial" w:eastAsia="Arial" w:hAnsi="Arial"/>
          <w:sz w:val="16"/>
          <w:szCs w:val="16"/>
          <w:color w:val="auto"/>
        </w:rPr>
        <w:t>Select as appropriate</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10 </w:t>
      </w:r>
      <w:r>
        <w:rPr>
          <w:rFonts w:ascii="Arial" w:cs="Arial" w:eastAsia="Arial" w:hAnsi="Arial"/>
          <w:sz w:val="16"/>
          <w:szCs w:val="16"/>
          <w:color w:val="auto"/>
        </w:rPr>
        <w:t>Include bracketed language if there are either multiple Assignors or multiple Assignees.</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11 </w:t>
      </w:r>
      <w:r>
        <w:rPr>
          <w:rFonts w:ascii="Arial" w:cs="Arial" w:eastAsia="Arial" w:hAnsi="Arial"/>
          <w:sz w:val="16"/>
          <w:szCs w:val="16"/>
          <w:color w:val="auto"/>
        </w:rPr>
        <w:t>Include all applicable subfacilities.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20"/>
          <w:szCs w:val="20"/>
          <w:color w:val="auto"/>
        </w:rPr>
        <w:t>SCHEDULE 3</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Form of Compliance Certificate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0540"/>
          </w:cols>
          <w:pgMar w:left="320" w:top="1371" w:right="1039" w:bottom="1440" w:gutter="0" w:footer="0" w:header="0"/>
        </w:sectPr>
      </w:pPr>
    </w:p>
    <w:bookmarkStart w:id="336" w:name="page337"/>
    <w:bookmarkEnd w:id="336"/>
    <w:p>
      <w:pPr>
        <w:ind w:left="900" w:hanging="591"/>
        <w:spacing w:after="0"/>
        <w:tabs>
          <w:tab w:leader="none" w:pos="900" w:val="left"/>
        </w:tabs>
        <w:numPr>
          <w:ilvl w:val="0"/>
          <w:numId w:val="276"/>
        </w:numPr>
        <w:rPr>
          <w:rFonts w:ascii="Arial" w:cs="Arial" w:eastAsia="Arial" w:hAnsi="Arial"/>
          <w:sz w:val="20"/>
          <w:szCs w:val="20"/>
          <w:color w:val="auto"/>
        </w:rPr>
      </w:pPr>
      <w:r>
        <w:rPr>
          <w:rFonts w:ascii="Arial" w:cs="Arial" w:eastAsia="Arial" w:hAnsi="Arial"/>
          <w:sz w:val="20"/>
          <w:szCs w:val="20"/>
          <w:u w:val="single" w:color="auto"/>
          <w:color w:val="auto"/>
        </w:rPr>
        <w:t>Assignor[s]</w:t>
      </w:r>
      <w:r>
        <w:rPr>
          <w:rFonts w:ascii="Arial" w:cs="Arial" w:eastAsia="Arial" w:hAnsi="Arial"/>
          <w:sz w:val="20"/>
          <w:szCs w:val="20"/>
          <w:color w:val="auto"/>
        </w:rPr>
        <w:t>:  ___________________________</w:t>
      </w:r>
    </w:p>
    <w:p>
      <w:pPr>
        <w:spacing w:after="0"/>
        <w:rPr>
          <w:sz w:val="20"/>
          <w:szCs w:val="20"/>
          <w:color w:val="auto"/>
        </w:rPr>
      </w:pPr>
      <w:r>
        <w:rPr>
          <w:rFonts w:ascii="Arial" w:cs="Arial" w:eastAsia="Arial" w:hAnsi="Arial"/>
          <w:sz w:val="17"/>
          <w:szCs w:val="17"/>
          <w:color w:val="auto"/>
        </w:rPr>
        <w:t>[Assignor [is][is not] a Defaulting Lender]</w:t>
      </w:r>
    </w:p>
    <w:p>
      <w:pPr>
        <w:spacing w:after="0" w:line="174" w:lineRule="exact"/>
        <w:rPr>
          <w:sz w:val="20"/>
          <w:szCs w:val="20"/>
          <w:color w:val="auto"/>
        </w:rPr>
      </w:pPr>
    </w:p>
    <w:p>
      <w:pPr>
        <w:ind w:left="900" w:hanging="591"/>
        <w:spacing w:after="0"/>
        <w:tabs>
          <w:tab w:leader="none" w:pos="900"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auto"/>
        </w:rPr>
        <w:t>Assignee[s]</w:t>
      </w:r>
      <w:r>
        <w:rPr>
          <w:rFonts w:ascii="Arial" w:cs="Arial" w:eastAsia="Arial" w:hAnsi="Arial"/>
          <w:sz w:val="20"/>
          <w:szCs w:val="20"/>
          <w:color w:val="auto"/>
        </w:rPr>
        <w:t>: ___________________________</w:t>
      </w:r>
    </w:p>
    <w:p>
      <w:pPr>
        <w:spacing w:after="0"/>
        <w:rPr>
          <w:sz w:val="20"/>
          <w:szCs w:val="20"/>
          <w:color w:val="auto"/>
        </w:rPr>
      </w:pPr>
      <w:r>
        <w:rPr>
          <w:rFonts w:ascii="Arial" w:cs="Arial" w:eastAsia="Arial" w:hAnsi="Arial"/>
          <w:sz w:val="17"/>
          <w:szCs w:val="17"/>
          <w:color w:val="auto"/>
        </w:rPr>
        <w:t>[for each Assignee, indicate [Affiliate][Approved Fund] of [</w:t>
      </w:r>
      <w:r>
        <w:rPr>
          <w:rFonts w:ascii="Arial" w:cs="Arial" w:eastAsia="Arial" w:hAnsi="Arial"/>
          <w:sz w:val="17"/>
          <w:szCs w:val="17"/>
          <w:i w:val="1"/>
          <w:iCs w:val="1"/>
          <w:color w:val="auto"/>
        </w:rPr>
        <w:t>identify Lender</w:t>
      </w:r>
      <w:r>
        <w:rPr>
          <w:rFonts w:ascii="Arial" w:cs="Arial" w:eastAsia="Arial" w:hAnsi="Arial"/>
          <w:sz w:val="17"/>
          <w:szCs w:val="17"/>
          <w:color w:val="auto"/>
        </w:rPr>
        <w:t>]</w:t>
      </w:r>
    </w:p>
    <w:p>
      <w:pPr>
        <w:spacing w:after="0" w:line="171" w:lineRule="exact"/>
        <w:rPr>
          <w:sz w:val="20"/>
          <w:szCs w:val="20"/>
          <w:color w:val="auto"/>
        </w:rPr>
      </w:pPr>
    </w:p>
    <w:p>
      <w:pPr>
        <w:ind w:left="900" w:hanging="591"/>
        <w:spacing w:after="0"/>
        <w:tabs>
          <w:tab w:leader="none" w:pos="90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  ___________________________</w:t>
      </w:r>
    </w:p>
    <w:p>
      <w:pPr>
        <w:spacing w:after="0" w:line="206" w:lineRule="exact"/>
        <w:rPr>
          <w:rFonts w:ascii="Arial" w:cs="Arial" w:eastAsia="Arial" w:hAnsi="Arial"/>
          <w:sz w:val="20"/>
          <w:szCs w:val="20"/>
          <w:color w:val="auto"/>
        </w:rPr>
      </w:pPr>
    </w:p>
    <w:p>
      <w:pPr>
        <w:ind w:left="900" w:hanging="590"/>
        <w:spacing w:after="0"/>
        <w:tabs>
          <w:tab w:leader="none" w:pos="90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 Bank of America, N.A., as the administrative agent under the Credit Agreement</w:t>
      </w:r>
    </w:p>
    <w:p>
      <w:pPr>
        <w:spacing w:after="0" w:line="206" w:lineRule="exact"/>
        <w:rPr>
          <w:rFonts w:ascii="Arial" w:cs="Arial" w:eastAsia="Arial" w:hAnsi="Arial"/>
          <w:sz w:val="20"/>
          <w:szCs w:val="20"/>
          <w:color w:val="auto"/>
        </w:rPr>
      </w:pPr>
    </w:p>
    <w:p>
      <w:pPr>
        <w:jc w:val="both"/>
        <w:ind w:left="900" w:right="720" w:hanging="590"/>
        <w:spacing w:after="0" w:line="227" w:lineRule="auto"/>
        <w:tabs>
          <w:tab w:leader="none" w:pos="90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Credit Agreement, dated as of November 1, 2021, among MasTec, Inc., MasTec North America, Inc., the Lenders from time to time party thereto, and Bank of America, N.A., as Administrative Agent, L/C Issuer and Swing Line Lender</w:t>
      </w:r>
    </w:p>
    <w:p>
      <w:pPr>
        <w:spacing w:after="0" w:line="133" w:lineRule="exact"/>
        <w:rPr>
          <w:rFonts w:ascii="Arial" w:cs="Arial" w:eastAsia="Arial" w:hAnsi="Arial"/>
          <w:sz w:val="20"/>
          <w:szCs w:val="20"/>
          <w:color w:val="auto"/>
        </w:rPr>
      </w:pPr>
    </w:p>
    <w:p>
      <w:pPr>
        <w:ind w:left="900" w:hanging="591"/>
        <w:spacing w:after="0"/>
        <w:tabs>
          <w:tab w:leader="none" w:pos="90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Assigned Interest[s]</w:t>
      </w:r>
      <w:r>
        <w:rPr>
          <w:rFonts w:ascii="Arial" w:cs="Arial" w:eastAsia="Arial" w:hAnsi="Arial"/>
          <w:sz w:val="20"/>
          <w:szCs w:val="20"/>
          <w:color w:val="auto"/>
        </w:rPr>
        <w:t xml:space="preserve">: </w:t>
      </w:r>
      <w:r>
        <w:rPr>
          <w:rFonts w:ascii="Arial" w:cs="Arial" w:eastAsia="Arial" w:hAnsi="Arial"/>
          <w:sz w:val="8"/>
          <w:szCs w:val="8"/>
          <w:color w:val="auto"/>
        </w:rPr>
        <w:t>12</w:t>
      </w:r>
    </w:p>
    <w:p>
      <w:pPr>
        <w:spacing w:after="0" w:line="231" w:lineRule="exact"/>
        <w:rPr>
          <w:sz w:val="20"/>
          <w:szCs w:val="20"/>
          <w:color w:val="auto"/>
        </w:rPr>
      </w:pPr>
    </w:p>
    <w:tbl>
      <w:tblPr>
        <w:tblLayout w:type="fixed"/>
        <w:tblInd w:w="210" w:type="dxa"/>
        <w:tblCellMar>
          <w:top w:w="0" w:type="dxa"/>
          <w:left w:w="0" w:type="dxa"/>
          <w:bottom w:w="0" w:type="dxa"/>
          <w:right w:w="0" w:type="dxa"/>
        </w:tblCellMar>
      </w:tblPr>
      <w:tr>
        <w:trPr>
          <w:trHeight w:val="175"/>
        </w:trPr>
        <w:tc>
          <w:tcPr>
            <w:tcW w:w="1500" w:type="dxa"/>
            <w:vAlign w:val="bottom"/>
            <w:tcBorders>
              <w:top w:val="single" w:sz="8" w:color="auto"/>
              <w:left w:val="single" w:sz="8" w:color="auto"/>
              <w:right w:val="single" w:sz="8" w:color="auto"/>
            </w:tcBorders>
            <w:vMerge w:val="restart"/>
          </w:tcPr>
          <w:p>
            <w:pPr>
              <w:ind w:left="280"/>
              <w:spacing w:after="0"/>
              <w:rPr>
                <w:sz w:val="20"/>
                <w:szCs w:val="20"/>
                <w:color w:val="auto"/>
              </w:rPr>
            </w:pPr>
            <w:r>
              <w:rPr>
                <w:rFonts w:ascii="Arial" w:cs="Arial" w:eastAsia="Arial" w:hAnsi="Arial"/>
                <w:sz w:val="17"/>
                <w:szCs w:val="17"/>
                <w:b w:val="1"/>
                <w:bCs w:val="1"/>
                <w:color w:val="auto"/>
              </w:rPr>
              <w:t>Assignor[s]</w:t>
            </w:r>
            <w:r>
              <w:rPr>
                <w:rFonts w:ascii="Arial" w:cs="Arial" w:eastAsia="Arial" w:hAnsi="Arial"/>
                <w:sz w:val="21"/>
                <w:szCs w:val="21"/>
                <w:b w:val="1"/>
                <w:bCs w:val="1"/>
                <w:color w:val="auto"/>
                <w:vertAlign w:val="superscript"/>
              </w:rPr>
              <w:t>13</w:t>
            </w:r>
          </w:p>
        </w:tc>
        <w:tc>
          <w:tcPr>
            <w:tcW w:w="162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7"/>
                <w:szCs w:val="17"/>
                <w:b w:val="1"/>
                <w:bCs w:val="1"/>
                <w:color w:val="auto"/>
              </w:rPr>
              <w:t>Assignee[s]</w:t>
            </w:r>
            <w:r>
              <w:rPr>
                <w:rFonts w:ascii="Arial" w:cs="Arial" w:eastAsia="Arial" w:hAnsi="Arial"/>
                <w:sz w:val="21"/>
                <w:szCs w:val="21"/>
                <w:b w:val="1"/>
                <w:bCs w:val="1"/>
                <w:color w:val="auto"/>
                <w:vertAlign w:val="superscript"/>
              </w:rPr>
              <w:t>14</w:t>
            </w:r>
          </w:p>
        </w:tc>
        <w:tc>
          <w:tcPr>
            <w:tcW w:w="15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w w:val="89"/>
              </w:rPr>
              <w:t xml:space="preserve">Facility Assigned </w:t>
            </w:r>
            <w:r>
              <w:rPr>
                <w:rFonts w:ascii="Arial" w:cs="Arial" w:eastAsia="Arial" w:hAnsi="Arial"/>
                <w:sz w:val="21"/>
                <w:szCs w:val="21"/>
                <w:b w:val="1"/>
                <w:bCs w:val="1"/>
                <w:color w:val="auto"/>
                <w:w w:val="89"/>
                <w:vertAlign w:val="superscript"/>
              </w:rPr>
              <w:t>15</w:t>
            </w:r>
          </w:p>
        </w:tc>
        <w:tc>
          <w:tcPr>
            <w:tcW w:w="20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7"/>
                <w:szCs w:val="17"/>
                <w:b w:val="1"/>
                <w:bCs w:val="1"/>
                <w:color w:val="auto"/>
                <w:w w:val="87"/>
              </w:rPr>
              <w:t>Aggregate Amount of</w:t>
            </w:r>
          </w:p>
        </w:tc>
        <w:tc>
          <w:tcPr>
            <w:tcW w:w="16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7"/>
                <w:szCs w:val="17"/>
                <w:b w:val="1"/>
                <w:bCs w:val="1"/>
                <w:color w:val="auto"/>
                <w:w w:val="89"/>
              </w:rPr>
              <w:t>Amount of</w:t>
            </w:r>
          </w:p>
        </w:tc>
        <w:tc>
          <w:tcPr>
            <w:tcW w:w="15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7"/>
                <w:szCs w:val="17"/>
                <w:b w:val="1"/>
                <w:bCs w:val="1"/>
                <w:color w:val="auto"/>
                <w:w w:val="84"/>
              </w:rPr>
              <w:t>Percentage Assigned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6"/>
              </w:rPr>
              <w:t>CUSIP</w:t>
            </w: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7"/>
                <w:szCs w:val="17"/>
                <w:b w:val="1"/>
                <w:bCs w:val="1"/>
                <w:color w:val="auto"/>
                <w:w w:val="90"/>
              </w:rPr>
              <w:t>Commitment/Loa ns for all</w:t>
            </w:r>
          </w:p>
        </w:tc>
        <w:tc>
          <w:tcPr>
            <w:tcW w:w="162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0"/>
              </w:rPr>
              <w:t>Commitment/ Loans</w:t>
            </w:r>
          </w:p>
        </w:tc>
        <w:tc>
          <w:tcPr>
            <w:tcW w:w="15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89"/>
              </w:rPr>
              <w:t>of Commitment</w:t>
            </w:r>
          </w:p>
        </w:tc>
        <w:tc>
          <w:tcPr>
            <w:tcW w:w="1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spacing w:after="0" w:line="212" w:lineRule="exact"/>
              <w:rPr>
                <w:sz w:val="20"/>
                <w:szCs w:val="20"/>
                <w:color w:val="auto"/>
              </w:rPr>
            </w:pPr>
            <w:r>
              <w:rPr>
                <w:rFonts w:ascii="Arial" w:cs="Arial" w:eastAsia="Arial" w:hAnsi="Arial"/>
                <w:sz w:val="17"/>
                <w:szCs w:val="17"/>
                <w:b w:val="1"/>
                <w:bCs w:val="1"/>
                <w:color w:val="auto"/>
                <w:w w:val="83"/>
              </w:rPr>
              <w:t>Lenders</w:t>
            </w:r>
            <w:r>
              <w:rPr>
                <w:rFonts w:ascii="Arial" w:cs="Arial" w:eastAsia="Arial" w:hAnsi="Arial"/>
                <w:sz w:val="21"/>
                <w:szCs w:val="21"/>
                <w:b w:val="1"/>
                <w:bCs w:val="1"/>
                <w:color w:val="auto"/>
                <w:w w:val="83"/>
                <w:vertAlign w:val="superscript"/>
              </w:rPr>
              <w:t>16</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Assigned*</w:t>
            </w:r>
          </w:p>
        </w:tc>
        <w:tc>
          <w:tcPr>
            <w:tcW w:w="1580" w:type="dxa"/>
            <w:vAlign w:val="bottom"/>
            <w:tcBorders>
              <w:bottom w:val="single" w:sz="8" w:color="auto"/>
              <w:right w:val="single" w:sz="8" w:color="auto"/>
            </w:tcBorders>
          </w:tcPr>
          <w:p>
            <w:pPr>
              <w:jc w:val="center"/>
              <w:spacing w:after="0" w:line="212" w:lineRule="exact"/>
              <w:rPr>
                <w:sz w:val="20"/>
                <w:szCs w:val="20"/>
                <w:color w:val="auto"/>
              </w:rPr>
            </w:pPr>
            <w:r>
              <w:rPr>
                <w:rFonts w:ascii="Arial" w:cs="Arial" w:eastAsia="Arial" w:hAnsi="Arial"/>
                <w:sz w:val="17"/>
                <w:szCs w:val="17"/>
                <w:b w:val="1"/>
                <w:bCs w:val="1"/>
                <w:color w:val="auto"/>
                <w:w w:val="85"/>
              </w:rPr>
              <w:t>/ Loans</w:t>
            </w:r>
            <w:r>
              <w:rPr>
                <w:rFonts w:ascii="Arial" w:cs="Arial" w:eastAsia="Arial" w:hAnsi="Arial"/>
                <w:sz w:val="21"/>
                <w:szCs w:val="21"/>
                <w:b w:val="1"/>
                <w:bCs w:val="1"/>
                <w:color w:val="auto"/>
                <w:w w:val="85"/>
                <w:vertAlign w:val="superscript"/>
              </w:rPr>
              <w:t>17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Number</w:t>
            </w:r>
          </w:p>
        </w:tc>
        <w:tc>
          <w:tcPr>
            <w:tcW w:w="0" w:type="dxa"/>
            <w:vAlign w:val="bottom"/>
          </w:tcPr>
          <w:p>
            <w:pPr>
              <w:spacing w:after="0"/>
              <w:rPr>
                <w:sz w:val="1"/>
                <w:szCs w:val="1"/>
                <w:color w:val="auto"/>
              </w:rPr>
            </w:pPr>
          </w:p>
        </w:tc>
      </w:tr>
      <w:tr>
        <w:trPr>
          <w:trHeight w:val="205"/>
        </w:trPr>
        <w:tc>
          <w:tcPr>
            <w:tcW w:w="1500" w:type="dxa"/>
            <w:vAlign w:val="bottom"/>
            <w:tcBorders>
              <w:left w:val="single" w:sz="8" w:color="auto"/>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right"/>
              <w:ind w:right="1437"/>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right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00" w:type="dxa"/>
            <w:vAlign w:val="bottom"/>
            <w:tcBorders>
              <w:left w:val="single" w:sz="8" w:color="auto"/>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right"/>
              <w:ind w:right="1437"/>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right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00" w:type="dxa"/>
            <w:vAlign w:val="bottom"/>
            <w:tcBorders>
              <w:left w:val="single" w:sz="8" w:color="auto"/>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right"/>
              <w:ind w:right="1437"/>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right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tabs>
          <w:tab w:leader="none" w:pos="1740" w:val="left"/>
        </w:tabs>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Trade Date</w:t>
      </w:r>
      <w:r>
        <w:rPr>
          <w:rFonts w:ascii="Arial" w:cs="Arial" w:eastAsia="Arial" w:hAnsi="Arial"/>
          <w:sz w:val="20"/>
          <w:szCs w:val="20"/>
          <w:color w:val="auto"/>
        </w:rPr>
        <w:t>:</w:t>
        <w:tab/>
        <w:t xml:space="preserve">] </w:t>
      </w: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-14605</wp:posOffset>
            </wp:positionV>
            <wp:extent cx="1587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50" w:lineRule="exact"/>
        <w:rPr>
          <w:sz w:val="20"/>
          <w:szCs w:val="20"/>
          <w:color w:val="auto"/>
        </w:rPr>
      </w:pPr>
    </w:p>
    <w:p>
      <w:pPr>
        <w:jc w:val="both"/>
        <w:ind w:left="300" w:right="20"/>
        <w:spacing w:after="0" w:line="236" w:lineRule="auto"/>
        <w:rPr>
          <w:sz w:val="20"/>
          <w:szCs w:val="20"/>
          <w:color w:val="auto"/>
        </w:rPr>
      </w:pPr>
      <w:r>
        <w:rPr>
          <w:rFonts w:ascii="Arial" w:cs="Arial" w:eastAsia="Arial" w:hAnsi="Arial"/>
          <w:sz w:val="20"/>
          <w:szCs w:val="20"/>
          <w:color w:val="auto"/>
        </w:rPr>
        <w:t>Effective Date: , 20 [TO BE INSERTED BY ADMINISTRATIVE AGENT AND WHICH 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-155575</wp:posOffset>
            </wp:positionV>
            <wp:extent cx="17462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174625" cy="7620"/>
                    </a:xfrm>
                    <a:prstGeom prst="rect">
                      <a:avLst/>
                    </a:prstGeom>
                    <a:noFill/>
                  </pic:spPr>
                </pic:pic>
              </a:graphicData>
            </a:graphic>
          </wp:anchor>
        </w:drawing>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12</w:t>
      </w:r>
      <w:r>
        <w:rPr>
          <w:rFonts w:ascii="Arial" w:cs="Arial" w:eastAsia="Arial" w:hAnsi="Arial"/>
          <w:sz w:val="17"/>
          <w:szCs w:val="17"/>
          <w:color w:val="auto"/>
        </w:rPr>
        <w:t>. The reference to “Loans” in the table should be used only if the Credit Agreement provides for Term Loans</w:t>
      </w:r>
    </w:p>
    <w:p>
      <w:pPr>
        <w:ind w:left="240" w:hanging="180"/>
        <w:spacing w:after="0" w:line="189" w:lineRule="auto"/>
        <w:tabs>
          <w:tab w:leader="none" w:pos="240" w:val="left"/>
        </w:tabs>
        <w:numPr>
          <w:ilvl w:val="0"/>
          <w:numId w:val="279"/>
        </w:numPr>
        <w:rPr>
          <w:rFonts w:ascii="Arial" w:cs="Arial" w:eastAsia="Arial" w:hAnsi="Arial"/>
          <w:sz w:val="19"/>
          <w:szCs w:val="19"/>
          <w:color w:val="auto"/>
          <w:vertAlign w:val="superscript"/>
        </w:rPr>
      </w:pPr>
      <w:r>
        <w:rPr>
          <w:rFonts w:ascii="Arial" w:cs="Arial" w:eastAsia="Arial" w:hAnsi="Arial"/>
          <w:sz w:val="15"/>
          <w:szCs w:val="15"/>
          <w:color w:val="auto"/>
        </w:rPr>
        <w:t>List each Assignor, as appropriate.</w:t>
      </w:r>
    </w:p>
    <w:p>
      <w:pPr>
        <w:ind w:left="240" w:hanging="180"/>
        <w:spacing w:after="0" w:line="188" w:lineRule="auto"/>
        <w:tabs>
          <w:tab w:leader="none" w:pos="240" w:val="left"/>
        </w:tabs>
        <w:numPr>
          <w:ilvl w:val="0"/>
          <w:numId w:val="279"/>
        </w:numPr>
        <w:rPr>
          <w:rFonts w:ascii="Arial" w:cs="Arial" w:eastAsia="Arial" w:hAnsi="Arial"/>
          <w:sz w:val="18"/>
          <w:szCs w:val="18"/>
          <w:color w:val="auto"/>
          <w:vertAlign w:val="superscript"/>
        </w:rPr>
      </w:pPr>
      <w:r>
        <w:rPr>
          <w:rFonts w:ascii="Arial" w:cs="Arial" w:eastAsia="Arial" w:hAnsi="Arial"/>
          <w:sz w:val="14"/>
          <w:szCs w:val="14"/>
          <w:color w:val="auto"/>
        </w:rPr>
        <w:t>List each Assignee, and, if available, its market entity identifier, as appropriate.</w:t>
      </w:r>
    </w:p>
    <w:p>
      <w:pPr>
        <w:ind w:left="60" w:right="4260"/>
        <w:spacing w:after="0" w:line="199" w:lineRule="auto"/>
        <w:tabs>
          <w:tab w:leader="none" w:pos="237" w:val="left"/>
        </w:tabs>
        <w:numPr>
          <w:ilvl w:val="0"/>
          <w:numId w:val="279"/>
        </w:numPr>
        <w:rPr>
          <w:rFonts w:ascii="Arial" w:cs="Arial" w:eastAsia="Arial" w:hAnsi="Arial"/>
          <w:sz w:val="19"/>
          <w:szCs w:val="19"/>
          <w:color w:val="auto"/>
          <w:vertAlign w:val="superscript"/>
        </w:rPr>
      </w:pPr>
      <w:r>
        <w:rPr>
          <w:rFonts w:ascii="Arial" w:cs="Arial" w:eastAsia="Arial" w:hAnsi="Arial"/>
          <w:sz w:val="15"/>
          <w:szCs w:val="15"/>
          <w:color w:val="auto"/>
        </w:rPr>
        <w:t>Fill in the appropriate terminology for the types of facilities under the Credit Agreement that are being assigned under this Assignment (e.g. “MC Commitment”, “USD Commitment”, etc.).</w:t>
      </w:r>
    </w:p>
    <w:p>
      <w:pPr>
        <w:ind w:left="60" w:right="400"/>
        <w:spacing w:after="0" w:line="199" w:lineRule="auto"/>
        <w:tabs>
          <w:tab w:leader="none" w:pos="237" w:val="left"/>
        </w:tabs>
        <w:numPr>
          <w:ilvl w:val="0"/>
          <w:numId w:val="279"/>
        </w:numPr>
        <w:rPr>
          <w:rFonts w:ascii="Arial" w:cs="Arial" w:eastAsia="Arial" w:hAnsi="Arial"/>
          <w:sz w:val="19"/>
          <w:szCs w:val="19"/>
          <w:color w:val="auto"/>
          <w:vertAlign w:val="superscript"/>
        </w:rPr>
      </w:pPr>
      <w:r>
        <w:rPr>
          <w:rFonts w:ascii="Arial" w:cs="Arial" w:eastAsia="Arial" w:hAnsi="Arial"/>
          <w:sz w:val="15"/>
          <w:szCs w:val="15"/>
          <w:color w:val="auto"/>
        </w:rPr>
        <w:t>Amounts in this column and in the column immediately to the right to be adjusted by the counterparties to take into account any payments or prepayments made between the Trade Date and the Effective Date.</w:t>
      </w:r>
    </w:p>
    <w:p>
      <w:pPr>
        <w:ind w:left="240" w:hanging="180"/>
        <w:spacing w:after="0" w:line="188" w:lineRule="auto"/>
        <w:tabs>
          <w:tab w:leader="none" w:pos="240" w:val="left"/>
        </w:tabs>
        <w:numPr>
          <w:ilvl w:val="0"/>
          <w:numId w:val="279"/>
        </w:numPr>
        <w:rPr>
          <w:rFonts w:ascii="Arial" w:cs="Arial" w:eastAsia="Arial" w:hAnsi="Arial"/>
          <w:sz w:val="18"/>
          <w:szCs w:val="18"/>
          <w:color w:val="auto"/>
          <w:vertAlign w:val="superscript"/>
        </w:rPr>
      </w:pPr>
      <w:r>
        <w:rPr>
          <w:rFonts w:ascii="Arial" w:cs="Arial" w:eastAsia="Arial" w:hAnsi="Arial"/>
          <w:sz w:val="14"/>
          <w:szCs w:val="14"/>
          <w:color w:val="auto"/>
        </w:rPr>
        <w:t>Set forth, to at least 9 decimals, as a percentage of the Commitment/Loans of all Lenders thereunder.</w:t>
      </w:r>
    </w:p>
    <w:p>
      <w:pPr>
        <w:ind w:left="240" w:hanging="180"/>
        <w:spacing w:after="0" w:line="217" w:lineRule="auto"/>
        <w:tabs>
          <w:tab w:leader="none" w:pos="240" w:val="left"/>
        </w:tabs>
        <w:numPr>
          <w:ilvl w:val="0"/>
          <w:numId w:val="279"/>
        </w:numPr>
        <w:rPr>
          <w:rFonts w:ascii="Arial" w:cs="Arial" w:eastAsia="Arial" w:hAnsi="Arial"/>
          <w:sz w:val="19"/>
          <w:szCs w:val="19"/>
          <w:color w:val="auto"/>
          <w:vertAlign w:val="superscript"/>
        </w:rPr>
      </w:pPr>
      <w:r>
        <w:rPr>
          <w:rFonts w:ascii="Arial" w:cs="Arial" w:eastAsia="Arial" w:hAnsi="Arial"/>
          <w:sz w:val="15"/>
          <w:szCs w:val="15"/>
          <w:color w:val="auto"/>
        </w:rPr>
        <w:t>To be completed if the Assignor and the Assignee intend that the minimum assignment amount is to be determined as of the Trade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E-2</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Form of Assignment and Assumption</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320"/>
          </w:cols>
          <w:pgMar w:left="260" w:top="1359" w:right="319" w:bottom="1440" w:gutter="0" w:footer="0" w:header="0"/>
        </w:sectPr>
      </w:pPr>
    </w:p>
    <w:bookmarkStart w:id="337" w:name="page338"/>
    <w:bookmarkEnd w:id="3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ASSIGNOR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By:_________________________________</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ASSIGNOR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By:_________________________________</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[Consented to and] </w:t>
      </w:r>
      <w:r>
        <w:rPr>
          <w:rFonts w:ascii="Arial" w:cs="Arial" w:eastAsia="Arial" w:hAnsi="Arial"/>
          <w:sz w:val="21"/>
          <w:szCs w:val="21"/>
          <w:color w:val="auto"/>
          <w:vertAlign w:val="superscript"/>
        </w:rPr>
        <w:t>19</w:t>
      </w:r>
      <w:r>
        <w:rPr>
          <w:rFonts w:ascii="Arial" w:cs="Arial" w:eastAsia="Arial" w:hAnsi="Arial"/>
          <w:sz w:val="17"/>
          <w:szCs w:val="17"/>
          <w:color w:val="auto"/>
        </w:rPr>
        <w:t xml:space="preserve"> Accepted:</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BANK OF AMERICA, N.A., as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Administrative Agent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[Consented to and] </w:t>
      </w:r>
      <w:r>
        <w:rPr>
          <w:rFonts w:ascii="Arial" w:cs="Arial" w:eastAsia="Arial" w:hAnsi="Arial"/>
          <w:sz w:val="21"/>
          <w:szCs w:val="21"/>
          <w:color w:val="auto"/>
          <w:vertAlign w:val="superscript"/>
        </w:rPr>
        <w:t>20</w:t>
      </w:r>
    </w:p>
    <w:p>
      <w:pPr>
        <w:ind w:left="280" w:hanging="264"/>
        <w:spacing w:after="0"/>
        <w:tabs>
          <w:tab w:leader="none" w:pos="2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19 </w:t>
      </w:r>
      <w:r>
        <w:rPr>
          <w:rFonts w:ascii="Arial" w:cs="Arial" w:eastAsia="Arial" w:hAnsi="Arial"/>
          <w:sz w:val="16"/>
          <w:szCs w:val="16"/>
          <w:color w:val="auto"/>
        </w:rPr>
        <w:t>To be added only if the consent of the Administrative Agent is required by the terms of the Credit Agreement.</w:t>
      </w:r>
    </w:p>
    <w:p>
      <w:pPr>
        <w:spacing w:after="0" w:line="5" w:lineRule="exact"/>
        <w:rPr>
          <w:sz w:val="20"/>
          <w:szCs w:val="20"/>
          <w:color w:val="auto"/>
        </w:rPr>
      </w:pPr>
    </w:p>
    <w:p>
      <w:pPr>
        <w:ind w:left="240" w:right="99" w:firstLine="598"/>
        <w:spacing w:after="0" w:line="235" w:lineRule="auto"/>
        <w:rPr>
          <w:sz w:val="20"/>
          <w:szCs w:val="20"/>
          <w:color w:val="auto"/>
        </w:rPr>
      </w:pPr>
      <w:r>
        <w:rPr>
          <w:rFonts w:ascii="Arial" w:cs="Arial" w:eastAsia="Arial" w:hAnsi="Arial"/>
          <w:sz w:val="11"/>
          <w:szCs w:val="11"/>
          <w:color w:val="auto"/>
        </w:rPr>
        <w:t xml:space="preserve">20 </w:t>
      </w:r>
      <w:r>
        <w:rPr>
          <w:rFonts w:ascii="Arial" w:cs="Arial" w:eastAsia="Arial" w:hAnsi="Arial"/>
          <w:sz w:val="16"/>
          <w:szCs w:val="16"/>
          <w:color w:val="auto"/>
        </w:rPr>
        <w:t>To be added only if the consent of the Company and/or other parties (e.g. Swing Line Lender, L/C Issuer) is required by the terms of the</w:t>
      </w:r>
      <w:r>
        <w:rPr>
          <w:rFonts w:ascii="Arial" w:cs="Arial" w:eastAsia="Arial" w:hAnsi="Arial"/>
          <w:sz w:val="11"/>
          <w:szCs w:val="11"/>
          <w:color w:val="auto"/>
        </w:rPr>
        <w:t xml:space="preserve"> </w:t>
      </w:r>
      <w:r>
        <w:rPr>
          <w:rFonts w:ascii="Arial" w:cs="Arial" w:eastAsia="Arial" w:hAnsi="Arial"/>
          <w:sz w:val="16"/>
          <w:szCs w:val="16"/>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E-3</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Form of Assignment and Assumption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0139"/>
          </w:cols>
          <w:pgMar w:left="320" w:top="1440" w:right="1440" w:bottom="1440" w:gutter="0" w:footer="0" w:header="0"/>
        </w:sectPr>
      </w:pPr>
    </w:p>
    <w:bookmarkStart w:id="338" w:name="page339"/>
    <w:bookmarkEnd w:id="3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E-4</w:t>
      </w:r>
    </w:p>
    <w:p>
      <w:pPr>
        <w:spacing w:after="0" w:line="2"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Form of Assignment and Assumption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0099"/>
          </w:cols>
          <w:pgMar w:left="360" w:top="1440" w:right="1440"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i w:val="1"/>
          <w:iCs w:val="1"/>
          <w:color w:val="auto"/>
        </w:rPr>
        <w:t>ANNEX 1 TO ASSIGNMENT AND ASSUMPTION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194" w:lineRule="exact"/>
        <w:rPr>
          <w:sz w:val="20"/>
          <w:szCs w:val="20"/>
          <w:color w:val="auto"/>
        </w:rPr>
      </w:pPr>
    </w:p>
    <w:p>
      <w:pPr>
        <w:ind w:left="2040" w:hanging="593"/>
        <w:spacing w:after="0"/>
        <w:tabs>
          <w:tab w:leader="none" w:pos="2040"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01" w:lineRule="exact"/>
        <w:rPr>
          <w:sz w:val="20"/>
          <w:szCs w:val="20"/>
          <w:color w:val="auto"/>
        </w:rPr>
      </w:pPr>
    </w:p>
    <w:p>
      <w:pPr>
        <w:jc w:val="both"/>
        <w:ind w:firstLine="1198"/>
        <w:spacing w:after="0" w:line="23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w:t>
      </w:r>
      <w:r>
        <w:rPr>
          <w:rFonts w:ascii="Arial" w:cs="Arial" w:eastAsia="Arial" w:hAnsi="Arial"/>
          <w:sz w:val="18"/>
          <w:szCs w:val="18"/>
          <w:b w:val="1"/>
          <w:bCs w:val="1"/>
          <w:color w:val="auto"/>
        </w:rPr>
        <w:t>[The][Each]</w:t>
      </w:r>
      <w:r>
        <w:rPr>
          <w:rFonts w:ascii="Arial" w:cs="Arial" w:eastAsia="Arial" w:hAnsi="Arial"/>
          <w:sz w:val="18"/>
          <w:szCs w:val="18"/>
          <w:color w:val="auto"/>
        </w:rPr>
        <w:t xml:space="preserve"> Assignor (a) represents and warrants that (i) it is the legal and beneficial owner of </w:t>
      </w:r>
      <w:r>
        <w:rPr>
          <w:rFonts w:ascii="Arial" w:cs="Arial" w:eastAsia="Arial" w:hAnsi="Arial"/>
          <w:sz w:val="18"/>
          <w:szCs w:val="18"/>
          <w:b w:val="1"/>
          <w:bCs w:val="1"/>
          <w:color w:val="auto"/>
        </w:rPr>
        <w:t>[the][the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relevant] </w:t>
      </w:r>
      <w:r>
        <w:rPr>
          <w:rFonts w:ascii="Arial" w:cs="Arial" w:eastAsia="Arial" w:hAnsi="Arial"/>
          <w:sz w:val="18"/>
          <w:szCs w:val="18"/>
          <w:color w:val="auto"/>
        </w:rPr>
        <w:t>Assigned Interest, (ii)</w:t>
      </w:r>
      <w:r>
        <w:rPr>
          <w:rFonts w:ascii="Arial" w:cs="Arial" w:eastAsia="Arial" w:hAnsi="Arial"/>
          <w:sz w:val="18"/>
          <w:szCs w:val="18"/>
          <w:b w:val="1"/>
          <w:bCs w:val="1"/>
          <w:color w:val="auto"/>
        </w:rPr>
        <w:t xml:space="preserve"> [the][such] </w:t>
      </w:r>
      <w:r>
        <w:rPr>
          <w:rFonts w:ascii="Arial" w:cs="Arial" w:eastAsia="Arial" w:hAnsi="Arial"/>
          <w:sz w:val="18"/>
          <w:szCs w:val="18"/>
          <w:color w:val="auto"/>
        </w:rPr>
        <w:t>Assigned Interest is free and clear of any lien, encumbrance or other adverse claim, (iii) it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 power and authority, and has taken all action necessary, to execute and deliver this Assignment and Assumption and to consummate the transactions contemplated hereby and (iv) it is </w:t>
      </w:r>
      <w:r>
        <w:rPr>
          <w:rFonts w:ascii="Arial" w:cs="Arial" w:eastAsia="Arial" w:hAnsi="Arial"/>
          <w:sz w:val="18"/>
          <w:szCs w:val="18"/>
          <w:b w:val="1"/>
          <w:bCs w:val="1"/>
          <w:color w:val="auto"/>
        </w:rPr>
        <w:t>[not]</w:t>
      </w:r>
      <w:r>
        <w:rPr>
          <w:rFonts w:ascii="Arial" w:cs="Arial" w:eastAsia="Arial" w:hAnsi="Arial"/>
          <w:sz w:val="18"/>
          <w:szCs w:val="18"/>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w:t>
      </w:r>
    </w:p>
    <w:p>
      <w:pPr>
        <w:spacing w:after="0" w:line="2" w:lineRule="exact"/>
        <w:rPr>
          <w:sz w:val="20"/>
          <w:szCs w:val="20"/>
          <w:color w:val="auto"/>
        </w:rPr>
      </w:pPr>
    </w:p>
    <w:p>
      <w:pPr>
        <w:spacing w:after="0" w:line="228" w:lineRule="auto"/>
        <w:tabs>
          <w:tab w:leader="none" w:pos="363"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performance or observance by the Company, any of its Subsidiaries or Affiliates or any other Person of any of their respective obligations under any Loan Document.</w:t>
      </w:r>
    </w:p>
    <w:p>
      <w:pPr>
        <w:spacing w:after="0" w:line="240" w:lineRule="exact"/>
        <w:rPr>
          <w:sz w:val="20"/>
          <w:szCs w:val="20"/>
          <w:color w:val="auto"/>
        </w:rPr>
      </w:pPr>
    </w:p>
    <w:p>
      <w:pPr>
        <w:jc w:val="both"/>
        <w:ind w:firstLine="1198"/>
        <w:spacing w:after="0" w:line="23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w:t>
      </w:r>
      <w:r>
        <w:rPr>
          <w:rFonts w:ascii="Arial" w:cs="Arial" w:eastAsia="Arial" w:hAnsi="Arial"/>
          <w:sz w:val="18"/>
          <w:szCs w:val="18"/>
          <w:b w:val="1"/>
          <w:bCs w:val="1"/>
          <w:color w:val="auto"/>
        </w:rPr>
        <w:t>[The][Each]</w:t>
      </w:r>
      <w:r>
        <w:rPr>
          <w:rFonts w:ascii="Arial" w:cs="Arial" w:eastAsia="Arial" w:hAnsi="Arial"/>
          <w:sz w:val="18"/>
          <w:szCs w:val="18"/>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the Credit Agreement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of the Credit Agreement), (iii) from and after the Effective Date, it shall be bound by the provisions of the Credit Agreement as a Lender thereunder and, to the extent of </w:t>
      </w:r>
      <w:r>
        <w:rPr>
          <w:rFonts w:ascii="Arial" w:cs="Arial" w:eastAsia="Arial" w:hAnsi="Arial"/>
          <w:sz w:val="18"/>
          <w:szCs w:val="18"/>
          <w:b w:val="1"/>
          <w:bCs w:val="1"/>
          <w:color w:val="auto"/>
        </w:rPr>
        <w:t>[the][the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relevant] </w:t>
      </w:r>
      <w:r>
        <w:rPr>
          <w:rFonts w:ascii="Arial" w:cs="Arial" w:eastAsia="Arial" w:hAnsi="Arial"/>
          <w:sz w:val="18"/>
          <w:szCs w:val="18"/>
          <w:color w:val="auto"/>
        </w:rPr>
        <w:t>Assigned Interest, shall have the obligations of a Lender thereunder, (iv) it is sophisticated with respect to decisions to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assets of the type represented by </w:t>
      </w:r>
      <w:r>
        <w:rPr>
          <w:rFonts w:ascii="Arial" w:cs="Arial" w:eastAsia="Arial" w:hAnsi="Arial"/>
          <w:sz w:val="18"/>
          <w:szCs w:val="18"/>
          <w:b w:val="1"/>
          <w:bCs w:val="1"/>
          <w:color w:val="auto"/>
        </w:rPr>
        <w:t>[the][such]</w:t>
      </w:r>
      <w:r>
        <w:rPr>
          <w:rFonts w:ascii="Arial" w:cs="Arial" w:eastAsia="Arial" w:hAnsi="Arial"/>
          <w:sz w:val="18"/>
          <w:szCs w:val="18"/>
          <w:color w:val="auto"/>
        </w:rPr>
        <w:t xml:space="preserve"> Assigned Interest and either it, or the Person exercising discretion in making its decision to acquire </w:t>
      </w:r>
      <w:r>
        <w:rPr>
          <w:rFonts w:ascii="Arial" w:cs="Arial" w:eastAsia="Arial" w:hAnsi="Arial"/>
          <w:sz w:val="18"/>
          <w:szCs w:val="18"/>
          <w:b w:val="1"/>
          <w:bCs w:val="1"/>
          <w:color w:val="auto"/>
        </w:rPr>
        <w:t>[the][such]</w:t>
      </w:r>
      <w:r>
        <w:rPr>
          <w:rFonts w:ascii="Arial" w:cs="Arial" w:eastAsia="Arial" w:hAnsi="Arial"/>
          <w:sz w:val="18"/>
          <w:szCs w:val="18"/>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thereof, as applicable, and such other documents and information as it deems appropriate to make its own credit analysis and decision to enter into this Assignment and Assumption and to purchase </w:t>
      </w:r>
      <w:r>
        <w:rPr>
          <w:rFonts w:ascii="Arial" w:cs="Arial" w:eastAsia="Arial" w:hAnsi="Arial"/>
          <w:sz w:val="18"/>
          <w:szCs w:val="18"/>
          <w:b w:val="1"/>
          <w:bCs w:val="1"/>
          <w:color w:val="auto"/>
        </w:rPr>
        <w:t>[the][such]</w:t>
      </w:r>
      <w:r>
        <w:rPr>
          <w:rFonts w:ascii="Arial" w:cs="Arial" w:eastAsia="Arial" w:hAnsi="Arial"/>
          <w:sz w:val="18"/>
          <w:szCs w:val="18"/>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Arial" w:cs="Arial" w:eastAsia="Arial" w:hAnsi="Arial"/>
          <w:sz w:val="18"/>
          <w:szCs w:val="18"/>
          <w:b w:val="1"/>
          <w:bCs w:val="1"/>
          <w:color w:val="auto"/>
        </w:rPr>
        <w:t>[the][such]</w:t>
      </w:r>
      <w:r>
        <w:rPr>
          <w:rFonts w:ascii="Arial" w:cs="Arial" w:eastAsia="Arial" w:hAnsi="Arial"/>
          <w:sz w:val="18"/>
          <w:szCs w:val="18"/>
          <w:color w:val="auto"/>
        </w:rPr>
        <w:t xml:space="preserve"> Assigned Interest, and (vii) attached hereto is any documentation required to be delivered by it pursuant to the terms of the Credit Agreement, duly completed and executed by </w:t>
      </w:r>
      <w:r>
        <w:rPr>
          <w:rFonts w:ascii="Arial" w:cs="Arial" w:eastAsia="Arial" w:hAnsi="Arial"/>
          <w:sz w:val="18"/>
          <w:szCs w:val="18"/>
          <w:b w:val="1"/>
          <w:bCs w:val="1"/>
          <w:color w:val="auto"/>
        </w:rPr>
        <w:t>[the][such]</w:t>
      </w:r>
      <w:r>
        <w:rPr>
          <w:rFonts w:ascii="Arial" w:cs="Arial" w:eastAsia="Arial" w:hAnsi="Arial"/>
          <w:sz w:val="18"/>
          <w:szCs w:val="18"/>
          <w:color w:val="auto"/>
        </w:rPr>
        <w:t xml:space="preserve"> Assignee; and (b) agrees that (i) it will, independently and without reliance upon the Administrative Agent,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[any] </w:t>
      </w:r>
      <w:r>
        <w:rPr>
          <w:rFonts w:ascii="Arial" w:cs="Arial" w:eastAsia="Arial" w:hAnsi="Arial"/>
          <w:sz w:val="18"/>
          <w:szCs w:val="18"/>
          <w:color w:val="auto"/>
        </w:rPr>
        <w:t>Assignor or any other Lender, and based on such documents and information as it shall deem appropriate at the time,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its own credit decisions in taking or not taking action under the Loan Documents, and (ii) it will perform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E-5</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Assignment and Assumption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40"/>
          </w:cols>
          <w:pgMar w:left="320" w:top="1371" w:right="339" w:bottom="1440" w:gutter="0" w:footer="0" w:header="0"/>
        </w:sectPr>
      </w:pPr>
    </w:p>
    <w:bookmarkStart w:id="340" w:name="page341"/>
    <w:bookmarkEnd w:id="340"/>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their terms all of the obligations which by the terms of the Loan Documents are required to be performed by it as a Lender.</w:t>
      </w:r>
    </w:p>
    <w:p>
      <w:pPr>
        <w:spacing w:after="0" w:line="224" w:lineRule="exact"/>
        <w:rPr>
          <w:sz w:val="20"/>
          <w:szCs w:val="20"/>
          <w:color w:val="auto"/>
        </w:rPr>
      </w:pPr>
    </w:p>
    <w:p>
      <w:pPr>
        <w:jc w:val="both"/>
        <w:ind w:firstLine="1197"/>
        <w:spacing w:after="0" w:line="232" w:lineRule="auto"/>
        <w:tabs>
          <w:tab w:leader="none" w:pos="1797"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From and after the Effective Date, the Administrative Agent shall make all payments in respect of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[each] </w:t>
      </w:r>
      <w:r>
        <w:rPr>
          <w:rFonts w:ascii="Arial" w:cs="Arial" w:eastAsia="Arial" w:hAnsi="Arial"/>
          <w:sz w:val="19"/>
          <w:szCs w:val="19"/>
          <w:color w:val="auto"/>
        </w:rPr>
        <w:t>Assigned Interest (including payments of principal, interest, fees and other amounts) to</w:t>
      </w:r>
      <w:r>
        <w:rPr>
          <w:rFonts w:ascii="Arial" w:cs="Arial" w:eastAsia="Arial" w:hAnsi="Arial"/>
          <w:sz w:val="19"/>
          <w:szCs w:val="19"/>
          <w:b w:val="1"/>
          <w:bCs w:val="1"/>
          <w:color w:val="auto"/>
        </w:rPr>
        <w:t xml:space="preserve"> [the][the relevant] </w:t>
      </w:r>
      <w:r>
        <w:rPr>
          <w:rFonts w:ascii="Arial" w:cs="Arial" w:eastAsia="Arial" w:hAnsi="Arial"/>
          <w:sz w:val="19"/>
          <w:szCs w:val="19"/>
          <w:color w:val="auto"/>
        </w:rPr>
        <w:t>Assignor for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have accrued to but excluding the Effective Date and to </w:t>
      </w:r>
      <w:r>
        <w:rPr>
          <w:rFonts w:ascii="Arial" w:cs="Arial" w:eastAsia="Arial" w:hAnsi="Arial"/>
          <w:sz w:val="19"/>
          <w:szCs w:val="19"/>
          <w:b w:val="1"/>
          <w:bCs w:val="1"/>
          <w:color w:val="auto"/>
        </w:rPr>
        <w:t>[the][the relevant]</w:t>
      </w:r>
      <w:r>
        <w:rPr>
          <w:rFonts w:ascii="Arial" w:cs="Arial" w:eastAsia="Arial" w:hAnsi="Arial"/>
          <w:sz w:val="19"/>
          <w:szCs w:val="19"/>
          <w:color w:val="auto"/>
        </w:rPr>
        <w:t xml:space="preserve"> Assignee for amounts which have accrued from and after the Effective Date. Notwithstanding the foregoing, the Administrative Agent shall make all payments of interest, fees or other amounts paid or payable in kind from and after the Effective Date to </w:t>
      </w:r>
      <w:r>
        <w:rPr>
          <w:rFonts w:ascii="Arial" w:cs="Arial" w:eastAsia="Arial" w:hAnsi="Arial"/>
          <w:sz w:val="19"/>
          <w:szCs w:val="19"/>
          <w:b w:val="1"/>
          <w:bCs w:val="1"/>
          <w:color w:val="auto"/>
        </w:rPr>
        <w:t>[the][the relevant]</w:t>
      </w:r>
      <w:r>
        <w:rPr>
          <w:rFonts w:ascii="Arial" w:cs="Arial" w:eastAsia="Arial" w:hAnsi="Arial"/>
          <w:sz w:val="19"/>
          <w:szCs w:val="19"/>
          <w:color w:val="auto"/>
        </w:rPr>
        <w:t xml:space="preserve"> Assignee.</w:t>
      </w:r>
    </w:p>
    <w:p>
      <w:pPr>
        <w:spacing w:after="0" w:line="185" w:lineRule="exact"/>
        <w:rPr>
          <w:rFonts w:ascii="Arial" w:cs="Arial" w:eastAsia="Arial" w:hAnsi="Arial"/>
          <w:sz w:val="19"/>
          <w:szCs w:val="19"/>
          <w:color w:val="auto"/>
        </w:rPr>
      </w:pPr>
    </w:p>
    <w:p>
      <w:pPr>
        <w:jc w:val="both"/>
        <w:ind w:firstLine="1197"/>
        <w:spacing w:after="0" w:line="229" w:lineRule="auto"/>
        <w:tabs>
          <w:tab w:leader="none" w:pos="1797"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conflicts of law principles that would require the application of laws of another jurisdiction.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Assignment and Assumption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40"/>
          </w:cols>
          <w:pgMar w:left="320" w:top="1440" w:right="339" w:bottom="1440" w:gutter="0" w:footer="0" w:header="0"/>
        </w:sectPr>
      </w:pPr>
    </w:p>
    <w:bookmarkStart w:id="341" w:name="page342"/>
    <w:bookmarkEnd w:id="341"/>
    <w:p>
      <w:pPr>
        <w:ind w:left="9460"/>
        <w:spacing w:after="0"/>
        <w:rPr>
          <w:sz w:val="20"/>
          <w:szCs w:val="20"/>
          <w:color w:val="auto"/>
        </w:rPr>
      </w:pPr>
      <w:r>
        <w:rPr>
          <w:rFonts w:ascii="Arial" w:cs="Arial" w:eastAsia="Arial" w:hAnsi="Arial"/>
          <w:sz w:val="18"/>
          <w:szCs w:val="18"/>
          <w:b w:val="1"/>
          <w:bCs w:val="1"/>
          <w:i w:val="1"/>
          <w:iCs w:val="1"/>
          <w:color w:val="auto"/>
        </w:rPr>
        <w:t>EXHIBIT F-1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9" w:lineRule="exact"/>
        <w:rPr>
          <w:sz w:val="20"/>
          <w:szCs w:val="20"/>
          <w:color w:val="auto"/>
        </w:rPr>
      </w:pPr>
    </w:p>
    <w:p>
      <w:pPr>
        <w:jc w:val="both"/>
        <w:ind w:firstLine="1198"/>
        <w:spacing w:after="0" w:line="230"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L/C Issuer and Swing Line Lender.</w:t>
      </w:r>
    </w:p>
    <w:p>
      <w:pPr>
        <w:spacing w:after="0" w:line="271" w:lineRule="exact"/>
        <w:rPr>
          <w:sz w:val="20"/>
          <w:szCs w:val="20"/>
          <w:color w:val="auto"/>
        </w:rPr>
      </w:pPr>
    </w:p>
    <w:p>
      <w:pPr>
        <w:jc w:val="both"/>
        <w:ind w:firstLine="1198"/>
        <w:spacing w:after="0" w:line="230"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of the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881(c)(3)(B) of the Code and (iv) it is not a controlled foreign corporation related to any Borrower as described in Section 881(c)(3)(C) of the Code.</w:t>
      </w:r>
    </w:p>
    <w:p>
      <w:pPr>
        <w:spacing w:after="0" w:line="184" w:lineRule="exact"/>
        <w:rPr>
          <w:sz w:val="20"/>
          <w:szCs w:val="20"/>
          <w:color w:val="auto"/>
        </w:rPr>
      </w:pPr>
    </w:p>
    <w:p>
      <w:pPr>
        <w:jc w:val="both"/>
        <w:ind w:firstLine="1198"/>
        <w:spacing w:after="0" w:line="228" w:lineRule="auto"/>
        <w:rPr>
          <w:sz w:val="20"/>
          <w:szCs w:val="20"/>
          <w:color w:val="auto"/>
        </w:rPr>
      </w:pPr>
      <w:r>
        <w:rPr>
          <w:rFonts w:ascii="Arial" w:cs="Arial" w:eastAsia="Arial" w:hAnsi="Arial"/>
          <w:sz w:val="20"/>
          <w:szCs w:val="20"/>
          <w:color w:val="auto"/>
        </w:rPr>
        <w:t>The undersigned has furnished the Administrative Agent and the Borrowers with a certificate of its non-U.S. Person status on IRS Form W-8BEN-E (or W-8BEN, as applicable).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jc w:val="both"/>
        <w:ind w:firstLine="1198"/>
        <w:spacing w:after="0" w:line="246"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 OF LENDER]</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By:_____________________________________</w:t>
      </w:r>
    </w:p>
    <w:p>
      <w:pPr>
        <w:spacing w:after="0" w:line="20"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Name:___________________________</w:t>
      </w:r>
    </w:p>
    <w:p>
      <w:pPr>
        <w:spacing w:after="0" w:line="20"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Title:__________________________</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Assignment and Assumption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40"/>
          </w:cols>
          <w:pgMar w:left="320" w:top="1371" w:right="339" w:bottom="1440" w:gutter="0" w:footer="0" w:header="0"/>
        </w:sectPr>
      </w:pPr>
    </w:p>
    <w:bookmarkStart w:id="342" w:name="page343"/>
    <w:bookmarkEnd w:id="342"/>
    <w:p>
      <w:pPr>
        <w:ind w:left="9420"/>
        <w:spacing w:after="0"/>
        <w:rPr>
          <w:sz w:val="20"/>
          <w:szCs w:val="20"/>
          <w:color w:val="auto"/>
        </w:rPr>
      </w:pPr>
      <w:r>
        <w:rPr>
          <w:rFonts w:ascii="Arial" w:cs="Arial" w:eastAsia="Arial" w:hAnsi="Arial"/>
          <w:sz w:val="18"/>
          <w:szCs w:val="18"/>
          <w:b w:val="1"/>
          <w:bCs w:val="1"/>
          <w:i w:val="1"/>
          <w:iCs w:val="1"/>
          <w:color w:val="auto"/>
        </w:rPr>
        <w:t>EXHIBIT F-2</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w:t>
      </w:r>
    </w:p>
    <w:p>
      <w:pPr>
        <w:jc w:val="center"/>
        <w:ind w:right="20"/>
        <w:spacing w:after="0"/>
        <w:rPr>
          <w:sz w:val="20"/>
          <w:szCs w:val="20"/>
          <w:color w:val="auto"/>
        </w:rPr>
      </w:pPr>
      <w:r>
        <w:rPr>
          <w:rFonts w:ascii="Arial" w:cs="Arial" w:eastAsia="Arial" w:hAnsi="Arial"/>
          <w:sz w:val="18"/>
          <w:szCs w:val="18"/>
          <w:b w:val="1"/>
          <w:bCs w:val="1"/>
          <w:color w:val="auto"/>
        </w:rPr>
        <w:t>U.S. TAX COMPLIANCE CERTIFICATE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9" w:lineRule="exact"/>
        <w:rPr>
          <w:sz w:val="20"/>
          <w:szCs w:val="20"/>
          <w:color w:val="auto"/>
        </w:rPr>
      </w:pPr>
    </w:p>
    <w:p>
      <w:pPr>
        <w:jc w:val="both"/>
        <w:ind w:left="100" w:firstLine="1198"/>
        <w:spacing w:after="0" w:line="230"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L/C Issuer and Swing Line Lender.</w:t>
      </w:r>
    </w:p>
    <w:p>
      <w:pPr>
        <w:spacing w:after="0" w:line="271" w:lineRule="exact"/>
        <w:rPr>
          <w:sz w:val="20"/>
          <w:szCs w:val="20"/>
          <w:color w:val="auto"/>
        </w:rPr>
      </w:pPr>
    </w:p>
    <w:p>
      <w:pPr>
        <w:jc w:val="both"/>
        <w:ind w:left="100" w:firstLine="1198"/>
        <w:spacing w:after="0" w:line="264"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881(c)(3)(B) of the Code, and (iv) it is not a controlled foreign corporation related to any Borrower as described in Section 881(c)(3)(C) of the Code.</w:t>
      </w:r>
    </w:p>
    <w:p>
      <w:pPr>
        <w:spacing w:after="0" w:line="163" w:lineRule="exact"/>
        <w:rPr>
          <w:sz w:val="20"/>
          <w:szCs w:val="20"/>
          <w:color w:val="auto"/>
        </w:rPr>
      </w:pPr>
    </w:p>
    <w:p>
      <w:pPr>
        <w:jc w:val="both"/>
        <w:ind w:left="100" w:firstLine="1198"/>
        <w:spacing w:after="0" w:line="242"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both"/>
        <w:ind w:left="100" w:firstLine="1198"/>
        <w:spacing w:after="0" w:line="246"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PARTICIPANT]</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By:_____________________________________</w:t>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Name:___________________________</w:t>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Title:__________________________</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U.S. Tax Compliance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00"/>
          </w:cols>
          <w:pgMar w:left="360" w:top="1371" w:right="339" w:bottom="1440" w:gutter="0" w:footer="0" w:header="0"/>
        </w:sectPr>
      </w:pPr>
    </w:p>
    <w:bookmarkStart w:id="343" w:name="page344"/>
    <w:bookmarkEnd w:id="343"/>
    <w:p>
      <w:pPr>
        <w:ind w:left="9420"/>
        <w:spacing w:after="0"/>
        <w:rPr>
          <w:sz w:val="20"/>
          <w:szCs w:val="20"/>
          <w:color w:val="auto"/>
        </w:rPr>
      </w:pPr>
      <w:r>
        <w:rPr>
          <w:rFonts w:ascii="Arial" w:cs="Arial" w:eastAsia="Arial" w:hAnsi="Arial"/>
          <w:sz w:val="18"/>
          <w:szCs w:val="18"/>
          <w:b w:val="1"/>
          <w:bCs w:val="1"/>
          <w:i w:val="1"/>
          <w:iCs w:val="1"/>
          <w:color w:val="auto"/>
        </w:rPr>
        <w:t>EXHIBIT F-3</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w:t>
      </w:r>
    </w:p>
    <w:p>
      <w:pPr>
        <w:jc w:val="center"/>
        <w:ind w:right="20"/>
        <w:spacing w:after="0"/>
        <w:rPr>
          <w:sz w:val="20"/>
          <w:szCs w:val="20"/>
          <w:color w:val="auto"/>
        </w:rPr>
      </w:pPr>
      <w:r>
        <w:rPr>
          <w:rFonts w:ascii="Arial" w:cs="Arial" w:eastAsia="Arial" w:hAnsi="Arial"/>
          <w:sz w:val="18"/>
          <w:szCs w:val="18"/>
          <w:b w:val="1"/>
          <w:bCs w:val="1"/>
          <w:color w:val="auto"/>
        </w:rPr>
        <w:t>U.S. TAX COMPLIANCE CERTIFICATE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9" w:lineRule="exact"/>
        <w:rPr>
          <w:sz w:val="20"/>
          <w:szCs w:val="20"/>
          <w:color w:val="auto"/>
        </w:rPr>
      </w:pPr>
    </w:p>
    <w:p>
      <w:pPr>
        <w:jc w:val="both"/>
        <w:ind w:left="200" w:firstLine="1197"/>
        <w:spacing w:after="0" w:line="230"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L/C Issuer and Swing Line Lender.</w:t>
      </w:r>
    </w:p>
    <w:p>
      <w:pPr>
        <w:spacing w:after="0" w:line="47" w:lineRule="exact"/>
        <w:rPr>
          <w:sz w:val="20"/>
          <w:szCs w:val="20"/>
          <w:color w:val="auto"/>
        </w:rPr>
      </w:pPr>
    </w:p>
    <w:p>
      <w:pPr>
        <w:jc w:val="both"/>
        <w:ind w:left="200" w:firstLine="1197"/>
        <w:spacing w:after="0" w:line="235"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881(c)(3)(B) of the Code and (v) none of its direct or indirect partners/members is a controlled foreign corporation related to any Borrower as described in Section 881(c)(3)(C) of the Code.</w:t>
      </w:r>
    </w:p>
    <w:p>
      <w:pPr>
        <w:spacing w:after="0" w:line="4" w:lineRule="exact"/>
        <w:rPr>
          <w:sz w:val="20"/>
          <w:szCs w:val="20"/>
          <w:color w:val="auto"/>
        </w:rPr>
      </w:pPr>
    </w:p>
    <w:p>
      <w:pPr>
        <w:jc w:val="both"/>
        <w:ind w:left="200" w:firstLine="1197"/>
        <w:spacing w:after="0" w:line="233"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w:t>
      </w:r>
    </w:p>
    <w:p>
      <w:pPr>
        <w:spacing w:after="0" w:line="1" w:lineRule="exact"/>
        <w:rPr>
          <w:sz w:val="20"/>
          <w:szCs w:val="20"/>
          <w:color w:val="auto"/>
        </w:rPr>
      </w:pPr>
    </w:p>
    <w:p>
      <w:pPr>
        <w:jc w:val="both"/>
        <w:ind w:left="200" w:firstLine="10"/>
        <w:spacing w:after="0" w:line="230" w:lineRule="auto"/>
        <w:tabs>
          <w:tab w:leader="none" w:pos="49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ind w:left="200" w:firstLine="1197"/>
        <w:spacing w:after="0" w:line="246"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PARTICIPANT]</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By:_____________________________________</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Name:___________________________</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Title:__________________________</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U.S. Tax Compliance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00"/>
          </w:cols>
          <w:pgMar w:left="360" w:top="1371" w:right="339" w:bottom="1440" w:gutter="0" w:footer="0" w:header="0"/>
        </w:sectPr>
      </w:pPr>
    </w:p>
    <w:bookmarkStart w:id="344" w:name="page345"/>
    <w:bookmarkEnd w:id="344"/>
    <w:p>
      <w:pPr>
        <w:ind w:left="9420"/>
        <w:spacing w:after="0"/>
        <w:rPr>
          <w:sz w:val="20"/>
          <w:szCs w:val="20"/>
          <w:color w:val="auto"/>
        </w:rPr>
      </w:pPr>
      <w:r>
        <w:rPr>
          <w:rFonts w:ascii="Arial" w:cs="Arial" w:eastAsia="Arial" w:hAnsi="Arial"/>
          <w:sz w:val="18"/>
          <w:szCs w:val="18"/>
          <w:b w:val="1"/>
          <w:bCs w:val="1"/>
          <w:i w:val="1"/>
          <w:iCs w:val="1"/>
          <w:color w:val="auto"/>
        </w:rPr>
        <w:t>EXHIBIT F-4</w:t>
      </w:r>
    </w:p>
    <w:p>
      <w:pPr>
        <w:spacing w:after="0" w:line="18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FORM OF</w:t>
      </w:r>
    </w:p>
    <w:p>
      <w:pPr>
        <w:ind w:left="2260"/>
        <w:spacing w:after="0" w:line="199" w:lineRule="auto"/>
        <w:rPr>
          <w:sz w:val="20"/>
          <w:szCs w:val="20"/>
          <w:color w:val="auto"/>
        </w:rPr>
      </w:pPr>
      <w:r>
        <w:rPr>
          <w:rFonts w:ascii="Arial" w:cs="Arial" w:eastAsia="Arial" w:hAnsi="Arial"/>
          <w:sz w:val="18"/>
          <w:szCs w:val="18"/>
          <w:b w:val="1"/>
          <w:bCs w:val="1"/>
          <w:color w:val="auto"/>
        </w:rPr>
        <w:t>U.S. TAX COMPLIANCE CERTIFICATE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3" w:lineRule="exact"/>
        <w:rPr>
          <w:sz w:val="20"/>
          <w:szCs w:val="20"/>
          <w:color w:val="auto"/>
        </w:rPr>
      </w:pPr>
    </w:p>
    <w:p>
      <w:pPr>
        <w:jc w:val="both"/>
        <w:ind w:left="200" w:firstLine="1197"/>
        <w:spacing w:after="0" w:line="230"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L/C Issuer and Swing Line Lender.</w:t>
      </w:r>
    </w:p>
    <w:p>
      <w:pPr>
        <w:spacing w:after="0" w:line="271" w:lineRule="exact"/>
        <w:rPr>
          <w:sz w:val="20"/>
          <w:szCs w:val="20"/>
          <w:color w:val="auto"/>
        </w:rPr>
      </w:pPr>
    </w:p>
    <w:p>
      <w:pPr>
        <w:jc w:val="both"/>
        <w:ind w:left="200" w:firstLine="1197"/>
        <w:spacing w:after="0" w:line="236"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ind w:left="560" w:hanging="350"/>
        <w:spacing w:after="0"/>
        <w:tabs>
          <w:tab w:leader="none" w:pos="5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none of its direct or indirect partners/members is a ten percent shareholder of any Borrower within the meaning of Section 881(c)(3)</w:t>
      </w:r>
    </w:p>
    <w:p>
      <w:pPr>
        <w:spacing w:after="0" w:line="5" w:lineRule="exact"/>
        <w:rPr>
          <w:rFonts w:ascii="Arial" w:cs="Arial" w:eastAsia="Arial" w:hAnsi="Arial"/>
          <w:sz w:val="18"/>
          <w:szCs w:val="18"/>
          <w:color w:val="auto"/>
        </w:rPr>
      </w:pPr>
    </w:p>
    <w:p>
      <w:pPr>
        <w:ind w:left="200"/>
        <w:spacing w:after="0" w:line="234" w:lineRule="auto"/>
        <w:rPr>
          <w:rFonts w:ascii="Arial" w:cs="Arial" w:eastAsia="Arial" w:hAnsi="Arial"/>
          <w:sz w:val="18"/>
          <w:szCs w:val="18"/>
          <w:color w:val="auto"/>
        </w:rPr>
      </w:pPr>
      <w:r>
        <w:rPr>
          <w:rFonts w:ascii="Arial" w:cs="Arial" w:eastAsia="Arial" w:hAnsi="Arial"/>
          <w:sz w:val="20"/>
          <w:szCs w:val="20"/>
          <w:color w:val="auto"/>
        </w:rPr>
        <w:t>(B) of the Code and (v) none of its direct or indirect partners/members is a controlled foreign corporation related to any Borrower as described in Section 881(c)(3)(C) of the Code.</w:t>
      </w:r>
    </w:p>
    <w:p>
      <w:pPr>
        <w:spacing w:after="0" w:line="185" w:lineRule="exact"/>
        <w:rPr>
          <w:sz w:val="20"/>
          <w:szCs w:val="20"/>
          <w:color w:val="auto"/>
        </w:rPr>
      </w:pPr>
    </w:p>
    <w:p>
      <w:pPr>
        <w:jc w:val="both"/>
        <w:ind w:left="200" w:firstLine="1197"/>
        <w:spacing w:after="0" w:line="238" w:lineRule="auto"/>
        <w:rPr>
          <w:sz w:val="20"/>
          <w:szCs w:val="20"/>
          <w:color w:val="auto"/>
        </w:rPr>
      </w:pPr>
      <w:r>
        <w:rPr>
          <w:rFonts w:ascii="Arial" w:cs="Arial" w:eastAsia="Arial" w:hAnsi="Arial"/>
          <w:sz w:val="19"/>
          <w:szCs w:val="19"/>
          <w:color w:val="auto"/>
        </w:rPr>
        <w:t>The undersigned has furnished the Administrative Agent and the Borrowers with IRS Form W-8IMY accompanied by one of the following forms from each of its partners/members that is claiming the portfolio interest exemption: (i) an IRS Form W-8BEN-E (or W-8BEN, as applicable) or (ii) an IRS Form W-8IMY accompanied by an IRS Form W- 8BEN-E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left="200" w:firstLine="1197"/>
        <w:spacing w:after="0" w:line="246"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PARTICIPANT]</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By:_____________________________________</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Name:___________________________</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Title:__________________________</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Date: __________, 20[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U.S. Tax Compliance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00"/>
          </w:cols>
          <w:pgMar w:left="360" w:top="1372" w:right="339" w:bottom="1440" w:gutter="0" w:footer="0" w:header="0"/>
        </w:sectPr>
      </w:pPr>
    </w:p>
    <w:bookmarkStart w:id="345" w:name="page346"/>
    <w:bookmarkEnd w:id="345"/>
    <w:p>
      <w:pPr>
        <w:ind w:left="9520"/>
        <w:spacing w:after="0"/>
        <w:rPr>
          <w:sz w:val="20"/>
          <w:szCs w:val="20"/>
          <w:color w:val="auto"/>
        </w:rPr>
      </w:pPr>
      <w:r>
        <w:rPr>
          <w:rFonts w:ascii="Arial" w:cs="Arial" w:eastAsia="Arial" w:hAnsi="Arial"/>
          <w:sz w:val="20"/>
          <w:szCs w:val="20"/>
          <w:b w:val="1"/>
          <w:bCs w:val="1"/>
          <w:i w:val="1"/>
          <w:iCs w:val="1"/>
          <w:color w:val="auto"/>
        </w:rPr>
        <w:t>EXHIBIT G</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BANKERS’ ACCEPTANCE REQUEST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to be printed on MasTec, Inc. letterhead</w:t>
      </w:r>
      <w:r>
        <w:rPr>
          <w:rFonts w:ascii="Arial" w:cs="Arial" w:eastAsia="Arial" w:hAnsi="Arial"/>
          <w:sz w:val="20"/>
          <w:szCs w:val="20"/>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Kimberly Corcoran</w:t>
      </w:r>
    </w:p>
    <w:p>
      <w:pPr>
        <w:spacing w:after="0" w:line="208" w:lineRule="auto"/>
        <w:rPr>
          <w:sz w:val="20"/>
          <w:szCs w:val="20"/>
          <w:color w:val="auto"/>
        </w:rPr>
      </w:pPr>
      <w:r>
        <w:rPr>
          <w:rFonts w:ascii="Arial" w:cs="Arial" w:eastAsia="Arial" w:hAnsi="Arial"/>
          <w:sz w:val="20"/>
          <w:szCs w:val="20"/>
          <w:color w:val="auto"/>
        </w:rPr>
        <w:t>Bank of America, N.A.</w:t>
      </w:r>
    </w:p>
    <w:p>
      <w:pPr>
        <w:spacing w:after="0" w:line="208" w:lineRule="auto"/>
        <w:rPr>
          <w:sz w:val="20"/>
          <w:szCs w:val="20"/>
          <w:color w:val="auto"/>
        </w:rPr>
      </w:pPr>
      <w:r>
        <w:rPr>
          <w:rFonts w:ascii="Arial" w:cs="Arial" w:eastAsia="Arial" w:hAnsi="Arial"/>
          <w:sz w:val="20"/>
          <w:szCs w:val="20"/>
          <w:color w:val="auto"/>
        </w:rPr>
        <w:t>1 Fleet Way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Scranton, Pennsylvania 18507</w:t>
      </w:r>
    </w:p>
    <w:p>
      <w:pPr>
        <w:spacing w:after="0" w:line="178" w:lineRule="exact"/>
        <w:rPr>
          <w:sz w:val="20"/>
          <w:szCs w:val="20"/>
          <w:color w:val="auto"/>
        </w:rPr>
      </w:pPr>
    </w:p>
    <w:p>
      <w:pPr>
        <w:jc w:val="both"/>
        <w:ind w:left="440" w:hanging="449"/>
        <w:spacing w:after="0" w:line="219" w:lineRule="auto"/>
        <w:rPr>
          <w:sz w:val="20"/>
          <w:szCs w:val="20"/>
          <w:color w:val="auto"/>
        </w:rPr>
      </w:pPr>
      <w:r>
        <w:rPr>
          <w:rFonts w:ascii="Arial" w:cs="Arial" w:eastAsia="Arial" w:hAnsi="Arial"/>
          <w:sz w:val="20"/>
          <w:szCs w:val="20"/>
          <w:i w:val="1"/>
          <w:iCs w:val="1"/>
          <w:color w:val="auto"/>
        </w:rPr>
        <w:t>Re: Credit Agreement, dated as of November 1, 2021 (as amended, restated, extended, supplemented or otherwise modified in writing from time to time, the “</w:t>
      </w:r>
      <w:r>
        <w:rPr>
          <w:rFonts w:ascii="Arial" w:cs="Arial" w:eastAsia="Arial" w:hAnsi="Arial"/>
          <w:sz w:val="20"/>
          <w:szCs w:val="20"/>
          <w:i w:val="1"/>
          <w:iCs w:val="1"/>
          <w:u w:val="single" w:color="auto"/>
          <w:color w:val="auto"/>
        </w:rPr>
        <w:t>Agreement</w:t>
      </w:r>
      <w:r>
        <w:rPr>
          <w:rFonts w:ascii="Arial" w:cs="Arial" w:eastAsia="Arial" w:hAnsi="Arial"/>
          <w:sz w:val="20"/>
          <w:szCs w:val="20"/>
          <w:i w:val="1"/>
          <w:iCs w:val="1"/>
          <w:color w:val="auto"/>
        </w:rPr>
        <w:t>;” the terms defined therein being used herein as therein defined), among MasTec, Inc., a Florida corporation (the “</w:t>
      </w:r>
      <w:r>
        <w:rPr>
          <w:rFonts w:ascii="Arial" w:cs="Arial" w:eastAsia="Arial" w:hAnsi="Arial"/>
          <w:sz w:val="20"/>
          <w:szCs w:val="20"/>
          <w:i w:val="1"/>
          <w:iCs w:val="1"/>
          <w:u w:val="single" w:color="auto"/>
          <w:color w:val="auto"/>
        </w:rPr>
        <w:t>Company</w:t>
      </w:r>
      <w:r>
        <w:rPr>
          <w:rFonts w:ascii="Arial" w:cs="Arial" w:eastAsia="Arial" w:hAnsi="Arial"/>
          <w:sz w:val="20"/>
          <w:szCs w:val="20"/>
          <w:i w:val="1"/>
          <w:iCs w:val="1"/>
          <w:color w:val="auto"/>
        </w:rPr>
        <w:t>”), MasTec North America, Inc., a Florida corporation (together with the Company, collectively, the “</w:t>
      </w:r>
      <w:r>
        <w:rPr>
          <w:rFonts w:ascii="Arial" w:cs="Arial" w:eastAsia="Arial" w:hAnsi="Arial"/>
          <w:sz w:val="20"/>
          <w:szCs w:val="20"/>
          <w:i w:val="1"/>
          <w:iCs w:val="1"/>
          <w:u w:val="single" w:color="auto"/>
          <w:color w:val="auto"/>
        </w:rPr>
        <w:t>Borrowers</w:t>
      </w:r>
      <w:r>
        <w:rPr>
          <w:rFonts w:ascii="Arial" w:cs="Arial" w:eastAsia="Arial" w:hAnsi="Arial"/>
          <w:sz w:val="20"/>
          <w:szCs w:val="20"/>
          <w:i w:val="1"/>
          <w:iCs w:val="1"/>
          <w:color w:val="auto"/>
        </w:rPr>
        <w:t>” and each individually a “</w:t>
      </w:r>
      <w:r>
        <w:rPr>
          <w:rFonts w:ascii="Arial" w:cs="Arial" w:eastAsia="Arial" w:hAnsi="Arial"/>
          <w:sz w:val="20"/>
          <w:szCs w:val="20"/>
          <w:i w:val="1"/>
          <w:iCs w:val="1"/>
          <w:u w:val="single" w:color="auto"/>
          <w:color w:val="auto"/>
        </w:rPr>
        <w:t>Borrower</w:t>
      </w:r>
      <w:r>
        <w:rPr>
          <w:rFonts w:ascii="Arial" w:cs="Arial" w:eastAsia="Arial" w:hAnsi="Arial"/>
          <w:sz w:val="20"/>
          <w:szCs w:val="20"/>
          <w:i w:val="1"/>
          <w:iCs w:val="1"/>
          <w:color w:val="auto"/>
        </w:rPr>
        <w:t>”), and Bank of America, N.A., as Administrative Agent, L/C Issuer and Swing Line Lender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With reference to the credit facilities granted to us by you, we request that you complete a draft(s) in accordance with the following instructions and to accept and discount such draft(s) for the account of </w:t>
      </w:r>
      <w:r>
        <w:rPr>
          <w:rFonts w:ascii="Arial" w:cs="Arial" w:eastAsia="Arial" w:hAnsi="Arial"/>
          <w:sz w:val="20"/>
          <w:szCs w:val="20"/>
          <w:b w:val="1"/>
          <w:bCs w:val="1"/>
          <w:color w:val="auto"/>
        </w:rPr>
        <w:t>[ ]</w:t>
      </w:r>
      <w:r>
        <w:rPr>
          <w:rFonts w:ascii="Arial" w:cs="Arial" w:eastAsia="Arial" w:hAnsi="Arial"/>
          <w:sz w:val="20"/>
          <w:szCs w:val="20"/>
          <w:color w:val="auto"/>
        </w:rPr>
        <w:t xml:space="preserve">, which is </w:t>
      </w:r>
      <w:r>
        <w:rPr>
          <w:rFonts w:ascii="Arial" w:cs="Arial" w:eastAsia="Arial" w:hAnsi="Arial"/>
          <w:sz w:val="20"/>
          <w:szCs w:val="20"/>
          <w:b w:val="1"/>
          <w:bCs w:val="1"/>
          <w:color w:val="auto"/>
        </w:rPr>
        <w:t>[a Borrower][a Subsidiary]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-28575</wp:posOffset>
            </wp:positionV>
            <wp:extent cx="1587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Value Date: _____________________________</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Amount: $ _____________________________</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Tenor: _____________________________</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Ship to: _____________________________</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From: _____________________________</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Merchandise description: _____________________________</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To facilitate the creation of the acceptances, we authorize you to draw up and sign on our behalf and in our name as our attorney-in-fact draft(s) drawn on Bank of America, N.A. as provided above.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We certify that there is no other financing covering this transaction and that the shipment was effected within the last thirty (30) days.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U.S. Tax Compliance Certificate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240"/>
          </w:cols>
          <w:pgMar w:left="320" w:top="1368" w:right="339" w:bottom="1440" w:gutter="0" w:footer="0" w:header="0"/>
        </w:sectPr>
      </w:pPr>
    </w:p>
    <w:bookmarkStart w:id="346" w:name="page347"/>
    <w:bookmarkEnd w:id="346"/>
    <w:p>
      <w:pPr>
        <w:spacing w:after="0" w:line="154"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20"/>
          <w:szCs w:val="20"/>
          <w:color w:val="auto"/>
        </w:rPr>
        <w:t>Please credit the net proceeds to our account No. _</w:t>
      </w:r>
      <w:r>
        <w:rPr>
          <w:sz w:val="20"/>
          <w:szCs w:val="20"/>
          <w:color w:val="auto"/>
        </w:rPr>
        <w:tab/>
      </w:r>
      <w:r>
        <w:rPr>
          <w:rFonts w:ascii="Arial" w:cs="Arial" w:eastAsia="Arial" w:hAnsi="Arial"/>
          <w:sz w:val="19"/>
          <w:szCs w:val="19"/>
          <w:color w:val="auto"/>
        </w:rPr>
        <w:t>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-14605</wp:posOffset>
            </wp:positionV>
            <wp:extent cx="1587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87" w:lineRule="exact"/>
        <w:rPr>
          <w:sz w:val="20"/>
          <w:szCs w:val="20"/>
          <w:color w:val="auto"/>
        </w:rPr>
      </w:pPr>
    </w:p>
    <w:p>
      <w:pPr>
        <w:ind w:left="200"/>
        <w:spacing w:after="0"/>
        <w:tabs>
          <w:tab w:leader="none" w:pos="6440" w:val="left"/>
        </w:tabs>
        <w:rPr>
          <w:sz w:val="20"/>
          <w:szCs w:val="20"/>
          <w:color w:val="auto"/>
        </w:rPr>
      </w:pPr>
      <w:r>
        <w:rPr>
          <w:rFonts w:ascii="Arial" w:cs="Arial" w:eastAsia="Arial" w:hAnsi="Arial"/>
          <w:sz w:val="20"/>
          <w:szCs w:val="20"/>
          <w:color w:val="auto"/>
        </w:rPr>
        <w:t>At maturity of the acceptance, we authorize you to charge our account No.</w:t>
      </w:r>
      <w:r>
        <w:rPr>
          <w:sz w:val="20"/>
          <w:szCs w:val="20"/>
          <w:color w:val="auto"/>
        </w:rPr>
        <w:tab/>
      </w:r>
      <w:r>
        <w:rPr>
          <w:rFonts w:ascii="Arial" w:cs="Arial" w:eastAsia="Arial" w:hAnsi="Arial"/>
          <w:sz w:val="19"/>
          <w:szCs w:val="19"/>
          <w:color w:val="auto"/>
        </w:rPr>
        <w:t>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-14605</wp:posOffset>
            </wp:positionV>
            <wp:extent cx="1270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Thank you for your assistance in this matter.</w:t>
      </w:r>
    </w:p>
    <w:p>
      <w:pPr>
        <w:spacing w:after="0" w:line="263"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MASTEC, INC.</w:t>
      </w:r>
    </w:p>
    <w:p>
      <w:pPr>
        <w:spacing w:after="0" w:line="186" w:lineRule="exact"/>
        <w:rPr>
          <w:sz w:val="20"/>
          <w:szCs w:val="20"/>
          <w:color w:val="auto"/>
        </w:rPr>
      </w:pPr>
    </w:p>
    <w:p>
      <w:pPr>
        <w:ind w:left="3800"/>
        <w:spacing w:after="0"/>
        <w:tabs>
          <w:tab w:leader="none" w:pos="4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-5080</wp:posOffset>
            </wp:positionV>
            <wp:extent cx="1270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80"/>
        <w:spacing w:after="0"/>
        <w:rPr>
          <w:sz w:val="20"/>
          <w:szCs w:val="20"/>
          <w:color w:val="auto"/>
        </w:rPr>
      </w:pPr>
      <w:r>
        <w:rPr>
          <w:rFonts w:ascii="Arial" w:cs="Arial" w:eastAsia="Arial" w:hAnsi="Arial"/>
          <w:sz w:val="10"/>
          <w:szCs w:val="10"/>
          <w:color w:val="auto"/>
        </w:rPr>
        <w:t>G-2</w:t>
      </w:r>
    </w:p>
    <w:p>
      <w:pPr>
        <w:jc w:val="center"/>
        <w:ind w:right="-1080"/>
        <w:spacing w:after="0"/>
        <w:rPr>
          <w:sz w:val="20"/>
          <w:szCs w:val="20"/>
          <w:color w:val="auto"/>
        </w:rPr>
      </w:pPr>
      <w:r>
        <w:rPr>
          <w:rFonts w:ascii="Arial" w:cs="Arial" w:eastAsia="Arial" w:hAnsi="Arial"/>
          <w:sz w:val="10"/>
          <w:szCs w:val="10"/>
          <w:color w:val="auto"/>
        </w:rPr>
        <w:t>Bankers' Acceptance Request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0099"/>
          </w:cols>
          <w:pgMar w:left="360" w:top="1440" w:right="1440" w:bottom="1440" w:gutter="0" w:footer="0" w:header="0"/>
        </w:sectPr>
      </w:pPr>
    </w:p>
    <w:bookmarkStart w:id="347" w:name="page348"/>
    <w:bookmarkEnd w:id="347"/>
    <w:p>
      <w:pPr>
        <w:spacing w:after="0" w:line="169"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i w:val="1"/>
          <w:iCs w:val="1"/>
          <w:color w:val="auto"/>
        </w:rPr>
        <w:t>EXHIBIT H</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LETTERS OF CREDIT REPORT</w:t>
      </w:r>
    </w:p>
    <w:p>
      <w:pPr>
        <w:spacing w:after="0" w:line="281" w:lineRule="exact"/>
        <w:rPr>
          <w:sz w:val="20"/>
          <w:szCs w:val="20"/>
          <w:color w:val="auto"/>
        </w:rPr>
      </w:pPr>
    </w:p>
    <w:p>
      <w:pPr>
        <w:ind w:left="8700"/>
        <w:spacing w:after="0"/>
        <w:tabs>
          <w:tab w:leader="none" w:pos="9360" w:val="left"/>
        </w:tabs>
        <w:rPr>
          <w:sz w:val="20"/>
          <w:szCs w:val="20"/>
          <w:color w:val="auto"/>
        </w:rPr>
      </w:pPr>
      <w:r>
        <w:rPr>
          <w:rFonts w:ascii="Arial" w:cs="Arial" w:eastAsia="Arial" w:hAnsi="Arial"/>
          <w:sz w:val="20"/>
          <w:szCs w:val="20"/>
          <w:color w:val="auto"/>
        </w:rPr>
        <w:t>Date: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-14605</wp:posOffset>
            </wp:positionV>
            <wp:extent cx="34861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348615" cy="7620"/>
                    </a:xfrm>
                    <a:prstGeom prst="rect">
                      <a:avLst/>
                    </a:prstGeom>
                    <a:noFill/>
                  </pic:spPr>
                </pic:pic>
              </a:graphicData>
            </a:graphic>
          </wp:anchor>
        </w:drawing>
      </w:r>
    </w:p>
    <w:p>
      <w:pPr>
        <w:spacing w:after="0" w:line="312"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Ladies and Gentlemen:</w:t>
      </w:r>
    </w:p>
    <w:p>
      <w:pPr>
        <w:spacing w:after="0" w:line="95" w:lineRule="exact"/>
        <w:rPr>
          <w:sz w:val="20"/>
          <w:szCs w:val="20"/>
          <w:color w:val="auto"/>
        </w:rPr>
      </w:pPr>
    </w:p>
    <w:p>
      <w:pPr>
        <w:jc w:val="both"/>
        <w:ind w:left="140" w:right="200" w:firstLine="599"/>
        <w:spacing w:after="0" w:line="219" w:lineRule="auto"/>
        <w:rPr>
          <w:sz w:val="20"/>
          <w:szCs w:val="20"/>
          <w:color w:val="auto"/>
        </w:rPr>
      </w:pPr>
      <w:r>
        <w:rPr>
          <w:rFonts w:ascii="Arial" w:cs="Arial" w:eastAsia="Arial" w:hAnsi="Arial"/>
          <w:sz w:val="20"/>
          <w:szCs w:val="20"/>
          <w:color w:val="auto"/>
        </w:rPr>
        <w:t>Reference is made to that certain 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L/C Issuer and Swing Line Lender.</w:t>
      </w:r>
    </w:p>
    <w:p>
      <w:pPr>
        <w:spacing w:after="0" w:line="187" w:lineRule="exact"/>
        <w:rPr>
          <w:sz w:val="20"/>
          <w:szCs w:val="20"/>
          <w:color w:val="auto"/>
        </w:rPr>
      </w:pPr>
    </w:p>
    <w:p>
      <w:pPr>
        <w:jc w:val="both"/>
        <w:ind w:left="140" w:right="200" w:firstLine="599"/>
        <w:spacing w:after="0" w:line="236" w:lineRule="auto"/>
        <w:rPr>
          <w:sz w:val="20"/>
          <w:szCs w:val="20"/>
          <w:color w:val="auto"/>
        </w:rPr>
      </w:pPr>
      <w:r>
        <w:rPr>
          <w:rFonts w:ascii="Arial" w:cs="Arial" w:eastAsia="Arial" w:hAnsi="Arial"/>
          <w:sz w:val="20"/>
          <w:szCs w:val="20"/>
          <w:color w:val="auto"/>
        </w:rPr>
        <w:t xml:space="preserve">This report is being delivered pursuant to </w:t>
      </w:r>
      <w:r>
        <w:rPr>
          <w:rFonts w:ascii="Arial" w:cs="Arial" w:eastAsia="Arial" w:hAnsi="Arial"/>
          <w:sz w:val="20"/>
          <w:szCs w:val="20"/>
          <w:u w:val="single" w:color="auto"/>
          <w:color w:val="auto"/>
        </w:rPr>
        <w:t>Section 2.03(n)</w:t>
      </w:r>
      <w:r>
        <w:rPr>
          <w:rFonts w:ascii="Arial" w:cs="Arial" w:eastAsia="Arial" w:hAnsi="Arial"/>
          <w:sz w:val="20"/>
          <w:szCs w:val="20"/>
          <w:color w:val="auto"/>
        </w:rPr>
        <w:t xml:space="preserve"> of the Agreement. Set forth in the table below is a description of each Letter of Credit issued by the undersigned and outstanding on the date hereof.</w:t>
      </w:r>
    </w:p>
    <w:p>
      <w:pPr>
        <w:spacing w:after="0" w:line="209" w:lineRule="exact"/>
        <w:rPr>
          <w:sz w:val="20"/>
          <w:szCs w:val="20"/>
          <w:color w:val="auto"/>
        </w:rPr>
      </w:pPr>
    </w:p>
    <w:tbl>
      <w:tblPr>
        <w:tblLayout w:type="fixed"/>
        <w:tblInd w:w="70" w:type="dxa"/>
        <w:tblCellMar>
          <w:top w:w="0" w:type="dxa"/>
          <w:left w:w="0" w:type="dxa"/>
          <w:bottom w:w="0" w:type="dxa"/>
          <w:right w:w="0" w:type="dxa"/>
        </w:tblCellMar>
      </w:tblPr>
      <w:tr>
        <w:trPr>
          <w:trHeight w:val="187"/>
        </w:trPr>
        <w:tc>
          <w:tcPr>
            <w:tcW w:w="1080" w:type="dxa"/>
            <w:vAlign w:val="bottom"/>
            <w:tcBorders>
              <w:top w:val="single" w:sz="8" w:color="auto"/>
              <w:left w:val="single" w:sz="8" w:color="auto"/>
              <w:right w:val="single" w:sz="8" w:color="auto"/>
            </w:tcBorders>
            <w:vMerge w:val="restart"/>
            <w:shd w:val="clear" w:color="auto" w:fill="DBDBDB"/>
          </w:tcPr>
          <w:p>
            <w:pPr>
              <w:ind w:left="260"/>
              <w:spacing w:after="0"/>
              <w:rPr>
                <w:sz w:val="20"/>
                <w:szCs w:val="20"/>
                <w:color w:val="auto"/>
              </w:rPr>
            </w:pPr>
            <w:r>
              <w:rPr>
                <w:rFonts w:ascii="Arial" w:cs="Arial" w:eastAsia="Arial" w:hAnsi="Arial"/>
                <w:sz w:val="17"/>
                <w:szCs w:val="17"/>
                <w:color w:val="auto"/>
              </w:rPr>
              <w:t>L/C No.</w:t>
            </w:r>
          </w:p>
        </w:tc>
        <w:tc>
          <w:tcPr>
            <w:tcW w:w="1300" w:type="dxa"/>
            <w:vAlign w:val="bottom"/>
            <w:tcBorders>
              <w:top w:val="single" w:sz="8" w:color="auto"/>
              <w:right w:val="single" w:sz="8" w:color="auto"/>
            </w:tcBorders>
            <w:gridSpan w:val="3"/>
            <w:shd w:val="clear" w:color="auto" w:fill="DBDBDB"/>
          </w:tcPr>
          <w:p>
            <w:pPr>
              <w:jc w:val="center"/>
              <w:ind w:right="40"/>
              <w:spacing w:after="0" w:line="187" w:lineRule="exact"/>
              <w:rPr>
                <w:sz w:val="20"/>
                <w:szCs w:val="20"/>
                <w:color w:val="auto"/>
              </w:rPr>
            </w:pPr>
            <w:r>
              <w:rPr>
                <w:rFonts w:ascii="Arial" w:cs="Arial" w:eastAsia="Arial" w:hAnsi="Arial"/>
                <w:sz w:val="17"/>
                <w:szCs w:val="17"/>
                <w:color w:val="auto"/>
                <w:highlight w:val="lightGray"/>
                <w:w w:val="91"/>
              </w:rPr>
              <w:t>Maximum Face</w:t>
            </w:r>
          </w:p>
        </w:tc>
        <w:tc>
          <w:tcPr>
            <w:tcW w:w="1280" w:type="dxa"/>
            <w:vAlign w:val="bottom"/>
            <w:tcBorders>
              <w:top w:val="single" w:sz="8" w:color="auto"/>
              <w:right w:val="single" w:sz="8" w:color="auto"/>
            </w:tcBorders>
            <w:gridSpan w:val="3"/>
            <w:shd w:val="clear" w:color="auto" w:fill="DBDBDB"/>
          </w:tcPr>
          <w:p>
            <w:pPr>
              <w:jc w:val="center"/>
              <w:ind w:right="20"/>
              <w:spacing w:after="0" w:line="187" w:lineRule="exact"/>
              <w:rPr>
                <w:sz w:val="20"/>
                <w:szCs w:val="20"/>
                <w:color w:val="auto"/>
              </w:rPr>
            </w:pPr>
            <w:r>
              <w:rPr>
                <w:rFonts w:ascii="Arial" w:cs="Arial" w:eastAsia="Arial" w:hAnsi="Arial"/>
                <w:sz w:val="17"/>
                <w:szCs w:val="17"/>
                <w:color w:val="auto"/>
                <w:highlight w:val="lightGray"/>
                <w:w w:val="86"/>
              </w:rPr>
              <w:t>Current Face</w:t>
            </w:r>
          </w:p>
        </w:tc>
        <w:tc>
          <w:tcPr>
            <w:tcW w:w="80" w:type="dxa"/>
            <w:vAlign w:val="bottom"/>
            <w:tcBorders>
              <w:top w:val="single" w:sz="8" w:color="auto"/>
            </w:tcBorders>
            <w:shd w:val="clear" w:color="auto" w:fill="DBDBDB"/>
          </w:tcPr>
          <w:p>
            <w:pPr>
              <w:spacing w:after="0"/>
              <w:rPr>
                <w:sz w:val="16"/>
                <w:szCs w:val="16"/>
                <w:color w:val="auto"/>
              </w:rPr>
            </w:pPr>
          </w:p>
        </w:tc>
        <w:tc>
          <w:tcPr>
            <w:tcW w:w="1200" w:type="dxa"/>
            <w:vAlign w:val="bottom"/>
            <w:tcBorders>
              <w:top w:val="single" w:sz="8" w:color="auto"/>
            </w:tcBorders>
            <w:vMerge w:val="restart"/>
            <w:shd w:val="clear" w:color="auto" w:fill="DBDBDB"/>
          </w:tcPr>
          <w:p>
            <w:pPr>
              <w:spacing w:after="0"/>
              <w:rPr>
                <w:sz w:val="20"/>
                <w:szCs w:val="20"/>
                <w:color w:val="auto"/>
              </w:rPr>
            </w:pPr>
            <w:r>
              <w:rPr>
                <w:rFonts w:ascii="Arial" w:cs="Arial" w:eastAsia="Arial" w:hAnsi="Arial"/>
                <w:sz w:val="17"/>
                <w:szCs w:val="17"/>
                <w:color w:val="auto"/>
                <w:highlight w:val="lightGray"/>
                <w:w w:val="87"/>
              </w:rPr>
              <w:t>Beneficiary Name</w:t>
            </w:r>
          </w:p>
        </w:tc>
        <w:tc>
          <w:tcPr>
            <w:tcW w:w="120" w:type="dxa"/>
            <w:vAlign w:val="bottom"/>
            <w:tcBorders>
              <w:top w:val="single" w:sz="8" w:color="auto"/>
              <w:right w:val="single" w:sz="8" w:color="auto"/>
            </w:tcBorders>
            <w:shd w:val="clear" w:color="auto" w:fill="DBDBDB"/>
          </w:tcPr>
          <w:p>
            <w:pPr>
              <w:spacing w:after="0"/>
              <w:rPr>
                <w:sz w:val="16"/>
                <w:szCs w:val="16"/>
                <w:color w:val="auto"/>
              </w:rPr>
            </w:pPr>
          </w:p>
        </w:tc>
        <w:tc>
          <w:tcPr>
            <w:tcW w:w="8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vMerge w:val="restart"/>
            <w:shd w:val="clear" w:color="auto" w:fill="DBDBDB"/>
          </w:tcPr>
          <w:p>
            <w:pPr>
              <w:spacing w:after="0"/>
              <w:rPr>
                <w:sz w:val="20"/>
                <w:szCs w:val="20"/>
                <w:color w:val="auto"/>
              </w:rPr>
            </w:pPr>
            <w:r>
              <w:rPr>
                <w:rFonts w:ascii="Arial" w:cs="Arial" w:eastAsia="Arial" w:hAnsi="Arial"/>
                <w:sz w:val="17"/>
                <w:szCs w:val="17"/>
                <w:color w:val="auto"/>
                <w:highlight w:val="lightGray"/>
                <w:w w:val="82"/>
              </w:rPr>
              <w:t>Issuance Date</w:t>
            </w:r>
          </w:p>
        </w:tc>
        <w:tc>
          <w:tcPr>
            <w:tcW w:w="120" w:type="dxa"/>
            <w:vAlign w:val="bottom"/>
            <w:tcBorders>
              <w:top w:val="single" w:sz="8" w:color="auto"/>
              <w:right w:val="single" w:sz="8" w:color="auto"/>
            </w:tcBorders>
            <w:shd w:val="clear" w:color="auto" w:fill="DBDBDB"/>
          </w:tcPr>
          <w:p>
            <w:pPr>
              <w:spacing w:after="0"/>
              <w:rPr>
                <w:sz w:val="16"/>
                <w:szCs w:val="16"/>
                <w:color w:val="auto"/>
              </w:rPr>
            </w:pPr>
          </w:p>
        </w:tc>
        <w:tc>
          <w:tcPr>
            <w:tcW w:w="1140" w:type="dxa"/>
            <w:vAlign w:val="bottom"/>
            <w:tcBorders>
              <w:top w:val="single" w:sz="8" w:color="auto"/>
              <w:right w:val="single" w:sz="8" w:color="auto"/>
            </w:tcBorders>
            <w:vMerge w:val="restart"/>
            <w:shd w:val="clear" w:color="auto" w:fill="DBDBDB"/>
          </w:tcPr>
          <w:p>
            <w:pPr>
              <w:ind w:left="160"/>
              <w:spacing w:after="0"/>
              <w:rPr>
                <w:sz w:val="20"/>
                <w:szCs w:val="20"/>
                <w:color w:val="auto"/>
              </w:rPr>
            </w:pPr>
            <w:r>
              <w:rPr>
                <w:rFonts w:ascii="Arial" w:cs="Arial" w:eastAsia="Arial" w:hAnsi="Arial"/>
                <w:sz w:val="17"/>
                <w:szCs w:val="17"/>
                <w:color w:val="auto"/>
              </w:rPr>
              <w:t>Expiry Date</w:t>
            </w:r>
          </w:p>
        </w:tc>
        <w:tc>
          <w:tcPr>
            <w:tcW w:w="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vMerge w:val="restart"/>
            <w:shd w:val="clear" w:color="auto" w:fill="DBDBDB"/>
          </w:tcPr>
          <w:p>
            <w:pPr>
              <w:spacing w:after="0"/>
              <w:rPr>
                <w:sz w:val="20"/>
                <w:szCs w:val="20"/>
                <w:color w:val="auto"/>
              </w:rPr>
            </w:pPr>
            <w:r>
              <w:rPr>
                <w:rFonts w:ascii="Arial" w:cs="Arial" w:eastAsia="Arial" w:hAnsi="Arial"/>
                <w:sz w:val="17"/>
                <w:szCs w:val="17"/>
                <w:color w:val="auto"/>
                <w:highlight w:val="lightGray"/>
                <w:w w:val="88"/>
              </w:rPr>
              <w:t>Auto Renewal</w:t>
            </w:r>
          </w:p>
        </w:tc>
        <w:tc>
          <w:tcPr>
            <w:tcW w:w="120" w:type="dxa"/>
            <w:vAlign w:val="bottom"/>
            <w:tcBorders>
              <w:top w:val="single" w:sz="8" w:color="auto"/>
              <w:right w:val="single" w:sz="8" w:color="auto"/>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840" w:type="dxa"/>
            <w:vAlign w:val="bottom"/>
            <w:tcBorders>
              <w:top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87"/>
              </w:rPr>
              <w:t>Date of</w:t>
            </w:r>
          </w:p>
        </w:tc>
        <w:tc>
          <w:tcPr>
            <w:tcW w:w="240" w:type="dxa"/>
            <w:vAlign w:val="bottom"/>
            <w:tcBorders>
              <w:top w:val="single" w:sz="8" w:color="auto"/>
              <w:right w:val="single" w:sz="8" w:color="auto"/>
            </w:tcBorders>
            <w:shd w:val="clear" w:color="auto" w:fill="DBDBDB"/>
          </w:tcPr>
          <w:p>
            <w:pPr>
              <w:spacing w:after="0"/>
              <w:rPr>
                <w:sz w:val="16"/>
                <w:szCs w:val="16"/>
                <w:color w:val="auto"/>
              </w:rPr>
            </w:pPr>
          </w:p>
        </w:tc>
        <w:tc>
          <w:tcPr>
            <w:tcW w:w="280" w:type="dxa"/>
            <w:vAlign w:val="bottom"/>
            <w:tcBorders>
              <w:top w:val="single" w:sz="8" w:color="auto"/>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92"/>
              </w:rPr>
              <w:t>Amount of</w:t>
            </w:r>
          </w:p>
        </w:tc>
        <w:tc>
          <w:tcPr>
            <w:tcW w:w="300" w:type="dxa"/>
            <w:vAlign w:val="bottom"/>
            <w:tcBorders>
              <w:top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080" w:type="dxa"/>
            <w:vAlign w:val="bottom"/>
            <w:tcBorders>
              <w:left w:val="single" w:sz="8" w:color="auto"/>
              <w:right w:val="single" w:sz="8" w:color="auto"/>
            </w:tcBorders>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540" w:type="dxa"/>
            <w:vAlign w:val="bottom"/>
            <w:vMerge w:val="restart"/>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92"/>
              </w:rPr>
              <w:t>Amount</w:t>
            </w:r>
          </w:p>
        </w:tc>
        <w:tc>
          <w:tcPr>
            <w:tcW w:w="400" w:type="dxa"/>
            <w:vAlign w:val="bottom"/>
            <w:tcBorders>
              <w:right w:val="single" w:sz="8" w:color="auto"/>
            </w:tcBorders>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540" w:type="dxa"/>
            <w:vAlign w:val="bottom"/>
            <w:vMerge w:val="restart"/>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92"/>
              </w:rPr>
              <w:t>Amount</w:t>
            </w:r>
          </w:p>
        </w:tc>
        <w:tc>
          <w:tcPr>
            <w:tcW w:w="380" w:type="dxa"/>
            <w:vAlign w:val="bottom"/>
            <w:tcBorders>
              <w:right w:val="single" w:sz="8" w:color="auto"/>
            </w:tcBorders>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1200" w:type="dxa"/>
            <w:vAlign w:val="bottom"/>
            <w:vMerge w:val="continue"/>
            <w:shd w:val="clear" w:color="auto" w:fill="DBDBDB"/>
          </w:tcPr>
          <w:p>
            <w:pPr>
              <w:spacing w:after="0"/>
              <w:rPr>
                <w:sz w:val="8"/>
                <w:szCs w:val="8"/>
                <w:color w:val="auto"/>
              </w:rPr>
            </w:pPr>
          </w:p>
        </w:tc>
        <w:tc>
          <w:tcPr>
            <w:tcW w:w="120" w:type="dxa"/>
            <w:vAlign w:val="bottom"/>
            <w:tcBorders>
              <w:right w:val="single" w:sz="8" w:color="auto"/>
            </w:tcBorders>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20" w:type="dxa"/>
            <w:vAlign w:val="bottom"/>
            <w:vMerge w:val="continue"/>
            <w:shd w:val="clear" w:color="auto" w:fill="DBDBDB"/>
          </w:tcPr>
          <w:p>
            <w:pPr>
              <w:spacing w:after="0"/>
              <w:rPr>
                <w:sz w:val="8"/>
                <w:szCs w:val="8"/>
                <w:color w:val="auto"/>
              </w:rPr>
            </w:pPr>
          </w:p>
        </w:tc>
        <w:tc>
          <w:tcPr>
            <w:tcW w:w="120" w:type="dxa"/>
            <w:vAlign w:val="bottom"/>
            <w:tcBorders>
              <w:right w:val="single" w:sz="8" w:color="auto"/>
            </w:tcBorders>
            <w:shd w:val="clear" w:color="auto" w:fill="DBDBDB"/>
          </w:tcPr>
          <w:p>
            <w:pPr>
              <w:spacing w:after="0"/>
              <w:rPr>
                <w:sz w:val="8"/>
                <w:szCs w:val="8"/>
                <w:color w:val="auto"/>
              </w:rPr>
            </w:pPr>
          </w:p>
        </w:tc>
        <w:tc>
          <w:tcPr>
            <w:tcW w:w="1140" w:type="dxa"/>
            <w:vAlign w:val="bottom"/>
            <w:tcBorders>
              <w:right w:val="single" w:sz="8" w:color="auto"/>
            </w:tcBorders>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60" w:type="dxa"/>
            <w:vAlign w:val="bottom"/>
            <w:vMerge w:val="continue"/>
            <w:shd w:val="clear" w:color="auto" w:fill="DBDBDB"/>
          </w:tcPr>
          <w:p>
            <w:pPr>
              <w:spacing w:after="0"/>
              <w:rPr>
                <w:sz w:val="8"/>
                <w:szCs w:val="8"/>
                <w:color w:val="auto"/>
              </w:rPr>
            </w:pPr>
          </w:p>
        </w:tc>
        <w:tc>
          <w:tcPr>
            <w:tcW w:w="120" w:type="dxa"/>
            <w:vAlign w:val="bottom"/>
            <w:tcBorders>
              <w:right w:val="single" w:sz="8" w:color="auto"/>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840" w:type="dxa"/>
            <w:vAlign w:val="bottom"/>
            <w:vMerge w:val="restart"/>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89"/>
              </w:rPr>
              <w:t>Amendment</w:t>
            </w:r>
          </w:p>
        </w:tc>
        <w:tc>
          <w:tcPr>
            <w:tcW w:w="240" w:type="dxa"/>
            <w:vAlign w:val="bottom"/>
            <w:tcBorders>
              <w:right w:val="single" w:sz="8" w:color="auto"/>
            </w:tcBorders>
            <w:shd w:val="clear" w:color="auto" w:fill="DBDBDB"/>
          </w:tcPr>
          <w:p>
            <w:pPr>
              <w:spacing w:after="0"/>
              <w:rPr>
                <w:sz w:val="8"/>
                <w:szCs w:val="8"/>
                <w:color w:val="auto"/>
              </w:rPr>
            </w:pPr>
          </w:p>
        </w:tc>
        <w:tc>
          <w:tcPr>
            <w:tcW w:w="280" w:type="dxa"/>
            <w:vAlign w:val="bottom"/>
            <w:shd w:val="clear" w:color="auto" w:fill="DBDBDB"/>
          </w:tcPr>
          <w:p>
            <w:pPr>
              <w:spacing w:after="0"/>
              <w:rPr>
                <w:sz w:val="8"/>
                <w:szCs w:val="8"/>
                <w:color w:val="auto"/>
              </w:rPr>
            </w:pPr>
          </w:p>
        </w:tc>
        <w:tc>
          <w:tcPr>
            <w:tcW w:w="820" w:type="dxa"/>
            <w:vAlign w:val="bottom"/>
            <w:vMerge w:val="restart"/>
            <w:shd w:val="clear" w:color="auto" w:fill="DBDBDB"/>
          </w:tcPr>
          <w:p>
            <w:pPr>
              <w:jc w:val="center"/>
              <w:spacing w:after="0" w:line="187" w:lineRule="exact"/>
              <w:rPr>
                <w:sz w:val="20"/>
                <w:szCs w:val="20"/>
                <w:color w:val="auto"/>
              </w:rPr>
            </w:pPr>
            <w:r>
              <w:rPr>
                <w:rFonts w:ascii="Arial" w:cs="Arial" w:eastAsia="Arial" w:hAnsi="Arial"/>
                <w:sz w:val="17"/>
                <w:szCs w:val="17"/>
                <w:color w:val="auto"/>
                <w:highlight w:val="lightGray"/>
                <w:w w:val="89"/>
              </w:rPr>
              <w:t>Amendment</w:t>
            </w:r>
          </w:p>
        </w:tc>
        <w:tc>
          <w:tcPr>
            <w:tcW w:w="30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auto"/>
              <w:bottom w:val="single" w:sz="8" w:color="auto"/>
              <w:right w:val="single" w:sz="8" w:color="auto"/>
            </w:tcBorders>
            <w:shd w:val="clear" w:color="auto" w:fill="DBDBDB"/>
          </w:tcPr>
          <w:p>
            <w:pPr>
              <w:spacing w:after="0"/>
              <w:rPr>
                <w:sz w:val="8"/>
                <w:szCs w:val="8"/>
                <w:color w:val="auto"/>
              </w:rPr>
            </w:pPr>
          </w:p>
        </w:tc>
        <w:tc>
          <w:tcPr>
            <w:tcW w:w="360" w:type="dxa"/>
            <w:vAlign w:val="bottom"/>
            <w:tcBorders>
              <w:bottom w:val="single" w:sz="8" w:color="auto"/>
            </w:tcBorders>
            <w:shd w:val="clear" w:color="auto" w:fill="DBDBDB"/>
          </w:tcPr>
          <w:p>
            <w:pPr>
              <w:spacing w:after="0"/>
              <w:rPr>
                <w:sz w:val="8"/>
                <w:szCs w:val="8"/>
                <w:color w:val="auto"/>
              </w:rPr>
            </w:pPr>
          </w:p>
        </w:tc>
        <w:tc>
          <w:tcPr>
            <w:tcW w:w="540" w:type="dxa"/>
            <w:vAlign w:val="bottom"/>
            <w:tcBorders>
              <w:bottom w:val="single" w:sz="8" w:color="auto"/>
            </w:tcBorders>
            <w:vMerge w:val="continue"/>
            <w:shd w:val="clear" w:color="auto" w:fill="DBDBDB"/>
          </w:tcPr>
          <w:p>
            <w:pPr>
              <w:spacing w:after="0"/>
              <w:rPr>
                <w:sz w:val="8"/>
                <w:szCs w:val="8"/>
                <w:color w:val="auto"/>
              </w:rPr>
            </w:pPr>
          </w:p>
        </w:tc>
        <w:tc>
          <w:tcPr>
            <w:tcW w:w="400" w:type="dxa"/>
            <w:vAlign w:val="bottom"/>
            <w:tcBorders>
              <w:bottom w:val="single" w:sz="8" w:color="auto"/>
              <w:right w:val="single" w:sz="8" w:color="auto"/>
            </w:tcBorders>
            <w:shd w:val="clear" w:color="auto" w:fill="DBDBDB"/>
          </w:tcPr>
          <w:p>
            <w:pPr>
              <w:spacing w:after="0"/>
              <w:rPr>
                <w:sz w:val="8"/>
                <w:szCs w:val="8"/>
                <w:color w:val="auto"/>
              </w:rPr>
            </w:pPr>
          </w:p>
        </w:tc>
        <w:tc>
          <w:tcPr>
            <w:tcW w:w="360" w:type="dxa"/>
            <w:vAlign w:val="bottom"/>
            <w:tcBorders>
              <w:bottom w:val="single" w:sz="8" w:color="auto"/>
            </w:tcBorders>
            <w:shd w:val="clear" w:color="auto" w:fill="DBDBDB"/>
          </w:tcPr>
          <w:p>
            <w:pPr>
              <w:spacing w:after="0"/>
              <w:rPr>
                <w:sz w:val="8"/>
                <w:szCs w:val="8"/>
                <w:color w:val="auto"/>
              </w:rPr>
            </w:pPr>
          </w:p>
        </w:tc>
        <w:tc>
          <w:tcPr>
            <w:tcW w:w="540" w:type="dxa"/>
            <w:vAlign w:val="bottom"/>
            <w:tcBorders>
              <w:bottom w:val="single" w:sz="8" w:color="auto"/>
            </w:tcBorders>
            <w:vMerge w:val="continue"/>
            <w:shd w:val="clear" w:color="auto" w:fill="DBDBDB"/>
          </w:tcPr>
          <w:p>
            <w:pPr>
              <w:spacing w:after="0"/>
              <w:rPr>
                <w:sz w:val="8"/>
                <w:szCs w:val="8"/>
                <w:color w:val="auto"/>
              </w:rPr>
            </w:pPr>
          </w:p>
        </w:tc>
        <w:tc>
          <w:tcPr>
            <w:tcW w:w="380" w:type="dxa"/>
            <w:vAlign w:val="bottom"/>
            <w:tcBorders>
              <w:bottom w:val="single" w:sz="8" w:color="auto"/>
              <w:right w:val="single" w:sz="8" w:color="auto"/>
            </w:tcBorders>
            <w:shd w:val="clear" w:color="auto" w:fill="DBDBDB"/>
          </w:tcPr>
          <w:p>
            <w:pPr>
              <w:spacing w:after="0"/>
              <w:rPr>
                <w:sz w:val="8"/>
                <w:szCs w:val="8"/>
                <w:color w:val="auto"/>
              </w:rPr>
            </w:pPr>
          </w:p>
        </w:tc>
        <w:tc>
          <w:tcPr>
            <w:tcW w:w="80" w:type="dxa"/>
            <w:vAlign w:val="bottom"/>
            <w:tcBorders>
              <w:bottom w:val="single" w:sz="8" w:color="auto"/>
            </w:tcBorders>
            <w:shd w:val="clear" w:color="auto" w:fill="DBDBDB"/>
          </w:tcPr>
          <w:p>
            <w:pPr>
              <w:spacing w:after="0"/>
              <w:rPr>
                <w:sz w:val="8"/>
                <w:szCs w:val="8"/>
                <w:color w:val="auto"/>
              </w:rPr>
            </w:pPr>
          </w:p>
        </w:tc>
        <w:tc>
          <w:tcPr>
            <w:tcW w:w="1200" w:type="dxa"/>
            <w:vAlign w:val="bottom"/>
            <w:tcBorders>
              <w:bottom w:val="single" w:sz="8" w:color="auto"/>
            </w:tcBorders>
            <w:shd w:val="clear" w:color="auto" w:fill="DBDBDB"/>
          </w:tcPr>
          <w:p>
            <w:pPr>
              <w:spacing w:after="0"/>
              <w:rPr>
                <w:sz w:val="8"/>
                <w:szCs w:val="8"/>
                <w:color w:val="auto"/>
              </w:rPr>
            </w:pPr>
          </w:p>
        </w:tc>
        <w:tc>
          <w:tcPr>
            <w:tcW w:w="120" w:type="dxa"/>
            <w:vAlign w:val="bottom"/>
            <w:tcBorders>
              <w:bottom w:val="single" w:sz="8" w:color="auto"/>
              <w:right w:val="single" w:sz="8" w:color="auto"/>
            </w:tcBorders>
            <w:shd w:val="clear" w:color="auto" w:fill="DBDBDB"/>
          </w:tcPr>
          <w:p>
            <w:pPr>
              <w:spacing w:after="0"/>
              <w:rPr>
                <w:sz w:val="8"/>
                <w:szCs w:val="8"/>
                <w:color w:val="auto"/>
              </w:rPr>
            </w:pPr>
          </w:p>
        </w:tc>
        <w:tc>
          <w:tcPr>
            <w:tcW w:w="80" w:type="dxa"/>
            <w:vAlign w:val="bottom"/>
            <w:tcBorders>
              <w:bottom w:val="single" w:sz="8" w:color="auto"/>
            </w:tcBorders>
            <w:shd w:val="clear" w:color="auto" w:fill="DBDBDB"/>
          </w:tcPr>
          <w:p>
            <w:pPr>
              <w:spacing w:after="0"/>
              <w:rPr>
                <w:sz w:val="8"/>
                <w:szCs w:val="8"/>
                <w:color w:val="auto"/>
              </w:rPr>
            </w:pPr>
          </w:p>
        </w:tc>
        <w:tc>
          <w:tcPr>
            <w:tcW w:w="920" w:type="dxa"/>
            <w:vAlign w:val="bottom"/>
            <w:tcBorders>
              <w:bottom w:val="single" w:sz="8" w:color="auto"/>
            </w:tcBorders>
            <w:shd w:val="clear" w:color="auto" w:fill="DBDBDB"/>
          </w:tcPr>
          <w:p>
            <w:pPr>
              <w:spacing w:after="0"/>
              <w:rPr>
                <w:sz w:val="8"/>
                <w:szCs w:val="8"/>
                <w:color w:val="auto"/>
              </w:rPr>
            </w:pPr>
          </w:p>
        </w:tc>
        <w:tc>
          <w:tcPr>
            <w:tcW w:w="120" w:type="dxa"/>
            <w:vAlign w:val="bottom"/>
            <w:tcBorders>
              <w:bottom w:val="single" w:sz="8" w:color="auto"/>
              <w:right w:val="single" w:sz="8" w:color="auto"/>
            </w:tcBorders>
            <w:shd w:val="clear" w:color="auto" w:fill="DBDBDB"/>
          </w:tcPr>
          <w:p>
            <w:pPr>
              <w:spacing w:after="0"/>
              <w:rPr>
                <w:sz w:val="8"/>
                <w:szCs w:val="8"/>
                <w:color w:val="auto"/>
              </w:rPr>
            </w:pPr>
          </w:p>
        </w:tc>
        <w:tc>
          <w:tcPr>
            <w:tcW w:w="1140" w:type="dxa"/>
            <w:vAlign w:val="bottom"/>
            <w:tcBorders>
              <w:bottom w:val="single" w:sz="8" w:color="auto"/>
              <w:right w:val="single" w:sz="8" w:color="auto"/>
            </w:tcBorders>
            <w:shd w:val="clear" w:color="auto" w:fill="DBDBDB"/>
          </w:tcPr>
          <w:p>
            <w:pPr>
              <w:spacing w:after="0"/>
              <w:rPr>
                <w:sz w:val="8"/>
                <w:szCs w:val="8"/>
                <w:color w:val="auto"/>
              </w:rPr>
            </w:pPr>
          </w:p>
        </w:tc>
        <w:tc>
          <w:tcPr>
            <w:tcW w:w="80" w:type="dxa"/>
            <w:vAlign w:val="bottom"/>
            <w:tcBorders>
              <w:bottom w:val="single" w:sz="8" w:color="auto"/>
            </w:tcBorders>
            <w:shd w:val="clear" w:color="auto" w:fill="DBDBDB"/>
          </w:tcPr>
          <w:p>
            <w:pPr>
              <w:spacing w:after="0"/>
              <w:rPr>
                <w:sz w:val="8"/>
                <w:szCs w:val="8"/>
                <w:color w:val="auto"/>
              </w:rPr>
            </w:pPr>
          </w:p>
        </w:tc>
        <w:tc>
          <w:tcPr>
            <w:tcW w:w="960" w:type="dxa"/>
            <w:vAlign w:val="bottom"/>
            <w:tcBorders>
              <w:bottom w:val="single" w:sz="8" w:color="auto"/>
            </w:tcBorders>
            <w:shd w:val="clear" w:color="auto" w:fill="DBDBDB"/>
          </w:tcPr>
          <w:p>
            <w:pPr>
              <w:spacing w:after="0"/>
              <w:rPr>
                <w:sz w:val="8"/>
                <w:szCs w:val="8"/>
                <w:color w:val="auto"/>
              </w:rPr>
            </w:pPr>
          </w:p>
        </w:tc>
        <w:tc>
          <w:tcPr>
            <w:tcW w:w="120" w:type="dxa"/>
            <w:vAlign w:val="bottom"/>
            <w:tcBorders>
              <w:bottom w:val="single" w:sz="8" w:color="auto"/>
              <w:right w:val="single" w:sz="8" w:color="auto"/>
            </w:tcBorders>
            <w:shd w:val="clear" w:color="auto" w:fill="DBDBDB"/>
          </w:tcPr>
          <w:p>
            <w:pPr>
              <w:spacing w:after="0"/>
              <w:rPr>
                <w:sz w:val="8"/>
                <w:szCs w:val="8"/>
                <w:color w:val="auto"/>
              </w:rPr>
            </w:pPr>
          </w:p>
        </w:tc>
        <w:tc>
          <w:tcPr>
            <w:tcW w:w="200" w:type="dxa"/>
            <w:vAlign w:val="bottom"/>
            <w:tcBorders>
              <w:bottom w:val="single" w:sz="8" w:color="auto"/>
            </w:tcBorders>
            <w:shd w:val="clear" w:color="auto" w:fill="DBDBDB"/>
          </w:tcPr>
          <w:p>
            <w:pPr>
              <w:spacing w:after="0"/>
              <w:rPr>
                <w:sz w:val="8"/>
                <w:szCs w:val="8"/>
                <w:color w:val="auto"/>
              </w:rPr>
            </w:pPr>
          </w:p>
        </w:tc>
        <w:tc>
          <w:tcPr>
            <w:tcW w:w="840" w:type="dxa"/>
            <w:vAlign w:val="bottom"/>
            <w:tcBorders>
              <w:bottom w:val="single" w:sz="8" w:color="auto"/>
            </w:tcBorders>
            <w:vMerge w:val="continue"/>
            <w:shd w:val="clear" w:color="auto" w:fill="DBDBDB"/>
          </w:tcPr>
          <w:p>
            <w:pPr>
              <w:spacing w:after="0"/>
              <w:rPr>
                <w:sz w:val="8"/>
                <w:szCs w:val="8"/>
                <w:color w:val="auto"/>
              </w:rPr>
            </w:pPr>
          </w:p>
        </w:tc>
        <w:tc>
          <w:tcPr>
            <w:tcW w:w="240" w:type="dxa"/>
            <w:vAlign w:val="bottom"/>
            <w:tcBorders>
              <w:bottom w:val="single" w:sz="8" w:color="auto"/>
              <w:right w:val="single" w:sz="8" w:color="auto"/>
            </w:tcBorders>
            <w:shd w:val="clear" w:color="auto" w:fill="DBDBDB"/>
          </w:tcPr>
          <w:p>
            <w:pPr>
              <w:spacing w:after="0"/>
              <w:rPr>
                <w:sz w:val="8"/>
                <w:szCs w:val="8"/>
                <w:color w:val="auto"/>
              </w:rPr>
            </w:pPr>
          </w:p>
        </w:tc>
        <w:tc>
          <w:tcPr>
            <w:tcW w:w="280" w:type="dxa"/>
            <w:vAlign w:val="bottom"/>
            <w:tcBorders>
              <w:bottom w:val="single" w:sz="8" w:color="auto"/>
            </w:tcBorders>
            <w:shd w:val="clear" w:color="auto" w:fill="DBDBDB"/>
          </w:tcPr>
          <w:p>
            <w:pPr>
              <w:spacing w:after="0"/>
              <w:rPr>
                <w:sz w:val="8"/>
                <w:szCs w:val="8"/>
                <w:color w:val="auto"/>
              </w:rPr>
            </w:pPr>
          </w:p>
        </w:tc>
        <w:tc>
          <w:tcPr>
            <w:tcW w:w="820" w:type="dxa"/>
            <w:vAlign w:val="bottom"/>
            <w:tcBorders>
              <w:bottom w:val="single" w:sz="8" w:color="auto"/>
            </w:tcBorders>
            <w:vMerge w:val="continue"/>
            <w:shd w:val="clear" w:color="auto" w:fill="DBDBDB"/>
          </w:tcPr>
          <w:p>
            <w:pPr>
              <w:spacing w:after="0"/>
              <w:rPr>
                <w:sz w:val="8"/>
                <w:szCs w:val="8"/>
                <w:color w:val="auto"/>
              </w:rPr>
            </w:pPr>
          </w:p>
        </w:tc>
        <w:tc>
          <w:tcPr>
            <w:tcW w:w="30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[APPLICABLE L/C ISSUER]</w:t>
      </w:r>
    </w:p>
    <w:p>
      <w:pPr>
        <w:spacing w:after="0" w:line="199" w:lineRule="exact"/>
        <w:rPr>
          <w:sz w:val="20"/>
          <w:szCs w:val="20"/>
          <w:color w:val="auto"/>
        </w:rPr>
      </w:pPr>
    </w:p>
    <w:p>
      <w:pPr>
        <w:ind w:left="4340"/>
        <w:spacing w:after="0"/>
        <w:tabs>
          <w:tab w:leader="none" w:pos="4860" w:val="left"/>
        </w:tabs>
        <w:rPr>
          <w:sz w:val="20"/>
          <w:szCs w:val="20"/>
          <w:color w:val="auto"/>
        </w:rPr>
      </w:pPr>
      <w:r>
        <w:rPr>
          <w:rFonts w:ascii="Arial" w:cs="Arial" w:eastAsia="Arial" w:hAnsi="Arial"/>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-5080</wp:posOffset>
            </wp:positionV>
            <wp:extent cx="1270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auto"/>
        </w:rPr>
        <w:t>G-3</w:t>
      </w:r>
    </w:p>
    <w:p>
      <w:pPr>
        <w:jc w:val="center"/>
        <w:ind w:right="40"/>
        <w:spacing w:after="0"/>
        <w:rPr>
          <w:sz w:val="20"/>
          <w:szCs w:val="20"/>
          <w:color w:val="auto"/>
        </w:rPr>
      </w:pPr>
      <w:r>
        <w:rPr>
          <w:rFonts w:ascii="Arial" w:cs="Arial" w:eastAsia="Arial" w:hAnsi="Arial"/>
          <w:sz w:val="10"/>
          <w:szCs w:val="10"/>
          <w:color w:val="auto"/>
        </w:rPr>
        <w:t>Bankers' Acceptance Request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151084595</w:t>
      </w:r>
    </w:p>
    <w:p>
      <w:pPr>
        <w:sectPr>
          <w:pgSz w:w="11900" w:h="16838" w:orient="portrait"/>
          <w:cols w:equalWidth="0" w:num="1">
            <w:col w:w="11220"/>
          </w:cols>
          <w:pgMar w:left="360" w:top="1440" w:right="3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i w:val="1"/>
          <w:iCs w:val="1"/>
          <w:color w:val="auto"/>
        </w:rPr>
        <w:t>EXHIBIT I</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NOTICE OF LOAN PREPAYMENT</w:t>
      </w:r>
    </w:p>
    <w:p>
      <w:pPr>
        <w:spacing w:after="0" w:line="375" w:lineRule="exact"/>
        <w:rPr>
          <w:sz w:val="20"/>
          <w:szCs w:val="20"/>
          <w:color w:val="auto"/>
        </w:rPr>
      </w:pPr>
    </w:p>
    <w:p>
      <w:pPr>
        <w:ind w:left="9980"/>
        <w:spacing w:after="0"/>
        <w:tabs>
          <w:tab w:leader="none" w:pos="10760" w:val="left"/>
          <w:tab w:leader="none" w:pos="11060" w:val="left"/>
        </w:tabs>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-10795</wp:posOffset>
            </wp:positionV>
            <wp:extent cx="34861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348615" cy="7620"/>
                    </a:xfrm>
                    <a:prstGeom prst="rect">
                      <a:avLst/>
                    </a:prstGeom>
                    <a:noFill/>
                  </pic:spPr>
                </pic:pic>
              </a:graphicData>
            </a:graphic>
          </wp:anchor>
        </w:drawing>
      </w:r>
    </w:p>
    <w:p>
      <w:pPr>
        <w:spacing w:after="0" w:line="355"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69" w:lineRule="exact"/>
        <w:rPr>
          <w:sz w:val="20"/>
          <w:szCs w:val="20"/>
          <w:color w:val="auto"/>
        </w:rPr>
      </w:pPr>
    </w:p>
    <w:p>
      <w:pPr>
        <w:jc w:val="both"/>
        <w:ind w:left="620" w:hanging="1197"/>
        <w:spacing w:after="0" w:line="219" w:lineRule="auto"/>
        <w:tabs>
          <w:tab w:leader="none" w:pos="600" w:val="left"/>
        </w:tabs>
        <w:rPr>
          <w:sz w:val="20"/>
          <w:szCs w:val="20"/>
          <w:color w:val="auto"/>
        </w:rPr>
      </w:pPr>
      <w:r>
        <w:rPr>
          <w:rFonts w:ascii="Arial" w:cs="Arial" w:eastAsia="Arial" w:hAnsi="Arial"/>
          <w:sz w:val="20"/>
          <w:szCs w:val="20"/>
          <w:color w:val="auto"/>
        </w:rPr>
        <w:t>RE:</w:t>
        <w:tab/>
        <w:t>Credit Agreement, dated as of November 1, 2021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 L/C Issuer and Swing Line Lender.</w:t>
      </w:r>
    </w:p>
    <w:p>
      <w:pPr>
        <w:spacing w:after="0" w:line="162"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[Date]</w:t>
      </w:r>
    </w:p>
    <w:p>
      <w:pPr>
        <w:ind w:left="174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61" w:lineRule="exact"/>
        <w:rPr>
          <w:sz w:val="20"/>
          <w:szCs w:val="20"/>
          <w:color w:val="auto"/>
        </w:rPr>
      </w:pPr>
    </w:p>
    <w:p>
      <w:pPr>
        <w:ind w:left="680"/>
        <w:spacing w:after="0"/>
        <w:tabs>
          <w:tab w:leader="none" w:pos="5980" w:val="left"/>
          <w:tab w:leader="none" w:pos="6480" w:val="left"/>
        </w:tabs>
        <w:rPr>
          <w:sz w:val="20"/>
          <w:szCs w:val="20"/>
          <w:color w:val="auto"/>
        </w:rPr>
      </w:pPr>
      <w:r>
        <w:rPr>
          <w:rFonts w:ascii="Arial" w:cs="Arial" w:eastAsia="Arial" w:hAnsi="Arial"/>
          <w:sz w:val="20"/>
          <w:szCs w:val="20"/>
          <w:color w:val="auto"/>
        </w:rPr>
        <w:t>The Company hereby notifies the Administrative Agent that on</w:t>
        <w:tab/>
        <w:t>, 20</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-14605</wp:posOffset>
            </wp:positionV>
            <wp:extent cx="1587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87" w:lineRule="exact"/>
        <w:rPr>
          <w:sz w:val="20"/>
          <w:szCs w:val="20"/>
          <w:color w:val="auto"/>
        </w:rPr>
      </w:pPr>
    </w:p>
    <w:p>
      <w:pPr>
        <w:ind w:left="80" w:right="3480"/>
        <w:spacing w:after="0" w:line="286" w:lineRule="auto"/>
        <w:rPr>
          <w:sz w:val="20"/>
          <w:szCs w:val="20"/>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(Prepayments) of the Agreement, the Borrowers intend to prepay/repay the following Eurocurrency Rate Loans as more specifically set forth below:</w:t>
      </w:r>
    </w:p>
    <w:p>
      <w:pPr>
        <w:spacing w:after="0" w:line="235" w:lineRule="exact"/>
        <w:rPr>
          <w:sz w:val="20"/>
          <w:szCs w:val="20"/>
          <w:color w:val="auto"/>
        </w:rPr>
      </w:pPr>
    </w:p>
    <w:p>
      <w:pPr>
        <w:ind w:left="1920" w:hanging="309"/>
        <w:spacing w:after="0"/>
        <w:tabs>
          <w:tab w:leader="none" w:pos="1920" w:val="left"/>
        </w:tabs>
        <w:numPr>
          <w:ilvl w:val="0"/>
          <w:numId w:val="286"/>
        </w:numPr>
        <w:rPr>
          <w:rFonts w:ascii="MS PGothic" w:cs="MS PGothic" w:eastAsia="MS PGothic" w:hAnsi="MS PGothic"/>
          <w:sz w:val="27"/>
          <w:szCs w:val="27"/>
          <w:color w:val="auto"/>
        </w:rPr>
      </w:pPr>
      <w:r>
        <w:rPr>
          <w:rFonts w:ascii="Arial" w:cs="Arial" w:eastAsia="Arial" w:hAnsi="Arial"/>
          <w:sz w:val="20"/>
          <w:szCs w:val="20"/>
          <w:color w:val="auto"/>
        </w:rPr>
        <w:t>Optional prepayment of Committed (USD) Loans in the following amount(s):</w:t>
      </w:r>
    </w:p>
    <w:p>
      <w:pPr>
        <w:spacing w:after="0" w:line="245" w:lineRule="exact"/>
        <w:rPr>
          <w:sz w:val="20"/>
          <w:szCs w:val="20"/>
          <w:color w:val="auto"/>
        </w:rPr>
      </w:pPr>
    </w:p>
    <w:p>
      <w:pPr>
        <w:ind w:left="2480"/>
        <w:spacing w:after="0"/>
        <w:tabs>
          <w:tab w:leader="none" w:pos="5820" w:val="left"/>
        </w:tabs>
        <w:rPr>
          <w:sz w:val="20"/>
          <w:szCs w:val="20"/>
          <w:color w:val="auto"/>
        </w:rPr>
      </w:pPr>
      <w:r>
        <w:rPr>
          <w:rFonts w:ascii="Arial" w:cs="Arial" w:eastAsia="Arial" w:hAnsi="Arial"/>
          <w:sz w:val="20"/>
          <w:szCs w:val="20"/>
          <w:color w:val="auto"/>
        </w:rPr>
        <w:t>[Eurocurrency][Base] Rate Loans: $</w:t>
      </w:r>
      <w:r>
        <w:rPr>
          <w:sz w:val="20"/>
          <w:szCs w:val="20"/>
          <w:color w:val="auto"/>
        </w:rPr>
        <w:tab/>
      </w:r>
      <w:r>
        <w:rPr>
          <w:rFonts w:ascii="Arial" w:cs="Arial" w:eastAsia="Arial" w:hAnsi="Arial"/>
          <w:sz w:val="13"/>
          <w:szCs w:val="13"/>
          <w:color w:val="auto"/>
        </w:rPr>
        <w:t xml:space="preserve">22 </w:t>
      </w:r>
      <w:r>
        <w:rPr>
          <w:rFonts w:ascii="Arial" w:cs="Arial" w:eastAsia="Arial" w:hAnsi="Arial"/>
          <w:sz w:val="18"/>
          <w:szCs w:val="18"/>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851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285115"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-14605</wp:posOffset>
            </wp:positionV>
            <wp:extent cx="1587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54" w:lineRule="exact"/>
        <w:rPr>
          <w:sz w:val="20"/>
          <w:szCs w:val="20"/>
          <w:color w:val="auto"/>
        </w:rPr>
      </w:pPr>
    </w:p>
    <w:p>
      <w:pPr>
        <w:ind w:left="1920" w:hanging="309"/>
        <w:spacing w:after="0"/>
        <w:tabs>
          <w:tab w:leader="none" w:pos="1920" w:val="left"/>
        </w:tabs>
        <w:numPr>
          <w:ilvl w:val="0"/>
          <w:numId w:val="287"/>
        </w:numPr>
        <w:rPr>
          <w:rFonts w:ascii="MS PGothic" w:cs="MS PGothic" w:eastAsia="MS PGothic" w:hAnsi="MS PGothic"/>
          <w:sz w:val="27"/>
          <w:szCs w:val="27"/>
          <w:color w:val="auto"/>
        </w:rPr>
      </w:pPr>
      <w:r>
        <w:rPr>
          <w:rFonts w:ascii="Arial" w:cs="Arial" w:eastAsia="Arial" w:hAnsi="Arial"/>
          <w:sz w:val="20"/>
          <w:szCs w:val="20"/>
          <w:color w:val="auto"/>
        </w:rPr>
        <w:t>Optional prepayment of Committed (MC) Loans in the following amount(s):</w:t>
      </w:r>
    </w:p>
    <w:p>
      <w:pPr>
        <w:spacing w:after="0" w:line="245" w:lineRule="exact"/>
        <w:rPr>
          <w:sz w:val="20"/>
          <w:szCs w:val="20"/>
          <w:color w:val="auto"/>
        </w:rPr>
      </w:pPr>
    </w:p>
    <w:p>
      <w:pPr>
        <w:ind w:left="2480"/>
        <w:spacing w:after="0"/>
        <w:tabs>
          <w:tab w:leader="none" w:pos="6020" w:val="left"/>
        </w:tabs>
        <w:rPr>
          <w:sz w:val="20"/>
          <w:szCs w:val="20"/>
          <w:color w:val="auto"/>
        </w:rPr>
      </w:pPr>
      <w:r>
        <w:rPr>
          <w:rFonts w:ascii="Arial" w:cs="Arial" w:eastAsia="Arial" w:hAnsi="Arial"/>
          <w:sz w:val="20"/>
          <w:szCs w:val="20"/>
          <w:color w:val="auto"/>
        </w:rPr>
        <w:t>Alternative Currency Term Rate Loans: $</w:t>
      </w:r>
      <w:r>
        <w:rPr>
          <w:sz w:val="20"/>
          <w:szCs w:val="20"/>
          <w:color w:val="auto"/>
        </w:rPr>
        <w:tab/>
      </w:r>
      <w:r>
        <w:rPr>
          <w:rFonts w:ascii="Arial" w:cs="Arial" w:eastAsia="Arial" w:hAnsi="Arial"/>
          <w:sz w:val="13"/>
          <w:szCs w:val="13"/>
          <w:color w:val="auto"/>
        </w:rPr>
        <w:t xml:space="preserve">23 </w:t>
      </w:r>
      <w:r>
        <w:rPr>
          <w:rFonts w:ascii="Arial" w:cs="Arial" w:eastAsia="Arial" w:hAnsi="Arial"/>
          <w:sz w:val="18"/>
          <w:szCs w:val="18"/>
          <w:color w:val="auto"/>
        </w:rPr>
        <w:t>In the following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-14605</wp:posOffset>
            </wp:positionV>
            <wp:extent cx="1587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158750" cy="762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-14605</wp:posOffset>
            </wp:positionV>
            <wp:extent cx="1587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2"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-14605</wp:posOffset>
            </wp:positionV>
            <wp:extent cx="1587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 xml:space="preserve">21 </w:t>
      </w:r>
      <w:r>
        <w:rPr>
          <w:rFonts w:ascii="Arial" w:cs="Arial" w:eastAsia="Arial" w:hAnsi="Arial"/>
          <w:sz w:val="16"/>
          <w:szCs w:val="16"/>
          <w:color w:val="auto"/>
        </w:rPr>
        <w:t>Specify date of such prepayment.</w:t>
      </w:r>
    </w:p>
    <w:p>
      <w:pPr>
        <w:spacing w:after="0" w:line="28" w:lineRule="exact"/>
        <w:rPr>
          <w:sz w:val="20"/>
          <w:szCs w:val="20"/>
          <w:color w:val="auto"/>
        </w:rPr>
      </w:pPr>
    </w:p>
    <w:p>
      <w:pPr>
        <w:jc w:val="both"/>
        <w:ind w:left="80" w:firstLine="598"/>
        <w:spacing w:after="0" w:line="212" w:lineRule="auto"/>
        <w:rPr>
          <w:sz w:val="20"/>
          <w:szCs w:val="20"/>
          <w:color w:val="auto"/>
        </w:rPr>
      </w:pPr>
      <w:r>
        <w:rPr>
          <w:rFonts w:ascii="Arial" w:cs="Arial" w:eastAsia="Arial" w:hAnsi="Arial"/>
          <w:sz w:val="11"/>
          <w:szCs w:val="11"/>
          <w:color w:val="auto"/>
        </w:rPr>
        <w:t xml:space="preserve">22 </w:t>
      </w:r>
      <w:r>
        <w:rPr>
          <w:rFonts w:ascii="Arial" w:cs="Arial" w:eastAsia="Arial" w:hAnsi="Arial"/>
          <w:sz w:val="16"/>
          <w:szCs w:val="16"/>
          <w:color w:val="auto"/>
        </w:rPr>
        <w:t>Any prepayment of Eurocurrency Rate Loans shall be in a principal amount of $1,000,000 or a whole multiple of $100,000 in excess thereof (or if less, the</w:t>
      </w:r>
      <w:r>
        <w:rPr>
          <w:rFonts w:ascii="Arial" w:cs="Arial" w:eastAsia="Arial" w:hAnsi="Arial"/>
          <w:sz w:val="11"/>
          <w:szCs w:val="11"/>
          <w:color w:val="auto"/>
        </w:rPr>
        <w:t xml:space="preserve"> </w:t>
      </w:r>
      <w:r>
        <w:rPr>
          <w:rFonts w:ascii="Arial" w:cs="Arial" w:eastAsia="Arial" w:hAnsi="Arial"/>
          <w:sz w:val="16"/>
          <w:szCs w:val="16"/>
          <w:color w:val="auto"/>
        </w:rPr>
        <w:t>entire principal amount thereof outstanding). Any prepayment of Base Rate Loans shall be in a principal amount of $500,000 or a whole multiple of $100,000 in excess thereof (or if less, the entire principal amount thereof outstanding)</w:t>
      </w:r>
    </w:p>
    <w:p>
      <w:pPr>
        <w:spacing w:after="0" w:line="1" w:lineRule="exact"/>
        <w:rPr>
          <w:sz w:val="20"/>
          <w:szCs w:val="20"/>
          <w:color w:val="auto"/>
        </w:rPr>
      </w:pPr>
    </w:p>
    <w:p>
      <w:pPr>
        <w:jc w:val="both"/>
        <w:ind w:left="80" w:right="20" w:firstLine="598"/>
        <w:spacing w:after="0" w:line="235"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6"/>
          <w:szCs w:val="16"/>
          <w:color w:val="auto"/>
        </w:rPr>
        <w:t>Any prepayment of Alternative Currency Term Rate Loans shall be in a principal amount of the Dollar Equivalent of $1,000,000 or a whole multiple of</w:t>
      </w:r>
      <w:r>
        <w:rPr>
          <w:rFonts w:ascii="Arial" w:cs="Arial" w:eastAsia="Arial" w:hAnsi="Arial"/>
          <w:sz w:val="11"/>
          <w:szCs w:val="11"/>
          <w:color w:val="auto"/>
        </w:rPr>
        <w:t xml:space="preserve"> </w:t>
      </w:r>
      <w:r>
        <w:rPr>
          <w:rFonts w:ascii="Arial" w:cs="Arial" w:eastAsia="Arial" w:hAnsi="Arial"/>
          <w:sz w:val="16"/>
          <w:szCs w:val="16"/>
          <w:color w:val="auto"/>
        </w:rPr>
        <w:t>$100,000 in excess thereof (or if less, the entire principal amount thereof outstanding).</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H-1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Letters of Credit Report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160"/>
          </w:cols>
          <w:pgMar w:left="320" w:top="1371" w:right="419" w:bottom="1440" w:gutter="0" w:footer="0" w:header="0"/>
        </w:sectPr>
      </w:pPr>
    </w:p>
    <w:bookmarkStart w:id="349" w:name="page350"/>
    <w:bookmarkEnd w:id="349"/>
    <w:p>
      <w:pPr>
        <w:ind w:left="3200" w:hanging="306"/>
        <w:spacing w:after="0"/>
        <w:tabs>
          <w:tab w:leader="none" w:pos="3200" w:val="left"/>
        </w:tabs>
        <w:numPr>
          <w:ilvl w:val="0"/>
          <w:numId w:val="288"/>
        </w:numPr>
        <w:rPr>
          <w:rFonts w:ascii="MS PGothic" w:cs="MS PGothic" w:eastAsia="MS PGothic" w:hAnsi="MS PGothic"/>
          <w:sz w:val="27"/>
          <w:szCs w:val="27"/>
          <w:color w:val="auto"/>
        </w:rPr>
      </w:pPr>
      <w:r>
        <w:rPr>
          <w:rFonts w:ascii="Arial" w:cs="Arial" w:eastAsia="Arial" w:hAnsi="Arial"/>
          <w:sz w:val="20"/>
          <w:szCs w:val="20"/>
          <w:color w:val="auto"/>
        </w:rPr>
        <w:t>Optional prepayment of Term Loans in the following amount(s):</w:t>
      </w:r>
    </w:p>
    <w:p>
      <w:pPr>
        <w:spacing w:after="0" w:line="258" w:lineRule="exact"/>
        <w:rPr>
          <w:sz w:val="20"/>
          <w:szCs w:val="20"/>
          <w:color w:val="auto"/>
        </w:rPr>
      </w:pPr>
    </w:p>
    <w:p>
      <w:pPr>
        <w:ind w:left="2480"/>
        <w:spacing w:after="0"/>
        <w:tabs>
          <w:tab w:leader="none" w:pos="5820" w:val="left"/>
        </w:tabs>
        <w:rPr>
          <w:sz w:val="20"/>
          <w:szCs w:val="20"/>
          <w:color w:val="auto"/>
        </w:rPr>
      </w:pPr>
      <w:r>
        <w:rPr>
          <w:rFonts w:ascii="Arial" w:cs="Arial" w:eastAsia="Arial" w:hAnsi="Arial"/>
          <w:sz w:val="20"/>
          <w:szCs w:val="20"/>
          <w:color w:val="auto"/>
        </w:rPr>
        <w:t>[Eurocurrency][Base] Rate Loans: $</w:t>
      </w:r>
      <w:r>
        <w:rPr>
          <w:sz w:val="20"/>
          <w:szCs w:val="20"/>
          <w:color w:val="auto"/>
        </w:rPr>
        <w:tab/>
      </w:r>
      <w:r>
        <w:rPr>
          <w:rFonts w:ascii="Arial" w:cs="Arial" w:eastAsia="Arial" w:hAnsi="Arial"/>
          <w:sz w:val="13"/>
          <w:szCs w:val="13"/>
          <w:color w:val="auto"/>
        </w:rPr>
        <w:t xml:space="preserve">24 </w:t>
      </w:r>
      <w:r>
        <w:rPr>
          <w:rFonts w:ascii="Arial" w:cs="Arial" w:eastAsia="Arial" w:hAnsi="Arial"/>
          <w:sz w:val="18"/>
          <w:szCs w:val="18"/>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8511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285115"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-14605</wp:posOffset>
            </wp:positionV>
            <wp:extent cx="1587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112" w:lineRule="exact"/>
        <w:rPr>
          <w:sz w:val="20"/>
          <w:szCs w:val="20"/>
          <w:color w:val="auto"/>
        </w:rPr>
      </w:pPr>
    </w:p>
    <w:p>
      <w:pPr>
        <w:jc w:val="both"/>
        <w:ind w:left="80" w:right="20" w:firstLine="598"/>
        <w:spacing w:after="0" w:line="236" w:lineRule="auto"/>
        <w:rPr>
          <w:sz w:val="20"/>
          <w:szCs w:val="20"/>
          <w:color w:val="auto"/>
        </w:rPr>
      </w:pPr>
      <w:r>
        <w:rPr>
          <w:rFonts w:ascii="Arial" w:cs="Arial" w:eastAsia="Arial" w:hAnsi="Arial"/>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58"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MASTEC, INC.,</w:t>
      </w:r>
    </w:p>
    <w:p>
      <w:pPr>
        <w:ind w:left="3680"/>
        <w:spacing w:after="0"/>
        <w:rPr>
          <w:sz w:val="20"/>
          <w:szCs w:val="20"/>
          <w:color w:val="auto"/>
        </w:rPr>
      </w:pPr>
      <w:r>
        <w:rPr>
          <w:rFonts w:ascii="Arial" w:cs="Arial" w:eastAsia="Arial" w:hAnsi="Arial"/>
          <w:sz w:val="20"/>
          <w:szCs w:val="20"/>
          <w:color w:val="auto"/>
        </w:rPr>
        <w:t>a Florida corporation</w:t>
      </w:r>
    </w:p>
    <w:p>
      <w:pPr>
        <w:spacing w:after="0" w:line="178" w:lineRule="exact"/>
        <w:rPr>
          <w:sz w:val="20"/>
          <w:szCs w:val="20"/>
          <w:color w:val="auto"/>
        </w:rPr>
      </w:pPr>
    </w:p>
    <w:p>
      <w:pPr>
        <w:ind w:left="3680"/>
        <w:spacing w:after="0"/>
        <w:tabs>
          <w:tab w:leader="none" w:pos="4200" w:val="left"/>
          <w:tab w:leader="none" w:pos="4980" w:val="left"/>
        </w:tabs>
        <w:rPr>
          <w:sz w:val="20"/>
          <w:szCs w:val="20"/>
          <w:color w:val="auto"/>
        </w:rPr>
      </w:pPr>
      <w:r>
        <w:rPr>
          <w:rFonts w:ascii="Arial" w:cs="Arial" w:eastAsia="Arial" w:hAnsi="Arial"/>
          <w:sz w:val="20"/>
          <w:szCs w:val="20"/>
          <w:color w:val="auto"/>
        </w:rPr>
        <w:t>By:</w:t>
        <w:tab/>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-14605</wp:posOffset>
            </wp:positionV>
            <wp:extent cx="1270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-14605</wp:posOffset>
            </wp:positionV>
            <wp:extent cx="1270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-14605</wp:posOffset>
            </wp:positionV>
            <wp:extent cx="1587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5" w:lineRule="exact"/>
        <w:rPr>
          <w:sz w:val="20"/>
          <w:szCs w:val="20"/>
          <w:color w:val="auto"/>
        </w:rPr>
      </w:pPr>
    </w:p>
    <w:p>
      <w:pPr>
        <w:jc w:val="both"/>
        <w:ind w:left="80" w:firstLine="598"/>
        <w:spacing w:after="0" w:line="233" w:lineRule="auto"/>
        <w:rPr>
          <w:sz w:val="20"/>
          <w:szCs w:val="20"/>
          <w:color w:val="auto"/>
        </w:rPr>
      </w:pPr>
      <w:r>
        <w:rPr>
          <w:rFonts w:ascii="Arial" w:cs="Arial" w:eastAsia="Arial" w:hAnsi="Arial"/>
          <w:sz w:val="11"/>
          <w:szCs w:val="11"/>
          <w:color w:val="auto"/>
        </w:rPr>
        <w:t xml:space="preserve">24 </w:t>
      </w:r>
      <w:r>
        <w:rPr>
          <w:rFonts w:ascii="Arial" w:cs="Arial" w:eastAsia="Arial" w:hAnsi="Arial"/>
          <w:sz w:val="16"/>
          <w:szCs w:val="16"/>
          <w:color w:val="auto"/>
        </w:rPr>
        <w:t>Any prepayment of Eurocurrency Rate Loans shall be in a principal amount of $1,000,000 or a whole multiple of $100,000 in excess thereof (or if less, the</w:t>
      </w:r>
      <w:r>
        <w:rPr>
          <w:rFonts w:ascii="Arial" w:cs="Arial" w:eastAsia="Arial" w:hAnsi="Arial"/>
          <w:sz w:val="11"/>
          <w:szCs w:val="11"/>
          <w:color w:val="auto"/>
        </w:rPr>
        <w:t xml:space="preserve"> </w:t>
      </w:r>
      <w:r>
        <w:rPr>
          <w:rFonts w:ascii="Arial" w:cs="Arial" w:eastAsia="Arial" w:hAnsi="Arial"/>
          <w:sz w:val="16"/>
          <w:szCs w:val="16"/>
          <w:color w:val="auto"/>
        </w:rPr>
        <w:t>entire principal amount thereof outstanding). Any prepayment of Base Rate Loans shall be in a principal amount of $500,000 or a whole multiple of $100,000 in excess thereof (or if less, the entire principal amount thereof outstanding)</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I-2</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Notice of Loan Prepayment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151084595</w:t>
      </w:r>
    </w:p>
    <w:p>
      <w:pPr>
        <w:sectPr>
          <w:pgSz w:w="11900" w:h="16838" w:orient="portrait"/>
          <w:cols w:equalWidth="0" w:num="1">
            <w:col w:w="11160"/>
          </w:cols>
          <w:pgMar w:left="320" w:top="1398" w:right="419" w:bottom="1440" w:gutter="0" w:footer="0" w:header="0"/>
        </w:sectPr>
      </w:pPr>
    </w:p>
    <w:bookmarkStart w:id="350" w:name="page351"/>
    <w:bookmarkEnd w:id="350"/>
    <w:p>
      <w:pPr>
        <w:jc w:val="right"/>
        <w:ind w:right="80"/>
        <w:spacing w:after="0"/>
        <w:rPr>
          <w:sz w:val="20"/>
          <w:szCs w:val="20"/>
          <w:color w:val="auto"/>
        </w:rPr>
      </w:pPr>
      <w:r>
        <w:rPr>
          <w:rFonts w:ascii="Arial" w:cs="Arial" w:eastAsia="Arial" w:hAnsi="Arial"/>
          <w:sz w:val="20"/>
          <w:szCs w:val="20"/>
          <w:b w:val="1"/>
          <w:bCs w:val="1"/>
          <w:color w:val="auto"/>
        </w:rPr>
        <w:t>Exhibit 10.8</w:t>
      </w:r>
    </w:p>
    <w:p>
      <w:pPr>
        <w:spacing w:after="0" w:line="225" w:lineRule="exact"/>
        <w:rPr>
          <w:sz w:val="20"/>
          <w:szCs w:val="20"/>
          <w:color w:val="auto"/>
        </w:rPr>
      </w:pPr>
    </w:p>
    <w:p>
      <w:pPr>
        <w:jc w:val="right"/>
        <w:ind w:right="80"/>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SUBSIDIARY GUARANTY AGREEMENT</w:t>
      </w:r>
    </w:p>
    <w:p>
      <w:pPr>
        <w:spacing w:after="0" w:line="194" w:lineRule="exact"/>
        <w:rPr>
          <w:sz w:val="20"/>
          <w:szCs w:val="20"/>
          <w:color w:val="auto"/>
        </w:rPr>
      </w:pPr>
    </w:p>
    <w:p>
      <w:pPr>
        <w:jc w:val="both"/>
        <w:ind w:left="40" w:firstLine="598"/>
        <w:spacing w:after="0" w:line="216" w:lineRule="auto"/>
        <w:rPr>
          <w:sz w:val="20"/>
          <w:szCs w:val="20"/>
          <w:color w:val="auto"/>
        </w:rPr>
      </w:pPr>
      <w:r>
        <w:rPr>
          <w:rFonts w:ascii="Arial" w:cs="Arial" w:eastAsia="Arial" w:hAnsi="Arial"/>
          <w:sz w:val="20"/>
          <w:szCs w:val="20"/>
          <w:b w:val="1"/>
          <w:bCs w:val="1"/>
          <w:color w:val="auto"/>
        </w:rPr>
        <w:t xml:space="preserve">THIS SUBSIDIARY GUARANTY AGREEMENT </w:t>
      </w:r>
      <w:r>
        <w:rPr>
          <w:rFonts w:ascii="Arial" w:cs="Arial" w:eastAsia="Arial" w:hAnsi="Arial"/>
          <w:sz w:val="20"/>
          <w:szCs w:val="20"/>
          <w:color w:val="auto"/>
        </w:rPr>
        <w:t>dated as of November 1, 2021 (this “</w:t>
      </w:r>
      <w:r>
        <w:rPr>
          <w:rFonts w:ascii="Arial" w:cs="Arial" w:eastAsia="Arial" w:hAnsi="Arial"/>
          <w:sz w:val="20"/>
          <w:szCs w:val="20"/>
          <w:u w:val="single" w:color="auto"/>
          <w:color w:val="auto"/>
        </w:rPr>
        <w:t>Subsidiary Guaranty Agreement</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being entered into among </w:t>
      </w:r>
      <w:r>
        <w:rPr>
          <w:rFonts w:ascii="Arial" w:cs="Arial" w:eastAsia="Arial" w:hAnsi="Arial"/>
          <w:sz w:val="20"/>
          <w:szCs w:val="20"/>
          <w:b w:val="1"/>
          <w:bCs w:val="1"/>
          <w:color w:val="auto"/>
        </w:rPr>
        <w:t>EACH OF THE UNDERSIGNED AND EACH OTHER PERSON WHO SHALL BECOME A PARTY</w:t>
      </w:r>
      <w:r>
        <w:rPr>
          <w:rFonts w:ascii="Arial" w:cs="Arial" w:eastAsia="Arial" w:hAnsi="Arial"/>
          <w:sz w:val="20"/>
          <w:szCs w:val="20"/>
          <w:color w:val="auto"/>
        </w:rPr>
        <w:t xml:space="preserve"> </w:t>
      </w:r>
      <w:r>
        <w:rPr>
          <w:rFonts w:ascii="Arial" w:cs="Arial" w:eastAsia="Arial" w:hAnsi="Arial"/>
          <w:sz w:val="20"/>
          <w:szCs w:val="20"/>
          <w:b w:val="1"/>
          <w:bCs w:val="1"/>
          <w:color w:val="auto"/>
        </w:rPr>
        <w:t>HERETO BY EXECUTION OF A SUBSIDIARY GUARANTY JOINDER AGREEMENT</w:t>
      </w:r>
    </w:p>
    <w:p>
      <w:pPr>
        <w:jc w:val="both"/>
        <w:ind w:left="40"/>
        <w:spacing w:after="0" w:line="218" w:lineRule="auto"/>
        <w:rPr>
          <w:sz w:val="20"/>
          <w:szCs w:val="20"/>
          <w:color w:val="auto"/>
        </w:rPr>
      </w:pPr>
      <w:r>
        <w:rPr>
          <w:rFonts w:ascii="Arial" w:cs="Arial" w:eastAsia="Arial" w:hAnsi="Arial"/>
          <w:sz w:val="20"/>
          <w:szCs w:val="20"/>
          <w:color w:val="auto"/>
        </w:rPr>
        <w:t>(each a “</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xml:space="preserve">”)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each of the Guaranteed Parties (as defined in the Credit Agreement referenced below). All capitalized terms used but not otherwise defined herein shall have the meanings ascribed to such terms in the Credit Agreement.</w:t>
      </w:r>
    </w:p>
    <w:p>
      <w:pPr>
        <w:spacing w:after="0" w:line="172" w:lineRule="exact"/>
        <w:rPr>
          <w:sz w:val="20"/>
          <w:szCs w:val="20"/>
          <w:color w:val="auto"/>
        </w:rPr>
      </w:pPr>
    </w:p>
    <w:p>
      <w:pPr>
        <w:jc w:val="both"/>
        <w:ind w:left="40" w:firstLine="598"/>
        <w:spacing w:after="0" w:line="245" w:lineRule="auto"/>
        <w:rPr>
          <w:sz w:val="20"/>
          <w:szCs w:val="20"/>
          <w:color w:val="auto"/>
        </w:rPr>
      </w:pPr>
      <w:r>
        <w:rPr>
          <w:rFonts w:ascii="Arial" w:cs="Arial" w:eastAsia="Arial" w:hAnsi="Arial"/>
          <w:sz w:val="18"/>
          <w:szCs w:val="18"/>
          <w:color w:val="auto"/>
        </w:rPr>
        <w:t>WHEREAS, pursuant to that certain Credit Agreement dated as of the date hereof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MasTec, Inc., a Florida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MasTec North America, Inc., a Florida corporation (together with the Company,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the Administrative Agent, Bank of America, N.A., as Swing Line Lender and L/C Issuer, and the lenders now or hereafter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the Lenders have agreed to provide certain credit facilities to the Company and its Subsidiaries;</w:t>
      </w:r>
    </w:p>
    <w:p>
      <w:pPr>
        <w:spacing w:after="0" w:line="167" w:lineRule="exact"/>
        <w:rPr>
          <w:sz w:val="20"/>
          <w:szCs w:val="20"/>
          <w:color w:val="auto"/>
        </w:rPr>
      </w:pPr>
    </w:p>
    <w:p>
      <w:pPr>
        <w:jc w:val="both"/>
        <w:ind w:left="40" w:firstLine="598"/>
        <w:spacing w:after="0" w:line="234" w:lineRule="auto"/>
        <w:rPr>
          <w:sz w:val="20"/>
          <w:szCs w:val="20"/>
          <w:color w:val="auto"/>
        </w:rPr>
      </w:pPr>
      <w:r>
        <w:rPr>
          <w:rFonts w:ascii="Arial" w:cs="Arial" w:eastAsia="Arial" w:hAnsi="Arial"/>
          <w:sz w:val="19"/>
          <w:szCs w:val="19"/>
          <w:color w:val="auto"/>
        </w:rPr>
        <w:t>WHEREAS, a material part of the consideration given in connection with and as an inducement to the execution and delivery of the Credit Agreement by the Administrative Agent and the Lenders is the obligation of the Subsidiary Guarantors to enter into this Subsidiary Guaranty Agreement, and the Guaranteed Parties are unwilling to extend and maintain the credit facilities provided under the Loan Documents unless the Subsidiary Guarantors enter into this Subsidiary Guaranty Agreement; and</w:t>
      </w:r>
    </w:p>
    <w:p>
      <w:pPr>
        <w:spacing w:after="0" w:line="172" w:lineRule="exact"/>
        <w:rPr>
          <w:sz w:val="20"/>
          <w:szCs w:val="20"/>
          <w:color w:val="auto"/>
        </w:rPr>
      </w:pPr>
    </w:p>
    <w:p>
      <w:pPr>
        <w:jc w:val="both"/>
        <w:ind w:left="40" w:firstLine="598"/>
        <w:spacing w:after="0" w:line="227" w:lineRule="auto"/>
        <w:rPr>
          <w:sz w:val="20"/>
          <w:szCs w:val="20"/>
          <w:color w:val="auto"/>
        </w:rPr>
      </w:pPr>
      <w:r>
        <w:rPr>
          <w:rFonts w:ascii="Arial" w:cs="Arial" w:eastAsia="Arial" w:hAnsi="Arial"/>
          <w:sz w:val="20"/>
          <w:szCs w:val="20"/>
          <w:color w:val="auto"/>
        </w:rPr>
        <w:t>WHEREAS, certain additional extensions of credit may be made from time to time for the benefit of the Subsidiary Guarantors pursuant to certain Guaranteed Cash Management Agreements, Guaranteed Hedge Agreements and Guaranteed Permitted Standalone Letters of Credit;</w:t>
      </w:r>
    </w:p>
    <w:p>
      <w:pPr>
        <w:spacing w:after="0" w:line="171" w:lineRule="exact"/>
        <w:rPr>
          <w:sz w:val="20"/>
          <w:szCs w:val="20"/>
          <w:color w:val="auto"/>
        </w:rPr>
      </w:pPr>
    </w:p>
    <w:p>
      <w:pPr>
        <w:jc w:val="both"/>
        <w:ind w:left="40" w:right="20" w:firstLine="598"/>
        <w:spacing w:after="0" w:line="227" w:lineRule="auto"/>
        <w:rPr>
          <w:sz w:val="20"/>
          <w:szCs w:val="20"/>
          <w:color w:val="auto"/>
        </w:rPr>
      </w:pPr>
      <w:r>
        <w:rPr>
          <w:rFonts w:ascii="Arial" w:cs="Arial" w:eastAsia="Arial" w:hAnsi="Arial"/>
          <w:sz w:val="20"/>
          <w:szCs w:val="20"/>
          <w:color w:val="auto"/>
        </w:rPr>
        <w:t>NOW THEREFORE, in order to induce the Guaranteed Parties to from time to time make and maintain extensions of credit under the Credit Agreement and under the Guaranteed Cash Management Agreements, Guaranteed Hedge Agreements and Guaranteed Permitted Standalone Letters of Credit, the parties hereto agree as follows:</w:t>
      </w:r>
    </w:p>
    <w:p>
      <w:pPr>
        <w:spacing w:after="0" w:line="165" w:lineRule="exact"/>
        <w:rPr>
          <w:sz w:val="20"/>
          <w:szCs w:val="20"/>
          <w:color w:val="auto"/>
        </w:rPr>
      </w:pPr>
    </w:p>
    <w:p>
      <w:pPr>
        <w:jc w:val="both"/>
        <w:ind w:left="40" w:firstLine="601"/>
        <w:spacing w:after="0" w:line="218" w:lineRule="auto"/>
        <w:tabs>
          <w:tab w:leader="none" w:pos="1150" w:val="left"/>
        </w:tabs>
        <w:numPr>
          <w:ilvl w:val="0"/>
          <w:numId w:val="2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Guaranty</w:t>
      </w:r>
      <w:r>
        <w:rPr>
          <w:rFonts w:ascii="Arial" w:cs="Arial" w:eastAsia="Arial" w:hAnsi="Arial"/>
          <w:sz w:val="20"/>
          <w:szCs w:val="20"/>
          <w:color w:val="auto"/>
        </w:rPr>
        <w:t>. Each Subsidiary Guarantor hereby jointly and severally, unconditionally, absolutely, continually and irrevocably</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guarantees to the Administrative Agent for the benefit of the Guaranteed Parties the payment and performance in full of the Guaranteed Liabilities (as defined below). For all purposes of this Subsidiary Guaranty Agreement, “</w:t>
      </w:r>
      <w:r>
        <w:rPr>
          <w:rFonts w:ascii="Arial" w:cs="Arial" w:eastAsia="Arial" w:hAnsi="Arial"/>
          <w:sz w:val="20"/>
          <w:szCs w:val="20"/>
          <w:u w:val="single" w:color="auto"/>
          <w:color w:val="auto"/>
        </w:rPr>
        <w:t>Guaranteed Liabilities</w:t>
      </w:r>
      <w:r>
        <w:rPr>
          <w:rFonts w:ascii="Arial" w:cs="Arial" w:eastAsia="Arial" w:hAnsi="Arial"/>
          <w:sz w:val="20"/>
          <w:szCs w:val="20"/>
          <w:color w:val="auto"/>
        </w:rPr>
        <w:t>” means: (a) each Borrower’s prompt payment in full, when due or declared due and at all such times, of all Obligations and all other amounts pursuant to the terms of the Credit Agreement, the Notes, and all other Loan Documents heretofore, now or at any time or times hereafter owing, arising, due or payable from any Borrower to any one or more of</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738" w:right="459" w:bottom="1440" w:gutter="0" w:footer="0" w:header="0"/>
        </w:sectPr>
      </w:pPr>
    </w:p>
    <w:bookmarkStart w:id="351" w:name="page352"/>
    <w:bookmarkEnd w:id="351"/>
    <w:p>
      <w:pPr>
        <w:jc w:val="both"/>
        <w:ind w:left="40"/>
        <w:spacing w:after="0" w:line="236" w:lineRule="auto"/>
        <w:rPr>
          <w:sz w:val="20"/>
          <w:szCs w:val="20"/>
          <w:color w:val="auto"/>
        </w:rPr>
      </w:pPr>
      <w:r>
        <w:rPr>
          <w:rFonts w:ascii="Arial" w:cs="Arial" w:eastAsia="Arial" w:hAnsi="Arial"/>
          <w:sz w:val="18"/>
          <w:szCs w:val="18"/>
          <w:color w:val="auto"/>
        </w:rPr>
        <w:t>the Guaranteed Parties, including principal, interest, premiums and fees (including all fees and expenses of counsel required to be paid under the Credit Agreement, the Notes or another Loan Document (collectively, “</w:t>
      </w:r>
      <w:r>
        <w:rPr>
          <w:rFonts w:ascii="Arial" w:cs="Arial" w:eastAsia="Arial" w:hAnsi="Arial"/>
          <w:sz w:val="18"/>
          <w:szCs w:val="18"/>
          <w:u w:val="single" w:color="auto"/>
          <w:color w:val="auto"/>
        </w:rPr>
        <w:t>Attorneys’ Costs</w:t>
      </w:r>
      <w:r>
        <w:rPr>
          <w:rFonts w:ascii="Arial" w:cs="Arial" w:eastAsia="Arial" w:hAnsi="Arial"/>
          <w:sz w:val="18"/>
          <w:szCs w:val="18"/>
          <w:color w:val="auto"/>
        </w:rPr>
        <w:t xml:space="preserve">”)); (b) each Borrower’s prompt, full and faithful performance, observance and discharge of each and every agreement, undertaking, covenant and provision to be performed, observed or discharged by such Borrower under the Credit Agreement, the Notes and all other Loan Documents; and (c) the prompt payment in full by each Loan Party, when due or declared due and at all such times, of obligations and liabilities now or hereafter arising under the Guaranteed Cash Management Agreements, Guaranteed Hedge Agreements and Guaranteed Permitted Standalone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Guaranteed Liability of a Subsidiary Guarantor shall exclude any Excluded Swap Obligations with respect to such Subsidiary Guarantor. The Subsidiary Guarantors’ obligations to the Guaranteed Parties under this Subsidiary Guaranty Agreement are hereinafter collectively referred to as the “</w:t>
      </w:r>
      <w:r>
        <w:rPr>
          <w:rFonts w:ascii="Arial" w:cs="Arial" w:eastAsia="Arial" w:hAnsi="Arial"/>
          <w:sz w:val="18"/>
          <w:szCs w:val="18"/>
          <w:u w:val="single" w:color="auto"/>
          <w:color w:val="auto"/>
        </w:rPr>
        <w:t>Subsidiary Guarantors’ Obligations</w:t>
      </w:r>
      <w:r>
        <w:rPr>
          <w:rFonts w:ascii="Arial" w:cs="Arial" w:eastAsia="Arial" w:hAnsi="Arial"/>
          <w:sz w:val="18"/>
          <w:szCs w:val="18"/>
          <w:color w:val="auto"/>
        </w:rPr>
        <w:t>” and, with respect to each Subsidiary Guarantor individually, the “</w:t>
      </w:r>
      <w:r>
        <w:rPr>
          <w:rFonts w:ascii="Arial" w:cs="Arial" w:eastAsia="Arial" w:hAnsi="Arial"/>
          <w:sz w:val="18"/>
          <w:szCs w:val="18"/>
          <w:u w:val="single" w:color="auto"/>
          <w:color w:val="auto"/>
        </w:rPr>
        <w:t>Subsidiary Guarantor’s Obligations</w:t>
      </w:r>
      <w:r>
        <w:rPr>
          <w:rFonts w:ascii="Arial" w:cs="Arial" w:eastAsia="Arial" w:hAnsi="Arial"/>
          <w:sz w:val="18"/>
          <w:szCs w:val="18"/>
          <w:color w:val="auto"/>
        </w:rPr>
        <w:t>”. Notwithstanding the foregoing, the liability of each Subsidiary Guarantor individually with respect to its Subsidiary Guarantor’s Obligations shall be limited to an aggregate amount equal to the largest amount that would not render its obligations hereunder subject to avoidance under Section 548 of the United States Bankruptcy Code or any comparable provisions of any applicable state law.</w:t>
      </w:r>
    </w:p>
    <w:p>
      <w:pPr>
        <w:spacing w:after="0" w:line="175" w:lineRule="exact"/>
        <w:rPr>
          <w:sz w:val="20"/>
          <w:szCs w:val="20"/>
          <w:color w:val="auto"/>
        </w:rPr>
      </w:pPr>
    </w:p>
    <w:p>
      <w:pPr>
        <w:jc w:val="both"/>
        <w:ind w:left="40" w:firstLine="598"/>
        <w:spacing w:after="0" w:line="236" w:lineRule="auto"/>
        <w:rPr>
          <w:sz w:val="20"/>
          <w:szCs w:val="20"/>
          <w:color w:val="auto"/>
        </w:rPr>
      </w:pPr>
      <w:r>
        <w:rPr>
          <w:rFonts w:ascii="Arial" w:cs="Arial" w:eastAsia="Arial" w:hAnsi="Arial"/>
          <w:sz w:val="20"/>
          <w:szCs w:val="20"/>
          <w:color w:val="auto"/>
        </w:rPr>
        <w:t>Each Subsidiary Guarantor agrees that it is jointly and severally, directly and primarily liable (subject to the limitation in the immediately preceding sentence) for the Subsidiary Guaranteed Liabilities.</w:t>
      </w:r>
    </w:p>
    <w:p>
      <w:pPr>
        <w:spacing w:after="0" w:line="166" w:lineRule="exact"/>
        <w:rPr>
          <w:sz w:val="20"/>
          <w:szCs w:val="20"/>
          <w:color w:val="auto"/>
        </w:rPr>
      </w:pPr>
    </w:p>
    <w:p>
      <w:pPr>
        <w:jc w:val="both"/>
        <w:ind w:left="40" w:firstLine="601"/>
        <w:spacing w:after="0" w:line="224" w:lineRule="auto"/>
        <w:tabs>
          <w:tab w:leader="none" w:pos="1150" w:val="left"/>
        </w:tabs>
        <w:numPr>
          <w:ilvl w:val="0"/>
          <w:numId w:val="2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 xml:space="preserve">. </w:t>
      </w:r>
      <w:r>
        <w:rPr>
          <w:rFonts w:ascii="Arial" w:cs="Arial" w:eastAsia="Arial" w:hAnsi="Arial"/>
          <w:sz w:val="19"/>
          <w:szCs w:val="19"/>
          <w:color w:val="auto"/>
        </w:rPr>
        <w:t>If any Loan Party shall default in payment or performance of any of the Guaranteed Liabilities,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principal, interest, premium, fees (including, but not limited to, Attorneys’ Costs), or otherwise, when and as the same shall become due, and after expiration of any applicable grace period, whether according to the terms of the Credit Agreement, by acceleration, or otherwise, or upon the occurrence and during the continuance of any Event of Default under the Credit Agreement, then any or all of the Subsidiary Guarantors will, upon demand thereof by the Administrative Agent, (i) fully pay to the Administrative Agent, for the benefit of the Guaranteed Parties, subject to any restriction on each Subsidiary Guarantor’s Obligations set forth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an amount equal to all the Guaranteed Liabilities then due and owing or declared or deemed to be due and owing, including for this purpose, in the event of any Event of Default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of the Credit Agreement (and irrespective of the applicability of any restriction on acceleration or other action as against any other Loan Party under any Debtor Relief Laws), the entire outstanding or accrued amount of all Obligations or (ii) perform such Guaranteed Liabilities, as applicable. For purposes of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the Subsidiary Guarantors acknowledge and agree that “Guaranteed Liabilities” shall be deemed to include any amount (whether principal, interest, premium or fees) which would have been accelerated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of the Credit Agreement but for the fact that such acceleration could be unenforceable or not allowable under any Debtor Relief Law.</w:t>
      </w:r>
    </w:p>
    <w:p>
      <w:pPr>
        <w:spacing w:after="0" w:line="170" w:lineRule="exact"/>
        <w:rPr>
          <w:rFonts w:ascii="Arial" w:cs="Arial" w:eastAsia="Arial" w:hAnsi="Arial"/>
          <w:sz w:val="19"/>
          <w:szCs w:val="19"/>
          <w:b w:val="1"/>
          <w:bCs w:val="1"/>
          <w:color w:val="auto"/>
        </w:rPr>
      </w:pPr>
    </w:p>
    <w:p>
      <w:pPr>
        <w:jc w:val="both"/>
        <w:ind w:left="40" w:right="20" w:firstLine="601"/>
        <w:spacing w:after="0" w:line="242" w:lineRule="auto"/>
        <w:tabs>
          <w:tab w:leader="none" w:pos="1150" w:val="left"/>
        </w:tabs>
        <w:numPr>
          <w:ilvl w:val="0"/>
          <w:numId w:val="2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Absolute Rights and Obligations</w:t>
      </w:r>
      <w:r>
        <w:rPr>
          <w:rFonts w:ascii="Arial" w:cs="Arial" w:eastAsia="Arial" w:hAnsi="Arial"/>
          <w:sz w:val="19"/>
          <w:szCs w:val="19"/>
          <w:color w:val="auto"/>
        </w:rPr>
        <w:t>. This is a guaranty of payment and not of collection. The Subsidiary Guarantors’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this Subsidiary Guaranty Agreement shall be joint and several, absolute and unconditional irrespective of, and each Subsidiary Guarantor hereby expressly waives, to the extent permitted by law, any defense to its obligations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307" w:right="459" w:bottom="1440" w:gutter="0" w:footer="0" w:header="0"/>
        </w:sectPr>
      </w:pPr>
    </w:p>
    <w:bookmarkStart w:id="352" w:name="page353"/>
    <w:bookmarkEnd w:id="352"/>
    <w:p>
      <w:pPr>
        <w:spacing w:after="0" w:line="91" w:lineRule="exact"/>
        <w:rPr>
          <w:sz w:val="20"/>
          <w:szCs w:val="20"/>
          <w:color w:val="auto"/>
        </w:rPr>
      </w:pPr>
    </w:p>
    <w:p>
      <w:pPr>
        <w:ind w:left="40"/>
        <w:spacing w:after="0"/>
        <w:rPr>
          <w:sz w:val="20"/>
          <w:szCs w:val="20"/>
          <w:color w:val="auto"/>
        </w:rPr>
      </w:pPr>
      <w:r>
        <w:rPr>
          <w:rFonts w:ascii="Arial" w:cs="Arial" w:eastAsia="Arial" w:hAnsi="Arial"/>
          <w:sz w:val="20"/>
          <w:szCs w:val="20"/>
          <w:color w:val="auto"/>
        </w:rPr>
        <w:t>under this Subsidiary Guaranty Agreement and all other Loan Documents to which it is a party by reason of:</w:t>
      </w:r>
    </w:p>
    <w:p>
      <w:pPr>
        <w:spacing w:after="0" w:line="194" w:lineRule="exact"/>
        <w:rPr>
          <w:sz w:val="20"/>
          <w:szCs w:val="20"/>
          <w:color w:val="auto"/>
        </w:rPr>
      </w:pPr>
    </w:p>
    <w:p>
      <w:pPr>
        <w:jc w:val="both"/>
        <w:ind w:left="640" w:firstLine="601"/>
        <w:spacing w:after="0" w:line="249" w:lineRule="auto"/>
        <w:tabs>
          <w:tab w:leader="none" w:pos="1747"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any lack of legality, validity or enforceability of the Credit Agreement, of any of the Notes, of any other Loan Document, or of any other agreement or instrument creating, providing security for, or otherwise relating to any of the Subsidiary Guarantors’ Obligations, any of the Guaranteed Liabilities, or any other guaranty of any of the Guaranteed Liabilities (the Loan Documents and all such other agreements and instruments being collectively referred to as the “</w:t>
      </w:r>
      <w:r>
        <w:rPr>
          <w:rFonts w:ascii="Arial" w:cs="Arial" w:eastAsia="Arial" w:hAnsi="Arial"/>
          <w:sz w:val="18"/>
          <w:szCs w:val="18"/>
          <w:u w:val="single" w:color="auto"/>
          <w:color w:val="auto"/>
        </w:rPr>
        <w:t>Related Agreements</w:t>
      </w:r>
      <w:r>
        <w:rPr>
          <w:rFonts w:ascii="Arial" w:cs="Arial" w:eastAsia="Arial" w:hAnsi="Arial"/>
          <w:sz w:val="18"/>
          <w:szCs w:val="18"/>
          <w:color w:val="auto"/>
        </w:rPr>
        <w:t>”);</w:t>
      </w:r>
    </w:p>
    <w:p>
      <w:pPr>
        <w:spacing w:after="0" w:line="239" w:lineRule="exact"/>
        <w:rPr>
          <w:rFonts w:ascii="Arial" w:cs="Arial" w:eastAsia="Arial" w:hAnsi="Arial"/>
          <w:sz w:val="18"/>
          <w:szCs w:val="18"/>
          <w:b w:val="1"/>
          <w:bCs w:val="1"/>
          <w:color w:val="auto"/>
        </w:rPr>
      </w:pPr>
    </w:p>
    <w:p>
      <w:pPr>
        <w:ind w:left="640" w:right="20" w:firstLine="601"/>
        <w:spacing w:after="0" w:line="258" w:lineRule="auto"/>
        <w:tabs>
          <w:tab w:leader="none" w:pos="1745" w:val="left"/>
        </w:tabs>
        <w:numPr>
          <w:ilvl w:val="0"/>
          <w:numId w:val="291"/>
        </w:numPr>
        <w:rPr>
          <w:rFonts w:ascii="Arial" w:cs="Arial" w:eastAsia="Arial" w:hAnsi="Arial"/>
          <w:sz w:val="19"/>
          <w:szCs w:val="19"/>
          <w:b w:val="1"/>
          <w:bCs w:val="1"/>
          <w:color w:val="auto"/>
        </w:rPr>
      </w:pPr>
      <w:r>
        <w:rPr>
          <w:rFonts w:ascii="Arial" w:cs="Arial" w:eastAsia="Arial" w:hAnsi="Arial"/>
          <w:sz w:val="19"/>
          <w:szCs w:val="19"/>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54" w:lineRule="exact"/>
        <w:rPr>
          <w:rFonts w:ascii="Arial" w:cs="Arial" w:eastAsia="Arial" w:hAnsi="Arial"/>
          <w:sz w:val="19"/>
          <w:szCs w:val="19"/>
          <w:b w:val="1"/>
          <w:bCs w:val="1"/>
          <w:color w:val="auto"/>
        </w:rPr>
      </w:pPr>
    </w:p>
    <w:p>
      <w:pPr>
        <w:ind w:left="640" w:firstLine="601"/>
        <w:spacing w:after="0" w:line="286" w:lineRule="auto"/>
        <w:tabs>
          <w:tab w:leader="none" w:pos="1748"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any acceleration of the maturity of any of the Guaranteed Liabilities, of the Subsidiary Guarantor’s Obligations of any other Subsidiary Guarantor, or of any other obligations or liabilities of any Person under any of the Related Agreements;</w:t>
      </w:r>
    </w:p>
    <w:p>
      <w:pPr>
        <w:spacing w:after="0" w:line="130" w:lineRule="exact"/>
        <w:rPr>
          <w:rFonts w:ascii="Arial" w:cs="Arial" w:eastAsia="Arial" w:hAnsi="Arial"/>
          <w:sz w:val="18"/>
          <w:szCs w:val="18"/>
          <w:b w:val="1"/>
          <w:bCs w:val="1"/>
          <w:color w:val="auto"/>
        </w:rPr>
      </w:pPr>
    </w:p>
    <w:p>
      <w:pPr>
        <w:jc w:val="both"/>
        <w:ind w:left="640" w:firstLine="601"/>
        <w:spacing w:after="0" w:line="227" w:lineRule="auto"/>
        <w:tabs>
          <w:tab w:leader="none" w:pos="1745" w:val="left"/>
        </w:tabs>
        <w:numPr>
          <w:ilvl w:val="0"/>
          <w:numId w:val="291"/>
        </w:numPr>
        <w:rPr>
          <w:rFonts w:ascii="Arial" w:cs="Arial" w:eastAsia="Arial" w:hAnsi="Arial"/>
          <w:sz w:val="20"/>
          <w:szCs w:val="20"/>
          <w:b w:val="1"/>
          <w:bCs w:val="1"/>
          <w:color w:val="auto"/>
        </w:rPr>
      </w:pPr>
      <w:r>
        <w:rPr>
          <w:rFonts w:ascii="Arial" w:cs="Arial" w:eastAsia="Arial" w:hAnsi="Arial"/>
          <w:sz w:val="20"/>
          <w:szCs w:val="20"/>
          <w:color w:val="auto"/>
        </w:rPr>
        <w:t>any release, exchange, non-perfection, lapse in perfection, disposal, deterioration in value, or impairment of any security for any of the Guaranteed Liabilities, for any of the Subsidiary Guarantor’s Obligations of any Subsidiary Guarantor, or for any other obligations or liabilities of any Person under any of the Related Agreements;</w:t>
      </w:r>
    </w:p>
    <w:p>
      <w:pPr>
        <w:spacing w:after="0" w:line="171" w:lineRule="exact"/>
        <w:rPr>
          <w:rFonts w:ascii="Arial" w:cs="Arial" w:eastAsia="Arial" w:hAnsi="Arial"/>
          <w:sz w:val="20"/>
          <w:szCs w:val="20"/>
          <w:b w:val="1"/>
          <w:bCs w:val="1"/>
          <w:color w:val="auto"/>
        </w:rPr>
      </w:pPr>
    </w:p>
    <w:p>
      <w:pPr>
        <w:jc w:val="both"/>
        <w:ind w:left="640" w:firstLine="601"/>
        <w:spacing w:after="0" w:line="222" w:lineRule="auto"/>
        <w:tabs>
          <w:tab w:leader="none" w:pos="1748" w:val="left"/>
        </w:tabs>
        <w:numPr>
          <w:ilvl w:val="0"/>
          <w:numId w:val="291"/>
        </w:numPr>
        <w:rPr>
          <w:rFonts w:ascii="Arial" w:cs="Arial" w:eastAsia="Arial" w:hAnsi="Arial"/>
          <w:sz w:val="20"/>
          <w:szCs w:val="20"/>
          <w:b w:val="1"/>
          <w:bCs w:val="1"/>
          <w:color w:val="auto"/>
        </w:rPr>
      </w:pPr>
      <w:r>
        <w:rPr>
          <w:rFonts w:ascii="Arial" w:cs="Arial" w:eastAsia="Arial" w:hAnsi="Arial"/>
          <w:sz w:val="20"/>
          <w:szCs w:val="20"/>
          <w:color w:val="auto"/>
        </w:rPr>
        <w:t>any dissolution of any Borrower, any Subsidiary Guarantor, any other Loan Party or any other party to a Related Agreement, or the combination or consolidation of any Borrower, any Subsidiary Guarantor, any other Loan Party or any other party to a Related Agreement into or with another entity or any transfer or disposition of any assets of any Borrower, any Subsidiary Guarantor or any other Loan Party or any other party to a Related Agreement;</w:t>
      </w:r>
    </w:p>
    <w:p>
      <w:pPr>
        <w:spacing w:after="0" w:line="172" w:lineRule="exact"/>
        <w:rPr>
          <w:rFonts w:ascii="Arial" w:cs="Arial" w:eastAsia="Arial" w:hAnsi="Arial"/>
          <w:sz w:val="20"/>
          <w:szCs w:val="20"/>
          <w:b w:val="1"/>
          <w:bCs w:val="1"/>
          <w:color w:val="auto"/>
        </w:rPr>
      </w:pPr>
    </w:p>
    <w:p>
      <w:pPr>
        <w:jc w:val="both"/>
        <w:ind w:left="640" w:firstLine="601"/>
        <w:spacing w:after="0" w:line="222" w:lineRule="auto"/>
        <w:tabs>
          <w:tab w:leader="none" w:pos="1751" w:val="left"/>
        </w:tabs>
        <w:numPr>
          <w:ilvl w:val="0"/>
          <w:numId w:val="291"/>
        </w:numPr>
        <w:rPr>
          <w:rFonts w:ascii="Arial" w:cs="Arial" w:eastAsia="Arial" w:hAnsi="Arial"/>
          <w:sz w:val="20"/>
          <w:szCs w:val="20"/>
          <w:b w:val="1"/>
          <w:bCs w:val="1"/>
          <w:color w:val="auto"/>
        </w:rPr>
      </w:pPr>
      <w:r>
        <w:rPr>
          <w:rFonts w:ascii="Arial" w:cs="Arial" w:eastAsia="Arial" w:hAnsi="Arial"/>
          <w:sz w:val="20"/>
          <w:szCs w:val="20"/>
          <w:color w:val="auto"/>
        </w:rPr>
        <w:t>any extension (including without limitation extensions of time for payment), renewal, amendment, restructuring or restatement of, any acceptance of late or partial payments under, or any change in the amount of any borrowings or any credit facilities available under, the Credit Agreement, any of the Notes or any other Loan Document or any other Related Agreement, in whole or in part;</w:t>
      </w:r>
    </w:p>
    <w:p>
      <w:pPr>
        <w:spacing w:after="0" w:line="172" w:lineRule="exact"/>
        <w:rPr>
          <w:rFonts w:ascii="Arial" w:cs="Arial" w:eastAsia="Arial" w:hAnsi="Arial"/>
          <w:sz w:val="20"/>
          <w:szCs w:val="20"/>
          <w:b w:val="1"/>
          <w:bCs w:val="1"/>
          <w:color w:val="auto"/>
        </w:rPr>
      </w:pPr>
    </w:p>
    <w:p>
      <w:pPr>
        <w:jc w:val="both"/>
        <w:ind w:left="640" w:firstLine="601"/>
        <w:spacing w:after="0" w:line="222" w:lineRule="auto"/>
        <w:tabs>
          <w:tab w:leader="none" w:pos="1747" w:val="left"/>
        </w:tabs>
        <w:numPr>
          <w:ilvl w:val="0"/>
          <w:numId w:val="291"/>
        </w:numPr>
        <w:rPr>
          <w:rFonts w:ascii="Arial" w:cs="Arial" w:eastAsia="Arial" w:hAnsi="Arial"/>
          <w:sz w:val="20"/>
          <w:szCs w:val="20"/>
          <w:b w:val="1"/>
          <w:bCs w:val="1"/>
          <w:color w:val="auto"/>
        </w:rPr>
      </w:pPr>
      <w:r>
        <w:rPr>
          <w:rFonts w:ascii="Arial" w:cs="Arial" w:eastAsia="Arial" w:hAnsi="Arial"/>
          <w:sz w:val="20"/>
          <w:szCs w:val="20"/>
          <w:color w:val="auto"/>
        </w:rPr>
        <w:t>the existence, addition, modification, termination, reduction or impairment of value, or release of any other guaranty (or security therefor) of the Guaranteed Liabilities (including without limitation the Subsidiary Guarantor’s Obligations of any other Subsidiary Guarantor and obligations arising under any other guaranty or any other Loan Document now or hereafter in effect);</w:t>
      </w:r>
    </w:p>
    <w:p>
      <w:pPr>
        <w:spacing w:after="0" w:line="172" w:lineRule="exact"/>
        <w:rPr>
          <w:rFonts w:ascii="Arial" w:cs="Arial" w:eastAsia="Arial" w:hAnsi="Arial"/>
          <w:sz w:val="20"/>
          <w:szCs w:val="20"/>
          <w:b w:val="1"/>
          <w:bCs w:val="1"/>
          <w:color w:val="auto"/>
        </w:rPr>
      </w:pPr>
    </w:p>
    <w:p>
      <w:pPr>
        <w:jc w:val="both"/>
        <w:ind w:left="640" w:firstLine="601"/>
        <w:spacing w:after="0" w:line="227" w:lineRule="auto"/>
        <w:tabs>
          <w:tab w:leader="none" w:pos="1745" w:val="left"/>
        </w:tabs>
        <w:numPr>
          <w:ilvl w:val="0"/>
          <w:numId w:val="291"/>
        </w:numPr>
        <w:rPr>
          <w:rFonts w:ascii="Arial" w:cs="Arial" w:eastAsia="Arial" w:hAnsi="Arial"/>
          <w:sz w:val="20"/>
          <w:szCs w:val="20"/>
          <w:b w:val="1"/>
          <w:bCs w:val="1"/>
          <w:color w:val="auto"/>
        </w:rPr>
      </w:pPr>
      <w:r>
        <w:rPr>
          <w:rFonts w:ascii="Arial" w:cs="Arial" w:eastAsia="Arial" w:hAnsi="Arial"/>
          <w:sz w:val="20"/>
          <w:szCs w:val="20"/>
          <w:color w:val="auto"/>
        </w:rPr>
        <w:t>any waiver of, forbearance or indulgence under, or other consent to any change in or departure from any term or provision contained in the Credit Agreement, any other Loan Document or any other Related Agreement,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3" w:name="page354"/>
    <w:bookmarkEnd w:id="353"/>
    <w:p>
      <w:pPr>
        <w:spacing w:after="0" w:line="91"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any term pertaining to the payment or performance of any of the Guaranteed Liabilities, any of the Subsidiary Guarantor’s Obligations of any other Subsidiary Guarantor, or any of the obligations or liabilities of any party to any other Related Agreement; or</w:t>
      </w:r>
    </w:p>
    <w:p>
      <w:pPr>
        <w:spacing w:after="0" w:line="171" w:lineRule="exact"/>
        <w:rPr>
          <w:sz w:val="20"/>
          <w:szCs w:val="20"/>
          <w:color w:val="auto"/>
        </w:rPr>
      </w:pPr>
    </w:p>
    <w:p>
      <w:pPr>
        <w:jc w:val="both"/>
        <w:ind w:left="640" w:firstLine="601"/>
        <w:spacing w:after="0" w:line="219" w:lineRule="auto"/>
        <w:tabs>
          <w:tab w:leader="none" w:pos="1752" w:val="left"/>
        </w:tabs>
        <w:numPr>
          <w:ilvl w:val="0"/>
          <w:numId w:val="292"/>
        </w:numPr>
        <w:rPr>
          <w:rFonts w:ascii="Arial" w:cs="Arial" w:eastAsia="Arial" w:hAnsi="Arial"/>
          <w:sz w:val="20"/>
          <w:szCs w:val="20"/>
          <w:b w:val="1"/>
          <w:bCs w:val="1"/>
          <w:color w:val="auto"/>
        </w:rPr>
      </w:pPr>
      <w:r>
        <w:rPr>
          <w:rFonts w:ascii="Arial" w:cs="Arial" w:eastAsia="Arial" w:hAnsi="Arial"/>
          <w:sz w:val="20"/>
          <w:szCs w:val="20"/>
          <w:color w:val="auto"/>
        </w:rPr>
        <w:t>any other circumstance whatsoever (with or without notice to or knowledge of any Subsidiary Guarantor or any other Loan Party) which might in any manner or to any extent vary the risks of such Loan Party, or might otherwise constitute a legal or equitable defense available to, or discharge of, a surety or a guarantor, including without limitation any right to require or claim that resort be had to any Borrower or any other Loan Party or to any collateral in respect of the Guaranteed Liabilities or Subsidiary Guarantors’ Obligations.</w:t>
      </w:r>
    </w:p>
    <w:p>
      <w:pPr>
        <w:spacing w:after="0" w:line="174" w:lineRule="exact"/>
        <w:rPr>
          <w:sz w:val="20"/>
          <w:szCs w:val="20"/>
          <w:color w:val="auto"/>
        </w:rPr>
      </w:pPr>
    </w:p>
    <w:p>
      <w:pPr>
        <w:jc w:val="both"/>
        <w:ind w:left="40"/>
        <w:spacing w:after="0" w:line="239" w:lineRule="auto"/>
        <w:rPr>
          <w:sz w:val="20"/>
          <w:szCs w:val="20"/>
          <w:color w:val="auto"/>
        </w:rPr>
      </w:pPr>
      <w:r>
        <w:rPr>
          <w:rFonts w:ascii="Arial" w:cs="Arial" w:eastAsia="Arial" w:hAnsi="Arial"/>
          <w:sz w:val="19"/>
          <w:szCs w:val="19"/>
          <w:color w:val="auto"/>
        </w:rPr>
        <w:t>It is the express purpose and intent of the parties hereto that this Subsidiary Guaranty Agreement and the Subsidiary Guarantors’ Obligations hereunder and under each Subsidiary Guaranty Joinder Agreement shall be absolute and unconditional under any and all circumstances and shall not be discharged except by payment and performance as herein provided.</w:t>
      </w:r>
    </w:p>
    <w:p>
      <w:pPr>
        <w:spacing w:after="0" w:line="165" w:lineRule="exact"/>
        <w:rPr>
          <w:sz w:val="20"/>
          <w:szCs w:val="20"/>
          <w:color w:val="auto"/>
        </w:rPr>
      </w:pPr>
    </w:p>
    <w:p>
      <w:pPr>
        <w:jc w:val="both"/>
        <w:ind w:left="40" w:firstLine="601"/>
        <w:spacing w:after="0"/>
        <w:tabs>
          <w:tab w:leader="none" w:pos="115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 and Funds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Subsidiary Guarantors’ Obligations for payment will be paid in lawful currency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of America and in immediately available funds, regardless of any law, regulation or decree now or hereafter in effect that might in any manner affect the Guaranteed Liabilities, or the rights of any Guaranteed Party with respect thereto as against the Company or any other Loan Party, or cause or permit to be invoked any alteration in the time, amount or manner of payment by the Company or any other Loan Party of any or all of the Guaranteed Liabilities. If, for the proposes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Subsidiary Guarantor in respect of any such sum due from it to the Administrative Agent or any Lender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Subsidiary Guaranty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or such Lender, as the case may be, of any sum adjudicated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Subsidiary Guarantor in the Agreement Currency, such Subsidiary Guarantor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Subsidiary Guarantor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4" w:name="page355"/>
    <w:bookmarkEnd w:id="354"/>
    <w:p>
      <w:pPr>
        <w:spacing w:after="0" w:line="86" w:lineRule="exact"/>
        <w:rPr>
          <w:sz w:val="20"/>
          <w:szCs w:val="20"/>
          <w:color w:val="auto"/>
        </w:rPr>
      </w:pPr>
    </w:p>
    <w:p>
      <w:pPr>
        <w:jc w:val="both"/>
        <w:ind w:left="40" w:firstLine="601"/>
        <w:spacing w:after="0" w:line="224" w:lineRule="auto"/>
        <w:tabs>
          <w:tab w:leader="none" w:pos="1150" w:val="left"/>
        </w:tabs>
        <w:numPr>
          <w:ilvl w:val="1"/>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Events of Default</w:t>
      </w:r>
      <w:r>
        <w:rPr>
          <w:rFonts w:ascii="Arial" w:cs="Arial" w:eastAsia="Arial" w:hAnsi="Arial"/>
          <w:sz w:val="20"/>
          <w:szCs w:val="20"/>
          <w:color w:val="auto"/>
        </w:rPr>
        <w:t>. Without limiting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hereof, in the event that there shall occur and be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an Event of Default, then notwithstanding any collateral or other security or credit support for the Guaranteed Liabilities, at the Administrative Agent’s election and without notice thereof or demand therefor, each of the Guaranteed Liabilities and the Subsidiary Guarantors’ Obligations shall immediately be and become due and payable.</w:t>
      </w:r>
    </w:p>
    <w:p>
      <w:pPr>
        <w:spacing w:after="0" w:line="165" w:lineRule="exact"/>
        <w:rPr>
          <w:rFonts w:ascii="Arial" w:cs="Arial" w:eastAsia="Arial" w:hAnsi="Arial"/>
          <w:sz w:val="20"/>
          <w:szCs w:val="20"/>
          <w:b w:val="1"/>
          <w:bCs w:val="1"/>
          <w:color w:val="auto"/>
        </w:rPr>
      </w:pPr>
    </w:p>
    <w:p>
      <w:pPr>
        <w:jc w:val="both"/>
        <w:ind w:left="40" w:firstLine="601"/>
        <w:spacing w:after="0" w:line="216" w:lineRule="auto"/>
        <w:tabs>
          <w:tab w:leader="none" w:pos="1150" w:val="left"/>
        </w:tabs>
        <w:numPr>
          <w:ilvl w:val="1"/>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w:t>
      </w:r>
      <w:r>
        <w:rPr>
          <w:rFonts w:ascii="Arial" w:cs="Arial" w:eastAsia="Arial" w:hAnsi="Arial"/>
          <w:sz w:val="20"/>
          <w:szCs w:val="20"/>
          <w:color w:val="auto"/>
        </w:rPr>
        <w:t>. Until this Subsidiary Guaranty Agreement is terminated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w:t>
      </w:r>
      <w:r>
        <w:rPr>
          <w:rFonts w:ascii="Arial" w:cs="Arial" w:eastAsia="Arial" w:hAnsi="Arial"/>
          <w:sz w:val="20"/>
          <w:szCs w:val="20"/>
          <w:b w:val="1"/>
          <w:bCs w:val="1"/>
          <w:color w:val="auto"/>
        </w:rPr>
        <w:t xml:space="preserve"> </w:t>
      </w:r>
      <w:r>
        <w:rPr>
          <w:rFonts w:ascii="Arial" w:cs="Arial" w:eastAsia="Arial" w:hAnsi="Arial"/>
          <w:sz w:val="20"/>
          <w:szCs w:val="20"/>
          <w:color w:val="auto"/>
        </w:rPr>
        <w:t>hereof, each</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Guarantor hereby unconditionally subordinates all present and future debts, liabilities or obligations now or hereafter owing to such Subsidiary Guarantor (a) of any Borrower, to the payment in full of the Guaranteed Liabilities,</w:t>
      </w:r>
    </w:p>
    <w:p>
      <w:pPr>
        <w:jc w:val="both"/>
        <w:ind w:left="40" w:firstLine="3"/>
        <w:spacing w:after="0" w:line="224" w:lineRule="auto"/>
        <w:tabs>
          <w:tab w:leader="none" w:pos="35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of every other Subsidiary Guarantor (an “</w:t>
      </w:r>
      <w:r>
        <w:rPr>
          <w:rFonts w:ascii="Arial" w:cs="Arial" w:eastAsia="Arial" w:hAnsi="Arial"/>
          <w:sz w:val="19"/>
          <w:szCs w:val="19"/>
          <w:u w:val="single" w:color="auto"/>
          <w:color w:val="auto"/>
        </w:rPr>
        <w:t>obligated Subsidiary Guarantor</w:t>
      </w:r>
      <w:r>
        <w:rPr>
          <w:rFonts w:ascii="Arial" w:cs="Arial" w:eastAsia="Arial" w:hAnsi="Arial"/>
          <w:sz w:val="19"/>
          <w:szCs w:val="19"/>
          <w:color w:val="auto"/>
        </w:rPr>
        <w:t>”), to the payment in full of the Subsidiary Guarantors’ Obligations of such obligated Subsidiary Guarantor, and (c) of each other Person now or hereafter constituting a Loan Party, to the payment in full of the obligations of such Loan Party owing to any Guaranteed Party and arising under the Loan Documents or any Guaranteed Cash Management Agreement or Guaranteed Hedge Agreement. All amounts due under such subordinated debts, liabilities, or obligations shall, upon the occurrence and during the continuance of an Event of Default, be collected and, upon request by the Administrative Agent, paid over forthwith to the Administrative Agent for the benefit of the Guaranteed Parties on account of the Guaranteed Liabilities, the Subsidiary Guarantors’ Obligations, or such other obligations, as applicable, and, after such request and pending such payment, shall be held by such Subsidiary Guarantor as agent and bailee of the Guaranteed Parties separate and apart from all other funds, property and accounts of such Subsidiary Guarantor.</w:t>
      </w:r>
    </w:p>
    <w:p>
      <w:pPr>
        <w:spacing w:after="0" w:line="165" w:lineRule="exact"/>
        <w:rPr>
          <w:rFonts w:ascii="Arial" w:cs="Arial" w:eastAsia="Arial" w:hAnsi="Arial"/>
          <w:sz w:val="19"/>
          <w:szCs w:val="19"/>
          <w:color w:val="auto"/>
        </w:rPr>
      </w:pPr>
    </w:p>
    <w:p>
      <w:pPr>
        <w:jc w:val="both"/>
        <w:ind w:left="40" w:firstLine="601"/>
        <w:spacing w:after="0" w:line="214" w:lineRule="auto"/>
        <w:tabs>
          <w:tab w:leader="none" w:pos="1150" w:val="left"/>
        </w:tabs>
        <w:numPr>
          <w:ilvl w:val="1"/>
          <w:numId w:val="2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Suits</w:t>
      </w:r>
      <w:r>
        <w:rPr>
          <w:rFonts w:ascii="Arial" w:cs="Arial" w:eastAsia="Arial" w:hAnsi="Arial"/>
          <w:sz w:val="20"/>
          <w:szCs w:val="20"/>
          <w:color w:val="auto"/>
        </w:rPr>
        <w:t>. Each Subsidiary Guarantor from time to time shall pay to the Administrative Agent for the benefit of the Guaranteed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on demand, at the Administrative Agent’s Office or such other address as the Administrative Agent shall give notice of to such Subsidiary Guarantor, the Subsidiary Guarantors’ Obligations as they become or are declared due, and in the event such payment is not made forthwith, the Administrative Agent may proceed to suit against any one or more or all of the Subsidiary Guarantors. At the Administrative Agent’s election, one or more and successive or concurrent suits may be brought hereon by the Administrative Agent against any one or more or all of the Subsidiary Guarantors, whether or not suit has been commenced against any Borrower, any other Subsidiary Guarantor, or any other Person and whether or not the Guaranteed Parties have taken or failed to take any other action to collect all or any portion of the Guaranteed Liabilities or have taken or failed to take any actions against any collateral securing payment or performance of all or any portion of the Guaranteed Liabilities, and irrespective of any event, occurrence, or condition described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w:t>
      </w:r>
    </w:p>
    <w:p>
      <w:pPr>
        <w:spacing w:after="0" w:line="246" w:lineRule="exact"/>
        <w:rPr>
          <w:rFonts w:ascii="Arial" w:cs="Arial" w:eastAsia="Arial" w:hAnsi="Arial"/>
          <w:sz w:val="20"/>
          <w:szCs w:val="20"/>
          <w:b w:val="1"/>
          <w:bCs w:val="1"/>
          <w:color w:val="auto"/>
        </w:rPr>
      </w:pPr>
    </w:p>
    <w:p>
      <w:pPr>
        <w:jc w:val="both"/>
        <w:ind w:left="40" w:firstLine="601"/>
        <w:spacing w:after="0" w:line="246" w:lineRule="auto"/>
        <w:tabs>
          <w:tab w:leader="none" w:pos="1150"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Set-Off and Waiver</w:t>
      </w:r>
      <w:r>
        <w:rPr>
          <w:rFonts w:ascii="Arial" w:cs="Arial" w:eastAsia="Arial" w:hAnsi="Arial"/>
          <w:sz w:val="18"/>
          <w:szCs w:val="18"/>
          <w:color w:val="auto"/>
        </w:rPr>
        <w:t>. Each Subsidiary Guarantor waives any right to assert against any Guaranteed Party as a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set-off, recoupment or cross claim in respect of its Subsidiary Guarantor’s Obligations, any defense (legal or equitable) or other claim which such Subsidiary Guarantor may now or at any time hereafter have against any Borrower or any other Loan Party or any or all of the Guaranteed Parties without waiving any additional defenses, set-offs, counterclaims or other claims otherwise available to such Subsidiary Guarantor. Each Subsidiary Guarantor agrees that each Guaranteed Party shall have a lien for all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5" w:name="page356"/>
    <w:bookmarkEnd w:id="355"/>
    <w:p>
      <w:pPr>
        <w:spacing w:after="0" w:line="92" w:lineRule="exact"/>
        <w:rPr>
          <w:sz w:val="20"/>
          <w:szCs w:val="20"/>
          <w:color w:val="auto"/>
        </w:rPr>
      </w:pPr>
    </w:p>
    <w:p>
      <w:pPr>
        <w:jc w:val="both"/>
        <w:ind w:left="40"/>
        <w:spacing w:after="0" w:line="226" w:lineRule="auto"/>
        <w:rPr>
          <w:sz w:val="20"/>
          <w:szCs w:val="20"/>
          <w:color w:val="auto"/>
        </w:rPr>
      </w:pPr>
      <w:r>
        <w:rPr>
          <w:rFonts w:ascii="Arial" w:cs="Arial" w:eastAsia="Arial" w:hAnsi="Arial"/>
          <w:sz w:val="19"/>
          <w:szCs w:val="19"/>
          <w:color w:val="auto"/>
        </w:rPr>
        <w:t xml:space="preserve">the Subsidiary Guarantor’s Obligations upon all deposits or deposit accounts, of any kind, or any interest in any deposits or deposit accounts, now or hereafter pledged, mortgaged, transferred or assigned to such Guaranteed Party or otherwise in the possession or control of such Guaranteed Party for any purpose (other than solely for safekeeping) for the account or benefit of such Subsidiary Guarantor, including any balance of any deposit account or of any credit of such Subsidiary Guarantor with the Guaranteed Party, whether now existing or hereafter established, and hereby authorizes each Guaranteed Party from and after the occurrence of an Event of Default at any time or times with or without prior notice to apply such balances or any part thereof to such of the Subsidiary Guarantor’s Obligations to the Guaranteed Parties then due and in such amounts as provided for in the Credit Agreement or otherwise as they may elect. For the purposes of this </w:t>
      </w:r>
      <w:r>
        <w:rPr>
          <w:rFonts w:ascii="Arial" w:cs="Arial" w:eastAsia="Arial" w:hAnsi="Arial"/>
          <w:sz w:val="19"/>
          <w:szCs w:val="19"/>
          <w:u w:val="single" w:color="auto"/>
          <w:color w:val="auto"/>
        </w:rPr>
        <w:t>Section 8</w:t>
      </w:r>
      <w:r>
        <w:rPr>
          <w:rFonts w:ascii="Arial" w:cs="Arial" w:eastAsia="Arial" w:hAnsi="Arial"/>
          <w:sz w:val="19"/>
          <w:szCs w:val="19"/>
          <w:color w:val="auto"/>
        </w:rPr>
        <w:t>, all remittances and property shall be deemed to be in the possession of a Guaranteed Party as soon as the same may be put in transit to it by mail or carrier or by other bailee.</w:t>
      </w:r>
    </w:p>
    <w:p>
      <w:pPr>
        <w:spacing w:after="0" w:line="165" w:lineRule="exact"/>
        <w:rPr>
          <w:sz w:val="20"/>
          <w:szCs w:val="20"/>
          <w:color w:val="auto"/>
        </w:rPr>
      </w:pPr>
    </w:p>
    <w:p>
      <w:pPr>
        <w:ind w:left="1240" w:hanging="599"/>
        <w:spacing w:after="0"/>
        <w:tabs>
          <w:tab w:leader="none" w:pos="1240" w:val="left"/>
        </w:tabs>
        <w:numPr>
          <w:ilvl w:val="0"/>
          <w:numId w:val="2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Notice; Subrogation</w:t>
      </w:r>
      <w:r>
        <w:rPr>
          <w:rFonts w:ascii="Arial" w:cs="Arial" w:eastAsia="Arial" w:hAnsi="Arial"/>
          <w:sz w:val="20"/>
          <w:szCs w:val="20"/>
          <w:color w:val="auto"/>
        </w:rPr>
        <w:t>.</w:t>
      </w:r>
    </w:p>
    <w:p>
      <w:pPr>
        <w:spacing w:after="0" w:line="275" w:lineRule="exact"/>
        <w:rPr>
          <w:rFonts w:ascii="Arial" w:cs="Arial" w:eastAsia="Arial" w:hAnsi="Arial"/>
          <w:sz w:val="20"/>
          <w:szCs w:val="20"/>
          <w:b w:val="1"/>
          <w:bCs w:val="1"/>
          <w:color w:val="auto"/>
        </w:rPr>
      </w:pPr>
    </w:p>
    <w:p>
      <w:pPr>
        <w:jc w:val="both"/>
        <w:ind w:left="640" w:firstLine="601"/>
        <w:spacing w:after="0" w:line="224" w:lineRule="auto"/>
        <w:tabs>
          <w:tab w:leader="none" w:pos="1747" w:val="left"/>
        </w:tabs>
        <w:numPr>
          <w:ilvl w:val="1"/>
          <w:numId w:val="296"/>
        </w:numPr>
        <w:rPr>
          <w:rFonts w:ascii="Arial" w:cs="Arial" w:eastAsia="Arial" w:hAnsi="Arial"/>
          <w:sz w:val="19"/>
          <w:szCs w:val="19"/>
          <w:b w:val="1"/>
          <w:bCs w:val="1"/>
          <w:color w:val="auto"/>
        </w:rPr>
      </w:pPr>
      <w:r>
        <w:rPr>
          <w:rFonts w:ascii="Arial" w:cs="Arial" w:eastAsia="Arial" w:hAnsi="Arial"/>
          <w:sz w:val="19"/>
          <w:szCs w:val="19"/>
          <w:color w:val="auto"/>
        </w:rPr>
        <w:t xml:space="preserve">Each Subsidiary Guarantor hereby waives to the extent permitted by law notice of the following events or occurrences: (i) acceptance of this Subsidiary Guaranty Agreement; (ii) the Guaranteed Parties heretofore, now or from time to time hereafter making Loans and issuing Letters of Credit and otherwise loaning monies or giving or extending credit to or for the benefit of any Borrower or any other Loan Party, or otherwise entering into arrangements with any Loan Party giving rise to Guaranteed Liabilities, whether pursuant to the Credit Agreement or the Notes or any other Loan Document or Related Agreement or any amendments, modifications, or supplements thereto, or replacements or extensions thereof; (iii) presentment, demand, default, non- payment, partial payment and protest; and (iv) any other event, condition, or occurrence described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Each Subsidiary Guarantor agrees that each Guaranteed Party may heretofore, now or at any time hereafter do any or all of the foregoing in such manner, upon such terms and at such times as each Guaranteed Party, in its sole and absolute discretion, deems advisable, without in any way or respect impairing, affecting, reducing or releasing such Subsidiary Guarantor from its Subsidiary Guarantor’s Obligations, and each Subsidiary Guarantor hereby consents to each and all of the foregoing events or occurrences.</w:t>
      </w:r>
    </w:p>
    <w:p>
      <w:pPr>
        <w:spacing w:after="0" w:line="174" w:lineRule="exact"/>
        <w:rPr>
          <w:rFonts w:ascii="Arial" w:cs="Arial" w:eastAsia="Arial" w:hAnsi="Arial"/>
          <w:sz w:val="19"/>
          <w:szCs w:val="19"/>
          <w:b w:val="1"/>
          <w:bCs w:val="1"/>
          <w:color w:val="auto"/>
        </w:rPr>
      </w:pPr>
    </w:p>
    <w:p>
      <w:pPr>
        <w:jc w:val="both"/>
        <w:ind w:left="640" w:firstLine="601"/>
        <w:spacing w:after="0" w:line="226" w:lineRule="auto"/>
        <w:tabs>
          <w:tab w:leader="none" w:pos="1745" w:val="left"/>
        </w:tabs>
        <w:numPr>
          <w:ilvl w:val="1"/>
          <w:numId w:val="296"/>
        </w:numPr>
        <w:rPr>
          <w:rFonts w:ascii="Arial" w:cs="Arial" w:eastAsia="Arial" w:hAnsi="Arial"/>
          <w:sz w:val="19"/>
          <w:szCs w:val="19"/>
          <w:b w:val="1"/>
          <w:bCs w:val="1"/>
          <w:color w:val="auto"/>
        </w:rPr>
      </w:pPr>
      <w:r>
        <w:rPr>
          <w:rFonts w:ascii="Arial" w:cs="Arial" w:eastAsia="Arial" w:hAnsi="Arial"/>
          <w:sz w:val="19"/>
          <w:szCs w:val="19"/>
          <w:color w:val="auto"/>
        </w:rPr>
        <w:t>Each Subsidiary Guarantor hereby agrees that payment or performance by such Subsidiary Guarantor of its Subsidiary Guarantor’s Obligations under this Subsidiary Guaranty Agreement may be enforced by the Administrative Agent on behalf of the Guaranteed Parties upon demand by the Administrative Agent to such Subsidiary Guarantor without the Administrative Agent being required, such Subsidiary Guarantor expressly waiving to the extent permitted by law any right it may have to require the Administrative Agent, to (i) prosecute collection or seek to enforce or resort to any remedies against any Borrower or any other Subsidiary Guarantor or any other guarantor of the Guaranteed Liabilities, or (ii) seek to enforce or resort to any remedies with respect to any security interests, Liens or encumbrances granted to the Administrative Agent or any Lender or other party to a Related Agreement by any Borrower, any other Subsidiary Guarantor or any other Person on account of the Guaranteed Liabilities or any guaranty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6" w:name="page357"/>
    <w:bookmarkEnd w:id="356"/>
    <w:p>
      <w:pPr>
        <w:spacing w:after="0" w:line="85" w:lineRule="exact"/>
        <w:rPr>
          <w:sz w:val="20"/>
          <w:szCs w:val="20"/>
          <w:color w:val="auto"/>
        </w:rPr>
      </w:pPr>
    </w:p>
    <w:p>
      <w:pPr>
        <w:jc w:val="both"/>
        <w:ind w:left="640"/>
        <w:spacing w:after="0" w:line="221" w:lineRule="auto"/>
        <w:rPr>
          <w:sz w:val="20"/>
          <w:szCs w:val="20"/>
          <w:color w:val="auto"/>
        </w:rPr>
      </w:pPr>
      <w:r>
        <w:rPr>
          <w:rFonts w:ascii="Arial" w:cs="Arial" w:eastAsia="Arial" w:hAnsi="Arial"/>
          <w:sz w:val="20"/>
          <w:szCs w:val="20"/>
          <w:color w:val="auto"/>
        </w:rPr>
        <w:t xml:space="preserve">thereof, </w:t>
      </w:r>
      <w:r>
        <w:rPr>
          <w:rFonts w:ascii="Arial" w:cs="Arial" w:eastAsia="Arial" w:hAnsi="Arial"/>
          <w:sz w:val="20"/>
          <w:szCs w:val="20"/>
          <w:b w:val="1"/>
          <w:bCs w:val="1"/>
          <w:color w:val="auto"/>
        </w:rPr>
        <w:t>IT BEING EXPRESSLY UNDERSTOOD, ACKNOWLEDGED AND AGREED TO BY SUCH SUBSIDIARY</w:t>
      </w:r>
      <w:r>
        <w:rPr>
          <w:rFonts w:ascii="Arial" w:cs="Arial" w:eastAsia="Arial" w:hAnsi="Arial"/>
          <w:sz w:val="20"/>
          <w:szCs w:val="20"/>
          <w:color w:val="auto"/>
        </w:rPr>
        <w:t xml:space="preserve"> </w:t>
      </w:r>
      <w:r>
        <w:rPr>
          <w:rFonts w:ascii="Arial" w:cs="Arial" w:eastAsia="Arial" w:hAnsi="Arial"/>
          <w:sz w:val="20"/>
          <w:szCs w:val="20"/>
          <w:b w:val="1"/>
          <w:bCs w:val="1"/>
          <w:color w:val="auto"/>
        </w:rPr>
        <w:t>GUARANTOR THAT DEMAND UNDER THIS SUBSIDIARY GUARANTY AGREEMENT MAY BE MADE BY THE ADMINISTRATIVE AGENT, AND THE PROVISIONS HEREOF ENFORCED BY THE ADMINISTRATIVE AGENT, EFFECTIVE AS OF THE FIRST DATE ANY EVENT OF DEFAULT OCCURS AND IS CONTINUING UNDER THE CREDIT AGREEMENT.</w:t>
      </w:r>
    </w:p>
    <w:p>
      <w:pPr>
        <w:spacing w:after="0" w:line="171" w:lineRule="exact"/>
        <w:rPr>
          <w:sz w:val="20"/>
          <w:szCs w:val="20"/>
          <w:color w:val="auto"/>
        </w:rPr>
      </w:pPr>
    </w:p>
    <w:p>
      <w:pPr>
        <w:jc w:val="both"/>
        <w:ind w:left="640" w:firstLine="601"/>
        <w:spacing w:after="0" w:line="223" w:lineRule="auto"/>
        <w:tabs>
          <w:tab w:leader="none" w:pos="1748" w:val="left"/>
        </w:tabs>
        <w:numPr>
          <w:ilvl w:val="1"/>
          <w:numId w:val="297"/>
        </w:numPr>
        <w:rPr>
          <w:rFonts w:ascii="Arial" w:cs="Arial" w:eastAsia="Arial" w:hAnsi="Arial"/>
          <w:sz w:val="19"/>
          <w:szCs w:val="19"/>
          <w:b w:val="1"/>
          <w:bCs w:val="1"/>
          <w:color w:val="auto"/>
        </w:rPr>
      </w:pPr>
      <w:r>
        <w:rPr>
          <w:rFonts w:ascii="Arial" w:cs="Arial" w:eastAsia="Arial" w:hAnsi="Arial"/>
          <w:sz w:val="19"/>
          <w:szCs w:val="19"/>
          <w:color w:val="auto"/>
        </w:rPr>
        <w:t xml:space="preserve">Each Subsidiary Guarantor further agrees that with respect to this Subsidiary Guaranty Agreement, such Subsidiary Guarantor shall not exercise any of its rights of subrogation, reimbursement, contribution, indemnity or recourse to security for the Guaranteed Liabilities until 93 days immediately following the Facility Termination Date or such other period as may be agreed to in writing by the Administrative Agent shall have elapsed without the filing or commencement, by or against any Loan Party, of any state or federal action, suit, petition or proceeding seeking any reorganization, liquidation or other relief or arrangement in respect of creditors of, or the appointment of a receiver, liquidator, trustee or conservator in respect to, such Loan Party or its assets. If an amount shall be paid to any Subsidiary Guarantor on account of such rights at any time prior to termination of this Subsidiary Guaranty Agreement in accordance with the provisions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such amount shall be held in trust for the benefit of the Guaranteed Parties and shall forthwith be paid to the Administrative Agent, for the benefit of the Guaranteed Parties, to be credited and applied upon the Subsidiary Guarantors’ Obligations, whether matured or unmatured, in accordance with the terms of the Credit Agreement or otherwise as the Guaranteed Parties may elect. The agreements in this subsection shall survive repayment of all of the Subsidiary Guarantors’ Obligations, the termination or expiration of this Subsidiary Guaranty Agreement in any manner, including but not limited to termination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and occurrence of the Facility Termination Date.</w:t>
      </w:r>
    </w:p>
    <w:p>
      <w:pPr>
        <w:spacing w:after="0" w:line="173" w:lineRule="exact"/>
        <w:rPr>
          <w:rFonts w:ascii="Arial" w:cs="Arial" w:eastAsia="Arial" w:hAnsi="Arial"/>
          <w:sz w:val="19"/>
          <w:szCs w:val="19"/>
          <w:b w:val="1"/>
          <w:bCs w:val="1"/>
          <w:color w:val="auto"/>
        </w:rPr>
      </w:pPr>
    </w:p>
    <w:p>
      <w:pPr>
        <w:jc w:val="both"/>
        <w:ind w:left="40" w:firstLine="601"/>
        <w:spacing w:after="0" w:line="221" w:lineRule="auto"/>
        <w:tabs>
          <w:tab w:leader="none" w:pos="1150" w:val="left"/>
        </w:tabs>
        <w:numPr>
          <w:ilvl w:val="0"/>
          <w:numId w:val="2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Effectiveness; Enforceability</w:t>
      </w:r>
      <w:r>
        <w:rPr>
          <w:rFonts w:ascii="Arial" w:cs="Arial" w:eastAsia="Arial" w:hAnsi="Arial"/>
          <w:sz w:val="20"/>
          <w:szCs w:val="20"/>
          <w:color w:val="auto"/>
        </w:rPr>
        <w:t>. This Subsidiary Guaranty Agreement shall be effective as of the date first above written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continue in full force and effect until termination in accordance with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hereof. Any claim or claims that the Guaranteed Parties may at any time hereafter have against a Subsidiary Guarantor under this Subsidiary Guaranty Agreement may be asserted by the Administrative Agent on behalf of the Guaranteed Parties by written notice directed to such Subsidiary Guarantor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hereof.</w:t>
      </w:r>
    </w:p>
    <w:p>
      <w:pPr>
        <w:spacing w:after="0" w:line="164" w:lineRule="exact"/>
        <w:rPr>
          <w:rFonts w:ascii="Arial" w:cs="Arial" w:eastAsia="Arial" w:hAnsi="Arial"/>
          <w:sz w:val="20"/>
          <w:szCs w:val="20"/>
          <w:b w:val="1"/>
          <w:bCs w:val="1"/>
          <w:color w:val="auto"/>
        </w:rPr>
      </w:pPr>
    </w:p>
    <w:p>
      <w:pPr>
        <w:jc w:val="both"/>
        <w:ind w:left="40" w:firstLine="601"/>
        <w:spacing w:after="0" w:line="217" w:lineRule="auto"/>
        <w:tabs>
          <w:tab w:leader="none" w:pos="1139" w:val="left"/>
        </w:tabs>
        <w:numPr>
          <w:ilvl w:val="0"/>
          <w:numId w:val="2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Each Subsidiary Guarantor warrants and represents to the Administrative Agent,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of the Guaranteed Parties, that (a) it is duly authorized to execute and deliver this Subsidiary Guaranty Agreement (or the Subsidiary Guaranty Joinder Agreement to which it is a party, as applicable), and to perform its obligations under this Subsidiary Guaranty Agreement; (b) this Subsidiary Guaranty Agreement (or the Subsidiary Guaranty Joinder Agreement to which it is a party, as applicable) has been duly executed and delivered on behalf of such Subsidiary Guarantor by its duly authorized representatives; (c) this Subsidiary Guaranty Agreement (and any Subsidiary Guaranty Joinder Agreement to which such Subsidiary Guarantor is a party) is legal, valid, binding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7" w:name="page358"/>
    <w:bookmarkEnd w:id="357"/>
    <w:p>
      <w:pPr>
        <w:spacing w:after="0" w:line="91" w:lineRule="exact"/>
        <w:rPr>
          <w:sz w:val="20"/>
          <w:szCs w:val="20"/>
          <w:color w:val="auto"/>
        </w:rPr>
      </w:pPr>
    </w:p>
    <w:p>
      <w:pPr>
        <w:jc w:val="both"/>
        <w:ind w:left="40"/>
        <w:spacing w:after="0" w:line="235" w:lineRule="auto"/>
        <w:rPr>
          <w:sz w:val="20"/>
          <w:szCs w:val="20"/>
          <w:color w:val="auto"/>
        </w:rPr>
      </w:pPr>
      <w:r>
        <w:rPr>
          <w:rFonts w:ascii="Arial" w:cs="Arial" w:eastAsia="Arial" w:hAnsi="Arial"/>
          <w:sz w:val="18"/>
          <w:szCs w:val="18"/>
          <w:color w:val="auto"/>
        </w:rPr>
        <w:t>enforceable against such Subsidiary Guarantor in accordance with its terms except as enforceability may be limited by bankruptcy, insolvency, reorganization, moratorium or similar laws affecting the enforcement of creditors’ rights generally and by general equitable principles; and (d) such Subsidiary Guarantor’s execution, delivery and performance of this Subsidiary Guaranty Agreement (and any Subsidiary Guaranty Joinder Agreement to which such Subsidiary Guarantor is a party) do not violate or constitute a breach of (i) any of its Organization Documents, (ii) any agreement or instrument to which such Subsidiary Guarantor is a party, or</w:t>
      </w:r>
    </w:p>
    <w:p>
      <w:pPr>
        <w:spacing w:after="0" w:line="1" w:lineRule="exact"/>
        <w:rPr>
          <w:sz w:val="20"/>
          <w:szCs w:val="20"/>
          <w:color w:val="auto"/>
        </w:rPr>
      </w:pPr>
    </w:p>
    <w:p>
      <w:pPr>
        <w:ind w:left="40" w:right="20" w:firstLine="3"/>
        <w:spacing w:after="0" w:line="228" w:lineRule="auto"/>
        <w:tabs>
          <w:tab w:leader="none" w:pos="399"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any Law to which it or its properties or operations is subject, except in each case referred to in clause (d)(ii) or (d)(iii) to the extent that could not reasonably be expected to have a Material Adverse Effect.</w:t>
      </w:r>
    </w:p>
    <w:p>
      <w:pPr>
        <w:spacing w:after="0" w:line="165" w:lineRule="exact"/>
        <w:rPr>
          <w:rFonts w:ascii="Arial" w:cs="Arial" w:eastAsia="Arial" w:hAnsi="Arial"/>
          <w:sz w:val="20"/>
          <w:szCs w:val="20"/>
          <w:color w:val="auto"/>
        </w:rPr>
      </w:pPr>
    </w:p>
    <w:p>
      <w:pPr>
        <w:jc w:val="both"/>
        <w:ind w:left="40" w:firstLine="601"/>
        <w:spacing w:after="0" w:line="234" w:lineRule="auto"/>
        <w:tabs>
          <w:tab w:leader="none" w:pos="1150" w:val="left"/>
        </w:tabs>
        <w:numPr>
          <w:ilvl w:val="1"/>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Indemnity</w:t>
      </w:r>
      <w:r>
        <w:rPr>
          <w:rFonts w:ascii="Arial" w:cs="Arial" w:eastAsia="Arial" w:hAnsi="Arial"/>
          <w:sz w:val="18"/>
          <w:szCs w:val="18"/>
          <w:color w:val="auto"/>
        </w:rPr>
        <w:t>. Each Subsidiary Guarantor agrees to be jointly and severally liable for the 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and documented fees and expenses, including Attorneys’ Costs (but limited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other Guaranteed Parties (and, in the case of a conflict of interest, one additional counsel to all such affected Guaranteed Parties similarly situated, taken as a whole)), incurred by any Guaranteed Party in connection with the enforcement of this Subsidiary Guaranty Agreement, whether or not suit be brought. Without limitation of any other obligations of any Subsidiary Guarantor or remedies of the Administrative Agent or any Guaranteed Party under this Subsidiary Guaranty Agreement, each Subsidiary Guarantor shall, to the fullest extent permitted by Law, indemnify, defend and save and hold harmless the Administrative Agent and each Guaranteed Party from and against, and shall pay on demand, any and all damages, losses, liabilities and expenses (including Attorneys’ Costs) that may be suffered or incurred by the Administrative Agent or such Guaranteed Party in connection with or as a result of any failure of any Guaranteed Obligations to be the legal, valid and binding obligations of any Borrower or any applicable Loan Party enforceable against any Borrower or such applicable Loan Party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Borrower or any other Loan Party against an indemnitee for breach in bad faith of such indemnitee’s obligations hereunder or under any other Loan Document, if such Borrower or such other Loan Party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the L/C Issuer or any similar role);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8" w:name="page359"/>
    <w:bookmarkEnd w:id="358"/>
    <w:p>
      <w:pPr>
        <w:spacing w:after="0" w:line="92" w:lineRule="exact"/>
        <w:rPr>
          <w:sz w:val="20"/>
          <w:szCs w:val="20"/>
          <w:color w:val="auto"/>
        </w:rPr>
      </w:pPr>
    </w:p>
    <w:p>
      <w:pPr>
        <w:ind w:left="40" w:right="620"/>
        <w:spacing w:after="0" w:line="236" w:lineRule="auto"/>
        <w:rPr>
          <w:sz w:val="20"/>
          <w:szCs w:val="20"/>
          <w:color w:val="auto"/>
        </w:rPr>
      </w:pPr>
      <w:r>
        <w:rPr>
          <w:rFonts w:ascii="Arial" w:cs="Arial" w:eastAsia="Arial" w:hAnsi="Arial"/>
          <w:sz w:val="20"/>
          <w:szCs w:val="20"/>
          <w:color w:val="auto"/>
        </w:rPr>
        <w:t>obligations of each Subsidiary Guarantor under this paragraph shall survive the payment in full of the Guaranteed Obligations and termination of this Subsidiary Guaranty Agreement.</w:t>
      </w:r>
    </w:p>
    <w:p>
      <w:pPr>
        <w:spacing w:after="0" w:line="166" w:lineRule="exact"/>
        <w:rPr>
          <w:sz w:val="20"/>
          <w:szCs w:val="20"/>
          <w:color w:val="auto"/>
        </w:rPr>
      </w:pPr>
    </w:p>
    <w:p>
      <w:pPr>
        <w:jc w:val="both"/>
        <w:ind w:left="40" w:firstLine="601"/>
        <w:spacing w:after="0" w:line="224" w:lineRule="auto"/>
        <w:tabs>
          <w:tab w:leader="none" w:pos="1150" w:val="left"/>
        </w:tabs>
        <w:numPr>
          <w:ilvl w:val="1"/>
          <w:numId w:val="3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Reinstatement</w:t>
      </w:r>
      <w:r>
        <w:rPr>
          <w:rFonts w:ascii="Arial" w:cs="Arial" w:eastAsia="Arial" w:hAnsi="Arial"/>
          <w:sz w:val="20"/>
          <w:szCs w:val="20"/>
          <w:color w:val="auto"/>
        </w:rPr>
        <w:t>. Each Subsidiary Guarantor agrees that this Subsidiary Guaranty Agreement shall continue to be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or be reinstated, as the case may be, at any time payment received by any Guaranteed Party in respect of any Guaranteed Liabilities is rescinded or must be restored for any reason, or is repaid by any Guaranteed Party in whole or in part in good faith settlement of any pending or threatened avoidance claim.</w:t>
      </w:r>
    </w:p>
    <w:p>
      <w:pPr>
        <w:spacing w:after="0" w:line="165" w:lineRule="exact"/>
        <w:rPr>
          <w:rFonts w:ascii="Arial" w:cs="Arial" w:eastAsia="Arial" w:hAnsi="Arial"/>
          <w:sz w:val="20"/>
          <w:szCs w:val="20"/>
          <w:b w:val="1"/>
          <w:bCs w:val="1"/>
          <w:color w:val="auto"/>
        </w:rPr>
      </w:pPr>
    </w:p>
    <w:p>
      <w:pPr>
        <w:jc w:val="both"/>
        <w:ind w:left="40" w:firstLine="601"/>
        <w:spacing w:after="0" w:line="218" w:lineRule="auto"/>
        <w:tabs>
          <w:tab w:leader="none" w:pos="1150" w:val="left"/>
        </w:tabs>
        <w:numPr>
          <w:ilvl w:val="1"/>
          <w:numId w:val="3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Attorney-in-Fact</w:t>
      </w:r>
      <w:r>
        <w:rPr>
          <w:rFonts w:ascii="Arial" w:cs="Arial" w:eastAsia="Arial" w:hAnsi="Arial"/>
          <w:sz w:val="20"/>
          <w:szCs w:val="20"/>
          <w:color w:val="auto"/>
        </w:rPr>
        <w:t>. To the extent permitted by law, each Subsidiary Guarantor hereby appoints the Administrative Agent,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 the benefit of the Guaranteed Parties, as such Subsidiary Guarantor’s attorney-in-fact for the purposes of carrying out the provisions of this Subsidiary Guaranty Agreement and taking any action and executing any instrument which the Administrative Agent may deem necessary or advisable to accomplish the purposes hereof, which appointment is coupled with an interest and is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have and may exercise rights under this power of attorney only upon the occurrence and during the continuance of an Event of Default.</w:t>
      </w:r>
    </w:p>
    <w:p>
      <w:pPr>
        <w:spacing w:after="0" w:line="169" w:lineRule="exact"/>
        <w:rPr>
          <w:rFonts w:ascii="Arial" w:cs="Arial" w:eastAsia="Arial" w:hAnsi="Arial"/>
          <w:sz w:val="20"/>
          <w:szCs w:val="20"/>
          <w:b w:val="1"/>
          <w:bCs w:val="1"/>
          <w:color w:val="auto"/>
        </w:rPr>
      </w:pPr>
    </w:p>
    <w:p>
      <w:pPr>
        <w:jc w:val="both"/>
        <w:ind w:left="40" w:firstLine="601"/>
        <w:spacing w:after="0" w:line="216" w:lineRule="auto"/>
        <w:tabs>
          <w:tab w:leader="none" w:pos="1150" w:val="left"/>
        </w:tabs>
        <w:numPr>
          <w:ilvl w:val="1"/>
          <w:numId w:val="3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Reliance</w:t>
      </w:r>
      <w:r>
        <w:rPr>
          <w:rFonts w:ascii="Arial" w:cs="Arial" w:eastAsia="Arial" w:hAnsi="Arial"/>
          <w:sz w:val="20"/>
          <w:szCs w:val="20"/>
          <w:color w:val="auto"/>
        </w:rPr>
        <w:t>. Each Subsidiary Guarantor represents and warrants to the Administrative Agent, for the benefit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Guaranteed Parties, that: (a) such Subsidiary Guarantor has adequate means to obtain on a continuing basis (i) from any Borrower, information concerning the Loan Parties and the Loan Parties’ financial condition and affairs and</w:t>
      </w:r>
    </w:p>
    <w:p>
      <w:pPr>
        <w:jc w:val="both"/>
        <w:ind w:left="40" w:firstLine="3"/>
        <w:spacing w:after="0" w:line="234" w:lineRule="auto"/>
        <w:tabs>
          <w:tab w:leader="none" w:pos="3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from other reliable sources, such other information (including books and records), in each case as it deems material in deciding to provide this Subsidiary Guaranty Agreement and any Subsidiary Guaranty Joinder Agreement (“</w:t>
      </w:r>
      <w:r>
        <w:rPr>
          <w:rFonts w:ascii="Arial" w:cs="Arial" w:eastAsia="Arial" w:hAnsi="Arial"/>
          <w:sz w:val="18"/>
          <w:szCs w:val="18"/>
          <w:u w:val="single" w:color="auto"/>
          <w:color w:val="auto"/>
        </w:rPr>
        <w:t>Other Information</w:t>
      </w:r>
      <w:r>
        <w:rPr>
          <w:rFonts w:ascii="Arial" w:cs="Arial" w:eastAsia="Arial" w:hAnsi="Arial"/>
          <w:sz w:val="18"/>
          <w:szCs w:val="18"/>
          <w:color w:val="auto"/>
        </w:rPr>
        <w:t>”); (b) such Subsidiary Guarantor is not relying on any Guaranteed Party or its or their employees, directors, agents or other representatives or Affiliates, to provide any such information, now or in the future; (c) such Subsidiary Guarantor has been furnished with and reviewed the terms of the Credit Agreement and such other Loan Documents and Related Agreements as it has requested, is executing this Subsidiary Guaranty Agreement (or the Subsidiary Guaranty Joinder Agreement to which it is a party, as applicable) freely and deliberately, and understands the obligations and financial risk undertaken by providing this Subsidiary Guaranty Agreement (and any Subsidiary Guaranty Joinder Agreement); (d) such Subsidiary Guarantor has relied solely on the Subsidiary Guarantor’s own independent investigation, appraisal and analysis of the Borrowers and the other Loan Parties, such Persons’ financial condition and affairs, the Other Information, and such other matters as it deems material in deciding to provide this Subsidiary Guaranty Agreement (and any Subsidiary Guaranty Joinder Agreement) and is fully aware of the same; and (e) such Subsidiary Guarantor has not depended or relied on any Guaranteed Party or its or their employees, directors, agents or other representatives or Affiliates, for any information whatsoever concerning any Borrower or any Borrower’s financial condition and affairs or any other matters material to such Subsidiary Guarantor’s decision to provide this Subsidiary Guaranty Agreement (and any Subsidiary Guaranty Joinder Agreement), or for any counseling, guidance, or special consideration or any promise therefor with respect to such decision. Each Subsidiary Guarantor agrees that no Guaranteed Party has any duty or responsibility whatsoever, now or in the future, to provide to such Subsidiary Guarantor any information concerning any Borrower or any other Loan Party or such Persons’ financial condition and affairs, or any Other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59" w:name="page360"/>
    <w:bookmarkEnd w:id="359"/>
    <w:p>
      <w:pPr>
        <w:spacing w:after="0" w:line="92" w:lineRule="exact"/>
        <w:rPr>
          <w:sz w:val="20"/>
          <w:szCs w:val="20"/>
          <w:color w:val="auto"/>
        </w:rPr>
      </w:pPr>
    </w:p>
    <w:p>
      <w:pPr>
        <w:jc w:val="both"/>
        <w:ind w:left="40"/>
        <w:spacing w:after="0" w:line="222" w:lineRule="auto"/>
        <w:rPr>
          <w:sz w:val="20"/>
          <w:szCs w:val="20"/>
          <w:color w:val="auto"/>
        </w:rPr>
      </w:pPr>
      <w:r>
        <w:rPr>
          <w:rFonts w:ascii="Arial" w:cs="Arial" w:eastAsia="Arial" w:hAnsi="Arial"/>
          <w:sz w:val="20"/>
          <w:szCs w:val="20"/>
          <w:color w:val="auto"/>
        </w:rPr>
        <w:t>Information, other than as expressly provided herein, and that, if such Subsidiary Guarantor receives any such information from any Guaranteed Party or its or their employees, directors, agents or other representatives or Affiliates, such Subsidiary Guarantor will independently verify the information and will not rely on any Guaranteed Party or its or their employees, directors, agents or other representatives or Affiliates, with respect to such information.</w:t>
      </w:r>
    </w:p>
    <w:p>
      <w:pPr>
        <w:spacing w:after="0" w:line="167" w:lineRule="exact"/>
        <w:rPr>
          <w:sz w:val="20"/>
          <w:szCs w:val="20"/>
          <w:color w:val="auto"/>
        </w:rPr>
      </w:pPr>
    </w:p>
    <w:p>
      <w:pPr>
        <w:jc w:val="both"/>
        <w:ind w:left="40" w:firstLine="601"/>
        <w:spacing w:after="0" w:line="224" w:lineRule="auto"/>
        <w:tabs>
          <w:tab w:leader="none" w:pos="1150"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Rules of Interpretation</w:t>
      </w:r>
      <w:r>
        <w:rPr>
          <w:rFonts w:ascii="Arial" w:cs="Arial" w:eastAsia="Arial" w:hAnsi="Arial"/>
          <w:sz w:val="20"/>
          <w:szCs w:val="20"/>
          <w:color w:val="auto"/>
        </w:rPr>
        <w:t>. The rules of interpretation contained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1.02</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shall be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Subsidiary Guaranty Agreement and each Subsidiary Guaranty Joinder Agreement and are hereby incorporated by reference. All representations and warranties contained herein shall survive the delivery of documents and any extension of credit referred to herein or guaranteed hereby.</w:t>
      </w:r>
    </w:p>
    <w:p>
      <w:pPr>
        <w:spacing w:after="0" w:line="165" w:lineRule="exact"/>
        <w:rPr>
          <w:rFonts w:ascii="Arial" w:cs="Arial" w:eastAsia="Arial" w:hAnsi="Arial"/>
          <w:sz w:val="20"/>
          <w:szCs w:val="20"/>
          <w:b w:val="1"/>
          <w:bCs w:val="1"/>
          <w:color w:val="auto"/>
        </w:rPr>
      </w:pPr>
    </w:p>
    <w:p>
      <w:pPr>
        <w:jc w:val="both"/>
        <w:ind w:left="40" w:firstLine="601"/>
        <w:spacing w:after="0" w:line="227" w:lineRule="auto"/>
        <w:tabs>
          <w:tab w:leader="none" w:pos="1150" w:val="left"/>
        </w:tabs>
        <w:numPr>
          <w:ilvl w:val="0"/>
          <w:numId w:val="3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Subsidiary Guaranty Agreement and each Subsidiary Guaranty Joinder Agreement, together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Credit Agreement and other Loan Documents, constitutes and expresses the entire understanding between the parties hereto with respect to the subject matter hereof, and supersedes all prior negotiations, agreements, understandings, inducements, commitments or conditions, express or implied, oral or written, except as herein contained. The express terms hereof control and supersede any course of performance or usage of the trade inconsistent with any of the terms hereof. Except as provided in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25</w:t>
      </w:r>
      <w:r>
        <w:rPr>
          <w:rFonts w:ascii="Arial" w:cs="Arial" w:eastAsia="Arial" w:hAnsi="Arial"/>
          <w:sz w:val="19"/>
          <w:szCs w:val="19"/>
          <w:color w:val="auto"/>
        </w:rPr>
        <w:t>, neither this Subsidiary Guaranty Agreement nor any Subsidiary Guaranty Joinder Agreement nor any portion or provision hereof or thereof may be changed, altered, modified, supplemented, discharged, canceled, terminated, or amended orally or in any manner other than as provided in the Credit Agreement.</w:t>
      </w:r>
    </w:p>
    <w:p>
      <w:pPr>
        <w:spacing w:after="0" w:line="169" w:lineRule="exact"/>
        <w:rPr>
          <w:rFonts w:ascii="Arial" w:cs="Arial" w:eastAsia="Arial" w:hAnsi="Arial"/>
          <w:sz w:val="19"/>
          <w:szCs w:val="19"/>
          <w:b w:val="1"/>
          <w:bCs w:val="1"/>
          <w:color w:val="auto"/>
        </w:rPr>
      </w:pPr>
    </w:p>
    <w:p>
      <w:pPr>
        <w:jc w:val="both"/>
        <w:ind w:left="40" w:firstLine="601"/>
        <w:spacing w:after="0" w:line="237" w:lineRule="auto"/>
        <w:tabs>
          <w:tab w:leader="none" w:pos="115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 Assignment</w:t>
      </w:r>
      <w:r>
        <w:rPr>
          <w:rFonts w:ascii="Arial" w:cs="Arial" w:eastAsia="Arial" w:hAnsi="Arial"/>
          <w:sz w:val="18"/>
          <w:szCs w:val="18"/>
          <w:color w:val="auto"/>
        </w:rPr>
        <w:t>. This Subsidiary Guaranty Agreement, each Subsidiary Guaranty Joinder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terms, covenants and conditions hereof and thereof, shall be binding upon and inure to the benefit of the parties hereto and thereto, and to their respective heirs, legal representatives,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Subsidiary Guarantor shall be permitted to assign any of its rights, powers, duties or obligations under this Subsidiary Guaranty Agreement, any Subsidiary Guaranty Joinder Agreement or any other interest herein or therein except as expressly permitted herein or in the Credit Agreement. Without limiting the generality of the foregoing sentence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any Lender may assign to one or more Persons, or grant to one or more Persons participations in or to, all or any part of its rights and obligations under the Credit Agreement (to the extent permitted by the Credit Agreement); and to the extent of any such assignment or participation such other Person shall, to the fullest extent permitted by law, thereupon become vested with all the benefits in respect thereof granted to such Lender herein or otherwise, subject however, to the provisions of the Credit Agreement, including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thereof (concerning the Administrative Agent) and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thereof concerning assignments and participations. All references herein to the Administrative Agent shall include any successor thereof.</w:t>
      </w:r>
    </w:p>
    <w:p>
      <w:pPr>
        <w:spacing w:after="0" w:line="173" w:lineRule="exact"/>
        <w:rPr>
          <w:rFonts w:ascii="Arial" w:cs="Arial" w:eastAsia="Arial" w:hAnsi="Arial"/>
          <w:sz w:val="18"/>
          <w:szCs w:val="18"/>
          <w:b w:val="1"/>
          <w:bCs w:val="1"/>
          <w:color w:val="auto"/>
        </w:rPr>
      </w:pPr>
    </w:p>
    <w:p>
      <w:pPr>
        <w:jc w:val="both"/>
        <w:ind w:left="40" w:firstLine="601"/>
        <w:spacing w:after="0" w:line="224" w:lineRule="auto"/>
        <w:tabs>
          <w:tab w:leader="none" w:pos="1150"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Guaranteed Cash Management Agreements, Guaranteed Hedge Agreements and Guaranteed Permitted Standalone Letters of Credit</w:t>
      </w:r>
      <w:r>
        <w:rPr>
          <w:rFonts w:ascii="Arial" w:cs="Arial" w:eastAsia="Arial" w:hAnsi="Arial"/>
          <w:sz w:val="20"/>
          <w:szCs w:val="20"/>
          <w:color w:val="auto"/>
        </w:rPr>
        <w:t>. No Guaranteed Party (other than the Administrative Agent) that obtains the benefit of this Subsidiary Guaranty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have any right to notice of any action or to consent to, direct or object to any action hereunder (including the release, impairment or modification of any Subsidiary Guarantors’ Obligations 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0" w:name="page361"/>
    <w:bookmarkEnd w:id="360"/>
    <w:p>
      <w:pPr>
        <w:spacing w:after="0" w:line="91" w:lineRule="exact"/>
        <w:rPr>
          <w:sz w:val="20"/>
          <w:szCs w:val="20"/>
          <w:color w:val="auto"/>
        </w:rPr>
      </w:pPr>
    </w:p>
    <w:p>
      <w:pPr>
        <w:jc w:val="both"/>
        <w:ind w:left="40"/>
        <w:spacing w:after="0" w:line="224" w:lineRule="auto"/>
        <w:rPr>
          <w:sz w:val="20"/>
          <w:szCs w:val="20"/>
          <w:color w:val="auto"/>
        </w:rPr>
      </w:pPr>
      <w:r>
        <w:rPr>
          <w:rFonts w:ascii="Arial" w:cs="Arial" w:eastAsia="Arial" w:hAnsi="Arial"/>
          <w:sz w:val="19"/>
          <w:szCs w:val="19"/>
          <w:color w:val="auto"/>
        </w:rPr>
        <w:t xml:space="preserve">security therefor) other than in its capacity as a Lender or the L/C Issuer and, in such case, only to the extent expressly provided in the Loan Documents. Notwithstanding any other provision of this Subsidiary Guaranty Agreement to the contrary, the Administrative Agent shall only be required to verify the payment of, or that other satisfactory arrangement have been made with respect to, the Guaranteed Obligations arising under Guaranteed Cash Management Agreements, Guaranteed Hedge Agreements or Guaranteed Permitted Standalone Letters of Credit to the extent the Administrative Agent has received written notice of such Obligations, together with such supporting documentation as it may request, from the applicable Cash Management Bank, Hedge Bank or PSLOC Bank, as the case may be. Each Guaranteed Party not a party to the Credit Agreement that obtains the benefit of this Subsidiary Guaranty Agreement shall be deemed to have acknowledged and accepted the appointment of the Administrative Agent pursuant to the terms of the Credit Agreement, and that with respect to the actions and omissions of the Administrative Agent hereunder or otherwise relating hereto that do or may affect such Guaranteed Party, the Administrative Agent and each of its Related Parties shall be entitled to all the rights, benefits and immunities conferred under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1" w:name="page362"/>
    <w:bookmarkEnd w:id="361"/>
    <w:p>
      <w:pPr>
        <w:spacing w:after="0" w:line="86" w:lineRule="exact"/>
        <w:rPr>
          <w:sz w:val="20"/>
          <w:szCs w:val="20"/>
          <w:color w:val="auto"/>
        </w:rPr>
      </w:pPr>
    </w:p>
    <w:p>
      <w:pPr>
        <w:jc w:val="both"/>
        <w:ind w:left="40" w:firstLine="601"/>
        <w:spacing w:after="0" w:line="216" w:lineRule="auto"/>
        <w:tabs>
          <w:tab w:leader="none" w:pos="1150" w:val="left"/>
        </w:tabs>
        <w:numPr>
          <w:ilvl w:val="1"/>
          <w:numId w:val="3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provision of this Subsidiary Guaranty Agreement is held to be illegal, invalid or unenforceable, (a) the</w:t>
      </w:r>
      <w:r>
        <w:rPr>
          <w:rFonts w:ascii="Arial" w:cs="Arial" w:eastAsia="Arial" w:hAnsi="Arial"/>
          <w:sz w:val="20"/>
          <w:szCs w:val="20"/>
          <w:b w:val="1"/>
          <w:bCs w:val="1"/>
          <w:color w:val="auto"/>
        </w:rPr>
        <w:t xml:space="preserve"> </w:t>
      </w:r>
      <w:r>
        <w:rPr>
          <w:rFonts w:ascii="Arial" w:cs="Arial" w:eastAsia="Arial" w:hAnsi="Arial"/>
          <w:sz w:val="20"/>
          <w:szCs w:val="20"/>
          <w:color w:val="auto"/>
        </w:rPr>
        <w:t>legality, validity and enforceability of the remaining provisions of this Subsidiary Guaranty Agreement shall not be affected or impaired thereby and</w:t>
      </w:r>
    </w:p>
    <w:p>
      <w:pPr>
        <w:jc w:val="both"/>
        <w:ind w:left="40" w:firstLine="3"/>
        <w:spacing w:after="0" w:line="249" w:lineRule="auto"/>
        <w:tabs>
          <w:tab w:leader="none" w:pos="33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57" w:lineRule="exact"/>
        <w:rPr>
          <w:rFonts w:ascii="Arial" w:cs="Arial" w:eastAsia="Arial" w:hAnsi="Arial"/>
          <w:sz w:val="18"/>
          <w:szCs w:val="18"/>
          <w:color w:val="auto"/>
        </w:rPr>
      </w:pPr>
    </w:p>
    <w:p>
      <w:pPr>
        <w:jc w:val="both"/>
        <w:ind w:left="40" w:firstLine="601"/>
        <w:spacing w:after="0" w:line="221" w:lineRule="auto"/>
        <w:tabs>
          <w:tab w:leader="none" w:pos="1150" w:val="left"/>
        </w:tabs>
        <w:numPr>
          <w:ilvl w:val="1"/>
          <w:numId w:val="3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Subsidiary Guaranty Agreement may be executed in any number of counterparts each of which when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so executed and delivered shall be deemed an original, and it shall not be necessary in making proof of this Subsidiary Guaranty Agreement to produce or account for more than one such counterpart executed by the Subsidiary Guarantors against whom enforcement is sought. Without limiting the foregoing provisions of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Sections 10.10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10.17</w:t>
      </w:r>
      <w:r>
        <w:rPr>
          <w:rFonts w:ascii="Arial" w:cs="Arial" w:eastAsia="Arial" w:hAnsi="Arial"/>
          <w:sz w:val="20"/>
          <w:szCs w:val="20"/>
          <w:color w:val="auto"/>
        </w:rPr>
        <w:t xml:space="preserve"> of the Credit Agreement shall be applicable to this Subsidiary Guaranty Agreement.</w:t>
      </w:r>
    </w:p>
    <w:p>
      <w:pPr>
        <w:spacing w:after="0" w:line="164" w:lineRule="exact"/>
        <w:rPr>
          <w:rFonts w:ascii="Arial" w:cs="Arial" w:eastAsia="Arial" w:hAnsi="Arial"/>
          <w:sz w:val="20"/>
          <w:szCs w:val="20"/>
          <w:b w:val="1"/>
          <w:bCs w:val="1"/>
          <w:color w:val="auto"/>
        </w:rPr>
      </w:pPr>
    </w:p>
    <w:p>
      <w:pPr>
        <w:jc w:val="both"/>
        <w:ind w:left="40" w:firstLine="601"/>
        <w:spacing w:after="0" w:line="224" w:lineRule="auto"/>
        <w:tabs>
          <w:tab w:leader="none" w:pos="1150" w:val="left"/>
        </w:tabs>
        <w:numPr>
          <w:ilvl w:val="1"/>
          <w:numId w:val="3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Subject to reinstatement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b w:val="1"/>
          <w:bCs w:val="1"/>
          <w:color w:val="auto"/>
        </w:rPr>
        <w:t xml:space="preserve"> </w:t>
      </w:r>
      <w:r>
        <w:rPr>
          <w:rFonts w:ascii="Arial" w:cs="Arial" w:eastAsia="Arial" w:hAnsi="Arial"/>
          <w:sz w:val="20"/>
          <w:szCs w:val="20"/>
          <w:color w:val="auto"/>
        </w:rPr>
        <w:t>hereof, this Subsidiary Guaranty Agreement and each</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Guaranty Joinder Agreement, and all of the Subsidiary Guarantors’ Obligations hereunder (excluding those Subsidiary Guarantors’ obligations relating to Guaranteed Liabilities that expressly survive such termination) shall terminate on the Facility Termination Date.</w:t>
      </w:r>
    </w:p>
    <w:p>
      <w:pPr>
        <w:spacing w:after="0" w:line="165" w:lineRule="exact"/>
        <w:rPr>
          <w:rFonts w:ascii="Arial" w:cs="Arial" w:eastAsia="Arial" w:hAnsi="Arial"/>
          <w:sz w:val="20"/>
          <w:szCs w:val="20"/>
          <w:b w:val="1"/>
          <w:bCs w:val="1"/>
          <w:color w:val="auto"/>
        </w:rPr>
      </w:pPr>
    </w:p>
    <w:p>
      <w:pPr>
        <w:jc w:val="both"/>
        <w:ind w:left="40" w:firstLine="601"/>
        <w:spacing w:after="0" w:line="243" w:lineRule="auto"/>
        <w:tabs>
          <w:tab w:leader="none" w:pos="1150"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 Cumulative; Late Payments</w:t>
      </w:r>
      <w:r>
        <w:rPr>
          <w:rFonts w:ascii="Arial" w:cs="Arial" w:eastAsia="Arial" w:hAnsi="Arial"/>
          <w:sz w:val="18"/>
          <w:szCs w:val="18"/>
          <w:color w:val="auto"/>
        </w:rPr>
        <w:t>. All remedies hereunder are cumulative and are not exclusive of any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remedies of the Administrative Agent or any other Guaranteed Party provided by law or under the Credit Agreement, the other Loan Documents or other applicable agreements or instruments. The making of the Loans and other credit extensions pursuant to the Credit Agreement and other Related Agreements shall be conclusively presumed to have been made or extended, respectively, in reliance upon each Subsidiary Guarantor’s guaranty of the Guaranteed Liabilities pursuant to the terms hereof. Any amounts not paid when due under this Subsidiary Guaranty Agreement shall, upon the request of the Required Lenders, bear interest at the Default Rate.</w:t>
      </w:r>
    </w:p>
    <w:p>
      <w:pPr>
        <w:spacing w:after="0" w:line="165" w:lineRule="exact"/>
        <w:rPr>
          <w:rFonts w:ascii="Arial" w:cs="Arial" w:eastAsia="Arial" w:hAnsi="Arial"/>
          <w:sz w:val="18"/>
          <w:szCs w:val="18"/>
          <w:b w:val="1"/>
          <w:bCs w:val="1"/>
          <w:color w:val="auto"/>
        </w:rPr>
      </w:pPr>
    </w:p>
    <w:p>
      <w:pPr>
        <w:ind w:left="1160" w:hanging="519"/>
        <w:spacing w:after="0"/>
        <w:tabs>
          <w:tab w:leader="none" w:pos="1160"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hereunder or under any Subsidiary Guaranty Joinder Agreement shall be given,</w:t>
      </w:r>
    </w:p>
    <w:p>
      <w:pPr>
        <w:spacing w:after="0" w:line="14" w:lineRule="exact"/>
        <w:rPr>
          <w:rFonts w:ascii="Arial" w:cs="Arial" w:eastAsia="Arial" w:hAnsi="Arial"/>
          <w:sz w:val="18"/>
          <w:szCs w:val="18"/>
          <w:b w:val="1"/>
          <w:bCs w:val="1"/>
          <w:color w:val="auto"/>
        </w:rPr>
      </w:pPr>
    </w:p>
    <w:p>
      <w:pPr>
        <w:ind w:left="40" w:firstLine="3"/>
        <w:spacing w:after="0" w:line="208" w:lineRule="auto"/>
        <w:tabs>
          <w:tab w:leader="none" w:pos="312"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with respect to each Subsidiary Guarantor, at the address of the Company indicated in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of the Credit Agreement and (b) with respect to the Administrative Agent, at the Administrative Agent’s address indicated in </w:t>
      </w:r>
      <w:r>
        <w:rPr>
          <w:rFonts w:ascii="Arial" w:cs="Arial" w:eastAsia="Arial" w:hAnsi="Arial"/>
          <w:sz w:val="20"/>
          <w:szCs w:val="20"/>
          <w:u w:val="single" w:color="auto"/>
          <w:color w:val="auto"/>
        </w:rPr>
        <w:t>Schedule</w:t>
      </w:r>
    </w:p>
    <w:p>
      <w:pPr>
        <w:ind w:left="40"/>
        <w:spacing w:after="0" w:line="267" w:lineRule="auto"/>
        <w:rPr>
          <w:rFonts w:ascii="Arial" w:cs="Arial" w:eastAsia="Arial" w:hAnsi="Arial"/>
          <w:sz w:val="20"/>
          <w:szCs w:val="20"/>
          <w:color w:val="auto"/>
        </w:rPr>
      </w:pPr>
      <w:r>
        <w:rPr>
          <w:rFonts w:ascii="Arial" w:cs="Arial" w:eastAsia="Arial" w:hAnsi="Arial"/>
          <w:sz w:val="18"/>
          <w:szCs w:val="18"/>
          <w:u w:val="single" w:color="auto"/>
          <w:color w:val="auto"/>
        </w:rPr>
        <w:t>10.02</w:t>
      </w:r>
      <w:r>
        <w:rPr>
          <w:rFonts w:ascii="Arial" w:cs="Arial" w:eastAsia="Arial" w:hAnsi="Arial"/>
          <w:sz w:val="18"/>
          <w:szCs w:val="18"/>
          <w:color w:val="auto"/>
        </w:rPr>
        <w:t xml:space="preserve"> of the Credit Agreement. All such addresses may be modified, and all such notices shall be given and shall be effective, as provided in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Credit Agreement for the giving and effectiveness of notices and modifications of addresses thereunder.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2" w:name="page363"/>
    <w:bookmarkEnd w:id="362"/>
    <w:p>
      <w:pPr>
        <w:spacing w:after="0" w:line="86" w:lineRule="exact"/>
        <w:rPr>
          <w:sz w:val="20"/>
          <w:szCs w:val="20"/>
          <w:color w:val="auto"/>
        </w:rPr>
      </w:pPr>
    </w:p>
    <w:p>
      <w:pPr>
        <w:jc w:val="both"/>
        <w:ind w:left="40" w:firstLine="601"/>
        <w:spacing w:after="0" w:line="221" w:lineRule="auto"/>
        <w:tabs>
          <w:tab w:leader="none" w:pos="1150"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Joinder</w:t>
      </w:r>
      <w:r>
        <w:rPr>
          <w:rFonts w:ascii="Arial" w:cs="Arial" w:eastAsia="Arial" w:hAnsi="Arial"/>
          <w:sz w:val="20"/>
          <w:szCs w:val="20"/>
          <w:color w:val="auto"/>
        </w:rPr>
        <w:t>. Each Person that shall at any time execute and deliver to the Administrative Agent a Subsidiary Guaranty Joinder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shall thereupon irrevocably, absolutely and unconditionally become a party hereto and obligated hereunder as a Subsidiary Guarantor, and all references herein and in the other Loan Documents to the Subsidiary Guarantors or to the parties to this Subsidiary Guaranty Agreement shall be deemed to include such Person as a Subsidiary Guarantor hereunder.</w:t>
      </w:r>
    </w:p>
    <w:p>
      <w:pPr>
        <w:spacing w:after="0" w:line="164" w:lineRule="exact"/>
        <w:rPr>
          <w:rFonts w:ascii="Arial" w:cs="Arial" w:eastAsia="Arial" w:hAnsi="Arial"/>
          <w:sz w:val="20"/>
          <w:szCs w:val="20"/>
          <w:b w:val="1"/>
          <w:bCs w:val="1"/>
          <w:color w:val="auto"/>
        </w:rPr>
      </w:pPr>
    </w:p>
    <w:p>
      <w:pPr>
        <w:ind w:left="1240" w:hanging="599"/>
        <w:spacing w:after="0"/>
        <w:tabs>
          <w:tab w:leader="none" w:pos="1240"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 Etc.</w:t>
      </w:r>
    </w:p>
    <w:p>
      <w:pPr>
        <w:spacing w:after="0" w:line="269" w:lineRule="exact"/>
        <w:rPr>
          <w:rFonts w:ascii="Arial" w:cs="Arial" w:eastAsia="Arial" w:hAnsi="Arial"/>
          <w:sz w:val="20"/>
          <w:szCs w:val="20"/>
          <w:b w:val="1"/>
          <w:bCs w:val="1"/>
          <w:color w:val="auto"/>
        </w:rPr>
      </w:pPr>
    </w:p>
    <w:p>
      <w:pPr>
        <w:jc w:val="both"/>
        <w:ind w:left="640" w:firstLine="601"/>
        <w:spacing w:after="0" w:line="224" w:lineRule="auto"/>
        <w:tabs>
          <w:tab w:leader="none" w:pos="1747" w:val="left"/>
        </w:tabs>
        <w:numPr>
          <w:ilvl w:val="1"/>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THIS SUBSIDIARY GUARANTY AGREEMENT AND EACH SUBSIDIARY GUARANTY JOINDER AGREEMENT SHALL BE GOVERNED BY, AND CONSTRUED IN ACCORDANCE WITH, THE LAW OF THE STATE OF NEW YORK WITHOUT REGARD TO CONFLICT OF LAW PRINCIPLES WHICH WOULD REQUIRE THE APPLICATION OF THE LAWS OF ANOTHER JURISDICTION.</w:t>
      </w:r>
    </w:p>
    <w:p>
      <w:pPr>
        <w:spacing w:after="0" w:line="165" w:lineRule="exact"/>
        <w:rPr>
          <w:rFonts w:ascii="Arial" w:cs="Arial" w:eastAsia="Arial" w:hAnsi="Arial"/>
          <w:sz w:val="20"/>
          <w:szCs w:val="20"/>
          <w:b w:val="1"/>
          <w:bCs w:val="1"/>
          <w:color w:val="auto"/>
        </w:rPr>
      </w:pPr>
    </w:p>
    <w:p>
      <w:pPr>
        <w:jc w:val="both"/>
        <w:ind w:left="640" w:firstLine="601"/>
        <w:spacing w:after="0" w:line="212" w:lineRule="auto"/>
        <w:tabs>
          <w:tab w:leader="none" w:pos="1745" w:val="left"/>
        </w:tabs>
        <w:numPr>
          <w:ilvl w:val="1"/>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SUBSIDIARY GUARANTY AGREEMENT OR ANY SUBSIDIARY GUARANTY JOINDER AGREEMENT,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SUBSIDIARY GUARANTY AGREEMENT OR ANY SUBSIDIARY GUARANTY JOINDER AGREEMENT SHALL AFFECT ANY RIGHT THAT THE ADMINISTRATIVE AGENT OR ANY GUARANTEED PARTY MAY OTHERWISE HAVE TO BRING ANY ACTION OR PROCEEDING RELATING TO THIS SUBSIDIARY GUARANTY AGREEMENT OR ANY SUBSIDIARY GUARANTY JOINDER AGREEMENT AGAINST ANY SUBSIDIARY GUARANTOR OR ITS PROPERTIES IN THE COURTS OF ANY JURISDICTION.</w:t>
      </w:r>
    </w:p>
    <w:p>
      <w:pPr>
        <w:spacing w:after="0" w:line="166" w:lineRule="exact"/>
        <w:rPr>
          <w:rFonts w:ascii="Arial" w:cs="Arial" w:eastAsia="Arial" w:hAnsi="Arial"/>
          <w:sz w:val="20"/>
          <w:szCs w:val="20"/>
          <w:b w:val="1"/>
          <w:bCs w:val="1"/>
          <w:color w:val="auto"/>
        </w:rPr>
      </w:pPr>
    </w:p>
    <w:p>
      <w:pPr>
        <w:ind w:left="640" w:firstLine="601"/>
        <w:spacing w:after="0" w:line="239" w:lineRule="auto"/>
        <w:tabs>
          <w:tab w:leader="none" w:pos="1748" w:val="left"/>
        </w:tabs>
        <w:numPr>
          <w:ilvl w:val="1"/>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EACH PARTY HERETO IRREVOCABLY AND UNCONDITIONALLY WAIVES, TO THE FULLEST EXTENT PERMITTED BY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3" w:name="page364"/>
    <w:bookmarkEnd w:id="363"/>
    <w:p>
      <w:pPr>
        <w:spacing w:after="0" w:line="85" w:lineRule="exact"/>
        <w:rPr>
          <w:sz w:val="20"/>
          <w:szCs w:val="20"/>
          <w:color w:val="auto"/>
        </w:rPr>
      </w:pPr>
    </w:p>
    <w:p>
      <w:pPr>
        <w:jc w:val="both"/>
        <w:ind w:left="640"/>
        <w:spacing w:after="0" w:line="218" w:lineRule="auto"/>
        <w:rPr>
          <w:sz w:val="20"/>
          <w:szCs w:val="20"/>
          <w:color w:val="auto"/>
        </w:rPr>
      </w:pPr>
      <w:r>
        <w:rPr>
          <w:rFonts w:ascii="Arial" w:cs="Arial" w:eastAsia="Arial" w:hAnsi="Arial"/>
          <w:sz w:val="20"/>
          <w:szCs w:val="20"/>
          <w:b w:val="1"/>
          <w:bCs w:val="1"/>
          <w:color w:val="auto"/>
        </w:rPr>
        <w:t>APPLICABLE LAW, ANY OBJECTION THAT IT MAY NOW OR HEREAFTER HAVE TO THE LAYING OF VENUE OF ANY ACTION OR PROCEEDING ARISING OUT OF OR RELATING TO THIS SUBSIDIARY GUARANTY AGREEMENT OR ANY SUBSIDIARY GUARANTY JOINDER AGREEMENT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0" w:lineRule="exact"/>
        <w:rPr>
          <w:sz w:val="20"/>
          <w:szCs w:val="20"/>
          <w:color w:val="auto"/>
        </w:rPr>
      </w:pPr>
    </w:p>
    <w:p>
      <w:pPr>
        <w:jc w:val="both"/>
        <w:ind w:left="640" w:firstLine="601"/>
        <w:spacing w:after="0" w:line="224" w:lineRule="auto"/>
        <w:tabs>
          <w:tab w:leader="none" w:pos="1745" w:val="left"/>
        </w:tabs>
        <w:numPr>
          <w:ilvl w:val="2"/>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EACH PARTY HERETO IRREVOCABLY CONSENTS TO SERVICE OF PROCESS IN THE MANNER PROVIDED FOR NOTICES IN </w:t>
      </w:r>
      <w:r>
        <w:rPr>
          <w:rFonts w:ascii="Arial" w:cs="Arial" w:eastAsia="Arial" w:hAnsi="Arial"/>
          <w:sz w:val="20"/>
          <w:szCs w:val="20"/>
          <w:b w:val="1"/>
          <w:bCs w:val="1"/>
          <w:u w:val="single" w:color="auto"/>
          <w:color w:val="auto"/>
        </w:rPr>
        <w:t>SECTION 24</w:t>
      </w:r>
      <w:r>
        <w:rPr>
          <w:rFonts w:ascii="Arial" w:cs="Arial" w:eastAsia="Arial" w:hAnsi="Arial"/>
          <w:sz w:val="20"/>
          <w:szCs w:val="20"/>
          <w:b w:val="1"/>
          <w:bCs w:val="1"/>
          <w:color w:val="auto"/>
        </w:rPr>
        <w:t>. NOTHING IN THIS SUBSIDIARY GUARANTY AGREEMENT WILL AFFECT THE RIGHT OF ANY PARTY HERETO TO SERVE PROCESS IN ANY OTHER MANNER PERMITTED BY APPLICABLE LAW.</w:t>
      </w:r>
    </w:p>
    <w:p>
      <w:pPr>
        <w:spacing w:after="0" w:line="165" w:lineRule="exact"/>
        <w:rPr>
          <w:rFonts w:ascii="Arial" w:cs="Arial" w:eastAsia="Arial" w:hAnsi="Arial"/>
          <w:sz w:val="20"/>
          <w:szCs w:val="20"/>
          <w:b w:val="1"/>
          <w:bCs w:val="1"/>
          <w:color w:val="auto"/>
        </w:rPr>
      </w:pPr>
    </w:p>
    <w:p>
      <w:pPr>
        <w:jc w:val="both"/>
        <w:ind w:left="40" w:firstLine="601"/>
        <w:spacing w:after="0" w:line="214" w:lineRule="auto"/>
        <w:tabs>
          <w:tab w:leader="none" w:pos="1150" w:val="left"/>
        </w:tabs>
        <w:numPr>
          <w:ilvl w:val="1"/>
          <w:numId w:val="3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EACH PARTY HERETO HEREBY IRREVOCABLY WAIVES, TO THE FULLEST EXTENT PERMITTED BY APPLICABLE LAW, ANY RIGHT IT MAY HAVE TO A TRIAL BY JURY IN ANY LEGAL PROCEEDING DIRECTLY OR INDIRECTLY ARISING OUT OF OR RELATING TO THIS SUBSIDIARY GUARANTY AGREEMENT OR ANY SUBSIDIARY GUARANTY JOINDER AGREEMENT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SUBSIDIARY GUARANTY AGREEMENT OR ANY SUBSIDIARY GUARANTY JOINDER AGREEMENT BY, AMONG OTHER THINGS, THE MUTUAL WAIVERS AND CERTIFICATIONS IN THIS SECTION.</w:t>
      </w:r>
    </w:p>
    <w:p>
      <w:pPr>
        <w:spacing w:after="0" w:line="166" w:lineRule="exact"/>
        <w:rPr>
          <w:rFonts w:ascii="Arial" w:cs="Arial" w:eastAsia="Arial" w:hAnsi="Arial"/>
          <w:sz w:val="20"/>
          <w:szCs w:val="20"/>
          <w:b w:val="1"/>
          <w:bCs w:val="1"/>
          <w:color w:val="auto"/>
        </w:rPr>
      </w:pPr>
    </w:p>
    <w:p>
      <w:pPr>
        <w:jc w:val="both"/>
        <w:ind w:left="40" w:firstLine="528"/>
        <w:spacing w:after="0" w:line="239" w:lineRule="auto"/>
        <w:tabs>
          <w:tab w:leader="none" w:pos="1152"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Keepwell.</w:t>
      </w:r>
      <w:r>
        <w:rPr>
          <w:rFonts w:ascii="Arial" w:cs="Arial" w:eastAsia="Arial" w:hAnsi="Arial"/>
          <w:sz w:val="18"/>
          <w:szCs w:val="18"/>
          <w:b w:val="1"/>
          <w:bCs w:val="1"/>
          <w:color w:val="auto"/>
        </w:rPr>
        <w:t xml:space="preserve"> </w:t>
      </w:r>
      <w:r>
        <w:rPr>
          <w:rFonts w:ascii="Arial" w:cs="Arial" w:eastAsia="Arial" w:hAnsi="Arial"/>
          <w:sz w:val="18"/>
          <w:szCs w:val="18"/>
          <w:color w:val="auto"/>
        </w:rPr>
        <w:t>Each Subsidiary Guarantor that is a Qualified ECP Guarantor at the time this Subsidiary Guaranty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grant of the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(including this Subsidiary Guaranty Agreement) in respect of such Swap Obligation (but, in each case, only up to the maximum amount of such liability that can be hereby incurred without rendering such Subsidiary Guarantor’s obligations and undertakings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voidable under applicable law relating to fraudulent conveyance or fraudulent transfer, and not for any greater amount). The obligations and undertakings of each Subsidiary Guarantor that is a Qualified ECP Guarantor under this Section shall remain in full force and effect until the Obligations have been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4" w:name="page365"/>
    <w:bookmarkEnd w:id="364"/>
    <w:p>
      <w:pPr>
        <w:spacing w:after="0" w:line="91" w:lineRule="exact"/>
        <w:rPr>
          <w:sz w:val="20"/>
          <w:szCs w:val="20"/>
          <w:color w:val="auto"/>
        </w:rPr>
      </w:pPr>
    </w:p>
    <w:p>
      <w:pPr>
        <w:jc w:val="both"/>
        <w:ind w:left="40"/>
        <w:spacing w:after="0" w:line="227" w:lineRule="auto"/>
        <w:rPr>
          <w:sz w:val="20"/>
          <w:szCs w:val="20"/>
          <w:color w:val="auto"/>
        </w:rPr>
      </w:pPr>
      <w:r>
        <w:rPr>
          <w:rFonts w:ascii="Arial" w:cs="Arial" w:eastAsia="Arial" w:hAnsi="Arial"/>
          <w:sz w:val="20"/>
          <w:szCs w:val="20"/>
          <w:color w:val="auto"/>
        </w:rPr>
        <w:t>indefeasibly paid and performed in full. Each Subsidiary Guarantor that is a Qualified ECP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151153073</w:t>
      </w:r>
    </w:p>
    <w:p>
      <w:pPr>
        <w:sectPr>
          <w:pgSz w:w="11900" w:h="16838" w:orient="portrait"/>
          <w:cols w:equalWidth="0" w:num="1">
            <w:col w:w="11080"/>
          </w:cols>
          <w:pgMar w:left="360" w:top="1440" w:right="459" w:bottom="1440" w:gutter="0" w:footer="0" w:header="0"/>
        </w:sectPr>
      </w:pPr>
    </w:p>
    <w:bookmarkStart w:id="365" w:name="page366"/>
    <w:bookmarkEnd w:id="365"/>
    <w:p>
      <w:pPr>
        <w:spacing w:after="0" w:line="27" w:lineRule="exact"/>
        <w:rPr>
          <w:sz w:val="20"/>
          <w:szCs w:val="20"/>
          <w:color w:val="auto"/>
        </w:rPr>
      </w:pPr>
    </w:p>
    <w:p>
      <w:pPr>
        <w:ind w:firstLine="2"/>
        <w:spacing w:after="0" w:line="280" w:lineRule="auto"/>
        <w:rPr>
          <w:sz w:val="20"/>
          <w:szCs w:val="20"/>
          <w:color w:val="auto"/>
        </w:rPr>
      </w:pPr>
      <w:r>
        <w:rPr>
          <w:rFonts w:ascii="Arial" w:cs="Arial" w:eastAsia="Arial" w:hAnsi="Arial"/>
          <w:sz w:val="18"/>
          <w:szCs w:val="18"/>
          <w:b w:val="1"/>
          <w:bCs w:val="1"/>
          <w:color w:val="0C0C0E"/>
        </w:rPr>
        <w:t>IN WITNESS WHEREOF</w:t>
      </w:r>
      <w:r>
        <w:rPr>
          <w:rFonts w:ascii="Arial" w:cs="Arial" w:eastAsia="Arial" w:hAnsi="Arial"/>
          <w:sz w:val="18"/>
          <w:szCs w:val="18"/>
          <w:b w:val="1"/>
          <w:bCs w:val="1"/>
          <w:color w:val="2D2D2D"/>
        </w:rPr>
        <w:t>,</w:t>
      </w:r>
      <w:r>
        <w:rPr>
          <w:rFonts w:ascii="Arial" w:cs="Arial" w:eastAsia="Arial" w:hAnsi="Arial"/>
          <w:sz w:val="18"/>
          <w:szCs w:val="18"/>
          <w:b w:val="1"/>
          <w:bCs w:val="1"/>
          <w:color w:val="0C0C0E"/>
        </w:rPr>
        <w:t xml:space="preserve"> </w:t>
      </w:r>
      <w:r>
        <w:rPr>
          <w:rFonts w:ascii="Arial" w:cs="Arial" w:eastAsia="Arial" w:hAnsi="Arial"/>
          <w:sz w:val="18"/>
          <w:szCs w:val="18"/>
          <w:color w:val="0C0C0E"/>
        </w:rPr>
        <w:t>the parties hereto have duly executed and delivered this Subsidiary Guaranty Agreement as of the day and year first</w:t>
      </w:r>
      <w:r>
        <w:rPr>
          <w:rFonts w:ascii="Arial" w:cs="Arial" w:eastAsia="Arial" w:hAnsi="Arial"/>
          <w:sz w:val="18"/>
          <w:szCs w:val="18"/>
          <w:b w:val="1"/>
          <w:bCs w:val="1"/>
          <w:color w:val="0C0C0E"/>
        </w:rPr>
        <w:t xml:space="preserve"> </w:t>
      </w:r>
      <w:r>
        <w:rPr>
          <w:rFonts w:ascii="Arial" w:cs="Arial" w:eastAsia="Arial" w:hAnsi="Arial"/>
          <w:sz w:val="18"/>
          <w:szCs w:val="18"/>
          <w:color w:val="0C0C0E"/>
        </w:rPr>
        <w:t>written above</w:t>
      </w:r>
      <w:r>
        <w:rPr>
          <w:rFonts w:ascii="Arial" w:cs="Arial" w:eastAsia="Arial" w:hAnsi="Arial"/>
          <w:sz w:val="18"/>
          <w:szCs w:val="18"/>
          <w:color w:val="505052"/>
        </w:rPr>
        <w:t>.</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0C0C0E"/>
        </w:rPr>
        <w:t>SUBSIDIARY GUARANTORS:</w:t>
      </w:r>
    </w:p>
    <w:p>
      <w:pPr>
        <w:spacing w:after="0" w:line="26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BOTTOM LINE SERVICES, LLC</w:t>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Investor Manager</w:t>
      </w:r>
    </w:p>
    <w:p>
      <w:pPr>
        <w:spacing w:after="0" w:line="35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EC SOURCE SERVICES, LLC</w:t>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MASTEC NETWORK SOLUTIONS, LLC</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Executive Vice President</w:t>
      </w:r>
    </w:p>
    <w:p>
      <w:pPr>
        <w:spacing w:after="0" w:line="33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ENERGY ERECTORS, INC.</w:t>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MASTEC ETS SERVICE COMPANY, LLC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MASTEC NETWORK SOLUTIONS, INC.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MASTEC RESIDENTIAL SERVICES, LLC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MP DRILLING HOLDINGS, LLC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POWER PARTNERS MASTEC, INC.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POWER PARTNERS MASTEC, LLC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THREE PHASE LINE CONSTRUCTION, INC.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WANZEK CONSTRUCTION, INC.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MASTEC EQUIPMENT, INC.</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CASEY INDUSTRIAL, INC</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President</w:t>
      </w:r>
    </w:p>
    <w:p>
      <w:pPr>
        <w:spacing w:after="0" w:line="35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T&amp;D POWER, INC.</w:t>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ENERGY ENVIRONMENTAL GROUP, INC.</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740"/>
        <w:spacing w:after="0"/>
        <w:rPr>
          <w:sz w:val="20"/>
          <w:szCs w:val="20"/>
          <w:color w:val="auto"/>
        </w:rPr>
      </w:pPr>
      <w:r>
        <w:rPr>
          <w:rFonts w:ascii="Arial" w:cs="Arial" w:eastAsia="Arial" w:hAnsi="Arial"/>
          <w:sz w:val="15"/>
          <w:szCs w:val="15"/>
          <w:color w:val="0C0C0E"/>
        </w:rPr>
        <w:t>SUBSIDIARY GUARANTY AGREEMENT</w:t>
      </w:r>
    </w:p>
    <w:p>
      <w:pPr>
        <w:spacing w:after="0" w:line="2" w:lineRule="exact"/>
        <w:rPr>
          <w:sz w:val="20"/>
          <w:szCs w:val="20"/>
          <w:color w:val="auto"/>
        </w:rPr>
      </w:pPr>
    </w:p>
    <w:p>
      <w:pPr>
        <w:jc w:val="center"/>
        <w:ind w:right="6740"/>
        <w:spacing w:after="0"/>
        <w:rPr>
          <w:sz w:val="20"/>
          <w:szCs w:val="20"/>
          <w:color w:val="auto"/>
        </w:rPr>
      </w:pPr>
      <w:r>
        <w:rPr>
          <w:rFonts w:ascii="Arial" w:cs="Arial" w:eastAsia="Arial" w:hAnsi="Arial"/>
          <w:sz w:val="15"/>
          <w:szCs w:val="15"/>
          <w:color w:val="0C0C0E"/>
        </w:rPr>
        <w:t>Signature Page</w:t>
      </w:r>
    </w:p>
    <w:p>
      <w:pPr>
        <w:sectPr>
          <w:pgSz w:w="11900" w:h="16838" w:orient="portrait"/>
          <w:cols w:equalWidth="0" w:num="1">
            <w:col w:w="10640"/>
          </w:cols>
          <w:pgMar w:left="680" w:top="1440" w:right="579" w:bottom="1440" w:gutter="0" w:footer="0" w:header="0"/>
        </w:sectPr>
      </w:pPr>
    </w:p>
    <w:bookmarkStart w:id="366" w:name="page367"/>
    <w:bookmarkEnd w:id="366"/>
    <w:p>
      <w:pPr>
        <w:ind w:left="4500"/>
        <w:spacing w:after="0"/>
        <w:rPr>
          <w:sz w:val="20"/>
          <w:szCs w:val="20"/>
          <w:color w:val="auto"/>
        </w:rPr>
      </w:pPr>
      <w:r>
        <w:rPr>
          <w:rFonts w:ascii="Arial" w:cs="Arial" w:eastAsia="Arial" w:hAnsi="Arial"/>
          <w:sz w:val="18"/>
          <w:szCs w:val="18"/>
          <w:b w:val="1"/>
          <w:bCs w:val="1"/>
          <w:color w:val="auto"/>
        </w:rPr>
        <w:t>GO GREEN SERVICES, LLC</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Initial Manager</w:t>
      </w: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PRECISION ACQUISITION, LLC</w:t>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its sole member, </w:t>
      </w:r>
      <w:r>
        <w:rPr>
          <w:rFonts w:ascii="Arial" w:cs="Arial" w:eastAsia="Arial" w:hAnsi="Arial"/>
          <w:sz w:val="18"/>
          <w:szCs w:val="18"/>
          <w:b w:val="1"/>
          <w:bCs w:val="1"/>
          <w:color w:val="auto"/>
        </w:rPr>
        <w:t>MASTEC, INC.</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Chief Operating Officer</w:t>
      </w:r>
    </w:p>
    <w:p>
      <w:pPr>
        <w:spacing w:after="0" w:line="35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MASTEC POWER CORP.</w:t>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PRETEC DIRECTIONAL DRILLING, LLC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PUMPCO, INC.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SEFNCO COMMUNICATIONS, INC.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LEMARTEC CORPORATION</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FNF CONSTRUCTION, INC.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INFRASTRUCTURE DEVELOPMENT HOLDINGS, INC.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MASTEC RENEWABLES CONSTRUCTION COMPANY, INC.</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Vice President</w:t>
      </w:r>
    </w:p>
    <w:p>
      <w:pPr>
        <w:spacing w:after="0" w:line="35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PRECISION PIPELINE LLC</w:t>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PRECISION TRANSPORT COMPANY, LLC</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Paul DiMarco</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Paul DiMarco</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Vice President</w:t>
      </w: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MASTEC WIRELESS SERVICES, LLC</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George Pita</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19"/>
          <w:szCs w:val="19"/>
          <w:color w:val="0C0C0E"/>
        </w:rPr>
        <w:t>George Pita</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9"/>
          <w:szCs w:val="19"/>
          <w:color w:val="0C0C0E"/>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840"/>
        <w:spacing w:after="0"/>
        <w:rPr>
          <w:sz w:val="20"/>
          <w:szCs w:val="20"/>
          <w:color w:val="auto"/>
        </w:rPr>
      </w:pPr>
      <w:r>
        <w:rPr>
          <w:rFonts w:ascii="Arial" w:cs="Arial" w:eastAsia="Arial" w:hAnsi="Arial"/>
          <w:sz w:val="14"/>
          <w:szCs w:val="14"/>
          <w:color w:val="0C0C0E"/>
        </w:rPr>
        <w:t>SUBSIDIARY GUARANTY AGREEMENT</w:t>
      </w:r>
    </w:p>
    <w:p>
      <w:pPr>
        <w:spacing w:after="0" w:line="13" w:lineRule="exact"/>
        <w:rPr>
          <w:sz w:val="20"/>
          <w:szCs w:val="20"/>
          <w:color w:val="auto"/>
        </w:rPr>
      </w:pPr>
    </w:p>
    <w:p>
      <w:pPr>
        <w:jc w:val="center"/>
        <w:ind w:right="6840"/>
        <w:spacing w:after="0"/>
        <w:rPr>
          <w:sz w:val="20"/>
          <w:szCs w:val="20"/>
          <w:color w:val="auto"/>
        </w:rPr>
      </w:pPr>
      <w:r>
        <w:rPr>
          <w:rFonts w:ascii="Arial" w:cs="Arial" w:eastAsia="Arial" w:hAnsi="Arial"/>
          <w:sz w:val="15"/>
          <w:szCs w:val="15"/>
          <w:color w:val="0C0C0E"/>
        </w:rPr>
        <w:t>Signature Page</w:t>
      </w:r>
    </w:p>
    <w:p>
      <w:pPr>
        <w:sectPr>
          <w:pgSz w:w="11900" w:h="16838" w:orient="portrait"/>
          <w:cols w:equalWidth="0" w:num="1">
            <w:col w:w="9580"/>
          </w:cols>
          <w:pgMar w:left="1260" w:top="1405" w:right="1059" w:bottom="1440" w:gutter="0" w:footer="0" w:header="0"/>
        </w:sectPr>
      </w:pPr>
    </w:p>
    <w:bookmarkStart w:id="367" w:name="page368"/>
    <w:bookmarkEnd w:id="367"/>
    <w:p>
      <w:pPr>
        <w:ind w:left="4500"/>
        <w:spacing w:after="0"/>
        <w:rPr>
          <w:sz w:val="20"/>
          <w:szCs w:val="20"/>
          <w:color w:val="auto"/>
        </w:rPr>
      </w:pPr>
      <w:r>
        <w:rPr>
          <w:rFonts w:ascii="Arial" w:cs="Arial" w:eastAsia="Arial" w:hAnsi="Arial"/>
          <w:sz w:val="18"/>
          <w:szCs w:val="18"/>
          <w:b w:val="1"/>
          <w:bCs w:val="1"/>
          <w:color w:val="auto"/>
        </w:rPr>
        <w:t>CASH CONSTRUCTION COMPANY, INC.</w:t>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DECISIVE COMMUNICATIONS, INC.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WYCO FIELD SERVICES, LLC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A1 TRAFFIC CONTROL &amp; SAFETY, LLC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HANGING H COMPANIES, LLC</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SUPPORT OPERATIONS SERVICES, LLC</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Paul DiMarco</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Paul DiMarco</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Vice President</w:t>
      </w: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KINGSLEY CONSTRUCTORS, INC.</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Robert E. Apple</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Robert E. Apple</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459"/>
        <w:spacing w:after="0"/>
        <w:rPr>
          <w:sz w:val="20"/>
          <w:szCs w:val="20"/>
          <w:color w:val="auto"/>
        </w:rPr>
      </w:pPr>
      <w:r>
        <w:rPr>
          <w:rFonts w:ascii="Arial" w:cs="Arial" w:eastAsia="Arial" w:hAnsi="Arial"/>
          <w:sz w:val="14"/>
          <w:szCs w:val="14"/>
          <w:color w:val="0C0C0E"/>
        </w:rPr>
        <w:t>SUBSIDIARY GUARANTY AGREEMENT</w:t>
      </w:r>
    </w:p>
    <w:p>
      <w:pPr>
        <w:spacing w:after="0" w:line="13" w:lineRule="exact"/>
        <w:rPr>
          <w:sz w:val="20"/>
          <w:szCs w:val="20"/>
          <w:color w:val="auto"/>
        </w:rPr>
      </w:pPr>
    </w:p>
    <w:p>
      <w:pPr>
        <w:jc w:val="center"/>
        <w:ind w:right="6459"/>
        <w:spacing w:after="0"/>
        <w:rPr>
          <w:sz w:val="20"/>
          <w:szCs w:val="20"/>
          <w:color w:val="auto"/>
        </w:rPr>
      </w:pPr>
      <w:r>
        <w:rPr>
          <w:rFonts w:ascii="Arial" w:cs="Arial" w:eastAsia="Arial" w:hAnsi="Arial"/>
          <w:sz w:val="15"/>
          <w:szCs w:val="15"/>
          <w:color w:val="0C0C0E"/>
        </w:rPr>
        <w:t>Signature Page</w:t>
      </w:r>
    </w:p>
    <w:p>
      <w:pPr>
        <w:sectPr>
          <w:pgSz w:w="11900" w:h="16838" w:orient="portrait"/>
          <w:cols w:equalWidth="0" w:num="1">
            <w:col w:w="9199"/>
          </w:cols>
          <w:pgMar w:left="1260" w:top="1404" w:right="1440" w:bottom="1440" w:gutter="0" w:footer="0" w:header="0"/>
        </w:sectPr>
      </w:pPr>
    </w:p>
    <w:bookmarkStart w:id="368" w:name="page369"/>
    <w:bookmarkEnd w:id="368"/>
    <w:p>
      <w:pPr>
        <w:ind w:left="19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w:t>
      </w:r>
    </w:p>
    <w:p>
      <w:pPr>
        <w:spacing w:after="0" w:line="231" w:lineRule="exact"/>
        <w:rPr>
          <w:sz w:val="20"/>
          <w:szCs w:val="20"/>
          <w:color w:val="auto"/>
        </w:rPr>
      </w:pPr>
    </w:p>
    <w:p>
      <w:pPr>
        <w:ind w:left="3700"/>
        <w:spacing w:after="0"/>
        <w:rPr>
          <w:sz w:val="20"/>
          <w:szCs w:val="20"/>
          <w:color w:val="auto"/>
        </w:rPr>
      </w:pPr>
      <w:r>
        <w:rPr>
          <w:rFonts w:ascii="Arial" w:cs="Arial" w:eastAsia="Arial" w:hAnsi="Arial"/>
          <w:sz w:val="20"/>
          <w:szCs w:val="20"/>
          <w:i w:val="1"/>
          <w:iCs w:val="1"/>
          <w:color w:val="auto"/>
        </w:rPr>
        <w:t xml:space="preserve">By: </w:t>
      </w:r>
      <w:r>
        <w:rPr>
          <w:rFonts w:ascii="Arial" w:cs="Arial" w:eastAsia="Arial" w:hAnsi="Arial"/>
          <w:sz w:val="20"/>
          <w:szCs w:val="20"/>
          <w:i w:val="1"/>
          <w:iCs w:val="1"/>
          <w:u w:val="single" w:color="auto"/>
          <w:color w:val="auto"/>
        </w:rPr>
        <w:t>/s/ Felicia Brinson</w:t>
      </w:r>
    </w:p>
    <w:p>
      <w:pPr>
        <w:spacing w:after="0" w:line="24"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Name: Felicia Brinson</w:t>
      </w:r>
    </w:p>
    <w:p>
      <w:pPr>
        <w:spacing w:after="0" w:line="2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019"/>
          </w:cols>
          <w:pgMar w:left="1440" w:top="1288" w:right="1440" w:bottom="1440" w:gutter="0" w:footer="0" w:header="0"/>
        </w:sectPr>
      </w:pPr>
    </w:p>
    <w:bookmarkStart w:id="369" w:name="page370"/>
    <w:bookmarkEnd w:id="369"/>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69" w:lineRule="exact"/>
        <w:rPr>
          <w:sz w:val="20"/>
          <w:szCs w:val="20"/>
          <w:color w:val="auto"/>
        </w:rPr>
      </w:pPr>
    </w:p>
    <w:p>
      <w:pPr>
        <w:ind w:left="600" w:right="2640" w:firstLine="2079"/>
        <w:spacing w:after="0" w:line="337" w:lineRule="auto"/>
        <w:rPr>
          <w:sz w:val="20"/>
          <w:szCs w:val="20"/>
          <w:color w:val="auto"/>
        </w:rPr>
      </w:pPr>
      <w:r>
        <w:rPr>
          <w:rFonts w:ascii="Arial" w:cs="Arial" w:eastAsia="Arial" w:hAnsi="Arial"/>
          <w:sz w:val="20"/>
          <w:szCs w:val="20"/>
          <w:b w:val="1"/>
          <w:bCs w:val="1"/>
          <w:color w:val="auto"/>
        </w:rPr>
        <w:t xml:space="preserve">FORM OF SUBSIDIARY GUARANTY JOINDER AGREEMENT THIS SUBSIDIARY GUARANTY JOINDER AGREEMENT </w:t>
      </w:r>
      <w:r>
        <w:rPr>
          <w:rFonts w:ascii="Arial" w:cs="Arial" w:eastAsia="Arial" w:hAnsi="Arial"/>
          <w:sz w:val="20"/>
          <w:szCs w:val="20"/>
          <w:color w:val="auto"/>
        </w:rPr>
        <w:t>dated as of</w:t>
      </w:r>
    </w:p>
    <w:p>
      <w:pPr>
        <w:ind w:left="3060" w:hanging="109"/>
        <w:spacing w:after="0" w:line="208" w:lineRule="auto"/>
        <w:tabs>
          <w:tab w:leader="none" w:pos="3060" w:val="left"/>
        </w:tabs>
        <w:numPr>
          <w:ilvl w:val="1"/>
          <w:numId w:val="310"/>
        </w:numPr>
        <w:rPr>
          <w:rFonts w:ascii="Arial" w:cs="Arial" w:eastAsia="Arial" w:hAnsi="Arial"/>
          <w:sz w:val="20"/>
          <w:szCs w:val="20"/>
          <w:color w:val="auto"/>
        </w:rPr>
      </w:pPr>
      <w:r>
        <w:rPr>
          <w:rFonts w:ascii="Arial" w:cs="Arial" w:eastAsia="Arial" w:hAnsi="Arial"/>
          <w:sz w:val="20"/>
          <w:szCs w:val="20"/>
          <w:color w:val="auto"/>
        </w:rPr>
        <w:t>20   (this “</w:t>
      </w:r>
      <w:r>
        <w:rPr>
          <w:rFonts w:ascii="Arial" w:cs="Arial" w:eastAsia="Arial" w:hAnsi="Arial"/>
          <w:sz w:val="20"/>
          <w:szCs w:val="20"/>
          <w:u w:val="single" w:color="auto"/>
          <w:color w:val="auto"/>
        </w:rPr>
        <w:t>Subsidiary Guaranty Joinder Agreement</w:t>
      </w:r>
      <w:r>
        <w:rPr>
          <w:rFonts w:ascii="Arial" w:cs="Arial" w:eastAsia="Arial" w:hAnsi="Arial"/>
          <w:sz w:val="20"/>
          <w:szCs w:val="20"/>
          <w:color w:val="auto"/>
        </w:rPr>
        <w:t>”), is made by</w:t>
      </w:r>
    </w:p>
    <w:p>
      <w:pPr>
        <w:ind w:left="460" w:hanging="257"/>
        <w:spacing w:after="0" w:line="208" w:lineRule="auto"/>
        <w:tabs>
          <w:tab w:leader="none" w:pos="4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a(the  “</w:t>
      </w:r>
      <w:r>
        <w:rPr>
          <w:rFonts w:ascii="Arial" w:cs="Arial" w:eastAsia="Arial" w:hAnsi="Arial"/>
          <w:sz w:val="20"/>
          <w:szCs w:val="20"/>
          <w:u w:val="single" w:color="auto"/>
          <w:color w:val="auto"/>
        </w:rPr>
        <w:t>Joining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-132080</wp:posOffset>
            </wp:positionV>
            <wp:extent cx="1270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-132080</wp:posOffset>
            </wp:positionV>
            <wp:extent cx="1587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15875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270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470535</wp:posOffset>
            </wp:positionH>
            <wp:positionV relativeFrom="paragraph">
              <wp:posOffset>-5080</wp:posOffset>
            </wp:positionV>
            <wp:extent cx="1587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jc w:val="both"/>
        <w:spacing w:after="0" w:line="221" w:lineRule="auto"/>
        <w:rPr>
          <w:sz w:val="20"/>
          <w:szCs w:val="20"/>
          <w:color w:val="auto"/>
        </w:rPr>
      </w:pP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in favor of </w:t>
      </w:r>
      <w:r>
        <w:rPr>
          <w:rFonts w:ascii="Arial" w:cs="Arial" w:eastAsia="Arial" w:hAnsi="Arial"/>
          <w:sz w:val="20"/>
          <w:szCs w:val="20"/>
          <w:b w:val="1"/>
          <w:bCs w:val="1"/>
          <w:color w:val="auto"/>
        </w:rPr>
        <w:t>BANK OF AMERICA, N.A.</w:t>
      </w:r>
      <w:r>
        <w:rPr>
          <w:rFonts w:ascii="Arial" w:cs="Arial" w:eastAsia="Arial" w:hAnsi="Arial"/>
          <w:sz w:val="20"/>
          <w:szCs w:val="20"/>
          <w:color w:val="auto"/>
        </w:rPr>
        <w:t>, in its capacity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Guaranteed Parties (as defined in the Credit Agreement referenced below; all capitalized terms used but not defined herein shall have the meanings provided therefor in such Credit Agreement).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RECITALS:</w:t>
      </w:r>
    </w:p>
    <w:p>
      <w:pPr>
        <w:spacing w:after="0" w:line="200" w:lineRule="exact"/>
        <w:rPr>
          <w:sz w:val="20"/>
          <w:szCs w:val="20"/>
          <w:color w:val="auto"/>
        </w:rPr>
      </w:pPr>
    </w:p>
    <w:p>
      <w:pPr>
        <w:jc w:val="both"/>
        <w:ind w:firstLine="601"/>
        <w:spacing w:after="0" w:line="222" w:lineRule="auto"/>
        <w:tabs>
          <w:tab w:leader="none" w:pos="1104" w:val="left"/>
        </w:tabs>
        <w:numPr>
          <w:ilvl w:val="0"/>
          <w:numId w:val="311"/>
        </w:numPr>
        <w:rPr>
          <w:rFonts w:ascii="Arial" w:cs="Arial" w:eastAsia="Arial" w:hAnsi="Arial"/>
          <w:sz w:val="20"/>
          <w:szCs w:val="20"/>
          <w:color w:val="auto"/>
        </w:rPr>
      </w:pPr>
      <w:r>
        <w:rPr>
          <w:rFonts w:ascii="Arial" w:cs="Arial" w:eastAsia="Arial" w:hAnsi="Arial"/>
          <w:sz w:val="20"/>
          <w:szCs w:val="20"/>
          <w:color w:val="auto"/>
        </w:rPr>
        <w:t>Mastec, Inc., a Florida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Mastec North America, Inc., a Florida corporation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and the Administrative Agent are party to that certain Credit Agreement dated as of November 1, 2021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247" w:lineRule="exact"/>
        <w:rPr>
          <w:rFonts w:ascii="Arial" w:cs="Arial" w:eastAsia="Arial" w:hAnsi="Arial"/>
          <w:sz w:val="20"/>
          <w:szCs w:val="20"/>
          <w:color w:val="auto"/>
        </w:rPr>
      </w:pPr>
    </w:p>
    <w:p>
      <w:pPr>
        <w:jc w:val="both"/>
        <w:ind w:right="20" w:firstLine="601"/>
        <w:spacing w:after="0" w:line="227" w:lineRule="auto"/>
        <w:tabs>
          <w:tab w:leader="none" w:pos="1106" w:val="left"/>
        </w:tabs>
        <w:numPr>
          <w:ilvl w:val="0"/>
          <w:numId w:val="311"/>
        </w:numPr>
        <w:rPr>
          <w:rFonts w:ascii="Arial" w:cs="Arial" w:eastAsia="Arial" w:hAnsi="Arial"/>
          <w:sz w:val="20"/>
          <w:szCs w:val="20"/>
          <w:color w:val="auto"/>
        </w:rPr>
      </w:pPr>
      <w:r>
        <w:rPr>
          <w:rFonts w:ascii="Arial" w:cs="Arial" w:eastAsia="Arial" w:hAnsi="Arial"/>
          <w:sz w:val="20"/>
          <w:szCs w:val="20"/>
          <w:color w:val="auto"/>
        </w:rPr>
        <w:t>Certain Subsidiaries of the Company and the Administrative Agent are party to that certain Subsidiary Guaranty Agreement dated as of November 1, 2021 (as amended, restated, supplemented or otherwise modified from time to time, the “</w:t>
      </w:r>
      <w:r>
        <w:rPr>
          <w:rFonts w:ascii="Arial" w:cs="Arial" w:eastAsia="Arial" w:hAnsi="Arial"/>
          <w:sz w:val="20"/>
          <w:szCs w:val="20"/>
          <w:u w:val="single" w:color="auto"/>
          <w:color w:val="auto"/>
        </w:rPr>
        <w:t>Subsidiary Guaranty</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46" w:lineRule="exact"/>
        <w:rPr>
          <w:rFonts w:ascii="Arial" w:cs="Arial" w:eastAsia="Arial" w:hAnsi="Arial"/>
          <w:sz w:val="20"/>
          <w:szCs w:val="20"/>
          <w:color w:val="auto"/>
        </w:rPr>
      </w:pPr>
    </w:p>
    <w:p>
      <w:pPr>
        <w:jc w:val="both"/>
        <w:ind w:firstLine="601"/>
        <w:spacing w:after="0" w:line="286" w:lineRule="auto"/>
        <w:tabs>
          <w:tab w:leader="none" w:pos="110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Joining Subsidiary Guarantor is a Subsidiary of the Company and is required by the terms of the Credit Agreement to be joined as a party to the Subsidiary Guaranty Agreement as a Subsidiary Guarantor (as defined in the Subsidiary Guaranty Agreement).</w:t>
      </w:r>
    </w:p>
    <w:p>
      <w:pPr>
        <w:spacing w:after="0" w:line="130" w:lineRule="exact"/>
        <w:rPr>
          <w:rFonts w:ascii="Arial" w:cs="Arial" w:eastAsia="Arial" w:hAnsi="Arial"/>
          <w:sz w:val="18"/>
          <w:szCs w:val="18"/>
          <w:color w:val="auto"/>
        </w:rPr>
      </w:pPr>
    </w:p>
    <w:p>
      <w:pPr>
        <w:jc w:val="both"/>
        <w:ind w:firstLine="601"/>
        <w:spacing w:after="0" w:line="227" w:lineRule="auto"/>
        <w:tabs>
          <w:tab w:leader="none" w:pos="1104"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The Joining Subsidiary Guarantor will materially benefit directly and indirectly from the making and maintenance of the extensions of credit made from time to time under the Credit Agreement, Guaranteed Cash Management Agreements, Guaranteed Hedge Agreements and Guaranteed Permitted Standalone Letters of Credit.</w:t>
      </w:r>
    </w:p>
    <w:p>
      <w:pPr>
        <w:spacing w:after="0" w:line="171" w:lineRule="exact"/>
        <w:rPr>
          <w:sz w:val="20"/>
          <w:szCs w:val="20"/>
          <w:color w:val="auto"/>
        </w:rPr>
      </w:pPr>
    </w:p>
    <w:p>
      <w:pPr>
        <w:jc w:val="both"/>
        <w:ind w:firstLine="598"/>
        <w:spacing w:after="0" w:line="227" w:lineRule="auto"/>
        <w:rPr>
          <w:sz w:val="20"/>
          <w:szCs w:val="20"/>
          <w:color w:val="auto"/>
        </w:rPr>
      </w:pPr>
      <w:r>
        <w:rPr>
          <w:rFonts w:ascii="Arial" w:cs="Arial" w:eastAsia="Arial" w:hAnsi="Arial"/>
          <w:sz w:val="20"/>
          <w:szCs w:val="20"/>
          <w:color w:val="auto"/>
        </w:rPr>
        <w:t>In order to induce the Guaranteed Parties to from time to time make and maintain extensions of credit under the Credit Agreement, Guaranteed Cash Management Agreements, Guaranteed Hedge Agreements and Guaranteed Permitted Standalone Letters of Credit, the Joining Subsidiary Guarantor hereby agrees as follows:</w:t>
      </w:r>
    </w:p>
    <w:p>
      <w:pPr>
        <w:spacing w:after="0" w:line="165" w:lineRule="exact"/>
        <w:rPr>
          <w:sz w:val="20"/>
          <w:szCs w:val="20"/>
          <w:color w:val="auto"/>
        </w:rPr>
      </w:pPr>
    </w:p>
    <w:p>
      <w:pPr>
        <w:jc w:val="both"/>
        <w:ind w:firstLine="601"/>
        <w:spacing w:after="0" w:line="232" w:lineRule="auto"/>
        <w:tabs>
          <w:tab w:leader="none" w:pos="1110" w:val="left"/>
        </w:tabs>
        <w:numPr>
          <w:ilvl w:val="0"/>
          <w:numId w:val="3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Joinder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Joining Subsidiary Guarantor hereby irrevocably, absolutely and unconditionally becomes a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Guaranty Agreement as a Subsidiary Guarantor and bound by all the terms, conditions, obligations, liabilities and undertakings of each Subsidiary Guarantor or to which each Subsidiary Guarantor is subject thereunder, including without limitation the joint and several, unconditional, absolute, continuing and irrevocable guarantee to the Administrative Agent for the benefit of the Guaranteed Parties of the payment and performance in full of the Guaranteed Liabilities (as defined in the Subsidiary</w:t>
      </w:r>
    </w:p>
    <w:p>
      <w:pPr>
        <w:sectPr>
          <w:pgSz w:w="11900" w:h="16838" w:orient="portrait"/>
          <w:cols w:equalWidth="0" w:num="1">
            <w:col w:w="11040"/>
          </w:cols>
          <w:pgMar w:left="400" w:top="1300" w:right="459" w:bottom="1440" w:gutter="0" w:footer="0" w:header="0"/>
        </w:sectPr>
      </w:pPr>
    </w:p>
    <w:bookmarkStart w:id="370" w:name="page371"/>
    <w:bookmarkEnd w:id="370"/>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Guaranty Agreement) whether now existing or hereafter arising, all with the same force and effect as if the Joining Subsidiary Guarantor were a signatory to the Subsidiary Guaranty Agreement.</w:t>
      </w:r>
    </w:p>
    <w:p>
      <w:pPr>
        <w:spacing w:after="0" w:line="166" w:lineRule="exact"/>
        <w:rPr>
          <w:sz w:val="20"/>
          <w:szCs w:val="20"/>
          <w:color w:val="auto"/>
        </w:rPr>
      </w:pPr>
    </w:p>
    <w:p>
      <w:pPr>
        <w:jc w:val="both"/>
        <w:ind w:firstLine="601"/>
        <w:spacing w:after="0" w:line="229" w:lineRule="auto"/>
        <w:tabs>
          <w:tab w:leader="none" w:pos="1110" w:val="left"/>
        </w:tabs>
        <w:numPr>
          <w:ilvl w:val="1"/>
          <w:numId w:val="3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Affirmations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Joining Subsidiary Guarantor hereby acknowledges and reaffirms as of the date hereof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itself, its properties and its affairs each of the waivers, representations, warranties, acknowledgements and certifications applicable to any Subsidiary Guarantor contained in the Subsidiary Guaranty Agreement.</w:t>
      </w:r>
    </w:p>
    <w:p>
      <w:pPr>
        <w:spacing w:after="0" w:line="165" w:lineRule="exact"/>
        <w:rPr>
          <w:rFonts w:ascii="Arial" w:cs="Arial" w:eastAsia="Arial" w:hAnsi="Arial"/>
          <w:sz w:val="20"/>
          <w:szCs w:val="20"/>
          <w:b w:val="1"/>
          <w:bCs w:val="1"/>
          <w:color w:val="auto"/>
        </w:rPr>
      </w:pPr>
    </w:p>
    <w:p>
      <w:pPr>
        <w:ind w:left="1120" w:hanging="519"/>
        <w:spacing w:after="0"/>
        <w:tabs>
          <w:tab w:leader="none" w:pos="112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Subsidiary Guaranty Joinder Agreement is held to be illegal, invalid or unenforceable,</w:t>
      </w:r>
    </w:p>
    <w:p>
      <w:pPr>
        <w:spacing w:after="0" w:line="14" w:lineRule="exact"/>
        <w:rPr>
          <w:rFonts w:ascii="Arial" w:cs="Arial" w:eastAsia="Arial" w:hAnsi="Arial"/>
          <w:sz w:val="18"/>
          <w:szCs w:val="18"/>
          <w:b w:val="1"/>
          <w:bCs w:val="1"/>
          <w:color w:val="auto"/>
        </w:rPr>
      </w:pPr>
    </w:p>
    <w:p>
      <w:pPr>
        <w:jc w:val="both"/>
        <w:ind w:firstLine="3"/>
        <w:spacing w:after="0" w:line="216" w:lineRule="auto"/>
        <w:tabs>
          <w:tab w:leader="none" w:pos="306"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legality, validity and enforceability of the remaining provisions of this Subsidiary Guaranty Joinder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6" w:lineRule="exact"/>
        <w:rPr>
          <w:rFonts w:ascii="Arial" w:cs="Arial" w:eastAsia="Arial" w:hAnsi="Arial"/>
          <w:sz w:val="20"/>
          <w:szCs w:val="20"/>
          <w:color w:val="auto"/>
        </w:rPr>
      </w:pPr>
    </w:p>
    <w:p>
      <w:pPr>
        <w:jc w:val="both"/>
        <w:ind w:firstLine="601"/>
        <w:spacing w:after="0" w:line="221" w:lineRule="auto"/>
        <w:tabs>
          <w:tab w:leader="none" w:pos="1110" w:val="left"/>
        </w:tabs>
        <w:numPr>
          <w:ilvl w:val="1"/>
          <w:numId w:val="3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Subsidiary Guaranty Joinder Agreement may be executed in any number of counterparts each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when so executed and delivered shall be deemed an original, and it shall not be necessary in making proof of this Subsidiary Guaranty Joinder Agreement to produce or account for more than one such counterpart executed by the Joining Subsidiary Guarantor. Without limiting the foregoing provisions of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Sections 10.10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10.17</w:t>
      </w:r>
      <w:r>
        <w:rPr>
          <w:rFonts w:ascii="Arial" w:cs="Arial" w:eastAsia="Arial" w:hAnsi="Arial"/>
          <w:sz w:val="20"/>
          <w:szCs w:val="20"/>
          <w:color w:val="auto"/>
        </w:rPr>
        <w:t xml:space="preserve"> of the Credit Agreement shall be applicable to this Subsidiary Guaranty Joinder Agreement.</w:t>
      </w:r>
    </w:p>
    <w:p>
      <w:pPr>
        <w:spacing w:after="0" w:line="164" w:lineRule="exact"/>
        <w:rPr>
          <w:rFonts w:ascii="Arial" w:cs="Arial" w:eastAsia="Arial" w:hAnsi="Arial"/>
          <w:sz w:val="20"/>
          <w:szCs w:val="20"/>
          <w:b w:val="1"/>
          <w:bCs w:val="1"/>
          <w:color w:val="auto"/>
        </w:rPr>
      </w:pPr>
    </w:p>
    <w:p>
      <w:pPr>
        <w:jc w:val="both"/>
        <w:ind w:firstLine="601"/>
        <w:spacing w:after="0" w:line="232" w:lineRule="auto"/>
        <w:tabs>
          <w:tab w:leader="none" w:pos="1110" w:val="left"/>
        </w:tabs>
        <w:numPr>
          <w:ilvl w:val="1"/>
          <w:numId w:val="3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Delivery</w:t>
      </w:r>
      <w:r>
        <w:rPr>
          <w:rFonts w:ascii="Arial" w:cs="Arial" w:eastAsia="Arial" w:hAnsi="Arial"/>
          <w:sz w:val="19"/>
          <w:szCs w:val="19"/>
          <w:color w:val="auto"/>
        </w:rPr>
        <w:t>. The Joining Subsidiary Guarantor hereby irrevocably waives notice of acceptance of this Subsidiary Guaranty</w:t>
      </w:r>
      <w:r>
        <w:rPr>
          <w:rFonts w:ascii="Arial" w:cs="Arial" w:eastAsia="Arial" w:hAnsi="Arial"/>
          <w:sz w:val="19"/>
          <w:szCs w:val="19"/>
          <w:b w:val="1"/>
          <w:bCs w:val="1"/>
          <w:color w:val="auto"/>
        </w:rPr>
        <w:t xml:space="preserve"> </w:t>
      </w:r>
      <w:r>
        <w:rPr>
          <w:rFonts w:ascii="Arial" w:cs="Arial" w:eastAsia="Arial" w:hAnsi="Arial"/>
          <w:sz w:val="19"/>
          <w:szCs w:val="19"/>
          <w:color w:val="auto"/>
        </w:rPr>
        <w:t>Joinder Agreement and acknowledges that the Guaranteed Liabilities are and shall be deemed to be incurred, and credit extensions under the Loan Documents, Guaranteed Cash Management Agreements, Guaranteed Hedge Agreements and Guaranteed Permitted Standalone Letters of Credit made and maintained, in reliance on this Subsidiary Guaranty Joinder Agreement and the Joining Subsidiary Guarantor’s joinder as a party to the Subsidiary Guaranty Agreement as herein provided.</w:t>
      </w:r>
    </w:p>
    <w:p>
      <w:pPr>
        <w:spacing w:after="0" w:line="167" w:lineRule="exact"/>
        <w:rPr>
          <w:rFonts w:ascii="Arial" w:cs="Arial" w:eastAsia="Arial" w:hAnsi="Arial"/>
          <w:sz w:val="19"/>
          <w:szCs w:val="19"/>
          <w:b w:val="1"/>
          <w:bCs w:val="1"/>
          <w:color w:val="auto"/>
        </w:rPr>
      </w:pPr>
    </w:p>
    <w:p>
      <w:pPr>
        <w:ind w:firstLine="601"/>
        <w:spacing w:after="0" w:line="239" w:lineRule="auto"/>
        <w:tabs>
          <w:tab w:leader="none" w:pos="1110" w:val="left"/>
        </w:tabs>
        <w:numPr>
          <w:ilvl w:val="1"/>
          <w:numId w:val="3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 Waiver of Jury Trial; Etc.</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26</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27</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Subsidiary</w:t>
      </w:r>
      <w:r>
        <w:rPr>
          <w:rFonts w:ascii="Arial" w:cs="Arial" w:eastAsia="Arial" w:hAnsi="Arial"/>
          <w:sz w:val="20"/>
          <w:szCs w:val="20"/>
          <w:b w:val="1"/>
          <w:bCs w:val="1"/>
          <w:color w:val="auto"/>
        </w:rPr>
        <w:t xml:space="preserve"> </w:t>
      </w:r>
      <w:r>
        <w:rPr>
          <w:rFonts w:ascii="Arial" w:cs="Arial" w:eastAsia="Arial" w:hAnsi="Arial"/>
          <w:sz w:val="20"/>
          <w:szCs w:val="20"/>
          <w:color w:val="auto"/>
        </w:rPr>
        <w:t>Guaranty Agreement are hereby incorporated by reference as if fully set forth herein.</w:t>
      </w:r>
    </w:p>
    <w:p>
      <w:pPr>
        <w:sectPr>
          <w:pgSz w:w="11900" w:h="16838" w:orient="portrait"/>
          <w:cols w:equalWidth="0" w:num="1">
            <w:col w:w="11040"/>
          </w:cols>
          <w:pgMar w:left="400" w:top="1440" w:right="459" w:bottom="1440" w:gutter="0" w:footer="0" w:header="0"/>
        </w:sectPr>
      </w:pPr>
    </w:p>
    <w:bookmarkStart w:id="371" w:name="page372"/>
    <w:bookmarkEnd w:id="371"/>
    <w:p>
      <w:pPr>
        <w:spacing w:after="0" w:line="85" w:lineRule="exact"/>
        <w:rPr>
          <w:sz w:val="20"/>
          <w:szCs w:val="20"/>
          <w:color w:val="auto"/>
        </w:rPr>
      </w:pPr>
    </w:p>
    <w:p>
      <w:pPr>
        <w:ind w:firstLine="598"/>
        <w:spacing w:after="0" w:line="23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Joining Subsidiary Guarantor has duly executed and delivered this Subsidiary Guaranty Joinder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of the day and year first written above.</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JOINING SUBSIDIARY GUARANTOR: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0"/>
        <w:spacing w:after="0"/>
        <w:tabs>
          <w:tab w:leader="none" w:pos="3520" w:val="left"/>
          <w:tab w:leader="none" w:pos="4300" w:val="left"/>
        </w:tabs>
        <w:rPr>
          <w:sz w:val="20"/>
          <w:szCs w:val="20"/>
          <w:color w:val="auto"/>
        </w:rPr>
      </w:pPr>
      <w:r>
        <w:rPr>
          <w:rFonts w:ascii="Arial" w:cs="Arial" w:eastAsia="Arial" w:hAnsi="Arial"/>
          <w:sz w:val="20"/>
          <w:szCs w:val="20"/>
          <w:color w:val="auto"/>
        </w:rPr>
        <w:t>By:</w:t>
        <w:tab/>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-14605</wp:posOffset>
            </wp:positionV>
            <wp:extent cx="1270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-14605</wp:posOffset>
            </wp:positionV>
            <wp:extent cx="1270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127000" cy="762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-14605</wp:posOffset>
            </wp:positionV>
            <wp:extent cx="1270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127000" cy="7620"/>
                    </a:xfrm>
                    <a:prstGeom prst="rect">
                      <a:avLst/>
                    </a:prstGeom>
                    <a:noFill/>
                  </pic:spPr>
                </pic:pic>
              </a:graphicData>
            </a:graphic>
          </wp:anchor>
        </w:drawing>
      </w:r>
    </w:p>
    <w:p>
      <w:pPr>
        <w:sectPr>
          <w:pgSz w:w="11900" w:h="16838" w:orient="portrait"/>
          <w:cols w:equalWidth="0" w:num="1">
            <w:col w:w="10920"/>
          </w:cols>
          <w:pgMar w:left="400" w:top="1440" w:right="579" w:bottom="1440" w:gutter="0" w:footer="0" w:header="0"/>
        </w:sectPr>
      </w:pPr>
    </w:p>
    <w:bookmarkStart w:id="372" w:name="page373"/>
    <w:bookmarkEnd w:id="372"/>
    <w:p>
      <w:pPr>
        <w:jc w:val="right"/>
        <w:spacing w:after="0"/>
        <w:rPr>
          <w:sz w:val="20"/>
          <w:szCs w:val="20"/>
          <w:color w:val="auto"/>
        </w:rPr>
      </w:pPr>
      <w:r>
        <w:rPr>
          <w:rFonts w:ascii="Arial" w:cs="Arial" w:eastAsia="Arial" w:hAnsi="Arial"/>
          <w:sz w:val="15"/>
          <w:szCs w:val="15"/>
          <w:b w:val="1"/>
          <w:bCs w:val="1"/>
          <w:color w:val="auto"/>
        </w:rPr>
        <w:t>Exhibit 21</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MasTec, Inc.</w:t>
      </w:r>
    </w:p>
    <w:p>
      <w:pPr>
        <w:spacing w:after="0" w:line="5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SUBSIDIARIES OF MASTEC, INC.</w:t>
      </w:r>
    </w:p>
    <w:p>
      <w:pPr>
        <w:spacing w:after="0" w:line="30"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December 31, 2021</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NORTH AMERICA</w:t>
      </w:r>
    </w:p>
    <w:p>
      <w:pPr>
        <w:sectPr>
          <w:pgSz w:w="11900" w:h="16838" w:orient="portrait"/>
          <w:cols w:equalWidth="0" w:num="1">
            <w:col w:w="10120"/>
          </w:cols>
          <w:pgMar w:left="1440" w:top="83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A-1 Excavating, LLC (WI)</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Cash Construction Company, Inc. (TX)</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Decisive Communications, Inc. (MD)</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EC Source Services, LLC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FNF Construction, Inc. (AZ)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(100% owned by Infrastructure Holdings Corporation) (DE))</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(100% owned by MasTec North America, Inc.)</w:t>
      </w:r>
    </w:p>
    <w:p>
      <w:pPr>
        <w:spacing w:after="0" w:line="200" w:lineRule="exact"/>
        <w:rPr>
          <w:sz w:val="20"/>
          <w:szCs w:val="20"/>
          <w:color w:val="auto"/>
        </w:rPr>
      </w:pPr>
    </w:p>
    <w:p>
      <w:pPr>
        <w:sectPr>
          <w:pgSz w:w="11900" w:h="16838" w:orient="portrait"/>
          <w:cols w:equalWidth="0" w:num="2">
            <w:col w:w="3660" w:space="720"/>
            <w:col w:w="5740"/>
          </w:cols>
          <w:pgMar w:left="1440" w:top="839" w:right="339" w:bottom="1440" w:gutter="0" w:footer="0" w:header="0"/>
          <w:type w:val="continuous"/>
        </w:sectPr>
      </w:pPr>
    </w:p>
    <w:p>
      <w:pPr>
        <w:spacing w:after="0" w:line="9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Henkels &amp; McCoy Holdings, Inc. (PA)</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Intren, LLC (IL)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Lemartec Corporation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New Stout Excavating Group, LLC</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Canada, Inc. (Canada)</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Comanche, LLC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Cooperateif (UA) (NL)</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MasTec Network Solutions, LLC f/k/a Nsoro MasTec, LLC (FL)</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North America, Inc.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Pipeline Holdings, LLC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MasTec TPP, LLC (FL)</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Precision Pipeline LLC (WI)</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Pumpco, Inc. (TX)</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SEFNCO Communications, Inc. (CA)</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Three Phase Line Construction, Inc. (NH)</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Wanzek Construction, Inc. (ND)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(100% owned by Pacer Construction Holdings Corporation (Canada))</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(100% owned by MasTec Canadian Holdco ULC (Canada))</w:t>
      </w:r>
    </w:p>
    <w:p>
      <w:pPr>
        <w:ind w:left="600"/>
        <w:spacing w:after="0"/>
        <w:rPr>
          <w:sz w:val="20"/>
          <w:szCs w:val="20"/>
          <w:color w:val="auto"/>
        </w:rPr>
      </w:pPr>
      <w:r>
        <w:rPr>
          <w:rFonts w:ascii="Arial" w:cs="Arial" w:eastAsia="Arial" w:hAnsi="Arial"/>
          <w:sz w:val="15"/>
          <w:szCs w:val="15"/>
          <w:color w:val="auto"/>
        </w:rPr>
        <w:t>(100% owned by MasTec Cooperateif (UA))</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Pipeline Holdings, LLC)</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(99.99% owned by MasTec North America, Inc.)</w:t>
      </w:r>
    </w:p>
    <w:p>
      <w:pPr>
        <w:spacing w:after="0"/>
        <w:rPr>
          <w:sz w:val="20"/>
          <w:szCs w:val="20"/>
          <w:color w:val="auto"/>
        </w:rPr>
      </w:pPr>
      <w:r>
        <w:rPr>
          <w:rFonts w:ascii="Arial" w:cs="Arial" w:eastAsia="Arial" w:hAnsi="Arial"/>
          <w:sz w:val="15"/>
          <w:szCs w:val="15"/>
          <w:color w:val="auto"/>
        </w:rPr>
        <w:t>(0.01% owned by MasTec Foreign Holdings, LLC (FL))</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Pipeline Holdings, LLC)</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(100% owned by Precision Acquisition, LLC (WI))</w:t>
      </w:r>
    </w:p>
    <w:p>
      <w:pPr>
        <w:ind w:left="300"/>
        <w:spacing w:after="0"/>
        <w:rPr>
          <w:sz w:val="20"/>
          <w:szCs w:val="20"/>
          <w:color w:val="auto"/>
        </w:rPr>
      </w:pPr>
      <w:r>
        <w:rPr>
          <w:rFonts w:ascii="Arial" w:cs="Arial" w:eastAsia="Arial" w:hAnsi="Arial"/>
          <w:sz w:val="15"/>
          <w:szCs w:val="15"/>
          <w:color w:val="auto"/>
        </w:rPr>
        <w:t>(100% owned by MasTec, Inc.)</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Inc.)</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(100% owned by MasTec North America, Inc.)</w:t>
      </w:r>
    </w:p>
    <w:p>
      <w:pPr>
        <w:spacing w:after="0" w:line="200" w:lineRule="exact"/>
        <w:rPr>
          <w:sz w:val="20"/>
          <w:szCs w:val="20"/>
          <w:color w:val="auto"/>
        </w:rPr>
      </w:pPr>
    </w:p>
    <w:p>
      <w:pPr>
        <w:sectPr>
          <w:pgSz w:w="11900" w:h="16838" w:orient="portrait"/>
          <w:cols w:equalWidth="0" w:num="2">
            <w:col w:w="4140" w:space="240"/>
            <w:col w:w="5740"/>
          </w:cols>
          <w:pgMar w:left="1440" w:top="839" w:right="339" w:bottom="1440" w:gutter="0" w:footer="0" w:header="0"/>
          <w:type w:val="continuous"/>
        </w:sect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Certain other subsidiaries have been omitted because, in the aggregate, they would not constitute a significant subsidiary.</w:t>
      </w:r>
    </w:p>
    <w:p>
      <w:pPr>
        <w:sectPr>
          <w:pgSz w:w="11900" w:h="16838" w:orient="portrait"/>
          <w:cols w:equalWidth="0" w:num="1">
            <w:col w:w="10120"/>
          </w:cols>
          <w:pgMar w:left="1440" w:top="839" w:right="339" w:bottom="1440" w:gutter="0" w:footer="0" w:header="0"/>
          <w:type w:val="continuous"/>
        </w:sectPr>
      </w:pPr>
    </w:p>
    <w:bookmarkStart w:id="373" w:name="page374"/>
    <w:bookmarkEnd w:id="373"/>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MasTec,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Coral Gables, Florida</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We hereby consent to the incorporation by reference in the Registration Statements on Form S-3 (No. 333-235597) and Form S-8 (Nos. 333-256905, 333-139996, 333-112010, 333-105781, 333-105516, 333-38932, 333-77823, 333-47003, 333-38940, 333-30647, 333-174922, 333-188974, 333-209061, 333-64568, 033-55327 and 333-22465) of MasTec, Inc. (the "Company") of our reports dated March 1, 2022 relating to the consolidated financial statements and financial schedule, and the effectiveness of the Company’s internal control over financial reporting, which appear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i w:val="1"/>
          <w:iCs w:val="1"/>
          <w:color w:val="auto"/>
        </w:rPr>
        <w:t>BDO USA, LLP</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Miami, Florida</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ectPr>
          <w:pgSz w:w="11900" w:h="16838" w:orient="portrait"/>
          <w:cols w:equalWidth="0" w:num="1">
            <w:col w:w="11240"/>
          </w:cols>
          <w:pgMar w:left="320" w:top="839" w:right="3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REQUIRED BY SECTION 302(a)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I, José R. Mas, certify that: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I have reviewed this Form 10-K of MasTec, Inc.;</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sz w:val="20"/>
          <w:szCs w:val="20"/>
          <w:color w:val="auto"/>
        </w:rPr>
      </w:pPr>
    </w:p>
    <w:p>
      <w:pPr>
        <w:jc w:val="both"/>
        <w:ind w:left="420" w:hanging="8"/>
        <w:spacing w:after="0" w:line="255" w:lineRule="auto"/>
        <w:tabs>
          <w:tab w:leader="none" w:pos="631" w:val="left"/>
        </w:tabs>
        <w:numPr>
          <w:ilvl w:val="0"/>
          <w:numId w:val="3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5"/>
          <w:szCs w:val="15"/>
          <w:color w:val="auto"/>
        </w:rPr>
      </w:pPr>
    </w:p>
    <w:p>
      <w:pPr>
        <w:jc w:val="both"/>
        <w:ind w:left="420" w:hanging="8"/>
        <w:spacing w:after="0" w:line="255" w:lineRule="auto"/>
        <w:tabs>
          <w:tab w:leader="none" w:pos="647" w:val="left"/>
        </w:tabs>
        <w:numPr>
          <w:ilvl w:val="0"/>
          <w:numId w:val="3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5"/>
          <w:szCs w:val="15"/>
          <w:color w:val="auto"/>
        </w:rPr>
      </w:pPr>
    </w:p>
    <w:p>
      <w:pPr>
        <w:ind w:left="420" w:hanging="8"/>
        <w:spacing w:after="0" w:line="266" w:lineRule="auto"/>
        <w:tabs>
          <w:tab w:leader="none" w:pos="632" w:val="left"/>
        </w:tabs>
        <w:numPr>
          <w:ilvl w:val="0"/>
          <w:numId w:val="3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jc w:val="both"/>
        <w:ind w:left="420" w:hanging="8"/>
        <w:spacing w:after="0" w:line="255" w:lineRule="auto"/>
        <w:tabs>
          <w:tab w:leader="none" w:pos="645" w:val="left"/>
        </w:tabs>
        <w:numPr>
          <w:ilvl w:val="0"/>
          <w:numId w:val="3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sz w:val="20"/>
          <w:szCs w:val="20"/>
          <w:color w:val="auto"/>
        </w:rPr>
      </w:pPr>
    </w:p>
    <w:p>
      <w:pPr>
        <w:ind w:left="420" w:hanging="8"/>
        <w:spacing w:after="0" w:line="266" w:lineRule="auto"/>
        <w:tabs>
          <w:tab w:leader="none" w:pos="636" w:val="left"/>
        </w:tabs>
        <w:numPr>
          <w:ilvl w:val="0"/>
          <w:numId w:val="3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620" w:hanging="208"/>
        <w:spacing w:after="0"/>
        <w:tabs>
          <w:tab w:leader="none" w:pos="620" w:val="left"/>
        </w:tabs>
        <w:numPr>
          <w:ilvl w:val="0"/>
          <w:numId w:val="3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March 1, 2022</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972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1569720" cy="762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José R. Mas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Chief Executive Officer</w:t>
      </w:r>
    </w:p>
    <w:p>
      <w:pPr>
        <w:ind w:left="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39" w:right="3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5"/>
          <w:szCs w:val="15"/>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REQUIRED BY SECTION 302(a)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I, George L. Pita, certify that: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I have reviewed this Form 10-K of MasTec, Inc.;</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sz w:val="20"/>
          <w:szCs w:val="20"/>
          <w:color w:val="auto"/>
        </w:rPr>
      </w:pPr>
    </w:p>
    <w:p>
      <w:pPr>
        <w:jc w:val="both"/>
        <w:ind w:left="420" w:hanging="8"/>
        <w:spacing w:after="0" w:line="255" w:lineRule="auto"/>
        <w:tabs>
          <w:tab w:leader="none" w:pos="631" w:val="left"/>
        </w:tabs>
        <w:numPr>
          <w:ilvl w:val="0"/>
          <w:numId w:val="3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5"/>
          <w:szCs w:val="15"/>
          <w:color w:val="auto"/>
        </w:rPr>
      </w:pPr>
    </w:p>
    <w:p>
      <w:pPr>
        <w:jc w:val="both"/>
        <w:ind w:left="420" w:hanging="8"/>
        <w:spacing w:after="0" w:line="255" w:lineRule="auto"/>
        <w:tabs>
          <w:tab w:leader="none" w:pos="647" w:val="left"/>
        </w:tabs>
        <w:numPr>
          <w:ilvl w:val="0"/>
          <w:numId w:val="3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5"/>
          <w:szCs w:val="15"/>
          <w:color w:val="auto"/>
        </w:rPr>
      </w:pPr>
    </w:p>
    <w:p>
      <w:pPr>
        <w:ind w:left="420" w:hanging="8"/>
        <w:spacing w:after="0" w:line="266" w:lineRule="auto"/>
        <w:tabs>
          <w:tab w:leader="none" w:pos="632" w:val="left"/>
        </w:tabs>
        <w:numPr>
          <w:ilvl w:val="0"/>
          <w:numId w:val="3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jc w:val="both"/>
        <w:ind w:left="420" w:hanging="8"/>
        <w:spacing w:after="0" w:line="255" w:lineRule="auto"/>
        <w:tabs>
          <w:tab w:leader="none" w:pos="645" w:val="left"/>
        </w:tabs>
        <w:numPr>
          <w:ilvl w:val="0"/>
          <w:numId w:val="3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sz w:val="20"/>
          <w:szCs w:val="20"/>
          <w:color w:val="auto"/>
        </w:rPr>
      </w:pPr>
    </w:p>
    <w:p>
      <w:pPr>
        <w:ind w:left="420" w:hanging="8"/>
        <w:spacing w:after="0" w:line="266" w:lineRule="auto"/>
        <w:tabs>
          <w:tab w:leader="none" w:pos="63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620" w:hanging="208"/>
        <w:spacing w:after="0"/>
        <w:tabs>
          <w:tab w:leader="none" w:pos="6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March 1, 2022</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019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2790190" cy="762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George L. Pita</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Executive Vice President and Chief Financial Officer</w:t>
      </w:r>
    </w:p>
    <w:p>
      <w:pPr>
        <w:ind w:left="2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1240"/>
          </w:cols>
          <w:pgMar w:left="320" w:top="839" w:right="3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5"/>
          <w:szCs w:val="15"/>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0"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5"/>
          <w:szCs w:val="15"/>
          <w:color w:val="auto"/>
        </w:rPr>
        <w:t>In connection with the Annual Report of MasTec, Inc. (the “Company”) on Form 10-K for the year ended December 31, 2021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74" w:lineRule="exact"/>
        <w:rPr>
          <w:sz w:val="20"/>
          <w:szCs w:val="20"/>
          <w:color w:val="auto"/>
        </w:rPr>
      </w:pPr>
    </w:p>
    <w:p>
      <w:pPr>
        <w:ind w:left="620" w:hanging="208"/>
        <w:spacing w:after="0"/>
        <w:tabs>
          <w:tab w:leader="none" w:pos="6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2" w:lineRule="exact"/>
        <w:rPr>
          <w:rFonts w:ascii="Arial" w:cs="Arial" w:eastAsia="Arial" w:hAnsi="Arial"/>
          <w:sz w:val="15"/>
          <w:szCs w:val="15"/>
          <w:color w:val="auto"/>
        </w:rPr>
      </w:pPr>
    </w:p>
    <w:p>
      <w:pPr>
        <w:ind w:left="620" w:hanging="208"/>
        <w:spacing w:after="0"/>
        <w:tabs>
          <w:tab w:leader="none" w:pos="6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 xml:space="preserve">/s/ </w:t>
      </w:r>
      <w:r>
        <w:rPr>
          <w:rFonts w:ascii="Arial" w:cs="Arial" w:eastAsia="Arial" w:hAnsi="Arial"/>
          <w:sz w:val="13"/>
          <w:szCs w:val="13"/>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14605</wp:posOffset>
            </wp:positionV>
            <wp:extent cx="35591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3559175" cy="762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Name: José R. Mas</w:t>
      </w:r>
    </w:p>
    <w:p>
      <w:pPr>
        <w:ind w:left="5620"/>
        <w:spacing w:after="0"/>
        <w:rPr>
          <w:sz w:val="20"/>
          <w:szCs w:val="20"/>
          <w:color w:val="auto"/>
        </w:rPr>
      </w:pPr>
      <w:r>
        <w:rPr>
          <w:rFonts w:ascii="Arial" w:cs="Arial" w:eastAsia="Arial" w:hAnsi="Arial"/>
          <w:sz w:val="15"/>
          <w:szCs w:val="15"/>
          <w:color w:val="auto"/>
        </w:rPr>
        <w:t>Title: Chief Executive Officer</w:t>
      </w:r>
    </w:p>
    <w:p>
      <w:pPr>
        <w:spacing w:after="0" w:line="31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2021, or as a separate disclosure document of the Company or the certifying officers.</w:t>
      </w:r>
    </w:p>
    <w:p>
      <w:pPr>
        <w:sectPr>
          <w:pgSz w:w="11900" w:h="16838" w:orient="portrait"/>
          <w:cols w:equalWidth="0" w:num="1">
            <w:col w:w="11240"/>
          </w:cols>
          <w:pgMar w:left="320" w:top="839" w:right="3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5"/>
          <w:szCs w:val="15"/>
          <w:b w:val="1"/>
          <w:bCs w:val="1"/>
          <w:color w:val="auto"/>
        </w:rPr>
        <w:t>Exhibit 32.2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0"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5"/>
          <w:szCs w:val="15"/>
          <w:color w:val="auto"/>
        </w:rPr>
        <w:t>In connection with the Annual Report of MasTec, Inc. (the “Company”) on Form 10-K for the year ended December 31, 2021 as filed with the Securities and Exchange Commission on the date hereof (the “Report”), I, George L. Pita, Executive Vice President and Chief Financial Officer of the Company, certify, pursuant to 18 U.S.C. Section 1350, as adopted pursuant to Section 906 of the Sarbanes-Oxley Act of 2002, that, to the best of my knowledge:</w:t>
      </w:r>
    </w:p>
    <w:p>
      <w:pPr>
        <w:spacing w:after="0" w:line="174" w:lineRule="exact"/>
        <w:rPr>
          <w:sz w:val="20"/>
          <w:szCs w:val="20"/>
          <w:color w:val="auto"/>
        </w:rPr>
      </w:pPr>
    </w:p>
    <w:p>
      <w:pPr>
        <w:ind w:left="620" w:hanging="208"/>
        <w:spacing w:after="0"/>
        <w:tabs>
          <w:tab w:leader="none" w:pos="6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02" w:lineRule="exact"/>
        <w:rPr>
          <w:rFonts w:ascii="Arial" w:cs="Arial" w:eastAsia="Arial" w:hAnsi="Arial"/>
          <w:sz w:val="15"/>
          <w:szCs w:val="15"/>
          <w:color w:val="auto"/>
        </w:rPr>
      </w:pPr>
    </w:p>
    <w:p>
      <w:pPr>
        <w:ind w:left="620" w:hanging="208"/>
        <w:spacing w:after="0"/>
        <w:tabs>
          <w:tab w:leader="none" w:pos="6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14605</wp:posOffset>
            </wp:positionV>
            <wp:extent cx="355917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3559175" cy="762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Name: George L. Pita</w:t>
      </w:r>
    </w:p>
    <w:p>
      <w:pPr>
        <w:ind w:left="5620"/>
        <w:spacing w:after="0"/>
        <w:rPr>
          <w:sz w:val="20"/>
          <w:szCs w:val="20"/>
          <w:color w:val="auto"/>
        </w:rPr>
      </w:pPr>
      <w:r>
        <w:rPr>
          <w:rFonts w:ascii="Arial" w:cs="Arial" w:eastAsia="Arial" w:hAnsi="Arial"/>
          <w:sz w:val="15"/>
          <w:szCs w:val="15"/>
          <w:color w:val="auto"/>
        </w:rPr>
        <w:t>Title: Executive Vice President and Chief Financial Officer</w:t>
      </w:r>
    </w:p>
    <w:p>
      <w:pPr>
        <w:spacing w:after="0" w:line="30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2021, or as a separate disclosure document of the Company or the certifying officers.</w:t>
      </w:r>
    </w:p>
    <w:sectPr>
      <w:pgSz w:w="11900" w:h="16838" w:orient="portrait"/>
      <w:cols w:equalWidth="0" w:num="1">
        <w:col w:w="11240"/>
      </w:cols>
      <w:pgMar w:left="320"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
      <w:numFmt w:val="bullet"/>
      <w:start w:val="1"/>
    </w:lvl>
  </w:abstractNum>
  <w:abstractNum w:abstractNumId="2">
    <w:nsid w:val="16CF80F1"/>
    <w:multiLevelType w:val="hybridMultilevel"/>
    <w:lvl w:ilvl="0">
      <w:lvlJc w:val="left"/>
      <w:lvlText w:val="•"/>
      <w:numFmt w:val="bullet"/>
      <w:start w:val="1"/>
    </w:lvl>
  </w:abstractNum>
  <w:abstractNum w:abstractNumId="3">
    <w:nsid w:val="1C695DEC"/>
    <w:multiLevelType w:val="hybridMultilevel"/>
    <w:lvl w:ilvl="0">
      <w:lvlJc w:val="left"/>
      <w:lvlText w:val="•"/>
      <w:numFmt w:val="bullet"/>
      <w:start w:val="1"/>
    </w:lvl>
  </w:abstractNum>
  <w:abstractNum w:abstractNumId="4">
    <w:nsid w:val="3FCFAED9"/>
    <w:multiLevelType w:val="hybridMultilevel"/>
    <w:lvl w:ilvl="0">
      <w:lvlJc w:val="left"/>
      <w:lvlText w:val="•"/>
      <w:numFmt w:val="bullet"/>
      <w:start w:val="1"/>
    </w:lvl>
  </w:abstractNum>
  <w:abstractNum w:abstractNumId="5">
    <w:nsid w:val="F856867"/>
    <w:multiLevelType w:val="hybridMultilevel"/>
    <w:lvl w:ilvl="0">
      <w:lvlJc w:val="left"/>
      <w:lvlText w:val="•"/>
      <w:numFmt w:val="bullet"/>
      <w:start w:val="1"/>
    </w:lvl>
  </w:abstractNum>
  <w:abstractNum w:abstractNumId="6">
    <w:nsid w:val="11B1CC33"/>
    <w:multiLevelType w:val="hybridMultilevel"/>
    <w:lvl w:ilvl="0">
      <w:lvlJc w:val="left"/>
      <w:lvlText w:val="(%1)"/>
      <w:numFmt w:val="lowerLetter"/>
      <w:start w:val="1"/>
    </w:lvl>
  </w:abstractNum>
  <w:abstractNum w:abstractNumId="7">
    <w:nsid w:val="2E22FBB7"/>
    <w:multiLevelType w:val="hybridMultilevel"/>
    <w:lvl w:ilvl="0">
      <w:lvlJc w:val="left"/>
      <w:lvlText w:val="•"/>
      <w:numFmt w:val="bullet"/>
      <w:start w:val="1"/>
    </w:lvl>
  </w:abstractNum>
  <w:abstractNum w:abstractNumId="8">
    <w:nsid w:val="29934699"/>
    <w:multiLevelType w:val="hybridMultilevel"/>
    <w:lvl w:ilvl="0">
      <w:lvlJc w:val="left"/>
      <w:lvlText w:val="(%1)"/>
      <w:numFmt w:val="lowerLetter"/>
      <w:start w:val="1"/>
    </w:lvl>
  </w:abstractNum>
  <w:abstractNum w:abstractNumId="9">
    <w:nsid w:val="77485850"/>
    <w:multiLevelType w:val="hybridMultilevel"/>
    <w:lvl w:ilvl="0">
      <w:lvlJc w:val="left"/>
      <w:lvlText w:val="(%1)"/>
      <w:numFmt w:val="lowerLetter"/>
      <w:start w:val="1"/>
    </w:lvl>
  </w:abstractNum>
  <w:abstractNum w:abstractNumId="10">
    <w:nsid w:val="744939A3"/>
    <w:multiLevelType w:val="hybridMultilevel"/>
    <w:lvl w:ilvl="0">
      <w:lvlJc w:val="left"/>
      <w:lvlText w:val="•"/>
      <w:numFmt w:val="bullet"/>
      <w:start w:val="1"/>
    </w:lvl>
  </w:abstractNum>
  <w:abstractNum w:abstractNumId="11">
    <w:nsid w:val="4FA0D2E3"/>
    <w:multiLevelType w:val="hybridMultilevel"/>
    <w:lvl w:ilvl="0">
      <w:lvlJc w:val="left"/>
      <w:lvlText w:val="•"/>
      <w:numFmt w:val="bullet"/>
      <w:start w:val="1"/>
    </w:lvl>
    <w:lvl w:ilvl="1">
      <w:lvlJc w:val="left"/>
      <w:lvlText w:val="•"/>
      <w:numFmt w:val="bullet"/>
      <w:start w:val="1"/>
    </w:lvl>
  </w:abstractNum>
  <w:abstractNum w:abstractNumId="12">
    <w:nsid w:val="6B1D2C14"/>
    <w:multiLevelType w:val="hybridMultilevel"/>
    <w:lvl w:ilvl="0">
      <w:lvlJc w:val="left"/>
      <w:lvlText w:val="•"/>
      <w:numFmt w:val="bullet"/>
      <w:start w:val="1"/>
    </w:lvl>
    <w:lvl w:ilvl="1">
      <w:lvlJc w:val="left"/>
      <w:lvlText w:val="•"/>
      <w:numFmt w:val="bullet"/>
      <w:start w:val="1"/>
    </w:lvl>
  </w:abstractNum>
  <w:abstractNum w:abstractNumId="13">
    <w:nsid w:val="68B867D3"/>
    <w:multiLevelType w:val="hybridMultilevel"/>
    <w:lvl w:ilvl="0">
      <w:lvlJc w:val="left"/>
      <w:lvlText w:val="•"/>
      <w:numFmt w:val="bullet"/>
      <w:start w:val="1"/>
    </w:lvl>
  </w:abstractNum>
  <w:abstractNum w:abstractNumId="14">
    <w:nsid w:val="3F7F5DD9"/>
    <w:multiLevelType w:val="hybridMultilevel"/>
    <w:lvl w:ilvl="0">
      <w:lvlJc w:val="left"/>
      <w:lvlText w:val="(%1)"/>
      <w:numFmt w:val="decimal"/>
      <w:start w:val="5"/>
    </w:lvl>
  </w:abstractNum>
  <w:abstractNum w:abstractNumId="15">
    <w:nsid w:val="2AE05A34"/>
    <w:multiLevelType w:val="hybridMultilevel"/>
    <w:lvl w:ilvl="0">
      <w:lvlJc w:val="left"/>
      <w:lvlText w:val="(%1)"/>
      <w:numFmt w:val="lowerLetter"/>
      <w:start w:val="1"/>
    </w:lvl>
  </w:abstractNum>
  <w:abstractNum w:abstractNumId="16">
    <w:nsid w:val="32794FF7"/>
    <w:multiLevelType w:val="hybridMultilevel"/>
    <w:lvl w:ilvl="0">
      <w:lvlJc w:val="left"/>
      <w:lvlText w:val="(%1)"/>
      <w:numFmt w:val="lowerLetter"/>
      <w:start w:val="1"/>
    </w:lvl>
  </w:abstractNum>
  <w:abstractNum w:abstractNumId="17">
    <w:nsid w:val="5454945E"/>
    <w:multiLevelType w:val="hybridMultilevel"/>
    <w:lvl w:ilvl="0">
      <w:lvlJc w:val="left"/>
      <w:lvlText w:val="(%1)"/>
      <w:numFmt w:val="lowerLetter"/>
      <w:start w:val="1"/>
    </w:lvl>
  </w:abstractNum>
  <w:abstractNum w:abstractNumId="18">
    <w:nsid w:val="4DEFDFA0"/>
    <w:multiLevelType w:val="hybridMultilevel"/>
    <w:lvl w:ilvl="0">
      <w:lvlJc w:val="left"/>
      <w:lvlText w:val="(%1)"/>
      <w:numFmt w:val="lowerRoman"/>
      <w:start w:val="1"/>
    </w:lvl>
  </w:abstractNum>
  <w:abstractNum w:abstractNumId="19">
    <w:nsid w:val="2123D5F2"/>
    <w:multiLevelType w:val="hybridMultilevel"/>
    <w:lvl w:ilvl="0">
      <w:lvlJc w:val="left"/>
      <w:lvlText w:val="(%1)"/>
      <w:numFmt w:val="lowerRoman"/>
      <w:start w:val="4"/>
    </w:lvl>
  </w:abstractNum>
  <w:abstractNum w:abstractNumId="20">
    <w:nsid w:val="135B8110"/>
    <w:multiLevelType w:val="hybridMultilevel"/>
    <w:lvl w:ilvl="0">
      <w:lvlJc w:val="left"/>
      <w:lvlText w:val="(%1)"/>
      <w:numFmt w:val="lowerLetter"/>
      <w:start w:val="1"/>
    </w:lvl>
  </w:abstractNum>
  <w:abstractNum w:abstractNumId="21">
    <w:nsid w:val="94927A8"/>
    <w:multiLevelType w:val="hybridMultilevel"/>
    <w:lvl w:ilvl="0">
      <w:lvlJc w:val="left"/>
      <w:lvlText w:val="(%1)"/>
      <w:numFmt w:val="lowerLetter"/>
      <w:start w:val="1"/>
    </w:lvl>
  </w:abstractNum>
  <w:abstractNum w:abstractNumId="22">
    <w:nsid w:val="DCDF8F6"/>
    <w:multiLevelType w:val="hybridMultilevel"/>
    <w:lvl w:ilvl="0">
      <w:lvlJc w:val="left"/>
      <w:lvlText w:val="(%1)"/>
      <w:numFmt w:val="lowerLetter"/>
      <w:start w:val="1"/>
    </w:lvl>
  </w:abstractNum>
  <w:abstractNum w:abstractNumId="23">
    <w:nsid w:val="52D7B105"/>
    <w:multiLevelType w:val="hybridMultilevel"/>
    <w:lvl w:ilvl="0">
      <w:lvlJc w:val="left"/>
      <w:lvlText w:val="(%1)"/>
      <w:numFmt w:val="lowerLetter"/>
      <w:start w:val="1"/>
    </w:lvl>
  </w:abstractNum>
  <w:abstractNum w:abstractNumId="24">
    <w:nsid w:val="2E8A6394"/>
    <w:multiLevelType w:val="hybridMultilevel"/>
    <w:lvl w:ilvl="0">
      <w:lvlJc w:val="left"/>
      <w:lvlText w:val="(%1)"/>
      <w:numFmt w:val="lowerRoman"/>
      <w:start w:val="1"/>
    </w:lvl>
  </w:abstractNum>
  <w:abstractNum w:abstractNumId="25">
    <w:nsid w:val="24E60401"/>
    <w:multiLevelType w:val="hybridMultilevel"/>
    <w:lvl w:ilvl="0">
      <w:lvlJc w:val="left"/>
      <w:lvlText w:val="(%1)"/>
      <w:numFmt w:val="decimal"/>
      <w:start w:val="1"/>
    </w:lvl>
  </w:abstractNum>
  <w:abstractNum w:abstractNumId="26">
    <w:nsid w:val="2A6AD9BE"/>
    <w:multiLevelType w:val="hybridMultilevel"/>
    <w:lvl w:ilvl="0">
      <w:lvlJc w:val="left"/>
      <w:lvlText w:val="(%1)"/>
      <w:numFmt w:val="lowerLetter"/>
      <w:start w:val="1"/>
    </w:lvl>
    <w:lvl w:ilvl="1">
      <w:lvlJc w:val="left"/>
      <w:lvlText w:val="%2."/>
      <w:numFmt w:val="decimal"/>
      <w:start w:val="2"/>
    </w:lvl>
  </w:abstractNum>
  <w:abstractNum w:abstractNumId="27">
    <w:nsid w:val="BAAC1B4"/>
    <w:multiLevelType w:val="hybridMultilevel"/>
    <w:lvl w:ilvl="0">
      <w:lvlJc w:val="left"/>
      <w:lvlText w:val="%1"/>
      <w:numFmt w:val="decimal"/>
      <w:start w:val="104"/>
    </w:lvl>
  </w:abstractNum>
  <w:abstractNum w:abstractNumId="28">
    <w:nsid w:val="36B2ACBC"/>
    <w:multiLevelType w:val="hybridMultilevel"/>
    <w:lvl w:ilvl="0">
      <w:lvlJc w:val="left"/>
      <w:lvlText w:val="(%1)"/>
      <w:numFmt w:val="decimal"/>
      <w:start w:val="1"/>
    </w:lvl>
  </w:abstractNum>
  <w:abstractNum w:abstractNumId="29">
    <w:nsid w:val="779D8544"/>
    <w:multiLevelType w:val="hybridMultilevel"/>
    <w:lvl w:ilvl="0">
      <w:lvlJc w:val="left"/>
      <w:lvlText w:val="(%1)"/>
      <w:numFmt w:val="lowerLetter"/>
      <w:start w:val="1"/>
    </w:lvl>
  </w:abstractNum>
  <w:abstractNum w:abstractNumId="30">
    <w:nsid w:val="4AB26E78"/>
    <w:multiLevelType w:val="hybridMultilevel"/>
    <w:lvl w:ilvl="0">
      <w:lvlJc w:val="left"/>
      <w:lvlText w:val="I"/>
      <w:numFmt w:val="bullet"/>
      <w:start w:val="1"/>
    </w:lvl>
  </w:abstractNum>
  <w:abstractNum w:abstractNumId="31">
    <w:nsid w:val="21FAA2FA"/>
    <w:multiLevelType w:val="hybridMultilevel"/>
    <w:lvl w:ilvl="0">
      <w:lvlJc w:val="left"/>
      <w:lvlText w:val="A"/>
      <w:numFmt w:val="bullet"/>
      <w:start w:val="1"/>
    </w:lvl>
  </w:abstractNum>
  <w:abstractNum w:abstractNumId="32">
    <w:nsid w:val="5451CF49"/>
    <w:multiLevelType w:val="hybridMultilevel"/>
    <w:lvl w:ilvl="0">
      <w:lvlJc w:val="left"/>
      <w:lvlText w:val="B"/>
      <w:numFmt w:val="bullet"/>
      <w:start w:val="1"/>
    </w:lvl>
  </w:abstractNum>
  <w:abstractNum w:abstractNumId="33">
    <w:nsid w:val="6181EF69"/>
    <w:multiLevelType w:val="hybridMultilevel"/>
    <w:lvl w:ilvl="0">
      <w:lvlJc w:val="left"/>
      <w:lvlText w:val="C"/>
      <w:numFmt w:val="bullet"/>
      <w:start w:val="1"/>
    </w:lvl>
  </w:abstractNum>
  <w:abstractNum w:abstractNumId="34">
    <w:nsid w:val="3E6400E6"/>
    <w:multiLevelType w:val="hybridMultilevel"/>
    <w:lvl w:ilvl="0">
      <w:lvlJc w:val="left"/>
      <w:lvlText w:val="D"/>
      <w:numFmt w:val="bullet"/>
      <w:start w:val="1"/>
    </w:lvl>
  </w:abstractNum>
  <w:abstractNum w:abstractNumId="35">
    <w:nsid w:val="14217E23"/>
    <w:multiLevelType w:val="hybridMultilevel"/>
    <w:lvl w:ilvl="0">
      <w:lvlJc w:val="left"/>
      <w:lvlText w:val="E"/>
      <w:numFmt w:val="bullet"/>
      <w:start w:val="1"/>
    </w:lvl>
  </w:abstractNum>
  <w:abstractNum w:abstractNumId="36">
    <w:nsid w:val="710757D0"/>
    <w:multiLevelType w:val="hybridMultilevel"/>
    <w:lvl w:ilvl="0">
      <w:lvlJc w:val="left"/>
      <w:lvlText w:val="G"/>
      <w:numFmt w:val="bullet"/>
      <w:start w:val="1"/>
    </w:lvl>
  </w:abstractNum>
  <w:abstractNum w:abstractNumId="37">
    <w:nsid w:val="5015CD1A"/>
    <w:multiLevelType w:val="hybridMultilevel"/>
    <w:lvl w:ilvl="0">
      <w:lvlJc w:val="left"/>
      <w:lvlText w:val="H"/>
      <w:numFmt w:val="bullet"/>
      <w:start w:val="1"/>
    </w:lvl>
  </w:abstractNum>
  <w:abstractNum w:abstractNumId="38">
    <w:nsid w:val="424479DA"/>
    <w:multiLevelType w:val="hybridMultilevel"/>
    <w:lvl w:ilvl="0">
      <w:lvlJc w:val="left"/>
      <w:lvlText w:val="I"/>
      <w:numFmt w:val="bullet"/>
      <w:start w:val="1"/>
    </w:lvl>
  </w:abstractNum>
  <w:abstractNum w:abstractNumId="39">
    <w:nsid w:val="1A9A9E69"/>
    <w:multiLevelType w:val="hybridMultilevel"/>
    <w:lvl w:ilvl="0">
      <w:lvlJc w:val="left"/>
      <w:lvlText w:val="(%1)"/>
      <w:numFmt w:val="lowerLetter"/>
      <w:start w:val="2"/>
    </w:lvl>
  </w:abstractNum>
  <w:abstractNum w:abstractNumId="40">
    <w:nsid w:val="475E256A"/>
    <w:multiLevelType w:val="hybridMultilevel"/>
    <w:lvl w:ilvl="0">
      <w:lvlJc w:val="left"/>
      <w:lvlText w:val="(%1)"/>
      <w:numFmt w:val="lowerLetter"/>
      <w:start w:val="1"/>
    </w:lvl>
  </w:abstractNum>
  <w:abstractNum w:abstractNumId="41">
    <w:nsid w:val="368DB37E"/>
    <w:multiLevelType w:val="hybridMultilevel"/>
    <w:lvl w:ilvl="0">
      <w:lvlJc w:val="left"/>
      <w:lvlText w:val="(%1)"/>
      <w:numFmt w:val="lowerRoman"/>
      <w:start w:val="1"/>
    </w:lvl>
  </w:abstractNum>
  <w:abstractNum w:abstractNumId="42">
    <w:nsid w:val="6A3B714C"/>
    <w:multiLevelType w:val="hybridMultilevel"/>
    <w:lvl w:ilvl="0">
      <w:lvlJc w:val="left"/>
      <w:lvlText w:val="(%1)"/>
      <w:numFmt w:val="lowerLetter"/>
      <w:start w:val="2"/>
    </w:lvl>
  </w:abstractNum>
  <w:abstractNum w:abstractNumId="43">
    <w:nsid w:val="327B517E"/>
    <w:multiLevelType w:val="hybridMultilevel"/>
    <w:lvl w:ilvl="0">
      <w:lvlJc w:val="left"/>
      <w:lvlText w:val="(%1)"/>
      <w:numFmt w:val="lowerLetter"/>
      <w:start w:val="1"/>
    </w:lvl>
  </w:abstractNum>
  <w:abstractNum w:abstractNumId="44">
    <w:nsid w:val="1F461B51"/>
    <w:multiLevelType w:val="hybridMultilevel"/>
    <w:lvl w:ilvl="0">
      <w:lvlJc w:val="left"/>
      <w:lvlText w:val="(%1)"/>
      <w:numFmt w:val="lowerLetter"/>
      <w:start w:val="2"/>
    </w:lvl>
  </w:abstractNum>
  <w:abstractNum w:abstractNumId="45">
    <w:nsid w:val="29BACF25"/>
    <w:multiLevelType w:val="hybridMultilevel"/>
    <w:lvl w:ilvl="0">
      <w:lvlJc w:val="left"/>
      <w:lvlText w:val="(%1)"/>
      <w:numFmt w:val="lowerLetter"/>
      <w:start w:val="1"/>
    </w:lvl>
  </w:abstractNum>
  <w:abstractNum w:abstractNumId="46">
    <w:nsid w:val="5D5BABB3"/>
    <w:multiLevelType w:val="hybridMultilevel"/>
    <w:lvl w:ilvl="0">
      <w:lvlJc w:val="left"/>
      <w:lvlText w:val="(%1)"/>
      <w:numFmt w:val="lowerLetter"/>
      <w:start w:val="2"/>
    </w:lvl>
  </w:abstractNum>
  <w:abstractNum w:abstractNumId="47">
    <w:nsid w:val="51BF6B48"/>
    <w:multiLevelType w:val="hybridMultilevel"/>
    <w:lvl w:ilvl="0">
      <w:lvlJc w:val="left"/>
      <w:lvlText w:val="(%1)"/>
      <w:numFmt w:val="lowerLetter"/>
      <w:start w:val="6"/>
    </w:lvl>
  </w:abstractNum>
  <w:abstractNum w:abstractNumId="48">
    <w:nsid w:val="7E0F6384"/>
    <w:multiLevelType w:val="hybridMultilevel"/>
    <w:lvl w:ilvl="0">
      <w:lvlJc w:val="left"/>
      <w:lvlText w:val="(%1)"/>
      <w:numFmt w:val="lowerLetter"/>
      <w:start w:val="1"/>
    </w:lvl>
  </w:abstractNum>
  <w:abstractNum w:abstractNumId="49">
    <w:nsid w:val="2B4B8B53"/>
    <w:multiLevelType w:val="hybridMultilevel"/>
    <w:lvl w:ilvl="0">
      <w:lvlJc w:val="left"/>
      <w:lvlText w:val="(%1)"/>
      <w:numFmt w:val="lowerLetter"/>
      <w:start w:val="2"/>
    </w:lvl>
  </w:abstractNum>
  <w:abstractNum w:abstractNumId="50">
    <w:nsid w:val="72E3413A"/>
    <w:multiLevelType w:val="hybridMultilevel"/>
    <w:lvl w:ilvl="0">
      <w:lvlJc w:val="left"/>
      <w:lvlText w:val="(%1)"/>
      <w:numFmt w:val="lowerRoman"/>
      <w:start w:val="5"/>
    </w:lvl>
  </w:abstractNum>
  <w:abstractNum w:abstractNumId="51">
    <w:nsid w:val="116AE494"/>
    <w:multiLevelType w:val="hybridMultilevel"/>
    <w:lvl w:ilvl="0">
      <w:lvlJc w:val="left"/>
      <w:lvlText w:val="(%1)"/>
      <w:numFmt w:val="lowerRoman"/>
      <w:start w:val="1"/>
    </w:lvl>
  </w:abstractNum>
  <w:abstractNum w:abstractNumId="52">
    <w:nsid w:val="3494B2FB"/>
    <w:multiLevelType w:val="hybridMultilevel"/>
    <w:lvl w:ilvl="0">
      <w:lvlJc w:val="left"/>
      <w:lvlText w:val="(%1)"/>
      <w:numFmt w:val="lowerLetter"/>
      <w:start w:val="1"/>
    </w:lvl>
  </w:abstractNum>
  <w:abstractNum w:abstractNumId="53">
    <w:nsid w:val="B13A31"/>
    <w:multiLevelType w:val="hybridMultilevel"/>
    <w:lvl w:ilvl="0">
      <w:lvlJc w:val="left"/>
      <w:lvlText w:val="(%1)"/>
      <w:numFmt w:val="lowerLetter"/>
      <w:start w:val="4"/>
    </w:lvl>
  </w:abstractNum>
  <w:abstractNum w:abstractNumId="54">
    <w:nsid w:val="64429599"/>
    <w:multiLevelType w:val="hybridMultilevel"/>
    <w:lvl w:ilvl="0">
      <w:lvlJc w:val="left"/>
      <w:lvlText w:val="(%1)"/>
      <w:numFmt w:val="lowerLetter"/>
      <w:start w:val="1"/>
    </w:lvl>
  </w:abstractNum>
  <w:abstractNum w:abstractNumId="55">
    <w:nsid w:val="631F1690"/>
    <w:multiLevelType w:val="hybridMultilevel"/>
    <w:lvl w:ilvl="0">
      <w:lvlJc w:val="left"/>
      <w:lvlText w:val="(%1)"/>
      <w:numFmt w:val="lowerRoman"/>
      <w:start w:val="1"/>
    </w:lvl>
  </w:abstractNum>
  <w:abstractNum w:abstractNumId="56">
    <w:nsid w:val="25973E32"/>
    <w:multiLevelType w:val="hybridMultilevel"/>
    <w:lvl w:ilvl="0">
      <w:lvlJc w:val="left"/>
      <w:lvlText w:val="(%1)"/>
      <w:numFmt w:val="lowerRoman"/>
      <w:start w:val="2"/>
    </w:lvl>
  </w:abstractNum>
  <w:abstractNum w:abstractNumId="57">
    <w:nsid w:val="EAD6F57"/>
    <w:multiLevelType w:val="hybridMultilevel"/>
    <w:lvl w:ilvl="0">
      <w:lvlJc w:val="left"/>
      <w:lvlText w:val="(%1)"/>
      <w:numFmt w:val="lowerLetter"/>
      <w:start w:val="1"/>
    </w:lvl>
  </w:abstractNum>
  <w:abstractNum w:abstractNumId="58">
    <w:nsid w:val="6EC9D844"/>
    <w:multiLevelType w:val="hybridMultilevel"/>
    <w:lvl w:ilvl="0">
      <w:lvlJc w:val="left"/>
      <w:lvlText w:val="(%1)"/>
      <w:numFmt w:val="lowerLetter"/>
      <w:start w:val="8"/>
    </w:lvl>
  </w:abstractNum>
  <w:abstractNum w:abstractNumId="59">
    <w:nsid w:val="5C49EAEE"/>
    <w:multiLevelType w:val="hybridMultilevel"/>
    <w:lvl w:ilvl="0">
      <w:lvlJc w:val="left"/>
      <w:lvlText w:val="(%1)"/>
      <w:numFmt w:val="lowerLetter"/>
      <w:start w:val="1"/>
    </w:lvl>
  </w:abstractNum>
  <w:abstractNum w:abstractNumId="60">
    <w:nsid w:val="64AF49B"/>
    <w:multiLevelType w:val="hybridMultilevel"/>
    <w:lvl w:ilvl="0">
      <w:lvlJc w:val="left"/>
      <w:lvlText w:val="(%1)"/>
      <w:numFmt w:val="lowerLetter"/>
      <w:start w:val="4"/>
    </w:lvl>
  </w:abstractNum>
  <w:abstractNum w:abstractNumId="61">
    <w:nsid w:val="397C46BC"/>
    <w:multiLevelType w:val="hybridMultilevel"/>
    <w:lvl w:ilvl="0">
      <w:lvlJc w:val="left"/>
      <w:lvlText w:val="(%1)"/>
      <w:numFmt w:val="lowerRoman"/>
      <w:start w:val="2"/>
    </w:lvl>
  </w:abstractNum>
  <w:abstractNum w:abstractNumId="62">
    <w:nsid w:val="7E448DE9"/>
    <w:multiLevelType w:val="hybridMultilevel"/>
    <w:lvl w:ilvl="0">
      <w:lvlJc w:val="left"/>
      <w:lvlText w:val="(%1)"/>
      <w:numFmt w:val="lowerRoman"/>
      <w:start w:val="4"/>
    </w:lvl>
  </w:abstractNum>
  <w:abstractNum w:abstractNumId="63">
    <w:nsid w:val="5A9CC3E5"/>
    <w:multiLevelType w:val="hybridMultilevel"/>
    <w:lvl w:ilvl="0">
      <w:lvlJc w:val="left"/>
      <w:lvlText w:val="(%1)"/>
      <w:numFmt w:val="lowerLetter"/>
      <w:start w:val="2"/>
    </w:lvl>
  </w:abstractNum>
  <w:abstractNum w:abstractNumId="64">
    <w:nsid w:val="1AFE3625"/>
    <w:multiLevelType w:val="hybridMultilevel"/>
    <w:lvl w:ilvl="0">
      <w:lvlJc w:val="left"/>
      <w:lvlText w:val="(%1)"/>
      <w:numFmt w:val="lowerLetter"/>
      <w:start w:val="1"/>
    </w:lvl>
  </w:abstractNum>
  <w:abstractNum w:abstractNumId="65">
    <w:nsid w:val="3CA88ECF"/>
    <w:multiLevelType w:val="hybridMultilevel"/>
    <w:lvl w:ilvl="0">
      <w:lvlJc w:val="left"/>
      <w:lvlText w:val="(%1)"/>
      <w:numFmt w:val="lowerLetter"/>
      <w:start w:val="2"/>
    </w:lvl>
  </w:abstractNum>
  <w:abstractNum w:abstractNumId="66">
    <w:nsid w:val="6EBE4208"/>
    <w:multiLevelType w:val="hybridMultilevel"/>
    <w:lvl w:ilvl="0">
      <w:lvlJc w:val="left"/>
      <w:lvlText w:val="(%1)"/>
      <w:numFmt w:val="lowerLetter"/>
      <w:start w:val="2"/>
    </w:lvl>
  </w:abstractNum>
  <w:abstractNum w:abstractNumId="67">
    <w:nsid w:val="C058DF5"/>
    <w:multiLevelType w:val="hybridMultilevel"/>
    <w:lvl w:ilvl="0">
      <w:lvlJc w:val="left"/>
      <w:lvlText w:val="(%1)"/>
      <w:numFmt w:val="lowerLetter"/>
      <w:start w:val="2"/>
    </w:lvl>
  </w:abstractNum>
  <w:abstractNum w:abstractNumId="68">
    <w:nsid w:val="CBE5BE9"/>
    <w:multiLevelType w:val="hybridMultilevel"/>
    <w:lvl w:ilvl="0">
      <w:lvlJc w:val="left"/>
      <w:lvlText w:val="(%1)"/>
      <w:numFmt w:val="lowerLetter"/>
      <w:start w:val="1"/>
    </w:lvl>
  </w:abstractNum>
  <w:abstractNum w:abstractNumId="69">
    <w:nsid w:val="3102BBE2"/>
    <w:multiLevelType w:val="hybridMultilevel"/>
    <w:lvl w:ilvl="0">
      <w:lvlJc w:val="left"/>
      <w:lvlText w:val="(%1)"/>
      <w:numFmt w:val="lowerLetter"/>
      <w:start w:val="3"/>
    </w:lvl>
  </w:abstractNum>
  <w:abstractNum w:abstractNumId="70">
    <w:nsid w:val="26A02C5E"/>
    <w:multiLevelType w:val="hybridMultilevel"/>
    <w:lvl w:ilvl="0">
      <w:lvlJc w:val="left"/>
      <w:lvlText w:val="(%1)"/>
      <w:numFmt w:val="lowerLetter"/>
      <w:start w:val="1"/>
    </w:lvl>
  </w:abstractNum>
  <w:abstractNum w:abstractNumId="71">
    <w:nsid w:val="541C8153"/>
    <w:multiLevelType w:val="hybridMultilevel"/>
    <w:lvl w:ilvl="0">
      <w:lvlJc w:val="left"/>
      <w:lvlText w:val="(%1)"/>
      <w:numFmt w:val="lowerLetter"/>
      <w:start w:val="1"/>
    </w:lvl>
  </w:abstractNum>
  <w:abstractNum w:abstractNumId="72">
    <w:nsid w:val="67906F60"/>
    <w:multiLevelType w:val="hybridMultilevel"/>
    <w:lvl w:ilvl="0">
      <w:lvlJc w:val="left"/>
      <w:lvlText w:val="(%1)"/>
      <w:numFmt w:val="lowerLetter"/>
      <w:start w:val="2"/>
    </w:lvl>
  </w:abstractNum>
  <w:abstractNum w:abstractNumId="73">
    <w:nsid w:val="10DB9DAA"/>
    <w:multiLevelType w:val="hybridMultilevel"/>
    <w:lvl w:ilvl="0">
      <w:lvlJc w:val="left"/>
      <w:lvlText w:val="(%1)"/>
      <w:numFmt w:val="lowerLetter"/>
      <w:start w:val="6"/>
    </w:lvl>
  </w:abstractNum>
  <w:abstractNum w:abstractNumId="74">
    <w:nsid w:val="697D2D2"/>
    <w:multiLevelType w:val="hybridMultilevel"/>
    <w:lvl w:ilvl="0">
      <w:lvlJc w:val="left"/>
      <w:lvlText w:val="(%1)"/>
      <w:numFmt w:val="lowerLetter"/>
      <w:start w:val="1"/>
    </w:lvl>
    <w:lvl w:ilvl="1">
      <w:lvlJc w:val="left"/>
      <w:lvlText w:val="(%2)"/>
      <w:numFmt w:val="lowerLetter"/>
      <w:start w:val="9"/>
    </w:lvl>
  </w:abstractNum>
  <w:abstractNum w:abstractNumId="75">
    <w:nsid w:val="6D68AB2"/>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abstractNum>
  <w:abstractNum w:abstractNumId="76">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77">
    <w:nsid w:val="63F37E8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8">
    <w:nsid w:val="5895F5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9">
    <w:nsid w:val="38A5D054"/>
    <w:multiLevelType w:val="hybridMultilevel"/>
    <w:lvl w:ilvl="0">
      <w:lvlJc w:val="left"/>
      <w:lvlText w:val="(%1)"/>
      <w:numFmt w:val="lowerRoman"/>
      <w:start w:val="2"/>
    </w:lvl>
  </w:abstractNum>
  <w:abstractNum w:abstractNumId="80">
    <w:nsid w:val="F3F09D8"/>
    <w:multiLevelType w:val="hybridMultilevel"/>
    <w:lvl w:ilvl="0">
      <w:lvlJc w:val="left"/>
      <w:lvlText w:val="%1"/>
      <w:numFmt w:val="lowerLetter"/>
      <w:start w:val="1"/>
    </w:lvl>
    <w:lvl w:ilvl="1">
      <w:lvlJc w:val="left"/>
      <w:lvlText w:val="(%2)"/>
      <w:numFmt w:val="lowerRoman"/>
      <w:start w:val="4"/>
    </w:lvl>
  </w:abstractNum>
  <w:abstractNum w:abstractNumId="81">
    <w:nsid w:val="4B793735"/>
    <w:multiLevelType w:val="hybridMultilevel"/>
    <w:lvl w:ilvl="0">
      <w:lvlJc w:val="left"/>
      <w:lvlText w:val="(%1)"/>
      <w:numFmt w:val="lowerLetter"/>
      <w:start w:val="3"/>
    </w:lvl>
    <w:lvl w:ilvl="1">
      <w:lvlJc w:val="left"/>
      <w:lvlText w:val="(%2)"/>
      <w:numFmt w:val="lowerRoman"/>
      <w:start w:val="1"/>
    </w:lvl>
  </w:abstractNum>
  <w:abstractNum w:abstractNumId="82">
    <w:nsid w:val="4A10B4E8"/>
    <w:multiLevelType w:val="hybridMultilevel"/>
    <w:lvl w:ilvl="0">
      <w:lvlJc w:val="left"/>
      <w:lvlText w:val="(%1)"/>
      <w:numFmt w:val="lowerLetter"/>
      <w:start w:val="4"/>
    </w:lvl>
    <w:lvl w:ilvl="1">
      <w:lvlJc w:val="left"/>
      <w:lvlText w:val="(%2)"/>
      <w:numFmt w:val="lowerRoman"/>
      <w:start w:val="1"/>
    </w:lvl>
  </w:abstractNum>
  <w:abstractNum w:abstractNumId="83">
    <w:nsid w:val="43D3BCD4"/>
    <w:multiLevelType w:val="hybridMultilevel"/>
    <w:lvl w:ilvl="0">
      <w:lvlJc w:val="left"/>
      <w:lvlText w:val="(%1)"/>
      <w:numFmt w:val="lowerRoman"/>
      <w:start w:val="1"/>
    </w:lvl>
  </w:abstractNum>
  <w:abstractNum w:abstractNumId="84">
    <w:nsid w:val="4C2A7166"/>
    <w:multiLevelType w:val="hybridMultilevel"/>
    <w:lvl w:ilvl="0">
      <w:lvlJc w:val="left"/>
      <w:lvlText w:val="(%1)"/>
      <w:numFmt w:val="lowerLetter"/>
      <w:start w:val="5"/>
    </w:lvl>
    <w:lvl w:ilvl="1">
      <w:lvlJc w:val="left"/>
      <w:lvlText w:val="(%2)"/>
      <w:numFmt w:val="lowerRoman"/>
      <w:start w:val="1"/>
    </w:lvl>
  </w:abstractNum>
  <w:abstractNum w:abstractNumId="85">
    <w:nsid w:val="2E534A82"/>
    <w:multiLevelType w:val="hybridMultilevel"/>
    <w:lvl w:ilvl="0">
      <w:lvlJc w:val="left"/>
      <w:lvlText w:val="(%1)"/>
      <w:numFmt w:val="lowerLetter"/>
      <w:start w:val="9"/>
    </w:lvl>
    <w:lvl w:ilvl="1">
      <w:lvlJc w:val="left"/>
      <w:lvlText w:val="%2"/>
      <w:numFmt w:val="lowerRoman"/>
      <w:start w:val="1"/>
    </w:lvl>
  </w:abstractNum>
  <w:abstractNum w:abstractNumId="86">
    <w:nsid w:val="26F2D364"/>
    <w:multiLevelType w:val="hybridMultilevel"/>
    <w:lvl w:ilvl="0">
      <w:lvlJc w:val="left"/>
      <w:lvlText w:val="(%1)"/>
      <w:numFmt w:val="lowerLetter"/>
      <w:start w:val="6"/>
    </w:lvl>
    <w:lvl w:ilvl="1">
      <w:lvlJc w:val="left"/>
      <w:lvlText w:val="(%2)"/>
      <w:numFmt w:val="lowerRoman"/>
      <w:start w:val="1"/>
    </w:lvl>
  </w:abstractNum>
  <w:abstractNum w:abstractNumId="87">
    <w:nsid w:val="71C1AF98"/>
    <w:multiLevelType w:val="hybridMultilevel"/>
    <w:lvl w:ilvl="0">
      <w:lvlJc w:val="left"/>
      <w:lvlText w:val="(%1)"/>
      <w:numFmt w:val="lowerRoman"/>
      <w:start w:val="4"/>
    </w:lvl>
  </w:abstractNum>
  <w:abstractNum w:abstractNumId="88">
    <w:nsid w:val="3D00B9D9"/>
    <w:multiLevelType w:val="hybridMultilevel"/>
    <w:lvl w:ilvl="0">
      <w:lvlJc w:val="left"/>
      <w:lvlText w:val="(%1)"/>
      <w:numFmt w:val="lowerRoman"/>
      <w:start w:val="9"/>
    </w:lvl>
  </w:abstractNum>
  <w:abstractNum w:abstractNumId="89">
    <w:nsid w:val="15BCABA8"/>
    <w:multiLevelType w:val="hybridMultilevel"/>
    <w:lvl w:ilvl="0">
      <w:lvlJc w:val="left"/>
      <w:lvlText w:val="(%1)"/>
      <w:numFmt w:val="lowerLetter"/>
      <w:start w:val="7"/>
    </w:lvl>
  </w:abstractNum>
  <w:abstractNum w:abstractNumId="90">
    <w:nsid w:val="4E0B9A87"/>
    <w:multiLevelType w:val="hybridMultilevel"/>
    <w:lvl w:ilvl="0">
      <w:lvlJc w:val="left"/>
      <w:lvlText w:val="(%1)"/>
      <w:numFmt w:val="lowerLetter"/>
      <w:start w:val="8"/>
    </w:lvl>
  </w:abstractNum>
  <w:abstractNum w:abstractNumId="91">
    <w:nsid w:val="434BAE75"/>
    <w:multiLevelType w:val="hybridMultilevel"/>
    <w:lvl w:ilvl="0">
      <w:lvlJc w:val="left"/>
      <w:lvlText w:val="(%1)"/>
      <w:numFmt w:val="lowerLetter"/>
      <w:start w:val="10"/>
    </w:lvl>
  </w:abstractNum>
  <w:abstractNum w:abstractNumId="92">
    <w:nsid w:val="4F38F265"/>
    <w:multiLevelType w:val="hybridMultilevel"/>
    <w:lvl w:ilvl="0">
      <w:lvlJc w:val="left"/>
      <w:lvlText w:val="(%1)"/>
      <w:numFmt w:val="lowerLetter"/>
      <w:start w:val="13"/>
    </w:lvl>
    <w:lvl w:ilvl="1">
      <w:lvlJc w:val="left"/>
      <w:lvlText w:val="(%2)"/>
      <w:numFmt w:val="lowerRoman"/>
      <w:start w:val="1"/>
    </w:lvl>
  </w:abstractNum>
  <w:abstractNum w:abstractNumId="93">
    <w:nsid w:val="4C502870"/>
    <w:multiLevelType w:val="hybridMultilevel"/>
    <w:lvl w:ilvl="0">
      <w:lvlJc w:val="left"/>
      <w:lvlText w:val="(%1)"/>
      <w:numFmt w:val="lowerLetter"/>
      <w:start w:val="1"/>
    </w:lvl>
  </w:abstractNum>
  <w:abstractNum w:abstractNumId="94">
    <w:nsid w:val="1DE8725A"/>
    <w:multiLevelType w:val="hybridMultilevel"/>
    <w:lvl w:ilvl="0">
      <w:lvlJc w:val="left"/>
      <w:lvlText w:val="(%1)"/>
      <w:numFmt w:val="lowerLetter"/>
      <w:start w:val="3"/>
    </w:lvl>
    <w:lvl w:ilvl="1">
      <w:lvlJc w:val="left"/>
      <w:lvlText w:val="(%2)"/>
      <w:numFmt w:val="lowerRoman"/>
      <w:start w:val="1"/>
    </w:lvl>
  </w:abstractNum>
  <w:abstractNum w:abstractNumId="95">
    <w:nsid w:val="6A37288A"/>
    <w:multiLevelType w:val="hybridMultilevel"/>
    <w:lvl w:ilvl="0">
      <w:lvlJc w:val="left"/>
      <w:lvlText w:val="%1"/>
      <w:numFmt w:val="lowerLetter"/>
      <w:start w:val="1"/>
    </w:lvl>
    <w:lvl w:ilvl="1">
      <w:lvlJc w:val="left"/>
      <w:lvlText w:val="(%2)"/>
      <w:numFmt w:val="lowerRoman"/>
      <w:start w:val="4"/>
    </w:lvl>
  </w:abstractNum>
  <w:abstractNum w:abstractNumId="96">
    <w:nsid w:val="8F8B73F"/>
    <w:multiLevelType w:val="hybridMultilevel"/>
    <w:lvl w:ilvl="0">
      <w:lvlJc w:val="left"/>
      <w:lvlText w:val="(%1)"/>
      <w:numFmt w:val="lowerLetter"/>
      <w:start w:val="4"/>
    </w:lvl>
    <w:lvl w:ilvl="1">
      <w:lvlJc w:val="left"/>
      <w:lvlText w:val="(%2)"/>
      <w:numFmt w:val="lowerRoman"/>
      <w:start w:val="1"/>
    </w:lvl>
  </w:abstractNum>
  <w:abstractNum w:abstractNumId="97">
    <w:nsid w:val="CA6B462"/>
    <w:multiLevelType w:val="hybridMultilevel"/>
    <w:lvl w:ilvl="0">
      <w:lvlJc w:val="left"/>
      <w:lvlText w:val="(%1)"/>
      <w:numFmt w:val="upperLetter"/>
      <w:start w:val="2"/>
    </w:lvl>
    <w:lvl w:ilvl="1">
      <w:lvlJc w:val="left"/>
      <w:lvlText w:val="(%2)"/>
      <w:numFmt w:val="lowerLetter"/>
      <w:start w:val="2"/>
    </w:lvl>
  </w:abstractNum>
  <w:abstractNum w:abstractNumId="98">
    <w:nsid w:val="763CB680"/>
    <w:multiLevelType w:val="hybridMultilevel"/>
    <w:lvl w:ilvl="0">
      <w:lvlJc w:val="left"/>
      <w:lvlText w:val="(%1)"/>
      <w:numFmt w:val="lowerLetter"/>
      <w:start w:val="1"/>
    </w:lvl>
  </w:abstractNum>
  <w:abstractNum w:abstractNumId="99">
    <w:nsid w:val="15B71329"/>
    <w:multiLevelType w:val="hybridMultilevel"/>
    <w:lvl w:ilvl="0">
      <w:lvlJc w:val="left"/>
      <w:lvlText w:val="(%1)"/>
      <w:numFmt w:val="lowerLetter"/>
      <w:start w:val="2"/>
    </w:lvl>
  </w:abstractNum>
  <w:abstractNum w:abstractNumId="100">
    <w:nsid w:val="3DA97044"/>
    <w:multiLevelType w:val="hybridMultilevel"/>
    <w:lvl w:ilvl="0">
      <w:lvlJc w:val="left"/>
      <w:lvlText w:val="(%1)"/>
      <w:numFmt w:val="lowerLetter"/>
      <w:start w:val="2"/>
    </w:lvl>
  </w:abstractNum>
  <w:abstractNum w:abstractNumId="101">
    <w:nsid w:val="1CDCE2DE"/>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2"/>
    </w:lvl>
  </w:abstractNum>
  <w:abstractNum w:abstractNumId="102">
    <w:nsid w:val="69D3947C"/>
    <w:multiLevelType w:val="hybridMultilevel"/>
    <w:lvl w:ilvl="0">
      <w:lvlJc w:val="left"/>
      <w:lvlText w:val="(%1)"/>
      <w:numFmt w:val="lowerLetter"/>
      <w:start w:val="1"/>
    </w:lvl>
  </w:abstractNum>
  <w:abstractNum w:abstractNumId="103">
    <w:nsid w:val="2539DFA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04">
    <w:nsid w:val="2DB88089"/>
    <w:multiLevelType w:val="hybridMultilevel"/>
    <w:lvl w:ilvl="0">
      <w:lvlJc w:val="left"/>
      <w:lvlText w:val="(%1)"/>
      <w:numFmt w:val="lowerLetter"/>
      <w:start w:val="2"/>
    </w:lvl>
    <w:lvl w:ilvl="1">
      <w:lvlJc w:val="left"/>
      <w:lvlText w:val="(%2)"/>
      <w:numFmt w:val="lowerLetter"/>
      <w:start w:val="35"/>
    </w:lvl>
    <w:lvl w:ilvl="2">
      <w:lvlJc w:val="left"/>
      <w:lvlText w:val="%3"/>
      <w:numFmt w:val="lowerLetter"/>
      <w:start w:val="1"/>
    </w:lvl>
  </w:abstractNum>
  <w:abstractNum w:abstractNumId="105">
    <w:nsid w:val="706B674E"/>
    <w:multiLevelType w:val="hybridMultilevel"/>
    <w:lvl w:ilvl="0">
      <w:lvlJc w:val="left"/>
      <w:lvlText w:val="(%1)"/>
      <w:numFmt w:val="lowerLetter"/>
      <w:start w:val="2"/>
    </w:lvl>
  </w:abstractNum>
  <w:abstractNum w:abstractNumId="106">
    <w:nsid w:val="2C106A57"/>
    <w:multiLevelType w:val="hybridMultilevel"/>
    <w:lvl w:ilvl="0">
      <w:lvlJc w:val="left"/>
      <w:lvlText w:val="(%1)"/>
      <w:numFmt w:val="lowerLetter"/>
      <w:start w:val="2"/>
    </w:lvl>
  </w:abstractNum>
  <w:abstractNum w:abstractNumId="107">
    <w:nsid w:val="684EED5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08">
    <w:nsid w:val="545EE5D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09">
    <w:nsid w:val="4A66051"/>
    <w:multiLevelType w:val="hybridMultilevel"/>
    <w:lvl w:ilvl="0">
      <w:lvlJc w:val="left"/>
      <w:lvlText w:val="(%1)"/>
      <w:numFmt w:val="lowerLetter"/>
      <w:start w:val="3"/>
    </w:lvl>
  </w:abstractNum>
  <w:abstractNum w:abstractNumId="110">
    <w:nsid w:val="20F4BDAD"/>
    <w:multiLevelType w:val="hybridMultilevel"/>
    <w:lvl w:ilvl="0">
      <w:lvlJc w:val="left"/>
      <w:lvlText w:val="(%1)"/>
      <w:numFmt w:val="upperLetter"/>
      <w:start w:val="1"/>
    </w:lvl>
    <w:lvl w:ilvl="1">
      <w:lvlJc w:val="left"/>
      <w:lvlText w:val="(%2)"/>
      <w:numFmt w:val="lowerRoman"/>
      <w:start w:val="1"/>
    </w:lvl>
  </w:abstractNum>
  <w:abstractNum w:abstractNumId="111">
    <w:nsid w:val="639DEFAC"/>
    <w:multiLevelType w:val="hybridMultilevel"/>
    <w:lvl w:ilvl="0">
      <w:lvlJc w:val="left"/>
      <w:lvlText w:val="(%1)"/>
      <w:numFmt w:val="lowerLetter"/>
      <w:start w:val="1"/>
    </w:lvl>
  </w:abstractNum>
  <w:abstractNum w:abstractNumId="112">
    <w:nsid w:val="501F9786"/>
    <w:multiLevelType w:val="hybridMultilevel"/>
    <w:lvl w:ilvl="0">
      <w:lvlJc w:val="left"/>
      <w:lvlText w:val="(%1)"/>
      <w:numFmt w:val="lowerLetter"/>
      <w:start w:val="2"/>
    </w:lvl>
  </w:abstractNum>
  <w:abstractNum w:abstractNumId="113">
    <w:nsid w:val="6B057295"/>
    <w:multiLevelType w:val="hybridMultilevel"/>
    <w:lvl w:ilvl="0">
      <w:lvlJc w:val="left"/>
      <w:lvlText w:val="(%1)"/>
      <w:numFmt w:val="lowerRoman"/>
      <w:start w:val="1"/>
    </w:lvl>
  </w:abstractNum>
  <w:abstractNum w:abstractNumId="114">
    <w:nsid w:val="2771AC80"/>
    <w:multiLevelType w:val="hybridMultilevel"/>
    <w:lvl w:ilvl="0">
      <w:lvlJc w:val="left"/>
      <w:lvlText w:val="(%1)"/>
      <w:numFmt w:val="lowerRoman"/>
      <w:start w:val="9"/>
    </w:lvl>
  </w:abstractNum>
  <w:abstractNum w:abstractNumId="115">
    <w:nsid w:val="1C4A08EC"/>
    <w:multiLevelType w:val="hybridMultilevel"/>
    <w:lvl w:ilvl="0">
      <w:lvlJc w:val="left"/>
      <w:lvlText w:val="(%1)"/>
      <w:numFmt w:val="lowerLetter"/>
      <w:start w:val="4"/>
    </w:lvl>
  </w:abstractNum>
  <w:abstractNum w:abstractNumId="116">
    <w:nsid w:val="1958BD17"/>
    <w:multiLevelType w:val="hybridMultilevel"/>
    <w:lvl w:ilvl="0">
      <w:lvlJc w:val="left"/>
      <w:lvlText w:val="(%1)"/>
      <w:numFmt w:val="lowerLetter"/>
      <w:start w:val="1"/>
    </w:lvl>
  </w:abstractNum>
  <w:abstractNum w:abstractNumId="117">
    <w:nsid w:val="4E647FE4"/>
    <w:multiLevelType w:val="hybridMultilevel"/>
    <w:lvl w:ilvl="0">
      <w:lvlJc w:val="left"/>
      <w:lvlText w:val="(%1)"/>
      <w:numFmt w:val="lowerLetter"/>
      <w:start w:val="4"/>
    </w:lvl>
  </w:abstractNum>
  <w:abstractNum w:abstractNumId="118">
    <w:nsid w:val="E0BB885"/>
    <w:multiLevelType w:val="hybridMultilevel"/>
    <w:lvl w:ilvl="0">
      <w:lvlJc w:val="left"/>
      <w:lvlText w:val="%1"/>
      <w:numFmt w:val="lowerLetter"/>
      <w:start w:val="1"/>
    </w:lvl>
    <w:lvl w:ilvl="1">
      <w:lvlJc w:val="left"/>
      <w:lvlText w:val="(%2)"/>
      <w:numFmt w:val="lowerRoman"/>
      <w:start w:val="1"/>
    </w:lvl>
  </w:abstractNum>
  <w:abstractNum w:abstractNumId="119">
    <w:nsid w:val="565976F1"/>
    <w:multiLevelType w:val="hybridMultilevel"/>
    <w:lvl w:ilvl="0">
      <w:lvlJc w:val="left"/>
      <w:lvlText w:val="(%1)"/>
      <w:numFmt w:val="lowerLetter"/>
      <w:start w:val="7"/>
    </w:lvl>
    <w:lvl w:ilvl="1">
      <w:lvlJc w:val="left"/>
      <w:lvlText w:val="%2"/>
      <w:numFmt w:val="lowerRoman"/>
      <w:start w:val="1"/>
    </w:lvl>
  </w:abstractNum>
  <w:abstractNum w:abstractNumId="120">
    <w:nsid w:val="64212B8C"/>
    <w:multiLevelType w:val="hybridMultilevel"/>
    <w:lvl w:ilvl="0">
      <w:lvlJc w:val="left"/>
      <w:lvlText w:val="(%1)"/>
      <w:numFmt w:val="lowerLetter"/>
      <w:start w:val="1"/>
    </w:lvl>
    <w:lvl w:ilvl="1">
      <w:lvlJc w:val="left"/>
      <w:lvlText w:val="(%2)"/>
      <w:numFmt w:val="lowerLetter"/>
      <w:start w:val="35"/>
    </w:lvl>
  </w:abstractNum>
  <w:abstractNum w:abstractNumId="121">
    <w:nsid w:val="5C17530C"/>
    <w:multiLevelType w:val="hybridMultilevel"/>
    <w:lvl w:ilvl="0">
      <w:lvlJc w:val="left"/>
      <w:lvlText w:val="%1"/>
      <w:numFmt w:val="lowerLetter"/>
      <w:start w:val="1"/>
    </w:lvl>
    <w:lvl w:ilvl="1">
      <w:lvlJc w:val="left"/>
      <w:lvlText w:val="(%2)"/>
      <w:numFmt w:val="lowerLetter"/>
      <w:start w:val="61"/>
    </w:lvl>
  </w:abstractNum>
  <w:abstractNum w:abstractNumId="122">
    <w:nsid w:val="19A52566"/>
    <w:multiLevelType w:val="hybridMultilevel"/>
    <w:lvl w:ilvl="0">
      <w:lvlJc w:val="left"/>
      <w:lvlText w:val="(%1)"/>
      <w:numFmt w:val="lowerLetter"/>
      <w:start w:val="2"/>
    </w:lvl>
    <w:lvl w:ilvl="1">
      <w:lvlJc w:val="left"/>
      <w:lvlText w:val="%2"/>
      <w:numFmt w:val="lowerLetter"/>
      <w:start w:val="1"/>
    </w:lvl>
  </w:abstractNum>
  <w:abstractNum w:abstractNumId="123">
    <w:nsid w:val="335A1DF1"/>
    <w:multiLevelType w:val="hybridMultilevel"/>
    <w:lvl w:ilvl="0">
      <w:lvlJc w:val="left"/>
      <w:lvlText w:val="(%1)"/>
      <w:numFmt w:val="lowerLetter"/>
      <w:start w:val="4"/>
    </w:lvl>
  </w:abstractNum>
  <w:abstractNum w:abstractNumId="124">
    <w:nsid w:val="28677B7C"/>
    <w:multiLevelType w:val="hybridMultilevel"/>
    <w:lvl w:ilvl="0">
      <w:lvlJc w:val="left"/>
      <w:lvlText w:val="(%1)"/>
      <w:numFmt w:val="lowerLetter"/>
      <w:start w:val="1"/>
    </w:lvl>
    <w:lvl w:ilvl="1">
      <w:lvlJc w:val="left"/>
      <w:lvlText w:val="(%2)"/>
      <w:numFmt w:val="lowerRoman"/>
      <w:start w:val="1"/>
    </w:lvl>
  </w:abstractNum>
  <w:abstractNum w:abstractNumId="125">
    <w:nsid w:val="378D97C0"/>
    <w:multiLevelType w:val="hybridMultilevel"/>
    <w:lvl w:ilvl="0">
      <w:lvlJc w:val="left"/>
      <w:lvlText w:val="(%1)"/>
      <w:numFmt w:val="lowerRoman"/>
      <w:start w:val="3"/>
    </w:lvl>
    <w:lvl w:ilvl="1">
      <w:lvlJc w:val="left"/>
      <w:lvlText w:val="(%2)"/>
      <w:numFmt w:val="upperLetter"/>
      <w:start w:val="1"/>
    </w:lvl>
  </w:abstractNum>
  <w:abstractNum w:abstractNumId="126">
    <w:nsid w:val="1D91467C"/>
    <w:multiLevelType w:val="hybridMultilevel"/>
    <w:lvl w:ilvl="0">
      <w:lvlJc w:val="left"/>
      <w:lvlText w:val="%1"/>
      <w:numFmt w:val="lowerLetter"/>
      <w:start w:val="1"/>
    </w:lvl>
    <w:lvl w:ilvl="1">
      <w:lvlJc w:val="left"/>
      <w:lvlText w:val="(%2)"/>
      <w:numFmt w:val="lowerLetter"/>
      <w:start w:val="22"/>
    </w:lvl>
  </w:abstractNum>
  <w:abstractNum w:abstractNumId="127">
    <w:nsid w:val="316032BB"/>
    <w:multiLevelType w:val="hybridMultilevel"/>
    <w:lvl w:ilvl="0">
      <w:lvlJc w:val="left"/>
      <w:lvlText w:val="(%1)"/>
      <w:numFmt w:val="lowerLetter"/>
      <w:start w:val="2"/>
    </w:lvl>
    <w:lvl w:ilvl="1">
      <w:lvlJc w:val="left"/>
      <w:lvlText w:val="%2"/>
      <w:numFmt w:val="lowerLetter"/>
      <w:start w:val="1"/>
    </w:lvl>
  </w:abstractNum>
  <w:abstractNum w:abstractNumId="128">
    <w:nsid w:val="44344C22"/>
    <w:multiLevelType w:val="hybridMultilevel"/>
    <w:lvl w:ilvl="0">
      <w:lvlJc w:val="left"/>
      <w:lvlText w:val="(%1)"/>
      <w:numFmt w:val="lowerLetter"/>
      <w:start w:val="1"/>
    </w:lvl>
  </w:abstractNum>
  <w:abstractNum w:abstractNumId="129">
    <w:nsid w:val="13CDFCFC"/>
    <w:multiLevelType w:val="hybridMultilevel"/>
    <w:lvl w:ilvl="0">
      <w:lvlJc w:val="left"/>
      <w:lvlText w:val="(%1)"/>
      <w:numFmt w:val="lowerRoman"/>
      <w:start w:val="1"/>
    </w:lvl>
    <w:lvl w:ilvl="1">
      <w:lvlJc w:val="left"/>
      <w:lvlText w:val="(%2)"/>
      <w:numFmt w:val="upperLetter"/>
      <w:start w:val="1"/>
    </w:lvl>
  </w:abstractNum>
  <w:abstractNum w:abstractNumId="130">
    <w:nsid w:val="471745E4"/>
    <w:multiLevelType w:val="hybridMultilevel"/>
    <w:lvl w:ilvl="0">
      <w:lvlJc w:val="left"/>
      <w:lvlText w:val="%1"/>
      <w:numFmt w:val="lowerLetter"/>
      <w:start w:val="1"/>
    </w:lvl>
    <w:lvl w:ilvl="1">
      <w:lvlJc w:val="left"/>
      <w:lvlText w:val="(%2)"/>
      <w:numFmt w:val="lowerRoman"/>
      <w:start w:val="3"/>
    </w:lvl>
  </w:abstractNum>
  <w:abstractNum w:abstractNumId="131">
    <w:nsid w:val="1DDBC66"/>
    <w:multiLevelType w:val="hybridMultilevel"/>
    <w:lvl w:ilvl="0">
      <w:lvlJc w:val="left"/>
      <w:lvlText w:val="(%1)"/>
      <w:numFmt w:val="lowerLetter"/>
      <w:start w:val="2"/>
    </w:lvl>
    <w:lvl w:ilvl="1">
      <w:lvlJc w:val="left"/>
      <w:lvlText w:val="%2"/>
      <w:numFmt w:val="lowerRoman"/>
      <w:start w:val="1"/>
    </w:lvl>
  </w:abstractNum>
  <w:abstractNum w:abstractNumId="132">
    <w:nsid w:val="30AADFDA"/>
    <w:multiLevelType w:val="hybridMultilevel"/>
    <w:lvl w:ilvl="0">
      <w:lvlJc w:val="left"/>
      <w:lvlText w:val="(%1)"/>
      <w:numFmt w:val="lowerLetter"/>
      <w:start w:val="4"/>
    </w:lvl>
  </w:abstractNum>
  <w:abstractNum w:abstractNumId="133">
    <w:nsid w:val="30EADA61"/>
    <w:multiLevelType w:val="hybridMultilevel"/>
    <w:lvl w:ilvl="0">
      <w:lvlJc w:val="left"/>
      <w:lvlText w:val="(%1)"/>
      <w:numFmt w:val="lowerLetter"/>
      <w:start w:val="1"/>
    </w:lvl>
  </w:abstractNum>
  <w:abstractNum w:abstractNumId="134">
    <w:nsid w:val="27179C0B"/>
    <w:multiLevelType w:val="hybridMultilevel"/>
    <w:lvl w:ilvl="0">
      <w:lvlJc w:val="left"/>
      <w:lvlText w:val="(%1)"/>
      <w:numFmt w:val="lowerLetter"/>
      <w:start w:val="2"/>
    </w:lvl>
  </w:abstractNum>
  <w:abstractNum w:abstractNumId="135">
    <w:nsid w:val="5E636063"/>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36">
    <w:nsid w:val="215641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137">
    <w:nsid w:val="53280662"/>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138">
    <w:nsid w:val="46B24D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upperLetter"/>
      <w:start w:val="1"/>
    </w:lvl>
    <w:lvl w:ilvl="5">
      <w:lvlJc w:val="left"/>
      <w:lvlText w:val="(%6)"/>
      <w:numFmt w:val="upperLetter"/>
      <w:start w:val="1"/>
    </w:lvl>
  </w:abstractNum>
  <w:abstractNum w:abstractNumId="139">
    <w:nsid w:val="75B52783"/>
    <w:multiLevelType w:val="hybridMultilevel"/>
    <w:lvl w:ilvl="0">
      <w:lvlJc w:val="left"/>
      <w:lvlText w:val="(%1)"/>
      <w:numFmt w:val="upperLetter"/>
      <w:start w:val="9"/>
    </w:lvl>
    <w:lvl w:ilvl="1">
      <w:lvlJc w:val="left"/>
      <w:lvlText w:val="(%2)"/>
      <w:numFmt w:val="upperLetter"/>
      <w:start w:val="35"/>
    </w:lvl>
  </w:abstractNum>
  <w:abstractNum w:abstractNumId="140">
    <w:nsid w:val="57CE66B4"/>
    <w:multiLevelType w:val="hybridMultilevel"/>
    <w:lvl w:ilvl="0">
      <w:lvlJc w:val="left"/>
      <w:lvlText w:val="(%1)"/>
      <w:numFmt w:val="upperLetter"/>
      <w:start w:val="61"/>
    </w:lvl>
  </w:abstractNum>
  <w:abstractNum w:abstractNumId="141">
    <w:nsid w:val="67A70B69"/>
    <w:multiLevelType w:val="hybridMultilevel"/>
    <w:lvl w:ilvl="0">
      <w:lvlJc w:val="left"/>
      <w:lvlText w:val="(%1)"/>
      <w:numFmt w:val="lowerLetter"/>
      <w:start w:val="25"/>
    </w:lvl>
    <w:lvl w:ilvl="1">
      <w:lvlJc w:val="left"/>
      <w:lvlText w:val="(%2)"/>
      <w:numFmt w:val="upperLetter"/>
      <w:start w:val="22"/>
    </w:lvl>
  </w:abstractNum>
  <w:abstractNum w:abstractNumId="142">
    <w:nsid w:val="5953172F"/>
    <w:multiLevelType w:val="hybridMultilevel"/>
    <w:lvl w:ilvl="0">
      <w:lvlJc w:val="left"/>
      <w:lvlText w:val="%1"/>
      <w:numFmt w:val="lowerRoman"/>
      <w:start w:val="1"/>
    </w:lvl>
    <w:lvl w:ilvl="1">
      <w:lvlJc w:val="left"/>
      <w:lvlText w:val="(%2)"/>
      <w:numFmt w:val="upperLetter"/>
      <w:start w:val="3"/>
    </w:lvl>
  </w:abstractNum>
  <w:abstractNum w:abstractNumId="143">
    <w:nsid w:val="27EDFE3A"/>
    <w:multiLevelType w:val="hybridMultilevel"/>
    <w:lvl w:ilvl="0">
      <w:lvlJc w:val="left"/>
      <w:lvlText w:val="(%1)"/>
      <w:numFmt w:val="lowerRoman"/>
      <w:start w:val="3"/>
    </w:lvl>
    <w:lvl w:ilvl="1">
      <w:lvlJc w:val="left"/>
      <w:lvlText w:val="%2"/>
      <w:numFmt w:val="upperLetter"/>
      <w:start w:val="1"/>
    </w:lvl>
  </w:abstractNum>
  <w:abstractNum w:abstractNumId="144">
    <w:nsid w:val="52AC7DFF"/>
    <w:multiLevelType w:val="hybridMultilevel"/>
    <w:lvl w:ilvl="0">
      <w:lvlJc w:val="left"/>
      <w:lvlText w:val="(%1)"/>
      <w:numFmt w:val="lowerRoman"/>
      <w:start w:val="4"/>
    </w:lvl>
  </w:abstractNum>
  <w:abstractNum w:abstractNumId="145">
    <w:nsid w:val="C4C3AF"/>
    <w:multiLevelType w:val="hybridMultilevel"/>
    <w:lvl w:ilvl="0">
      <w:lvlJc w:val="left"/>
      <w:lvlText w:val="(%1)"/>
      <w:numFmt w:val="lowerLetter"/>
      <w:start w:val="6"/>
    </w:lvl>
  </w:abstractNum>
  <w:abstractNum w:abstractNumId="146">
    <w:nsid w:val="44380727"/>
    <w:multiLevelType w:val="hybridMultilevel"/>
    <w:lvl w:ilvl="0">
      <w:lvlJc w:val="left"/>
      <w:lvlText w:val="(%1)"/>
      <w:numFmt w:val="lowerLetter"/>
      <w:start w:val="7"/>
    </w:lvl>
  </w:abstractNum>
  <w:abstractNum w:abstractNumId="147">
    <w:nsid w:val="6C053B16"/>
    <w:multiLevelType w:val="hybridMultilevel"/>
    <w:lvl w:ilvl="0">
      <w:lvlJc w:val="left"/>
      <w:lvlText w:val="(%1)"/>
      <w:numFmt w:val="lowerLetter"/>
      <w:start w:val="1"/>
    </w:lvl>
  </w:abstractNum>
  <w:abstractNum w:abstractNumId="148">
    <w:nsid w:val="4F294393"/>
    <w:multiLevelType w:val="hybridMultilevel"/>
    <w:lvl w:ilvl="0">
      <w:lvlJc w:val="left"/>
      <w:lvlText w:val="(%1)"/>
      <w:numFmt w:val="lowerLetter"/>
      <w:start w:val="3"/>
    </w:lvl>
    <w:lvl w:ilvl="1">
      <w:lvlJc w:val="left"/>
      <w:lvlText w:val="(%2)"/>
      <w:numFmt w:val="lowerLetter"/>
      <w:start w:val="9"/>
    </w:lvl>
  </w:abstractNum>
  <w:abstractNum w:abstractNumId="149">
    <w:nsid w:val="5243BFAC"/>
    <w:multiLevelType w:val="hybridMultilevel"/>
    <w:lvl w:ilvl="0">
      <w:lvlJc w:val="left"/>
      <w:lvlText w:val="(%1)"/>
      <w:numFmt w:val="lowerRoman"/>
      <w:start w:val="2"/>
    </w:lvl>
  </w:abstractNum>
  <w:abstractNum w:abstractNumId="150">
    <w:nsid w:val="425EB207"/>
    <w:multiLevelType w:val="hybridMultilevel"/>
    <w:lvl w:ilvl="0">
      <w:lvlJc w:val="left"/>
      <w:lvlText w:val="%1"/>
      <w:numFmt w:val="lowerRoman"/>
      <w:start w:val="1"/>
    </w:lvl>
    <w:lvl w:ilvl="1">
      <w:lvlJc w:val="left"/>
      <w:lvlText w:val="(%2)"/>
      <w:numFmt w:val="lowerLetter"/>
      <w:start w:val="25"/>
    </w:lvl>
  </w:abstractNum>
  <w:abstractNum w:abstractNumId="151">
    <w:nsid w:val="334A6F1F"/>
    <w:multiLevelType w:val="hybridMultilevel"/>
    <w:lvl w:ilvl="0">
      <w:lvlJc w:val="left"/>
      <w:lvlText w:val="(%1)"/>
      <w:numFmt w:val="lowerRoman"/>
      <w:start w:val="3"/>
    </w:lvl>
    <w:lvl w:ilvl="1">
      <w:lvlJc w:val="left"/>
      <w:lvlText w:val="%2"/>
      <w:numFmt w:val="lowerLetter"/>
      <w:start w:val="1"/>
    </w:lvl>
  </w:abstractNum>
  <w:abstractNum w:abstractNumId="152">
    <w:nsid w:val="2E5B12B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3">
    <w:nsid w:val="5C03D76D"/>
    <w:multiLevelType w:val="hybridMultilevel"/>
    <w:lvl w:ilvl="0">
      <w:lvlJc w:val="left"/>
      <w:lvlText w:val="(%1)"/>
      <w:numFmt w:val="lowerLetter"/>
      <w:start w:val="1"/>
    </w:lvl>
  </w:abstractNum>
  <w:abstractNum w:abstractNumId="154">
    <w:nsid w:val="66A48D11"/>
    <w:multiLevelType w:val="hybridMultilevel"/>
    <w:lvl w:ilvl="0">
      <w:lvlJc w:val="left"/>
      <w:lvlText w:val="(%1)"/>
      <w:numFmt w:val="lowerLetter"/>
      <w:start w:val="4"/>
    </w:lvl>
    <w:lvl w:ilvl="1">
      <w:lvlJc w:val="left"/>
      <w:lvlText w:val="(%2)"/>
      <w:numFmt w:val="lowerRoman"/>
      <w:start w:val="1"/>
    </w:lvl>
  </w:abstractNum>
  <w:abstractNum w:abstractNumId="155">
    <w:nsid w:val="56C28E34"/>
    <w:multiLevelType w:val="hybridMultilevel"/>
    <w:lvl w:ilvl="0">
      <w:lvlJc w:val="left"/>
      <w:lvlText w:val="(%1)"/>
      <w:numFmt w:val="lowerLetter"/>
      <w:start w:val="1"/>
    </w:lvl>
    <w:lvl w:ilvl="1">
      <w:lvlJc w:val="left"/>
      <w:lvlText w:val="(%2)"/>
      <w:numFmt w:val="lowerRoman"/>
      <w:start w:val="1"/>
    </w:lvl>
  </w:abstractNum>
  <w:abstractNum w:abstractNumId="156">
    <w:nsid w:val="13916F2D"/>
    <w:multiLevelType w:val="hybridMultilevel"/>
    <w:lvl w:ilvl="0">
      <w:lvlJc w:val="left"/>
      <w:lvlText w:val="(%1)"/>
      <w:numFmt w:val="lowerLetter"/>
      <w:start w:val="2"/>
    </w:lvl>
  </w:abstractNum>
  <w:abstractNum w:abstractNumId="157">
    <w:nsid w:val="435D38D"/>
    <w:multiLevelType w:val="hybridMultilevel"/>
    <w:lvl w:ilvl="0">
      <w:lvlJc w:val="left"/>
      <w:lvlText w:val="(%1)"/>
      <w:numFmt w:val="lowerLetter"/>
      <w:start w:val="3"/>
    </w:lvl>
  </w:abstractNum>
  <w:abstractNum w:abstractNumId="158">
    <w:nsid w:val="822C0EF"/>
    <w:multiLevelType w:val="hybridMultilevel"/>
    <w:lvl w:ilvl="0">
      <w:lvlJc w:val="left"/>
      <w:lvlText w:val="(%1)"/>
      <w:numFmt w:val="lowerLetter"/>
      <w:start w:val="1"/>
    </w:lvl>
  </w:abstractNum>
  <w:abstractNum w:abstractNumId="159">
    <w:nsid w:val="57C5BB4F"/>
    <w:multiLevelType w:val="hybridMultilevel"/>
    <w:lvl w:ilvl="0">
      <w:lvlJc w:val="left"/>
      <w:lvlText w:val="(%1)"/>
      <w:numFmt w:val="lowerLetter"/>
      <w:start w:val="1"/>
    </w:lvl>
  </w:abstractNum>
  <w:abstractNum w:abstractNumId="160">
    <w:nsid w:val="1803D089"/>
    <w:multiLevelType w:val="hybridMultilevel"/>
    <w:lvl w:ilvl="0">
      <w:lvlJc w:val="left"/>
      <w:lvlText w:val="(%1)"/>
      <w:numFmt w:val="lowerLetter"/>
      <w:start w:val="2"/>
    </w:lvl>
  </w:abstractNum>
  <w:abstractNum w:abstractNumId="161">
    <w:nsid w:val="4F3A06D4"/>
    <w:multiLevelType w:val="hybridMultilevel"/>
    <w:lvl w:ilvl="0">
      <w:lvlJc w:val="left"/>
      <w:lvlText w:val="(%1)"/>
      <w:numFmt w:val="lowerLetter"/>
      <w:start w:val="1"/>
    </w:lvl>
    <w:lvl w:ilvl="1">
      <w:lvlJc w:val="left"/>
      <w:lvlText w:val="(%2)"/>
      <w:numFmt w:val="lowerRoman"/>
      <w:start w:val="1"/>
    </w:lvl>
  </w:abstractNum>
  <w:abstractNum w:abstractNumId="162">
    <w:nsid w:val="59A377B6"/>
    <w:multiLevelType w:val="hybridMultilevel"/>
    <w:lvl w:ilvl="0">
      <w:lvlJc w:val="left"/>
      <w:lvlText w:val="(%1)"/>
      <w:numFmt w:val="lowerRoman"/>
      <w:start w:val="3"/>
    </w:lvl>
  </w:abstractNum>
  <w:abstractNum w:abstractNumId="163">
    <w:nsid w:val="48AEB063"/>
    <w:multiLevelType w:val="hybridMultilevel"/>
    <w:lvl w:ilvl="0">
      <w:lvlJc w:val="left"/>
      <w:lvlText w:val="(%1)"/>
      <w:numFmt w:val="lowerRoman"/>
      <w:start w:val="4"/>
    </w:lvl>
    <w:lvl w:ilvl="1">
      <w:lvlJc w:val="left"/>
      <w:lvlText w:val="(%2)"/>
      <w:numFmt w:val="lowerRoman"/>
      <w:start w:val="6"/>
    </w:lvl>
  </w:abstractNum>
  <w:abstractNum w:abstractNumId="164">
    <w:nsid w:val="24E135"/>
    <w:multiLevelType w:val="hybridMultilevel"/>
    <w:lvl w:ilvl="0">
      <w:lvlJc w:val="left"/>
      <w:lvlText w:val="%1"/>
      <w:numFmt w:val="lowerLetter"/>
      <w:start w:val="1"/>
    </w:lvl>
    <w:lvl w:ilvl="1">
      <w:lvlJc w:val="left"/>
      <w:lvlText w:val="(%2)"/>
      <w:numFmt w:val="lowerRoman"/>
      <w:start w:val="7"/>
    </w:lvl>
  </w:abstractNum>
  <w:abstractNum w:abstractNumId="165">
    <w:nsid w:val="BB13C1"/>
    <w:multiLevelType w:val="hybridMultilevel"/>
    <w:lvl w:ilvl="0">
      <w:lvlJc w:val="left"/>
      <w:lvlText w:val="(%1)"/>
      <w:numFmt w:val="lowerLetter"/>
      <w:start w:val="2"/>
    </w:lvl>
    <w:lvl w:ilvl="1">
      <w:lvlJc w:val="left"/>
      <w:lvlText w:val="%2"/>
      <w:numFmt w:val="lowerRoman"/>
      <w:start w:val="1"/>
    </w:lvl>
  </w:abstractNum>
  <w:abstractNum w:abstractNumId="166">
    <w:nsid w:val="271210C7"/>
    <w:multiLevelType w:val="hybridMultilevel"/>
    <w:lvl w:ilvl="0">
      <w:lvlJc w:val="left"/>
      <w:lvlText w:val="(%1)"/>
      <w:numFmt w:val="lowerLetter"/>
      <w:start w:val="1"/>
    </w:lvl>
    <w:lvl w:ilvl="1">
      <w:lvlJc w:val="left"/>
      <w:lvlText w:val="(%2)"/>
      <w:numFmt w:val="lowerLetter"/>
      <w:start w:val="2"/>
    </w:lvl>
  </w:abstractNum>
  <w:abstractNum w:abstractNumId="167">
    <w:nsid w:val="217B22E4"/>
    <w:multiLevelType w:val="hybridMultilevel"/>
    <w:lvl w:ilvl="0">
      <w:lvlJc w:val="left"/>
      <w:lvlText w:val="(%1)"/>
      <w:numFmt w:val="lowerLetter"/>
      <w:start w:val="1"/>
    </w:lvl>
  </w:abstractNum>
  <w:abstractNum w:abstractNumId="168">
    <w:nsid w:val="53E31A24"/>
    <w:multiLevelType w:val="hybridMultilevel"/>
    <w:lvl w:ilvl="0">
      <w:lvlJc w:val="left"/>
      <w:lvlText w:val="(%1)"/>
      <w:numFmt w:val="lowerLetter"/>
      <w:start w:val="1"/>
    </w:lvl>
  </w:abstractNum>
  <w:abstractNum w:abstractNumId="169">
    <w:nsid w:val="6DC45E83"/>
    <w:multiLevelType w:val="hybridMultilevel"/>
    <w:lvl w:ilvl="0">
      <w:lvlJc w:val="left"/>
      <w:lvlText w:val="(%1)"/>
      <w:numFmt w:val="lowerLetter"/>
      <w:start w:val="2"/>
    </w:lvl>
    <w:lvl w:ilvl="1">
      <w:lvlJc w:val="left"/>
      <w:lvlText w:val="(%2)"/>
      <w:numFmt w:val="lowerLetter"/>
      <w:start w:val="9"/>
    </w:lvl>
  </w:abstractNum>
  <w:abstractNum w:abstractNumId="170">
    <w:nsid w:val="17304A67"/>
    <w:multiLevelType w:val="hybridMultilevel"/>
    <w:lvl w:ilvl="0">
      <w:lvlJc w:val="left"/>
      <w:lvlText w:val="%1"/>
      <w:numFmt w:val="lowerLetter"/>
      <w:start w:val="1"/>
    </w:lvl>
    <w:lvl w:ilvl="1">
      <w:lvlJc w:val="left"/>
      <w:lvlText w:val="(%2)"/>
      <w:numFmt w:val="lowerRoman"/>
      <w:start w:val="2"/>
    </w:lvl>
  </w:abstractNum>
  <w:abstractNum w:abstractNumId="171">
    <w:nsid w:val="2BB180D8"/>
    <w:multiLevelType w:val="hybridMultilevel"/>
    <w:lvl w:ilvl="0">
      <w:lvlJc w:val="left"/>
      <w:lvlText w:val="(%1)"/>
      <w:numFmt w:val="lowerLetter"/>
      <w:start w:val="6"/>
    </w:lvl>
    <w:lvl w:ilvl="1">
      <w:lvlJc w:val="left"/>
      <w:lvlText w:val="%2"/>
      <w:numFmt w:val="lowerRoman"/>
      <w:start w:val="1"/>
    </w:lvl>
  </w:abstractNum>
  <w:abstractNum w:abstractNumId="172">
    <w:nsid w:val="556B69ED"/>
    <w:multiLevelType w:val="hybridMultilevel"/>
    <w:lvl w:ilvl="0">
      <w:lvlJc w:val="left"/>
      <w:lvlText w:val="(%1)"/>
      <w:numFmt w:val="lowerLetter"/>
      <w:start w:val="1"/>
    </w:lvl>
  </w:abstractNum>
  <w:abstractNum w:abstractNumId="173">
    <w:nsid w:val="70836196"/>
    <w:multiLevelType w:val="hybridMultilevel"/>
    <w:lvl w:ilvl="0">
      <w:lvlJc w:val="left"/>
      <w:lvlText w:val="(%1)"/>
      <w:numFmt w:val="lowerLetter"/>
      <w:start w:val="1"/>
    </w:lvl>
  </w:abstractNum>
  <w:abstractNum w:abstractNumId="174">
    <w:nsid w:val="539F7F12"/>
    <w:multiLevelType w:val="hybridMultilevel"/>
    <w:lvl w:ilvl="0">
      <w:lvlJc w:val="left"/>
      <w:lvlText w:val="(%1)"/>
      <w:numFmt w:val="lowerLetter"/>
      <w:start w:val="1"/>
    </w:lvl>
  </w:abstractNum>
  <w:abstractNum w:abstractNumId="175">
    <w:nsid w:val="2817E7EC"/>
    <w:multiLevelType w:val="hybridMultilevel"/>
    <w:lvl w:ilvl="0">
      <w:lvlJc w:val="left"/>
      <w:lvlText w:val="(%1)"/>
      <w:numFmt w:val="lowerLetter"/>
      <w:start w:val="2"/>
    </w:lvl>
  </w:abstractNum>
  <w:abstractNum w:abstractNumId="176">
    <w:nsid w:val="71482545"/>
    <w:multiLevelType w:val="hybridMultilevel"/>
    <w:lvl w:ilvl="0">
      <w:lvlJc w:val="left"/>
      <w:lvlText w:val="(%1)"/>
      <w:numFmt w:val="lowerLetter"/>
      <w:start w:val="1"/>
    </w:lvl>
  </w:abstractNum>
  <w:abstractNum w:abstractNumId="177">
    <w:nsid w:val="17D78639"/>
    <w:multiLevelType w:val="hybridMultilevel"/>
    <w:lvl w:ilvl="0">
      <w:lvlJc w:val="left"/>
      <w:lvlText w:val="(%1)"/>
      <w:numFmt w:val="lowerLetter"/>
      <w:start w:val="1"/>
    </w:lvl>
  </w:abstractNum>
  <w:abstractNum w:abstractNumId="178">
    <w:nsid w:val="141D2302"/>
    <w:multiLevelType w:val="hybridMultilevel"/>
    <w:lvl w:ilvl="0">
      <w:lvlJc w:val="left"/>
      <w:lvlText w:val="(%1)"/>
      <w:numFmt w:val="lowerLetter"/>
      <w:start w:val="3"/>
    </w:lvl>
  </w:abstractNum>
  <w:abstractNum w:abstractNumId="179">
    <w:nsid w:val="407168D8"/>
    <w:multiLevelType w:val="hybridMultilevel"/>
    <w:lvl w:ilvl="0">
      <w:lvlJc w:val="left"/>
      <w:lvlText w:val="(%1)"/>
      <w:numFmt w:val="lowerLetter"/>
      <w:start w:val="2"/>
    </w:lvl>
  </w:abstractNum>
  <w:abstractNum w:abstractNumId="180">
    <w:nsid w:val="6A1B45E5"/>
    <w:multiLevelType w:val="hybridMultilevel"/>
    <w:lvl w:ilvl="0">
      <w:lvlJc w:val="left"/>
      <w:lvlText w:val="(%1)"/>
      <w:numFmt w:val="lowerLetter"/>
      <w:start w:val="1"/>
    </w:lvl>
  </w:abstractNum>
  <w:abstractNum w:abstractNumId="181">
    <w:nsid w:val="567BD50A"/>
    <w:multiLevelType w:val="hybridMultilevel"/>
    <w:lvl w:ilvl="0">
      <w:lvlJc w:val="left"/>
      <w:lvlText w:val="(%1)"/>
      <w:numFmt w:val="lowerRoman"/>
      <w:start w:val="1"/>
    </w:lvl>
  </w:abstractNum>
  <w:abstractNum w:abstractNumId="182">
    <w:nsid w:val="73BBD7F8"/>
    <w:multiLevelType w:val="hybridMultilevel"/>
    <w:lvl w:ilvl="0">
      <w:lvlJc w:val="left"/>
      <w:lvlText w:val="(%1)"/>
      <w:numFmt w:val="lowerLetter"/>
      <w:start w:val="2"/>
    </w:lvl>
  </w:abstractNum>
  <w:abstractNum w:abstractNumId="183">
    <w:nsid w:val="1876589D"/>
    <w:multiLevelType w:val="hybridMultilevel"/>
    <w:lvl w:ilvl="0">
      <w:lvlJc w:val="left"/>
      <w:lvlText w:val="%1"/>
      <w:numFmt w:val="lowerLetter"/>
      <w:start w:val="1"/>
    </w:lvl>
    <w:lvl w:ilvl="1">
      <w:lvlJc w:val="left"/>
      <w:lvlText w:val="(%2)"/>
      <w:numFmt w:val="lowerLetter"/>
      <w:start w:val="35"/>
    </w:lvl>
  </w:abstractNum>
  <w:abstractNum w:abstractNumId="184">
    <w:nsid w:val="327FAC77"/>
    <w:multiLevelType w:val="hybridMultilevel"/>
    <w:lvl w:ilvl="0">
      <w:lvlJc w:val="left"/>
      <w:lvlText w:val="(%1)"/>
      <w:numFmt w:val="lowerLetter"/>
      <w:start w:val="3"/>
    </w:lvl>
    <w:lvl w:ilvl="1">
      <w:lvlJc w:val="left"/>
      <w:lvlText w:val="%2"/>
      <w:numFmt w:val="lowerLetter"/>
      <w:start w:val="1"/>
    </w:lvl>
  </w:abstractNum>
  <w:abstractNum w:abstractNumId="185">
    <w:nsid w:val="5A606509"/>
    <w:multiLevelType w:val="hybridMultilevel"/>
    <w:lvl w:ilvl="0">
      <w:lvlJc w:val="left"/>
      <w:lvlText w:val="(%1)"/>
      <w:numFmt w:val="lowerLetter"/>
      <w:start w:val="1"/>
    </w:lvl>
    <w:lvl w:ilvl="1">
      <w:lvlJc w:val="left"/>
      <w:lvlText w:val="(%2)"/>
      <w:numFmt w:val="lowerLetter"/>
      <w:start w:val="2"/>
    </w:lvl>
  </w:abstractNum>
  <w:abstractNum w:abstractNumId="186">
    <w:nsid w:val="6F38E6D1"/>
    <w:multiLevelType w:val="hybridMultilevel"/>
    <w:lvl w:ilvl="0">
      <w:lvlJc w:val="left"/>
      <w:lvlText w:val="(%1)"/>
      <w:numFmt w:val="lowerLetter"/>
      <w:start w:val="8"/>
    </w:lvl>
  </w:abstractNum>
  <w:abstractNum w:abstractNumId="187">
    <w:nsid w:val="46111BA5"/>
    <w:multiLevelType w:val="hybridMultilevel"/>
    <w:lvl w:ilvl="0">
      <w:lvlJc w:val="left"/>
      <w:lvlText w:val="%1"/>
      <w:numFmt w:val="lowerLetter"/>
      <w:start w:val="1"/>
    </w:lvl>
    <w:lvl w:ilvl="1">
      <w:lvlJc w:val="left"/>
      <w:lvlText w:val="(%2)"/>
      <w:numFmt w:val="lowerLetter"/>
      <w:start w:val="21"/>
    </w:lvl>
  </w:abstractNum>
  <w:abstractNum w:abstractNumId="188">
    <w:nsid w:val="5E963896"/>
    <w:multiLevelType w:val="hybridMultilevel"/>
    <w:lvl w:ilvl="0">
      <w:lvlJc w:val="left"/>
      <w:lvlText w:val="(%1)"/>
      <w:numFmt w:val="lowerLetter"/>
      <w:start w:val="22"/>
    </w:lvl>
    <w:lvl w:ilvl="1">
      <w:lvlJc w:val="left"/>
      <w:lvlText w:val="(%2)"/>
      <w:numFmt w:val="lowerLetter"/>
      <w:start w:val="23"/>
    </w:lvl>
  </w:abstractNum>
  <w:abstractNum w:abstractNumId="189">
    <w:nsid w:val="775BA7C1"/>
    <w:multiLevelType w:val="hybridMultilevel"/>
    <w:lvl w:ilvl="0">
      <w:lvlJc w:val="left"/>
      <w:lvlText w:val="(%1)"/>
      <w:numFmt w:val="lowerLetter"/>
      <w:start w:val="27"/>
    </w:lvl>
  </w:abstractNum>
  <w:abstractNum w:abstractNumId="190">
    <w:nsid w:val="1DD6D6F4"/>
    <w:multiLevelType w:val="hybridMultilevel"/>
    <w:lvl w:ilvl="0">
      <w:lvlJc w:val="left"/>
      <w:lvlText w:val="(%1)"/>
      <w:numFmt w:val="lowerLetter"/>
      <w:start w:val="1"/>
    </w:lvl>
  </w:abstractNum>
  <w:abstractNum w:abstractNumId="191">
    <w:nsid w:val="769A091F"/>
    <w:multiLevelType w:val="hybridMultilevel"/>
    <w:lvl w:ilvl="0">
      <w:lvlJc w:val="left"/>
      <w:lvlText w:val="(%1)"/>
      <w:numFmt w:val="lowerLetter"/>
      <w:start w:val="6"/>
    </w:lvl>
  </w:abstractNum>
  <w:abstractNum w:abstractNumId="192">
    <w:nsid w:val="4695AE95"/>
    <w:multiLevelType w:val="hybridMultilevel"/>
    <w:lvl w:ilvl="0">
      <w:lvlJc w:val="left"/>
      <w:lvlText w:val="(%1)"/>
      <w:numFmt w:val="lowerLetter"/>
      <w:start w:val="1"/>
    </w:lvl>
  </w:abstractNum>
  <w:abstractNum w:abstractNumId="193">
    <w:nsid w:val="777A4EAA"/>
    <w:multiLevelType w:val="hybridMultilevel"/>
    <w:lvl w:ilvl="0">
      <w:lvlJc w:val="left"/>
      <w:lvlText w:val="%1"/>
      <w:numFmt w:val="lowerLetter"/>
      <w:start w:val="1"/>
    </w:lvl>
    <w:lvl w:ilvl="1">
      <w:lvlJc w:val="left"/>
      <w:lvlText w:val="(%2)"/>
      <w:numFmt w:val="lowerLetter"/>
      <w:start w:val="5"/>
    </w:lvl>
  </w:abstractNum>
  <w:abstractNum w:abstractNumId="194">
    <w:nsid w:val="3F48B982"/>
    <w:multiLevelType w:val="hybridMultilevel"/>
    <w:lvl w:ilvl="0">
      <w:lvlJc w:val="left"/>
      <w:lvlText w:val="(%1)"/>
      <w:numFmt w:val="lowerLetter"/>
      <w:start w:val="35"/>
    </w:lvl>
    <w:lvl w:ilvl="1">
      <w:lvlJc w:val="left"/>
      <w:lvlText w:val="(%2)"/>
      <w:numFmt w:val="lowerLetter"/>
      <w:start w:val="8"/>
    </w:lvl>
  </w:abstractNum>
  <w:abstractNum w:abstractNumId="195">
    <w:nsid w:val="46BA8FCA"/>
    <w:multiLevelType w:val="hybridMultilevel"/>
    <w:lvl w:ilvl="0">
      <w:lvlJc w:val="left"/>
      <w:lvlText w:val="%1"/>
      <w:numFmt w:val="lowerLetter"/>
      <w:start w:val="1"/>
    </w:lvl>
    <w:lvl w:ilvl="1">
      <w:lvlJc w:val="left"/>
      <w:lvlText w:val="(%2)"/>
      <w:numFmt w:val="lowerLetter"/>
      <w:start w:val="14"/>
    </w:lvl>
  </w:abstractNum>
  <w:abstractNum w:abstractNumId="196">
    <w:nsid w:val="7835626C"/>
    <w:multiLevelType w:val="hybridMultilevel"/>
    <w:lvl w:ilvl="0">
      <w:lvlJc w:val="left"/>
      <w:lvlText w:val="(%1)"/>
      <w:numFmt w:val="lowerLetter"/>
      <w:start w:val="35"/>
    </w:lvl>
    <w:lvl w:ilvl="1">
      <w:lvlJc w:val="left"/>
      <w:lvlText w:val="%2"/>
      <w:numFmt w:val="lowerLetter"/>
      <w:start w:val="1"/>
    </w:lvl>
  </w:abstractNum>
  <w:abstractNum w:abstractNumId="197">
    <w:nsid w:val="665ACA49"/>
    <w:multiLevelType w:val="hybridMultilevel"/>
    <w:lvl w:ilvl="0">
      <w:lvlJc w:val="left"/>
      <w:lvlText w:val="(%1)"/>
      <w:numFmt w:val="lowerLetter"/>
      <w:start w:val="1"/>
    </w:lvl>
  </w:abstractNum>
  <w:abstractNum w:abstractNumId="198">
    <w:nsid w:val="6835B2AE"/>
    <w:multiLevelType w:val="hybridMultilevel"/>
    <w:lvl w:ilvl="0">
      <w:lvlJc w:val="left"/>
      <w:lvlText w:val="(%1)"/>
      <w:numFmt w:val="lowerLetter"/>
      <w:start w:val="4"/>
    </w:lvl>
  </w:abstractNum>
  <w:abstractNum w:abstractNumId="199">
    <w:nsid w:val="4C187C90"/>
    <w:multiLevelType w:val="hybridMultilevel"/>
    <w:lvl w:ilvl="0">
      <w:lvlJc w:val="left"/>
      <w:lvlText w:val="(%1)"/>
      <w:numFmt w:val="lowerLetter"/>
      <w:start w:val="1"/>
    </w:lvl>
  </w:abstractNum>
  <w:abstractNum w:abstractNumId="200">
    <w:nsid w:val="541F28CD"/>
    <w:multiLevelType w:val="hybridMultilevel"/>
    <w:lvl w:ilvl="0">
      <w:lvlJc w:val="left"/>
      <w:lvlText w:val="(%1)"/>
      <w:numFmt w:val="lowerLetter"/>
      <w:start w:val="8"/>
    </w:lvl>
  </w:abstractNum>
  <w:abstractNum w:abstractNumId="201">
    <w:nsid w:val="7F65FD16"/>
    <w:multiLevelType w:val="hybridMultilevel"/>
    <w:lvl w:ilvl="0">
      <w:lvlJc w:val="left"/>
      <w:lvlText w:val="(%1)"/>
      <w:numFmt w:val="lowerLetter"/>
      <w:start w:val="1"/>
    </w:lvl>
  </w:abstractNum>
  <w:abstractNum w:abstractNumId="202">
    <w:nsid w:val="77C9FD68"/>
    <w:multiLevelType w:val="hybridMultilevel"/>
    <w:lvl w:ilvl="0">
      <w:lvlJc w:val="left"/>
      <w:lvlText w:val="(%1)"/>
      <w:numFmt w:val="lowerLetter"/>
      <w:start w:val="4"/>
    </w:lvl>
  </w:abstractNum>
  <w:abstractNum w:abstractNumId="203">
    <w:nsid w:val="298A92BA"/>
    <w:multiLevelType w:val="hybridMultilevel"/>
    <w:lvl w:ilvl="0">
      <w:lvlJc w:val="left"/>
      <w:lvlText w:val="(%1)"/>
      <w:numFmt w:val="lowerLetter"/>
      <w:start w:val="1"/>
    </w:lvl>
  </w:abstractNum>
  <w:abstractNum w:abstractNumId="204">
    <w:nsid w:val="6FE95EAC"/>
    <w:multiLevelType w:val="hybridMultilevel"/>
    <w:lvl w:ilvl="0">
      <w:lvlJc w:val="left"/>
      <w:lvlText w:val="(%1)"/>
      <w:numFmt w:val="lowerLetter"/>
      <w:start w:val="1"/>
    </w:lvl>
  </w:abstractNum>
  <w:abstractNum w:abstractNumId="205">
    <w:nsid w:val="4B697C7A"/>
    <w:multiLevelType w:val="hybridMultilevel"/>
    <w:lvl w:ilvl="0">
      <w:lvlJc w:val="left"/>
      <w:lvlText w:val="(%1)"/>
      <w:numFmt w:val="lowerLetter"/>
      <w:start w:val="1"/>
    </w:lvl>
  </w:abstractNum>
  <w:abstractNum w:abstractNumId="206">
    <w:nsid w:val="51A27AA6"/>
    <w:multiLevelType w:val="hybridMultilevel"/>
    <w:lvl w:ilvl="0">
      <w:lvlJc w:val="left"/>
      <w:lvlText w:val="(%1)"/>
      <w:numFmt w:val="lowerLetter"/>
      <w:start w:val="2"/>
    </w:lvl>
  </w:abstractNum>
  <w:abstractNum w:abstractNumId="207">
    <w:nsid w:val="613183F2"/>
    <w:multiLevelType w:val="hybridMultilevel"/>
    <w:lvl w:ilvl="0">
      <w:lvlJc w:val="left"/>
      <w:lvlText w:val="%1"/>
      <w:numFmt w:val="lowerLetter"/>
      <w:start w:val="1"/>
    </w:lvl>
    <w:lvl w:ilvl="1">
      <w:lvlJc w:val="left"/>
      <w:lvlText w:val="(%2)"/>
      <w:numFmt w:val="lowerLetter"/>
      <w:start w:val="1"/>
    </w:lvl>
  </w:abstractNum>
  <w:abstractNum w:abstractNumId="208">
    <w:nsid w:val="634102B4"/>
    <w:multiLevelType w:val="hybridMultilevel"/>
    <w:lvl w:ilvl="0">
      <w:lvlJc w:val="left"/>
      <w:lvlText w:val="(%1)"/>
      <w:numFmt w:val="lowerLetter"/>
      <w:start w:val="1"/>
    </w:lvl>
    <w:lvl w:ilvl="1">
      <w:lvlJc w:val="left"/>
      <w:lvlText w:val="(%2)"/>
      <w:numFmt w:val="lowerLetter"/>
      <w:start w:val="4"/>
    </w:lvl>
  </w:abstractNum>
  <w:abstractNum w:abstractNumId="209">
    <w:nsid w:val="65BF9DA8"/>
    <w:multiLevelType w:val="hybridMultilevel"/>
    <w:lvl w:ilvl="0">
      <w:lvlJc w:val="left"/>
      <w:lvlText w:val="%1"/>
      <w:numFmt w:val="upperLetter"/>
      <w:start w:val="1"/>
    </w:lvl>
    <w:lvl w:ilvl="1">
      <w:lvlJc w:val="left"/>
      <w:lvlText w:val="(%2)"/>
      <w:numFmt w:val="lowerLetter"/>
      <w:start w:val="5"/>
    </w:lvl>
  </w:abstractNum>
  <w:abstractNum w:abstractNumId="210">
    <w:nsid w:val="21A2ECCA"/>
    <w:multiLevelType w:val="hybridMultilevel"/>
    <w:lvl w:ilvl="0">
      <w:lvlJc w:val="left"/>
      <w:lvlText w:val="(%1)"/>
      <w:numFmt w:val="upperLetter"/>
      <w:start w:val="1"/>
    </w:lvl>
    <w:lvl w:ilvl="1">
      <w:lvlJc w:val="left"/>
      <w:lvlText w:val="(%2)"/>
      <w:numFmt w:val="lowerLetter"/>
      <w:start w:val="6"/>
    </w:lvl>
  </w:abstractNum>
  <w:abstractNum w:abstractNumId="211">
    <w:nsid w:val="4D5C4899"/>
    <w:multiLevelType w:val="hybridMultilevel"/>
    <w:lvl w:ilvl="0">
      <w:lvlJc w:val="left"/>
      <w:lvlText w:val="(%1)"/>
      <w:numFmt w:val="lowerLetter"/>
      <w:start w:val="9"/>
    </w:lvl>
  </w:abstractNum>
  <w:abstractNum w:abstractNumId="212">
    <w:nsid w:val="3C3B72B2"/>
    <w:multiLevelType w:val="hybridMultilevel"/>
    <w:lvl w:ilvl="0">
      <w:lvlJc w:val="left"/>
      <w:lvlText w:val="(%1)"/>
      <w:numFmt w:val="lowerLetter"/>
      <w:start w:val="1"/>
    </w:lvl>
  </w:abstractNum>
  <w:abstractNum w:abstractNumId="213">
    <w:nsid w:val="155EC4C2"/>
    <w:multiLevelType w:val="hybridMultilevel"/>
    <w:lvl w:ilvl="0">
      <w:lvlJc w:val="left"/>
      <w:lvlText w:val="(%1)"/>
      <w:numFmt w:val="lowerLetter"/>
      <w:start w:val="1"/>
    </w:lvl>
  </w:abstractNum>
  <w:abstractNum w:abstractNumId="214">
    <w:nsid w:val="65D2A137"/>
    <w:multiLevelType w:val="hybridMultilevel"/>
    <w:lvl w:ilvl="0">
      <w:lvlJc w:val="left"/>
      <w:lvlText w:val="%1"/>
      <w:numFmt w:val="lowerRoman"/>
      <w:start w:val="1"/>
    </w:lvl>
    <w:lvl w:ilvl="1">
      <w:lvlJc w:val="left"/>
      <w:lvlText w:val="(%2)"/>
      <w:numFmt w:val="lowerLetter"/>
      <w:start w:val="3"/>
    </w:lvl>
  </w:abstractNum>
  <w:abstractNum w:abstractNumId="215">
    <w:nsid w:val="6EBB1F2A"/>
    <w:multiLevelType w:val="hybridMultilevel"/>
    <w:lvl w:ilvl="0">
      <w:lvlJc w:val="left"/>
      <w:lvlText w:val="(%1)"/>
      <w:numFmt w:val="lowerRoman"/>
      <w:start w:val="2"/>
    </w:lvl>
    <w:lvl w:ilvl="1">
      <w:lvlJc w:val="left"/>
      <w:lvlText w:val="%2"/>
      <w:numFmt w:val="lowerLetter"/>
      <w:start w:val="1"/>
    </w:lvl>
  </w:abstractNum>
  <w:abstractNum w:abstractNumId="216">
    <w:nsid w:val="6FBF29CB"/>
    <w:multiLevelType w:val="hybridMultilevel"/>
    <w:lvl w:ilvl="0">
      <w:lvlJc w:val="left"/>
      <w:lvlText w:val="(%1)"/>
      <w:numFmt w:val="lowerLetter"/>
      <w:start w:val="1"/>
    </w:lvl>
  </w:abstractNum>
  <w:abstractNum w:abstractNumId="217">
    <w:nsid w:val="550B8808"/>
    <w:multiLevelType w:val="hybridMultilevel"/>
    <w:lvl w:ilvl="0">
      <w:lvlJc w:val="left"/>
      <w:lvlText w:val="(%1)"/>
      <w:numFmt w:val="lowerLetter"/>
      <w:start w:val="1"/>
    </w:lvl>
    <w:lvl w:ilvl="1">
      <w:lvlJc w:val="left"/>
      <w:lvlText w:val="(%2)"/>
      <w:numFmt w:val="lowerLetter"/>
      <w:start w:val="9"/>
    </w:lvl>
  </w:abstractNum>
  <w:abstractNum w:abstractNumId="218">
    <w:nsid w:val="34CC3ACF"/>
    <w:multiLevelType w:val="hybridMultilevel"/>
    <w:lvl w:ilvl="0">
      <w:lvlJc w:val="left"/>
      <w:lvlText w:val="%1"/>
      <w:numFmt w:val="lowerLetter"/>
      <w:start w:val="1"/>
    </w:lvl>
    <w:lvl w:ilvl="1">
      <w:lvlJc w:val="left"/>
      <w:lvlText w:val="(%2)"/>
      <w:numFmt w:val="lowerRoman"/>
      <w:start w:val="2"/>
    </w:lvl>
  </w:abstractNum>
  <w:abstractNum w:abstractNumId="219">
    <w:nsid w:val="4E556261"/>
    <w:multiLevelType w:val="hybridMultilevel"/>
    <w:lvl w:ilvl="0">
      <w:lvlJc w:val="left"/>
      <w:lvlText w:val="(%1)"/>
      <w:numFmt w:val="lowerLetter"/>
      <w:start w:val="2"/>
    </w:lvl>
    <w:lvl w:ilvl="1">
      <w:lvlJc w:val="left"/>
      <w:lvlText w:val="%2"/>
      <w:numFmt w:val="lowerRoman"/>
      <w:start w:val="1"/>
    </w:lvl>
  </w:abstractNum>
  <w:abstractNum w:abstractNumId="220">
    <w:nsid w:val="4C672FC9"/>
    <w:multiLevelType w:val="hybridMultilevel"/>
    <w:lvl w:ilvl="0">
      <w:lvlJc w:val="left"/>
      <w:lvlText w:val="(%1)"/>
      <w:numFmt w:val="lowerLetter"/>
      <w:start w:val="1"/>
    </w:lvl>
  </w:abstractNum>
  <w:abstractNum w:abstractNumId="221">
    <w:nsid w:val="52A311C3"/>
    <w:multiLevelType w:val="hybridMultilevel"/>
    <w:lvl w:ilvl="0">
      <w:lvlJc w:val="left"/>
      <w:lvlText w:val="%1"/>
      <w:numFmt w:val="lowerLetter"/>
      <w:start w:val="1"/>
    </w:lvl>
    <w:lvl w:ilvl="1">
      <w:lvlJc w:val="left"/>
      <w:lvlText w:val="(%2)"/>
      <w:numFmt w:val="lowerLetter"/>
      <w:start w:val="6"/>
    </w:lvl>
  </w:abstractNum>
  <w:abstractNum w:abstractNumId="222">
    <w:nsid w:val="44EF6B80"/>
    <w:multiLevelType w:val="hybridMultilevel"/>
    <w:lvl w:ilvl="0">
      <w:lvlJc w:val="left"/>
      <w:lvlText w:val="(%1)"/>
      <w:numFmt w:val="lowerLetter"/>
      <w:start w:val="35"/>
    </w:lvl>
    <w:lvl w:ilvl="1">
      <w:lvlJc w:val="left"/>
      <w:lvlText w:val="(%2)"/>
      <w:numFmt w:val="lowerLetter"/>
      <w:start w:val="7"/>
    </w:lvl>
  </w:abstractNum>
  <w:abstractNum w:abstractNumId="223">
    <w:nsid w:val="12FCDE5E"/>
    <w:multiLevelType w:val="hybridMultilevel"/>
    <w:lvl w:ilvl="0">
      <w:lvlJc w:val="left"/>
      <w:lvlText w:val="(%1)"/>
      <w:numFmt w:val="lowerRoman"/>
      <w:start w:val="4"/>
    </w:lvl>
  </w:abstractNum>
  <w:abstractNum w:abstractNumId="224">
    <w:nsid w:val="4A1D606E"/>
    <w:multiLevelType w:val="hybridMultilevel"/>
    <w:lvl w:ilvl="0">
      <w:lvlJc w:val="left"/>
      <w:lvlText w:val="(%1)"/>
      <w:numFmt w:val="lowerRoman"/>
      <w:start w:val="10"/>
    </w:lvl>
  </w:abstractNum>
  <w:abstractNum w:abstractNumId="225">
    <w:nsid w:val="4382503"/>
    <w:multiLevelType w:val="hybridMultilevel"/>
    <w:lvl w:ilvl="0">
      <w:lvlJc w:val="left"/>
      <w:lvlText w:val="(%1)"/>
      <w:numFmt w:val="lowerLetter"/>
      <w:start w:val="1"/>
    </w:lvl>
    <w:lvl w:ilvl="1">
      <w:lvlJc w:val="left"/>
      <w:lvlText w:val="(%2)"/>
      <w:numFmt w:val="lowerRoman"/>
      <w:start w:val="1"/>
    </w:lvl>
  </w:abstractNum>
  <w:abstractNum w:abstractNumId="226">
    <w:nsid w:val="59B76E28"/>
    <w:multiLevelType w:val="hybridMultilevel"/>
    <w:lvl w:ilvl="0">
      <w:lvlJc w:val="left"/>
      <w:lvlText w:val="(%1)"/>
      <w:numFmt w:val="lowerLetter"/>
      <w:start w:val="2"/>
    </w:lvl>
  </w:abstractNum>
  <w:abstractNum w:abstractNumId="227">
    <w:nsid w:val="4252C2DA"/>
    <w:multiLevelType w:val="hybridMultilevel"/>
    <w:lvl w:ilvl="0">
      <w:lvlJc w:val="left"/>
      <w:lvlText w:val="(%1)"/>
      <w:numFmt w:val="lowerLetter"/>
      <w:start w:val="3"/>
    </w:lvl>
  </w:abstractNum>
  <w:abstractNum w:abstractNumId="228">
    <w:nsid w:val="6A92EF4C"/>
    <w:multiLevelType w:val="hybridMultilevel"/>
    <w:lvl w:ilvl="0">
      <w:lvlJc w:val="left"/>
      <w:lvlText w:val="%1"/>
      <w:numFmt w:val="lowerLetter"/>
      <w:start w:val="1"/>
    </w:lvl>
    <w:lvl w:ilvl="1">
      <w:lvlJc w:val="left"/>
      <w:lvlText w:val="(%2)"/>
      <w:numFmt w:val="lowerLetter"/>
      <w:start w:val="5"/>
    </w:lvl>
  </w:abstractNum>
  <w:abstractNum w:abstractNumId="229">
    <w:nsid w:val="41ED20D7"/>
    <w:multiLevelType w:val="hybridMultilevel"/>
    <w:lvl w:ilvl="0">
      <w:lvlJc w:val="left"/>
      <w:lvlText w:val="(%1)"/>
      <w:numFmt w:val="lowerLetter"/>
      <w:start w:val="9"/>
    </w:lvl>
    <w:lvl w:ilvl="1">
      <w:lvlJc w:val="left"/>
      <w:lvlText w:val="%2"/>
      <w:numFmt w:val="lowerLetter"/>
      <w:start w:val="1"/>
    </w:lvl>
  </w:abstractNum>
  <w:abstractNum w:abstractNumId="230">
    <w:nsid w:val="E6B3F6A"/>
    <w:multiLevelType w:val="hybridMultilevel"/>
    <w:lvl w:ilvl="0">
      <w:lvlJc w:val="left"/>
      <w:lvlText w:val="(%1)"/>
      <w:numFmt w:val="lowerLetter"/>
      <w:start w:val="1"/>
    </w:lvl>
  </w:abstractNum>
  <w:abstractNum w:abstractNumId="231">
    <w:nsid w:val="3EB21819"/>
    <w:multiLevelType w:val="hybridMultilevel"/>
    <w:lvl w:ilvl="0">
      <w:lvlJc w:val="left"/>
      <w:lvlText w:val="(%1)"/>
      <w:numFmt w:val="lowerLetter"/>
      <w:start w:val="3"/>
    </w:lvl>
  </w:abstractNum>
  <w:abstractNum w:abstractNumId="232">
    <w:nsid w:val="41531DED"/>
    <w:multiLevelType w:val="hybridMultilevel"/>
    <w:lvl w:ilvl="0">
      <w:lvlJc w:val="left"/>
      <w:lvlText w:val="(%1)"/>
      <w:numFmt w:val="lowerLetter"/>
      <w:start w:val="5"/>
    </w:lvl>
  </w:abstractNum>
  <w:abstractNum w:abstractNumId="233">
    <w:nsid w:val="6353CD2"/>
    <w:multiLevelType w:val="hybridMultilevel"/>
    <w:lvl w:ilvl="0">
      <w:lvlJc w:val="left"/>
      <w:lvlText w:val="(%1)"/>
      <w:numFmt w:val="lowerLetter"/>
      <w:start w:val="1"/>
    </w:lvl>
  </w:abstractNum>
  <w:abstractNum w:abstractNumId="234">
    <w:nsid w:val="683CAAD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35">
    <w:nsid w:val="313C7C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236">
    <w:nsid w:val="519EB94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37">
    <w:nsid w:val="39DF2579"/>
    <w:multiLevelType w:val="hybridMultilevel"/>
    <w:lvl w:ilvl="0">
      <w:lvlJc w:val="left"/>
      <w:lvlText w:val="%1"/>
      <w:numFmt w:val="lowerRoman"/>
      <w:start w:val="1"/>
    </w:lvl>
    <w:lvl w:ilvl="1">
      <w:lvlJc w:val="left"/>
      <w:lvlText w:val="(%2)"/>
      <w:numFmt w:val="upperLetter"/>
      <w:start w:val="3"/>
    </w:lvl>
  </w:abstractNum>
  <w:abstractNum w:abstractNumId="238">
    <w:nsid w:val="126E008B"/>
    <w:multiLevelType w:val="hybridMultilevel"/>
    <w:lvl w:ilvl="0">
      <w:lvlJc w:val="left"/>
      <w:lvlText w:val="(%1)"/>
      <w:numFmt w:val="lowerRoman"/>
      <w:start w:val="4"/>
    </w:lvl>
    <w:lvl w:ilvl="1">
      <w:lvlJc w:val="left"/>
      <w:lvlText w:val="%2"/>
      <w:numFmt w:val="upperLetter"/>
      <w:start w:val="1"/>
    </w:lvl>
  </w:abstractNum>
  <w:abstractNum w:abstractNumId="239">
    <w:nsid w:val="34DFBC00"/>
    <w:multiLevelType w:val="hybridMultilevel"/>
    <w:lvl w:ilvl="0">
      <w:lvlJc w:val="left"/>
      <w:lvlText w:val="(%1)"/>
      <w:numFmt w:val="lowerLetter"/>
      <w:start w:val="3"/>
    </w:lvl>
  </w:abstractNum>
  <w:abstractNum w:abstractNumId="240">
    <w:nsid w:val="1F9EC322"/>
    <w:multiLevelType w:val="hybridMultilevel"/>
    <w:lvl w:ilvl="0">
      <w:lvlJc w:val="left"/>
      <w:lvlText w:val="(%1)"/>
      <w:numFmt w:val="lowerLetter"/>
      <w:start w:val="5"/>
    </w:lvl>
  </w:abstractNum>
  <w:abstractNum w:abstractNumId="241">
    <w:nsid w:val="3410ED56"/>
    <w:multiLevelType w:val="hybridMultilevel"/>
    <w:lvl w:ilvl="0">
      <w:lvlJc w:val="left"/>
      <w:lvlText w:val="(%1)"/>
      <w:numFmt w:val="lowerLetter"/>
      <w:start w:val="1"/>
    </w:lvl>
  </w:abstractNum>
  <w:abstractNum w:abstractNumId="242">
    <w:nsid w:val="23C049A"/>
    <w:multiLevelType w:val="hybridMultilevel"/>
    <w:lvl w:ilvl="0">
      <w:lvlJc w:val="left"/>
      <w:lvlText w:val="(%1)"/>
      <w:numFmt w:val="lowerLetter"/>
      <w:start w:val="25"/>
    </w:lvl>
  </w:abstractNum>
  <w:abstractNum w:abstractNumId="243">
    <w:nsid w:val="5BDA35D4"/>
    <w:multiLevelType w:val="hybridMultilevel"/>
    <w:lvl w:ilvl="0">
      <w:lvlJc w:val="left"/>
      <w:lvlText w:val="(%1)"/>
      <w:numFmt w:val="lowerLetter"/>
      <w:start w:val="1"/>
    </w:lvl>
  </w:abstractNum>
  <w:abstractNum w:abstractNumId="244">
    <w:nsid w:val="496FB218"/>
    <w:multiLevelType w:val="hybridMultilevel"/>
    <w:lvl w:ilvl="0">
      <w:lvlJc w:val="left"/>
      <w:lvlText w:val="(%1)"/>
      <w:numFmt w:val="lowerLetter"/>
      <w:start w:val="1"/>
    </w:lvl>
  </w:abstractNum>
  <w:abstractNum w:abstractNumId="245">
    <w:nsid w:val="680EA5D1"/>
    <w:multiLevelType w:val="hybridMultilevel"/>
    <w:lvl w:ilvl="0">
      <w:lvlJc w:val="left"/>
      <w:lvlText w:val="(%1)"/>
      <w:numFmt w:val="lowerLetter"/>
      <w:start w:val="1"/>
    </w:lvl>
    <w:lvl w:ilvl="1">
      <w:lvlJc w:val="left"/>
      <w:lvlText w:val="(%2)"/>
      <w:numFmt w:val="lowerRoman"/>
      <w:start w:val="1"/>
    </w:lvl>
  </w:abstractNum>
  <w:abstractNum w:abstractNumId="246">
    <w:nsid w:val="4A9554FE"/>
    <w:multiLevelType w:val="hybridMultilevel"/>
    <w:lvl w:ilvl="0">
      <w:lvlJc w:val="left"/>
      <w:lvlText w:val="%1."/>
      <w:numFmt w:val="decimal"/>
      <w:start w:val="1"/>
    </w:lvl>
  </w:abstractNum>
  <w:abstractNum w:abstractNumId="247">
    <w:nsid w:val="392EDBE4"/>
    <w:multiLevelType w:val="hybridMultilevel"/>
    <w:lvl w:ilvl="0">
      <w:lvlJc w:val="left"/>
      <w:lvlText w:val="%1"/>
      <w:numFmt w:val="decimal"/>
      <w:start w:val="1"/>
    </w:lvl>
    <w:lvl w:ilvl="1">
      <w:lvlJc w:val="left"/>
      <w:lvlText w:val="%2."/>
      <w:numFmt w:val="decimal"/>
      <w:start w:val="15"/>
    </w:lvl>
  </w:abstractNum>
  <w:abstractNum w:abstractNumId="248">
    <w:nsid w:val="3D1A2DD9"/>
    <w:multiLevelType w:val="hybridMultilevel"/>
    <w:lvl w:ilvl="0">
      <w:lvlJc w:val="left"/>
      <w:lvlText w:val="%1."/>
      <w:numFmt w:val="decimal"/>
      <w:start w:val="27"/>
    </w:lvl>
    <w:lvl w:ilvl="1">
      <w:lvlJc w:val="left"/>
      <w:lvlText w:val="%2"/>
      <w:numFmt w:val="decimal"/>
      <w:start w:val="1"/>
    </w:lvl>
  </w:abstractNum>
  <w:abstractNum w:abstractNumId="249">
    <w:nsid w:val="7F618FCD"/>
    <w:multiLevelType w:val="hybridMultilevel"/>
    <w:lvl w:ilvl="0">
      <w:lvlJc w:val="left"/>
      <w:lvlText w:val="%1."/>
      <w:numFmt w:val="decimal"/>
      <w:start w:val="1"/>
    </w:lvl>
  </w:abstractNum>
  <w:abstractNum w:abstractNumId="250">
    <w:nsid w:val="7843E45"/>
    <w:multiLevelType w:val="hybridMultilevel"/>
    <w:lvl w:ilvl="0">
      <w:lvlJc w:val="left"/>
      <w:lvlText w:val="%1."/>
      <w:numFmt w:val="decimal"/>
      <w:start w:val="1"/>
    </w:lvl>
  </w:abstractNum>
  <w:abstractNum w:abstractNumId="251">
    <w:nsid w:val="9815DA3"/>
    <w:multiLevelType w:val="hybridMultilevel"/>
    <w:lvl w:ilvl="0">
      <w:lvlJc w:val="left"/>
      <w:lvlText w:val="☐"/>
      <w:numFmt w:val="bullet"/>
      <w:start w:val="1"/>
    </w:lvl>
  </w:abstractNum>
  <w:abstractNum w:abstractNumId="252">
    <w:nsid w:val="5204A191"/>
    <w:multiLevelType w:val="hybridMultilevel"/>
    <w:lvl w:ilvl="0">
      <w:lvlJc w:val="left"/>
      <w:lvlText w:val="%1."/>
      <w:numFmt w:val="decimal"/>
      <w:start w:val="6"/>
    </w:lvl>
  </w:abstractNum>
  <w:abstractNum w:abstractNumId="253">
    <w:nsid w:val="4C73A9C6"/>
    <w:multiLevelType w:val="hybridMultilevel"/>
    <w:lvl w:ilvl="0">
      <w:lvlJc w:val="left"/>
      <w:lvlText w:val="%1."/>
      <w:numFmt w:val="decimal"/>
      <w:start w:val="1"/>
    </w:lvl>
  </w:abstractNum>
  <w:abstractNum w:abstractNumId="254">
    <w:nsid w:val="1C7E3C01"/>
    <w:multiLevelType w:val="hybridMultilevel"/>
    <w:lvl w:ilvl="0">
      <w:lvlJc w:val="left"/>
      <w:lvlText w:val="%1."/>
      <w:numFmt w:val="decimal"/>
      <w:start w:val="1"/>
    </w:lvl>
  </w:abstractNum>
  <w:abstractNum w:abstractNumId="255">
    <w:nsid w:val="1C2201FF"/>
    <w:multiLevelType w:val="hybridMultilevel"/>
    <w:lvl w:ilvl="0">
      <w:lvlJc w:val="left"/>
      <w:lvlText w:val="%1."/>
      <w:numFmt w:val="decimal"/>
      <w:start w:val="2"/>
    </w:lvl>
  </w:abstractNum>
  <w:abstractNum w:abstractNumId="256">
    <w:nsid w:val="50ABCEC9"/>
    <w:multiLevelType w:val="hybridMultilevel"/>
    <w:lvl w:ilvl="0">
      <w:lvlJc w:val="left"/>
      <w:lvlText w:val="%1."/>
      <w:numFmt w:val="decimal"/>
      <w:start w:val="4"/>
    </w:lvl>
  </w:abstractNum>
  <w:abstractNum w:abstractNumId="257">
    <w:nsid w:val="7635AA2A"/>
    <w:multiLevelType w:val="hybridMultilevel"/>
    <w:lvl w:ilvl="0">
      <w:lvlJc w:val="left"/>
      <w:lvlText w:val=","/>
      <w:numFmt w:val="bullet"/>
      <w:start w:val="1"/>
    </w:lvl>
  </w:abstractNum>
  <w:abstractNum w:abstractNumId="258">
    <w:nsid w:val="5E74C4D9"/>
    <w:multiLevelType w:val="hybridMultilevel"/>
    <w:lvl w:ilvl="0">
      <w:lvlJc w:val="left"/>
      <w:lvlText w:val="%1."/>
      <w:numFmt w:val="upperLetter"/>
      <w:start w:val="9"/>
    </w:lvl>
  </w:abstractNum>
  <w:abstractNum w:abstractNumId="259">
    <w:nsid w:val="3B3EBE1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60">
    <w:nsid w:val="3822CB01"/>
    <w:multiLevelType w:val="hybridMultilevel"/>
    <w:lvl w:ilvl="0">
      <w:lvlJc w:val="left"/>
      <w:lvlText w:val="%1."/>
      <w:numFmt w:val="decimal"/>
      <w:start w:val="3"/>
    </w:lvl>
  </w:abstractNum>
  <w:abstractNum w:abstractNumId="261">
    <w:nsid w:val="6CE00443"/>
    <w:multiLevelType w:val="hybridMultilevel"/>
    <w:lvl w:ilvl="0">
      <w:lvlJc w:val="left"/>
      <w:lvlText w:val="%1."/>
      <w:numFmt w:val="decimal"/>
      <w:start w:val="6"/>
    </w:lvl>
  </w:abstractNum>
  <w:abstractNum w:abstractNumId="262">
    <w:nsid w:val="79F0D62F"/>
    <w:multiLevelType w:val="hybridMultilevel"/>
    <w:lvl w:ilvl="0">
      <w:lvlJc w:val="left"/>
      <w:lvlText w:val="%1."/>
      <w:numFmt w:val="decimal"/>
      <w:start w:val="7"/>
    </w:lvl>
  </w:abstractNum>
  <w:abstractNum w:abstractNumId="263">
    <w:nsid w:val="7975E8EE"/>
    <w:multiLevelType w:val="hybridMultilevel"/>
    <w:lvl w:ilvl="0">
      <w:lvlJc w:val="left"/>
      <w:lvlText w:val="%1."/>
      <w:numFmt w:val="decimal"/>
      <w:start w:val="9"/>
    </w:lvl>
  </w:abstractNum>
  <w:abstractNum w:abstractNumId="264">
    <w:nsid w:val="73154115"/>
    <w:multiLevelType w:val="hybridMultilevel"/>
    <w:lvl w:ilvl="0">
      <w:lvlJc w:val="left"/>
      <w:lvlText w:val="%1."/>
      <w:numFmt w:val="decimal"/>
      <w:start w:val="10"/>
    </w:lvl>
    <w:lvl w:ilvl="1">
      <w:lvlJc w:val="left"/>
      <w:lvlText w:val="%2"/>
      <w:numFmt w:val="lowerLetter"/>
      <w:start w:val="1"/>
    </w:lvl>
  </w:abstractNum>
  <w:abstractNum w:abstractNumId="265">
    <w:nsid w:val="622D8102"/>
    <w:multiLevelType w:val="hybridMultilevel"/>
    <w:lvl w:ilvl="0">
      <w:lvlJc w:val="left"/>
      <w:lvlText w:val="%1"/>
      <w:numFmt w:val="decimal"/>
      <w:start w:val="1"/>
    </w:lvl>
    <w:lvl w:ilvl="1">
      <w:lvlJc w:val="left"/>
      <w:lvlText w:val="%2."/>
      <w:numFmt w:val="lowerLetter"/>
      <w:start w:val="2"/>
    </w:lvl>
  </w:abstractNum>
  <w:abstractNum w:abstractNumId="266">
    <w:nsid w:val="2AB26587"/>
    <w:multiLevelType w:val="hybridMultilevel"/>
    <w:lvl w:ilvl="0">
      <w:lvlJc w:val="left"/>
      <w:lvlText w:val="%1."/>
      <w:numFmt w:val="decimal"/>
      <w:start w:val="18"/>
    </w:lvl>
    <w:lvl w:ilvl="1">
      <w:lvlJc w:val="left"/>
      <w:lvlText w:val="%2"/>
      <w:numFmt w:val="lowerLetter"/>
      <w:start w:val="1"/>
    </w:lvl>
  </w:abstractNum>
  <w:abstractNum w:abstractNumId="267">
    <w:nsid w:val="44B3FA61"/>
    <w:multiLevelType w:val="hybridMultilevel"/>
    <w:lvl w:ilvl="0">
      <w:lvlJc w:val="left"/>
      <w:lvlText w:val="4"/>
      <w:numFmt w:val="bullet"/>
      <w:start w:val="1"/>
    </w:lvl>
  </w:abstractNum>
  <w:abstractNum w:abstractNumId="268">
    <w:nsid w:val="1C0CA67C"/>
    <w:multiLevelType w:val="hybridMultilevel"/>
    <w:lvl w:ilvl="0">
      <w:lvlJc w:val="left"/>
      <w:lvlText w:val="%1."/>
      <w:numFmt w:val="decimal"/>
      <w:start w:val="23"/>
    </w:lvl>
  </w:abstractNum>
  <w:abstractNum w:abstractNumId="269">
    <w:nsid w:val="3D206613"/>
    <w:multiLevelType w:val="hybridMultilevel"/>
    <w:lvl w:ilvl="0">
      <w:lvlJc w:val="left"/>
      <w:lvlText w:val="%1"/>
      <w:numFmt w:val="upperLetter"/>
      <w:start w:val="1"/>
    </w:lvl>
    <w:lvl w:ilvl="1">
      <w:lvlJc w:val="left"/>
      <w:lvlText w:val="%2."/>
      <w:numFmt w:val="upperLetter"/>
      <w:start w:val="3"/>
    </w:lvl>
  </w:abstractNum>
  <w:abstractNum w:abstractNumId="270">
    <w:nsid w:val="7993B662"/>
    <w:multiLevelType w:val="hybridMultilevel"/>
    <w:lvl w:ilvl="0">
      <w:lvlJc w:val="left"/>
      <w:lvlText w:val="%1"/>
      <w:numFmt w:val="upperLetter"/>
      <w:start w:val="1"/>
    </w:lvl>
    <w:lvl w:ilvl="1">
      <w:lvlJc w:val="left"/>
      <w:lvlText w:val="%2."/>
      <w:numFmt w:val="upperLetter"/>
      <w:start w:val="1"/>
    </w:lvl>
  </w:abstractNum>
  <w:abstractNum w:abstractNumId="271">
    <w:nsid w:val="3BAB699E"/>
    <w:multiLevelType w:val="hybridMultilevel"/>
    <w:lvl w:ilvl="0">
      <w:lvlJc w:val="left"/>
      <w:lvlText w:val="4"/>
      <w:numFmt w:val="bullet"/>
      <w:start w:val="1"/>
    </w:lvl>
  </w:abstractNum>
  <w:abstractNum w:abstractNumId="272">
    <w:nsid w:val="71315369"/>
    <w:multiLevelType w:val="hybridMultilevel"/>
    <w:lvl w:ilvl="0">
      <w:lvlJc w:val="left"/>
      <w:lvlText w:val="6"/>
      <w:numFmt w:val="bullet"/>
      <w:start w:val="1"/>
    </w:lvl>
  </w:abstractNum>
  <w:abstractNum w:abstractNumId="273">
    <w:nsid w:val="7BCFBAFC"/>
    <w:multiLevelType w:val="hybridMultilevel"/>
    <w:lvl w:ilvl="0">
      <w:lvlJc w:val="left"/>
      <w:lvlText w:val="+"/>
      <w:numFmt w:val="bullet"/>
      <w:start w:val="1"/>
    </w:lvl>
  </w:abstractNum>
  <w:abstractNum w:abstractNumId="274">
    <w:nsid w:val="17859F72"/>
    <w:multiLevelType w:val="hybridMultilevel"/>
    <w:lvl w:ilvl="0">
      <w:lvlJc w:val="left"/>
      <w:lvlText w:val="(%1)"/>
      <w:numFmt w:val="lowerRoman"/>
      <w:start w:val="2"/>
    </w:lvl>
  </w:abstractNum>
  <w:abstractNum w:abstractNumId="275">
    <w:nsid w:val="3AA10581"/>
    <w:multiLevelType w:val="hybridMultilevel"/>
    <w:lvl w:ilvl="0">
      <w:lvlJc w:val="left"/>
      <w:lvlText w:val="%1."/>
      <w:numFmt w:val="decimal"/>
      <w:start w:val="1"/>
    </w:lvl>
  </w:abstractNum>
  <w:abstractNum w:abstractNumId="276">
    <w:nsid w:val="63DE60CD"/>
    <w:multiLevelType w:val="hybridMultilevel"/>
    <w:lvl w:ilvl="0">
      <w:lvlJc w:val="left"/>
      <w:lvlText w:val="%1."/>
      <w:numFmt w:val="decimal"/>
      <w:start w:val="2"/>
    </w:lvl>
  </w:abstractNum>
  <w:abstractNum w:abstractNumId="277">
    <w:nsid w:val="621AF471"/>
    <w:multiLevelType w:val="hybridMultilevel"/>
    <w:lvl w:ilvl="0">
      <w:lvlJc w:val="left"/>
      <w:lvlText w:val="%1."/>
      <w:numFmt w:val="decimal"/>
      <w:start w:val="3"/>
    </w:lvl>
  </w:abstractNum>
  <w:abstractNum w:abstractNumId="278">
    <w:nsid w:val="73CFE165"/>
    <w:multiLevelType w:val="hybridMultilevel"/>
    <w:lvl w:ilvl="0">
      <w:lvlJc w:val="left"/>
      <w:lvlText w:val="%1."/>
      <w:numFmt w:val="decimal"/>
      <w:start w:val="13"/>
    </w:lvl>
  </w:abstractNum>
  <w:abstractNum w:abstractNumId="279">
    <w:nsid w:val="20F88EA6"/>
    <w:multiLevelType w:val="hybridMultilevel"/>
    <w:lvl w:ilvl="0">
      <w:lvlJc w:val="left"/>
      <w:lvlText w:val="["/>
      <w:numFmt w:val="bullet"/>
      <w:start w:val="1"/>
    </w:lvl>
  </w:abstractNum>
  <w:abstractNum w:abstractNumId="280">
    <w:nsid w:val="617C843E"/>
    <w:multiLevelType w:val="hybridMultilevel"/>
    <w:lvl w:ilvl="0">
      <w:lvlJc w:val="left"/>
      <w:lvlText w:val="%1."/>
      <w:numFmt w:val="decimal"/>
      <w:start w:val="1"/>
    </w:lvl>
  </w:abstractNum>
  <w:abstractNum w:abstractNumId="281">
    <w:nsid w:val="7B541FAB"/>
    <w:multiLevelType w:val="hybridMultilevel"/>
    <w:lvl w:ilvl="0">
      <w:lvlJc w:val="left"/>
      <w:lvlText w:val="(%1)"/>
      <w:numFmt w:val="lowerRoman"/>
      <w:start w:val="4"/>
    </w:lvl>
  </w:abstractNum>
  <w:abstractNum w:abstractNumId="282">
    <w:nsid w:val="2A79EC49"/>
    <w:multiLevelType w:val="hybridMultilevel"/>
    <w:lvl w:ilvl="0">
      <w:lvlJc w:val="left"/>
      <w:lvlText w:val="%1."/>
      <w:numFmt w:val="decimal"/>
      <w:start w:val="2"/>
    </w:lvl>
  </w:abstractNum>
  <w:abstractNum w:abstractNumId="283">
    <w:nsid w:val="338125CF"/>
    <w:multiLevelType w:val="hybridMultilevel"/>
    <w:lvl w:ilvl="0">
      <w:lvlJc w:val="left"/>
      <w:lvlText w:val="(%1)"/>
      <w:numFmt w:val="decimal"/>
      <w:start w:val="2"/>
    </w:lvl>
  </w:abstractNum>
  <w:abstractNum w:abstractNumId="284">
    <w:nsid w:val="47C7C971"/>
    <w:multiLevelType w:val="hybridMultilevel"/>
    <w:lvl w:ilvl="0">
      <w:lvlJc w:val="left"/>
      <w:lvlText w:val="(%1)"/>
      <w:numFmt w:val="lowerRoman"/>
      <w:start w:val="4"/>
    </w:lvl>
  </w:abstractNum>
  <w:abstractNum w:abstractNumId="285">
    <w:nsid w:val="46F8284B"/>
    <w:multiLevelType w:val="hybridMultilevel"/>
    <w:lvl w:ilvl="0">
      <w:lvlJc w:val="left"/>
      <w:lvlText w:val="☐"/>
      <w:numFmt w:val="bullet"/>
      <w:start w:val="1"/>
    </w:lvl>
  </w:abstractNum>
  <w:abstractNum w:abstractNumId="286">
    <w:nsid w:val="4FA327CE"/>
    <w:multiLevelType w:val="hybridMultilevel"/>
    <w:lvl w:ilvl="0">
      <w:lvlJc w:val="left"/>
      <w:lvlText w:val="☐"/>
      <w:numFmt w:val="bullet"/>
      <w:start w:val="1"/>
    </w:lvl>
  </w:abstractNum>
  <w:abstractNum w:abstractNumId="287">
    <w:nsid w:val="1873983A"/>
    <w:multiLevelType w:val="hybridMultilevel"/>
    <w:lvl w:ilvl="0">
      <w:lvlJc w:val="left"/>
      <w:lvlText w:val="☐"/>
      <w:numFmt w:val="bullet"/>
      <w:start w:val="1"/>
    </w:lvl>
  </w:abstractNum>
  <w:abstractNum w:abstractNumId="288">
    <w:nsid w:val="3D2DD275"/>
    <w:multiLevelType w:val="hybridMultilevel"/>
    <w:lvl w:ilvl="0">
      <w:lvlJc w:val="left"/>
      <w:lvlText w:val="%1."/>
      <w:numFmt w:val="decimal"/>
      <w:start w:val="1"/>
    </w:lvl>
  </w:abstractNum>
  <w:abstractNum w:abstractNumId="289">
    <w:nsid w:val="2E17ECA7"/>
    <w:multiLevelType w:val="hybridMultilevel"/>
    <w:lvl w:ilvl="0">
      <w:lvlJc w:val="left"/>
      <w:lvlText w:val="%1."/>
      <w:numFmt w:val="decimal"/>
      <w:start w:val="2"/>
    </w:lvl>
  </w:abstractNum>
  <w:abstractNum w:abstractNumId="290">
    <w:nsid w:val="53B2564F"/>
    <w:multiLevelType w:val="hybridMultilevel"/>
    <w:lvl w:ilvl="0">
      <w:lvlJc w:val="left"/>
      <w:lvlText w:val="(%1)"/>
      <w:numFmt w:val="lowerLetter"/>
      <w:start w:val="1"/>
    </w:lvl>
  </w:abstractNum>
  <w:abstractNum w:abstractNumId="291">
    <w:nsid w:val="75509D76"/>
    <w:multiLevelType w:val="hybridMultilevel"/>
    <w:lvl w:ilvl="0">
      <w:lvlJc w:val="left"/>
      <w:lvlText w:val="(%1)"/>
      <w:numFmt w:val="lowerRoman"/>
      <w:start w:val="1"/>
    </w:lvl>
  </w:abstractNum>
  <w:abstractNum w:abstractNumId="292">
    <w:nsid w:val="1AF7F0EA"/>
    <w:multiLevelType w:val="hybridMultilevel"/>
    <w:lvl w:ilvl="0">
      <w:lvlJc w:val="left"/>
      <w:lvlText w:val="%1."/>
      <w:numFmt w:val="decimal"/>
      <w:start w:val="4"/>
    </w:lvl>
  </w:abstractNum>
  <w:abstractNum w:abstractNumId="293">
    <w:nsid w:val="4DA32C7E"/>
    <w:multiLevelType w:val="hybridMultilevel"/>
    <w:lvl w:ilvl="0">
      <w:lvlJc w:val="left"/>
      <w:lvlText w:val="%1"/>
      <w:numFmt w:val="lowerLetter"/>
      <w:start w:val="1"/>
    </w:lvl>
    <w:lvl w:ilvl="1">
      <w:lvlJc w:val="left"/>
      <w:lvlText w:val="%2."/>
      <w:numFmt w:val="decimal"/>
      <w:start w:val="5"/>
    </w:lvl>
  </w:abstractNum>
  <w:abstractNum w:abstractNumId="294">
    <w:nsid w:val="6EC68664"/>
    <w:multiLevelType w:val="hybridMultilevel"/>
    <w:lvl w:ilvl="0">
      <w:lvlJc w:val="left"/>
      <w:lvlText w:val="(%1)"/>
      <w:numFmt w:val="lowerLetter"/>
      <w:start w:val="2"/>
    </w:lvl>
    <w:lvl w:ilvl="1">
      <w:lvlJc w:val="left"/>
      <w:lvlText w:val="%2."/>
      <w:numFmt w:val="decimal"/>
      <w:start w:val="7"/>
    </w:lvl>
  </w:abstractNum>
  <w:abstractNum w:abstractNumId="295">
    <w:nsid w:val="E0D31FF"/>
    <w:multiLevelType w:val="hybridMultilevel"/>
    <w:lvl w:ilvl="0">
      <w:lvlJc w:val="left"/>
      <w:lvlText w:val="%1."/>
      <w:numFmt w:val="decimal"/>
      <w:start w:val="9"/>
    </w:lvl>
    <w:lvl w:ilvl="1">
      <w:lvlJc w:val="left"/>
      <w:lvlText w:val="(%2)"/>
      <w:numFmt w:val="lowerLetter"/>
      <w:start w:val="1"/>
    </w:lvl>
  </w:abstractNum>
  <w:abstractNum w:abstractNumId="296">
    <w:nsid w:val="2FD0AD81"/>
    <w:multiLevelType w:val="hybridMultilevel"/>
    <w:lvl w:ilvl="0">
      <w:lvlJc w:val="left"/>
      <w:lvlText w:val="%1"/>
      <w:numFmt w:val="decimal"/>
      <w:start w:val="1"/>
    </w:lvl>
    <w:lvl w:ilvl="1">
      <w:lvlJc w:val="left"/>
      <w:lvlText w:val="(%2)"/>
      <w:numFmt w:val="lowerLetter"/>
      <w:start w:val="3"/>
    </w:lvl>
  </w:abstractNum>
  <w:abstractNum w:abstractNumId="297">
    <w:nsid w:val="1978EBEB"/>
    <w:multiLevelType w:val="hybridMultilevel"/>
    <w:lvl w:ilvl="0">
      <w:lvlJc w:val="left"/>
      <w:lvlText w:val="%1."/>
      <w:numFmt w:val="decimal"/>
      <w:start w:val="10"/>
    </w:lvl>
    <w:lvl w:ilvl="1">
      <w:lvlJc w:val="left"/>
      <w:lvlText w:val="%2"/>
      <w:numFmt w:val="lowerLetter"/>
      <w:start w:val="1"/>
    </w:lvl>
  </w:abstractNum>
  <w:abstractNum w:abstractNumId="298">
    <w:nsid w:val="52C12C61"/>
    <w:multiLevelType w:val="hybridMultilevel"/>
    <w:lvl w:ilvl="0">
      <w:lvlJc w:val="left"/>
      <w:lvlText w:val="(%1)"/>
      <w:numFmt w:val="lowerRoman"/>
      <w:start w:val="3"/>
    </w:lvl>
    <w:lvl w:ilvl="1">
      <w:lvlJc w:val="left"/>
      <w:lvlText w:val="%2."/>
      <w:numFmt w:val="decimal"/>
      <w:start w:val="12"/>
    </w:lvl>
  </w:abstractNum>
  <w:abstractNum w:abstractNumId="299">
    <w:nsid w:val="4BDD53FD"/>
    <w:multiLevelType w:val="hybridMultilevel"/>
    <w:lvl w:ilvl="0">
      <w:lvlJc w:val="left"/>
      <w:lvlText w:val="%1"/>
      <w:numFmt w:val="lowerRoman"/>
      <w:start w:val="1"/>
    </w:lvl>
    <w:lvl w:ilvl="1">
      <w:lvlJc w:val="left"/>
      <w:lvlText w:val="%2."/>
      <w:numFmt w:val="decimal"/>
      <w:start w:val="13"/>
    </w:lvl>
  </w:abstractNum>
  <w:abstractNum w:abstractNumId="300">
    <w:nsid w:val="569951FE"/>
    <w:multiLevelType w:val="hybridMultilevel"/>
    <w:lvl w:ilvl="0">
      <w:lvlJc w:val="left"/>
      <w:lvlText w:val="(%1)"/>
      <w:numFmt w:val="lowerRoman"/>
      <w:start w:val="2"/>
    </w:lvl>
    <w:lvl w:ilvl="1">
      <w:lvlJc w:val="left"/>
      <w:lvlText w:val="%2"/>
      <w:numFmt w:val="decimal"/>
      <w:start w:val="1"/>
    </w:lvl>
  </w:abstractNum>
  <w:abstractNum w:abstractNumId="301">
    <w:nsid w:val="4C54E2C3"/>
    <w:multiLevelType w:val="hybridMultilevel"/>
    <w:lvl w:ilvl="0">
      <w:lvlJc w:val="left"/>
      <w:lvlText w:val="%1."/>
      <w:numFmt w:val="decimal"/>
      <w:start w:val="16"/>
    </w:lvl>
  </w:abstractNum>
  <w:abstractNum w:abstractNumId="302">
    <w:nsid w:val="788BD9B"/>
    <w:multiLevelType w:val="hybridMultilevel"/>
    <w:lvl w:ilvl="0">
      <w:lvlJc w:val="left"/>
      <w:lvlText w:val="%1"/>
      <w:numFmt w:val="lowerLetter"/>
      <w:start w:val="1"/>
    </w:lvl>
    <w:lvl w:ilvl="1">
      <w:lvlJc w:val="left"/>
      <w:lvlText w:val="%2."/>
      <w:numFmt w:val="decimal"/>
      <w:start w:val="20"/>
    </w:lvl>
  </w:abstractNum>
  <w:abstractNum w:abstractNumId="303">
    <w:nsid w:val="47CAA567"/>
    <w:multiLevelType w:val="hybridMultilevel"/>
    <w:lvl w:ilvl="0">
      <w:lvlJc w:val="left"/>
      <w:lvlText w:val="(%1)"/>
      <w:numFmt w:val="lowerLetter"/>
      <w:start w:val="2"/>
    </w:lvl>
    <w:lvl w:ilvl="1">
      <w:lvlJc w:val="left"/>
      <w:lvlText w:val="%2."/>
      <w:numFmt w:val="decimal"/>
      <w:start w:val="21"/>
    </w:lvl>
  </w:abstractNum>
  <w:abstractNum w:abstractNumId="304">
    <w:nsid w:val="48249DBF"/>
    <w:multiLevelType w:val="hybridMultilevel"/>
    <w:lvl w:ilvl="0">
      <w:lvlJc w:val="left"/>
      <w:lvlText w:val="(%1)"/>
      <w:numFmt w:val="lowerLetter"/>
      <w:start w:val="1"/>
    </w:lvl>
    <w:lvl w:ilvl="1">
      <w:lvlJc w:val="left"/>
      <w:lvlText w:val="%2"/>
      <w:numFmt w:val="decimal"/>
      <w:start w:val="1"/>
    </w:lvl>
  </w:abstractNum>
  <w:abstractNum w:abstractNumId="305">
    <w:nsid w:val="1F0E5D0D"/>
    <w:multiLevelType w:val="hybridMultilevel"/>
    <w:lvl w:ilvl="0">
      <w:lvlJc w:val="left"/>
      <w:lvlText w:val="%1."/>
      <w:numFmt w:val="decimal"/>
      <w:start w:val="25"/>
    </w:lvl>
    <w:lvl w:ilvl="1">
      <w:lvlJc w:val="left"/>
      <w:lvlText w:val="(%2)"/>
      <w:numFmt w:val="lowerLetter"/>
      <w:start w:val="1"/>
    </w:lvl>
  </w:abstractNum>
  <w:abstractNum w:abstractNumId="306">
    <w:nsid w:val="26BAA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07">
    <w:nsid w:val="2C02FE8C"/>
    <w:multiLevelType w:val="hybridMultilevel"/>
    <w:lvl w:ilvl="0">
      <w:lvlJc w:val="left"/>
      <w:lvlText w:val="%1"/>
      <w:numFmt w:val="decimal"/>
      <w:start w:val="1"/>
    </w:lvl>
    <w:lvl w:ilvl="1">
      <w:lvlJc w:val="left"/>
      <w:lvlText w:val="%2."/>
      <w:numFmt w:val="decimal"/>
      <w:start w:val="27"/>
    </w:lvl>
    <w:lvl w:ilvl="2">
      <w:lvlJc w:val="left"/>
      <w:lvlText w:val="%3"/>
      <w:numFmt w:val="lowerLetter"/>
      <w:start w:val="1"/>
    </w:lvl>
  </w:abstractNum>
  <w:abstractNum w:abstractNumId="308">
    <w:nsid w:val="129517E"/>
    <w:multiLevelType w:val="hybridMultilevel"/>
    <w:lvl w:ilvl="0">
      <w:lvlJc w:val="left"/>
      <w:lvlText w:val="%1."/>
      <w:numFmt w:val="decimal"/>
      <w:start w:val="28"/>
    </w:lvl>
    <w:lvl w:ilvl="1">
      <w:lvlJc w:val="left"/>
      <w:lvlText w:val="%2"/>
      <w:numFmt w:val="decimal"/>
      <w:start w:val="1"/>
    </w:lvl>
    <w:lvl w:ilvl="2">
      <w:lvlJc w:val="left"/>
      <w:lvlText w:val="%3"/>
      <w:numFmt w:val="lowerLetter"/>
      <w:start w:val="1"/>
    </w:lvl>
  </w:abstractNum>
  <w:abstractNum w:abstractNumId="309">
    <w:nsid w:val="763B8C4E"/>
    <w:multiLevelType w:val="hybridMultilevel"/>
    <w:lvl w:ilvl="0">
      <w:lvlJc w:val="left"/>
      <w:lvlText w:val=","/>
      <w:numFmt w:val="bullet"/>
      <w:start w:val="1"/>
    </w:lvl>
    <w:lvl w:ilvl="1">
      <w:lvlJc w:val="left"/>
      <w:lvlText w:val=","/>
      <w:numFmt w:val="bullet"/>
      <w:start w:val="1"/>
    </w:lvl>
  </w:abstractNum>
  <w:abstractNum w:abstractNumId="310">
    <w:nsid w:val="4CFB8D32"/>
    <w:multiLevelType w:val="hybridMultilevel"/>
    <w:lvl w:ilvl="0">
      <w:lvlJc w:val="left"/>
      <w:lvlText w:val="%1."/>
      <w:numFmt w:val="upperLetter"/>
      <w:start w:val="1"/>
    </w:lvl>
  </w:abstractNum>
  <w:abstractNum w:abstractNumId="311">
    <w:nsid w:val="62A5D5BD"/>
    <w:multiLevelType w:val="hybridMultilevel"/>
    <w:lvl w:ilvl="0">
      <w:lvlJc w:val="left"/>
      <w:lvlText w:val="%1."/>
      <w:numFmt w:val="decimal"/>
      <w:start w:val="1"/>
    </w:lvl>
  </w:abstractNum>
  <w:abstractNum w:abstractNumId="312">
    <w:nsid w:val="718FABF9"/>
    <w:multiLevelType w:val="hybridMultilevel"/>
    <w:lvl w:ilvl="0">
      <w:lvlJc w:val="left"/>
      <w:lvlText w:val="%1"/>
      <w:numFmt w:val="lowerLetter"/>
      <w:start w:val="1"/>
    </w:lvl>
    <w:lvl w:ilvl="1">
      <w:lvlJc w:val="left"/>
      <w:lvlText w:val="%2."/>
      <w:numFmt w:val="decimal"/>
      <w:start w:val="2"/>
    </w:lvl>
  </w:abstractNum>
  <w:abstractNum w:abstractNumId="313">
    <w:nsid w:val="7775797C"/>
    <w:multiLevelType w:val="hybridMultilevel"/>
    <w:lvl w:ilvl="0">
      <w:lvlJc w:val="left"/>
      <w:lvlText w:val="(%1)"/>
      <w:numFmt w:val="lowerLetter"/>
      <w:start w:val="1"/>
    </w:lvl>
    <w:lvl w:ilvl="1">
      <w:lvlJc w:val="left"/>
      <w:lvlText w:val="%2."/>
      <w:numFmt w:val="decimal"/>
      <w:start w:val="4"/>
    </w:lvl>
  </w:abstractNum>
  <w:abstractNum w:abstractNumId="314">
    <w:nsid w:val="1626FB8C"/>
    <w:multiLevelType w:val="hybridMultilevel"/>
    <w:lvl w:ilvl="0">
      <w:lvlJc w:val="left"/>
      <w:lvlText w:val="(%1)"/>
      <w:numFmt w:val="lowerLetter"/>
      <w:start w:val="1"/>
    </w:lvl>
  </w:abstractNum>
  <w:abstractNum w:abstractNumId="315">
    <w:nsid w:val="3957756A"/>
    <w:multiLevelType w:val="hybridMultilevel"/>
    <w:lvl w:ilvl="0">
      <w:lvlJc w:val="left"/>
      <w:lvlText w:val="(%1)"/>
      <w:numFmt w:val="lowerLetter"/>
      <w:start w:val="1"/>
    </w:lvl>
  </w:abstractNum>
  <w:abstractNum w:abstractNumId="316">
    <w:nsid w:val="3E6DA1C7"/>
    <w:multiLevelType w:val="hybridMultilevel"/>
    <w:lvl w:ilvl="0">
      <w:lvlJc w:val="left"/>
      <w:lvlText w:val="(%1)"/>
      <w:numFmt w:val="lowerLetter"/>
      <w:start w:val="1"/>
    </w:lvl>
  </w:abstractNum>
  <w:abstractNum w:abstractNumId="317">
    <w:nsid w:val="65CA235B"/>
    <w:multiLevelType w:val="hybridMultilevel"/>
    <w:lvl w:ilvl="0">
      <w:lvlJc w:val="left"/>
      <w:lvlText w:val="(%1)"/>
      <w:numFmt w:val="lowerLetter"/>
      <w:start w:val="1"/>
    </w:lvl>
  </w:abstractNum>
  <w:abstractNum w:abstractNumId="318">
    <w:nsid w:val="51CB0DA4"/>
    <w:multiLevelType w:val="hybridMultilevel"/>
    <w:lvl w:ilvl="0">
      <w:lvlJc w:val="left"/>
      <w:lvlText w:val="(%1)"/>
      <w:numFmt w:val="decimal"/>
      <w:start w:val="1"/>
    </w:lvl>
  </w:abstractNum>
  <w:abstractNum w:abstractNumId="319">
    <w:nsid w:val="7B9B74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111" Type="http://schemas.openxmlformats.org/officeDocument/2006/relationships/hyperlink" Target="http://www.sec.gov/Archives/edgar/data/15615/000119312510039265/dex31.htm" TargetMode="External"/><Relationship Id="rId112" Type="http://schemas.openxmlformats.org/officeDocument/2006/relationships/hyperlink" Target="http://www.sec.gov/Archives/edgar/data/15615/000119312510015833/dex31.htm" TargetMode="External"/><Relationship Id="rId113" Type="http://schemas.openxmlformats.org/officeDocument/2006/relationships/hyperlink" Target="http://www.sec.gov/Archives/edgar/data/15615/000119312509126293/dex42.htm" TargetMode="External"/><Relationship Id="rId114" Type="http://schemas.openxmlformats.org/officeDocument/2006/relationships/hyperlink" Target="https://www.sec.gov/Archives/edgar/data/15615/000119312520209447/d79552dex42.htm" TargetMode="External"/><Relationship Id="rId115" Type="http://schemas.openxmlformats.org/officeDocument/2006/relationships/hyperlink" Target="https://www.sec.gov/Archives/edgar/data/15615/000001561520000005/mtz12311910-kex417.htm" TargetMode="External"/><Relationship Id="rId116" Type="http://schemas.openxmlformats.org/officeDocument/2006/relationships/hyperlink" Target="http://www.sec.gov/Archives/edgar/data/15615/000001561518000007/mtz12311710-kex101.htm" TargetMode="External"/><Relationship Id="rId117" Type="http://schemas.openxmlformats.org/officeDocument/2006/relationships/hyperlink" Target="http://www.sec.gov/Archives/edgar/data/15615/000001561518000007/mtz12311710-kex102.htm" TargetMode="External"/><Relationship Id="rId118" Type="http://schemas.openxmlformats.org/officeDocument/2006/relationships/hyperlink" Target="http://www.sec.gov/Archives/edgar/data/15615/000001561521000006/mtz12312010-kex103.htm" TargetMode="External"/><Relationship Id="rId119" Type="http://schemas.openxmlformats.org/officeDocument/2006/relationships/hyperlink" Target="http://www.sec.gov/Archives/edgar/data/15615/000119312510015833/dex102.htm" TargetMode="External"/><Relationship Id="rId120" Type="http://schemas.openxmlformats.org/officeDocument/2006/relationships/hyperlink" Target="https://www.sec.gov/Archives/edgar/data/15615/000119312514131768/d706956dex104.htm" TargetMode="External"/><Relationship Id="rId121" Type="http://schemas.openxmlformats.org/officeDocument/2006/relationships/hyperlink" Target="http://www.sec.gov/Archives/edgar/data/15615/000001561521000006/mtz12312010-kex105.htm" TargetMode="External"/><Relationship Id="rId122" Type="http://schemas.openxmlformats.org/officeDocument/2006/relationships/hyperlink" Target="http://www.sec.gov/Archives/edgar/data/15615/000095014407003626/g06830exv10w1.htm" TargetMode="External"/><Relationship Id="rId123" Type="http://schemas.openxmlformats.org/officeDocument/2006/relationships/hyperlink" Target="https://www.sec.gov/Archives/edgar/data/15615/000119312514131768/d706956dex101.htm" TargetMode="External"/><Relationship Id="rId124" Type="http://schemas.openxmlformats.org/officeDocument/2006/relationships/hyperlink" Target="https://www.sec.gov/Archives/edgar/data/15615/000119312514131768/d706956dex102.htm" TargetMode="External"/><Relationship Id="rId125" Type="http://schemas.openxmlformats.org/officeDocument/2006/relationships/hyperlink" Target="http://www.sec.gov/Archives/edgar/data/15615/000001561521000006/mtz12312010-kex1012.htm" TargetMode="External"/><Relationship Id="rId126" Type="http://schemas.openxmlformats.org/officeDocument/2006/relationships/hyperlink" Target="http://www.sec.gov/Archives/edgar/data/15615/000001561517000015/mtz3311710-qex102.htm" TargetMode="External"/><Relationship Id="rId127" Type="http://schemas.openxmlformats.org/officeDocument/2006/relationships/hyperlink" Target="http://www.sec.gov/Archives/edgar/data/15615/000001561517000015/mtz3311710-qex103.htm" TargetMode="External"/><Relationship Id="rId128" Type="http://schemas.openxmlformats.org/officeDocument/2006/relationships/hyperlink" Target="http://www.sec.gov/Archives/edgar/data/15615/000001561517000015/mtz3311710-qex104.htm" TargetMode="External"/><Relationship Id="rId129" Type="http://schemas.openxmlformats.org/officeDocument/2006/relationships/hyperlink" Target="http://www.sec.gov/Archives/edgar/data/15615/000001561517000015/mtz3311710-qex105.htm" TargetMode="External"/><Relationship Id="rId132" Type="http://schemas.openxmlformats.org/officeDocument/2006/relationships/hyperlink" Target="http://www.sec.gov/Archives/edgar/data/15615/000001561517000015/mtz3311710-qex106.htm" TargetMode="External"/><Relationship Id="rId133" Type="http://schemas.openxmlformats.org/officeDocument/2006/relationships/hyperlink" Target="https://www.sec.gov/Archives/edgar/data/15615/000001561520000024/mtz6302010-qex101.htm" TargetMode="External"/><Relationship Id="rId134" Type="http://schemas.openxmlformats.org/officeDocument/2006/relationships/hyperlink" Target="https://www.sec.gov/Archives/edgar/data/15615/000001561520000024/mtz6302010-qex102.htm" TargetMode="External"/><Relationship Id="rId135" Type="http://schemas.openxmlformats.org/officeDocument/2006/relationships/hyperlink" Target="http://www.sec.gov/Archives/edgar/data/15615/000119312514020463/d664915dex102.htm" TargetMode="External"/><Relationship Id="rId136" Type="http://schemas.openxmlformats.org/officeDocument/2006/relationships/hyperlink" Target="https://www.sec.gov/Archives/edgar/data/15615/000119312514131768/d706956dex103.htm" TargetMode="External"/><Relationship Id="rId137" Type="http://schemas.openxmlformats.org/officeDocument/2006/relationships/hyperlink" Target="http://www.sec.gov/Archives/edgar/data/15615/000001561505000097/deferr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2022-03-01T18:36:12Z</dcterms:created>
  <dcterms:modified xsi:type="dcterms:W3CDTF">2022-03-01T18:36:12Z</dcterms:modified>
</cp:coreProperties>
</file>