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40" w:after="4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4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24,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4437" w:type="dxa"/>
        <w:jc w:val="left"/>
        <w:tblInd w:w="0" w:type="dxa"/>
        <w:tblLayout w:type="fixed"/>
        <w:tblCellMar>
          <w:top w:w="28" w:type="dxa"/>
          <w:left w:w="28" w:type="dxa"/>
          <w:bottom w:w="28" w:type="dxa"/>
          <w:right w:w="28" w:type="dxa"/>
        </w:tblCellMar>
      </w:tblPr>
      <w:tblGrid>
        <w:gridCol w:w="766"/>
        <w:gridCol w:w="671"/>
        <w:gridCol w:w="677"/>
        <w:gridCol w:w="328"/>
        <w:gridCol w:w="328"/>
        <w:gridCol w:w="333"/>
        <w:gridCol w:w="389"/>
        <w:gridCol w:w="389"/>
        <w:gridCol w:w="556"/>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Florida</w:t>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001-08106</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65-0829355</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 xml:space="preserve">(State or Other Jurisdiction of </w:t>
            </w:r>
          </w:p>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Incorporation)</w:t>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 xml:space="preserve">(Commission </w:t>
            </w:r>
          </w:p>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File Number)</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(IRS Employer</w:t>
            </w:r>
          </w:p>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Identification No.)</w:t>
            </w:r>
          </w:p>
        </w:tc>
      </w:tr>
    </w:tbl>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800 S. Douglas Road, 12th Floor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Coral Gables, Florida 33134</w:t>
      </w:r>
    </w:p>
    <w:p>
      <w:pPr>
        <w:pStyle w:val="TextBody"/>
        <w:bidi w:val="0"/>
        <w:spacing w:lineRule="auto" w:line="288" w:before="50" w:after="240"/>
        <w:jc w:val="center"/>
        <w:rPr>
          <w:rFonts w:ascii="Times New Roman;serif" w:hAnsi="Times New Roman;serif"/>
          <w:b/>
          <w:color w:val="000000"/>
          <w:sz w:val="15"/>
        </w:rPr>
      </w:pPr>
      <w:r>
        <w:rPr>
          <w:rFonts w:ascii="Times New Roman;serif" w:hAnsi="Times New Roman;serif"/>
          <w:b/>
          <w:color w:val="000000"/>
          <w:sz w:val="15"/>
        </w:rPr>
        <w:t>(Address of Principal Executive Office)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 (305) 599-1800</w:t>
      </w:r>
    </w:p>
    <w:p>
      <w:pPr>
        <w:pStyle w:val="TextBody"/>
        <w:bidi w:val="0"/>
        <w:spacing w:lineRule="auto" w:line="288" w:before="240" w:after="12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40" w:after="120"/>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tbl>
      <w:tblPr>
        <w:tblW w:w="8351" w:type="dxa"/>
        <w:jc w:val="left"/>
        <w:tblInd w:w="0" w:type="dxa"/>
        <w:tblLayout w:type="fixed"/>
        <w:tblCellMar>
          <w:top w:w="28" w:type="dxa"/>
          <w:left w:w="28" w:type="dxa"/>
          <w:bottom w:w="28" w:type="dxa"/>
          <w:right w:w="28" w:type="dxa"/>
        </w:tblCellMar>
      </w:tblPr>
      <w:tblGrid>
        <w:gridCol w:w="896"/>
        <w:gridCol w:w="789"/>
        <w:gridCol w:w="789"/>
        <w:gridCol w:w="272"/>
        <w:gridCol w:w="272"/>
        <w:gridCol w:w="272"/>
        <w:gridCol w:w="435"/>
        <w:gridCol w:w="435"/>
        <w:gridCol w:w="435"/>
        <w:gridCol w:w="272"/>
        <w:gridCol w:w="272"/>
        <w:gridCol w:w="272"/>
        <w:gridCol w:w="862"/>
        <w:gridCol w:w="862"/>
        <w:gridCol w:w="1216"/>
      </w:tblGrid>
      <w:tr>
        <w:trPr/>
        <w:tc>
          <w:tcPr>
            <w:tcW w:w="8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8351" w:type="dxa"/>
            <w:gridSpan w:val="15"/>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Title of each class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Trading symbol(s)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Name of each exchange on which registered</w:t>
            </w:r>
          </w:p>
        </w:tc>
      </w:tr>
      <w:tr>
        <w:trPr/>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$0.10 Par Value</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MTZ</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right"/>
        <w:rPr/>
      </w:pPr>
      <w:r>
        <w:rPr>
          <w:rFonts w:ascii="Times New Roman;serif" w:hAnsi="Times New Roman;serif"/>
          <w:b w:val="false"/>
          <w:color w:val="000000"/>
          <w:sz w:val="18"/>
        </w:rPr>
        <w:t>Emerging growth company</w:t>
      </w:r>
      <w:r>
        <w:rPr>
          <w:color w:val="000000"/>
        </w:rPr>
        <w:t>    ☐</w:t>
      </w:r>
    </w:p>
    <w:p>
      <w:pPr>
        <w:pStyle w:val="TextBody"/>
        <w:bidi w:val="0"/>
        <w:spacing w:lineRule="auto" w:line="288" w:before="240" w:after="283"/>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ITEM 2.02</w:t>
      </w:r>
      <w:r>
        <w:rPr>
          <w:color w:val="000000"/>
        </w:rPr>
        <w:t xml:space="preserve"> </w:t>
      </w:r>
      <w:r>
        <w:rPr>
          <w:rFonts w:ascii="Times New Roman;serif" w:hAnsi="Times New Roman;serif"/>
          <w:b/>
          <w:color w:val="000000"/>
          <w:sz w:val="18"/>
        </w:rPr>
        <w:t>Results of Operations and Financial Condition.</w:t>
      </w:r>
    </w:p>
    <w:p>
      <w:pPr>
        <w:pStyle w:val="TextBody"/>
        <w:bidi w:val="0"/>
        <w:spacing w:lineRule="auto" w:line="288" w:before="200" w:after="200"/>
        <w:ind w:left="0" w:right="0" w:firstLine="444"/>
        <w:jc w:val="both"/>
        <w:rPr>
          <w:rFonts w:ascii="Times New Roman;serif" w:hAnsi="Times New Roman;serif"/>
          <w:b w:val="false"/>
          <w:color w:val="000000"/>
          <w:sz w:val="18"/>
        </w:rPr>
      </w:pPr>
      <w:r>
        <w:rPr>
          <w:rFonts w:ascii="Times New Roman;serif" w:hAnsi="Times New Roman;serif"/>
          <w:b w:val="false"/>
          <w:color w:val="000000"/>
          <w:sz w:val="18"/>
        </w:rPr>
        <w:t>The information contained in Item 7.01 of this Current Report on Form 8-K is incorporated by reference in this Item 2.02.</w:t>
      </w:r>
    </w:p>
    <w:p>
      <w:pPr>
        <w:pStyle w:val="TextBody"/>
        <w:bidi w:val="0"/>
        <w:spacing w:lineRule="auto" w:line="288" w:before="400" w:after="200"/>
        <w:ind w:left="0" w:right="0" w:firstLine="4"/>
        <w:jc w:val="left"/>
        <w:rPr>
          <w:rFonts w:ascii="Times New Roman;serif" w:hAnsi="Times New Roman;serif"/>
          <w:b/>
          <w:color w:val="000000"/>
          <w:sz w:val="18"/>
        </w:rPr>
      </w:pPr>
      <w:r>
        <w:rPr>
          <w:rFonts w:ascii="Times New Roman;serif" w:hAnsi="Times New Roman;serif"/>
          <w:b/>
          <w:color w:val="000000"/>
          <w:sz w:val="18"/>
        </w:rPr>
        <w:t>ITEM 5.02 Departure of Directors or Certain Officers; Election of Directors; Appointment of Certain Officers; Compensatory Arrangements of Certain Officers.</w:t>
      </w:r>
    </w:p>
    <w:p>
      <w:pPr>
        <w:pStyle w:val="TextBody"/>
        <w:bidi w:val="0"/>
        <w:spacing w:lineRule="auto" w:line="288" w:before="200" w:after="200"/>
        <w:ind w:left="0" w:right="0" w:firstLine="444"/>
        <w:jc w:val="both"/>
        <w:rPr>
          <w:rFonts w:ascii="Times New Roman;serif" w:hAnsi="Times New Roman;serif"/>
          <w:b w:val="false"/>
          <w:color w:val="000000"/>
          <w:sz w:val="18"/>
        </w:rPr>
      </w:pPr>
      <w:r>
        <w:rPr>
          <w:rFonts w:ascii="Times New Roman;serif" w:hAnsi="Times New Roman;serif"/>
          <w:b w:val="false"/>
          <w:color w:val="000000"/>
          <w:sz w:val="18"/>
        </w:rPr>
        <w:t>On July 24, 2026, the Board of Directors (the “Board”) of MasTec, Inc. (the “Company”) appointed Mr. Alexander Benjamin Spiro as a Class III director to fill a vacancy in that Board Class following an increase in the size of the Board from nine (9) to ten (10) directors. In accordance with the Company’s Amended and Restated Bylaws and the Florida Business Corporation Act, Mr. Spiro will serve for an initial term ending at the Company’s 2027 Annual Meeting of Shareholders. Mr. Spiro has also been appointed to the Compensation Committee of the Board.</w:t>
      </w:r>
    </w:p>
    <w:p>
      <w:pPr>
        <w:pStyle w:val="TextBody"/>
        <w:bidi w:val="0"/>
        <w:spacing w:lineRule="auto" w:line="288" w:before="200" w:after="200"/>
        <w:ind w:left="0" w:right="0" w:firstLine="444"/>
        <w:jc w:val="both"/>
        <w:rPr>
          <w:rFonts w:ascii="Times New Roman;serif" w:hAnsi="Times New Roman;serif"/>
          <w:b w:val="false"/>
          <w:color w:val="000000"/>
          <w:sz w:val="18"/>
        </w:rPr>
      </w:pPr>
      <w:r>
        <w:rPr>
          <w:rFonts w:ascii="Times New Roman;serif" w:hAnsi="Times New Roman;serif"/>
          <w:b w:val="false"/>
          <w:color w:val="000000"/>
          <w:sz w:val="18"/>
        </w:rPr>
        <w:t>There are no arrangements or understandings between Mr. Spiro and any other person pursuant to which Mr. Spiro was appointed as a director of the Company.</w:t>
      </w:r>
    </w:p>
    <w:p>
      <w:pPr>
        <w:pStyle w:val="TextBody"/>
        <w:bidi w:val="0"/>
        <w:spacing w:lineRule="auto" w:line="288" w:before="200" w:after="200"/>
        <w:ind w:left="0" w:right="0" w:firstLine="444"/>
        <w:jc w:val="both"/>
        <w:rPr>
          <w:rFonts w:ascii="Times New Roman;serif" w:hAnsi="Times New Roman;serif"/>
          <w:b w:val="false"/>
          <w:color w:val="000000"/>
          <w:sz w:val="18"/>
        </w:rPr>
      </w:pPr>
      <w:r>
        <w:rPr>
          <w:rFonts w:ascii="Times New Roman;serif" w:hAnsi="Times New Roman;serif"/>
          <w:b w:val="false"/>
          <w:color w:val="000000"/>
          <w:sz w:val="18"/>
        </w:rPr>
        <w:t>Mr. Spiro will participate in the standard non-employee director compensation arrangements described under the section entitled “Compensation of Directors” in the Company’s 2026 Proxy Statement, filed with the Securities and Exchange Commission on April 9, 2026.</w:t>
      </w:r>
    </w:p>
    <w:p>
      <w:pPr>
        <w:pStyle w:val="TextBody"/>
        <w:bidi w:val="0"/>
        <w:spacing w:lineRule="auto" w:line="288" w:before="200" w:after="200"/>
        <w:ind w:left="0" w:right="0" w:firstLine="444"/>
        <w:jc w:val="both"/>
        <w:rPr>
          <w:rFonts w:ascii="Times New Roman;serif" w:hAnsi="Times New Roman;serif"/>
          <w:b w:val="false"/>
          <w:color w:val="000000"/>
          <w:sz w:val="18"/>
        </w:rPr>
      </w:pPr>
      <w:r>
        <w:rPr>
          <w:rFonts w:ascii="Times New Roman;serif" w:hAnsi="Times New Roman;serif"/>
          <w:b w:val="false"/>
          <w:color w:val="000000"/>
          <w:sz w:val="18"/>
        </w:rPr>
        <w:t>Since the beginning of the Company’s last fiscal year, the Company has not engaged in any transaction, nor is there any currently proposed transaction, in which Mr. Spiro had or will have a direct or indirect material interest in which the amount involved exceeded or would exceed $120,000.</w:t>
      </w:r>
    </w:p>
    <w:p>
      <w:pPr>
        <w:pStyle w:val="TextBody"/>
        <w:bidi w:val="0"/>
        <w:spacing w:lineRule="auto" w:line="288" w:before="400" w:after="200"/>
        <w:ind w:left="0" w:right="0" w:firstLine="4"/>
        <w:jc w:val="left"/>
        <w:rPr/>
      </w:pPr>
      <w:r>
        <w:rPr>
          <w:rFonts w:ascii="Times New Roman;serif" w:hAnsi="Times New Roman;serif"/>
          <w:b/>
          <w:color w:val="000000"/>
          <w:sz w:val="18"/>
        </w:rPr>
        <w:t>ITEM 7.01</w:t>
      </w:r>
      <w:r>
        <w:rPr>
          <w:color w:val="000000"/>
        </w:rPr>
        <w:t xml:space="preserve"> </w:t>
      </w:r>
      <w:r>
        <w:rPr>
          <w:rFonts w:ascii="Times New Roman;serif" w:hAnsi="Times New Roman;serif"/>
          <w:b/>
          <w:color w:val="000000"/>
          <w:sz w:val="18"/>
        </w:rPr>
        <w:t>Regulation FD Disclosure.</w:t>
      </w:r>
    </w:p>
    <w:p>
      <w:pPr>
        <w:pStyle w:val="TextBody"/>
        <w:bidi w:val="0"/>
        <w:spacing w:lineRule="auto" w:line="288" w:before="200" w:after="200"/>
        <w:ind w:left="0" w:right="0" w:firstLine="444"/>
        <w:jc w:val="both"/>
        <w:rPr>
          <w:rFonts w:ascii="Times New Roman;serif" w:hAnsi="Times New Roman;serif"/>
          <w:b w:val="false"/>
          <w:color w:val="000000"/>
          <w:sz w:val="18"/>
        </w:rPr>
      </w:pPr>
      <w:r>
        <w:rPr>
          <w:rFonts w:ascii="Times New Roman;serif" w:hAnsi="Times New Roman;serif"/>
          <w:b w:val="false"/>
          <w:color w:val="000000"/>
          <w:sz w:val="18"/>
        </w:rPr>
        <w:t>On July 30, 2026, the Company announced its financial results for the six months and quarter ended June 30, 2026. In addition, the Company issued guidance for the quarter ending September 30, 2026 and year ending December 31, 2026, in each case as set forth in the earnings press release. A copy of the Company’s earnings press release is furnished as Exhibit 99.1 to this Current Report on Form 8-K and incorporated by reference in this Item 7.01. The information contained in this Current Report on Form 8-K, including Exhibit 99.1, shall not be deemed “filed” with the Securities and Exchange Commission nor incorporated by reference in any registration statement filed by the Company under the Securities Act of 1933, as amended.</w:t>
      </w:r>
    </w:p>
    <w:p>
      <w:pPr>
        <w:pStyle w:val="TextBody"/>
        <w:bidi w:val="0"/>
        <w:spacing w:lineRule="auto" w:line="288" w:before="400" w:after="200"/>
        <w:ind w:left="0" w:right="0" w:firstLine="4"/>
        <w:jc w:val="left"/>
        <w:rPr/>
      </w:pPr>
      <w:r>
        <w:rPr>
          <w:rFonts w:ascii="Times New Roman;serif" w:hAnsi="Times New Roman;serif"/>
          <w:b/>
          <w:color w:val="000000"/>
          <w:sz w:val="18"/>
        </w:rPr>
        <w:t>ITEM 9.01</w:t>
      </w:r>
      <w:r>
        <w:rPr>
          <w:color w:val="000000"/>
        </w:rPr>
        <w:t xml:space="preserve"> </w:t>
      </w:r>
      <w:r>
        <w:rPr>
          <w:rFonts w:ascii="Times New Roman;serif" w:hAnsi="Times New Roman;serif"/>
          <w:b/>
          <w:color w:val="000000"/>
          <w:sz w:val="18"/>
        </w:rPr>
        <w:t>Financial Statements and Exhibits.</w:t>
      </w:r>
    </w:p>
    <w:tbl>
      <w:tblPr>
        <w:tblW w:w="10205" w:type="dxa"/>
        <w:jc w:val="left"/>
        <w:tblInd w:w="0" w:type="dxa"/>
        <w:tblLayout w:type="fixed"/>
        <w:tblCellMar>
          <w:top w:w="28" w:type="dxa"/>
          <w:left w:w="28" w:type="dxa"/>
          <w:bottom w:w="28" w:type="dxa"/>
          <w:right w:w="28" w:type="dxa"/>
        </w:tblCellMar>
      </w:tblPr>
      <w:tblGrid>
        <w:gridCol w:w="234"/>
        <w:gridCol w:w="205"/>
        <w:gridCol w:w="207"/>
        <w:gridCol w:w="842"/>
        <w:gridCol w:w="842"/>
        <w:gridCol w:w="842"/>
        <w:gridCol w:w="1198"/>
        <w:gridCol w:w="1134"/>
        <w:gridCol w:w="1134"/>
        <w:gridCol w:w="1134"/>
        <w:gridCol w:w="1134"/>
        <w:gridCol w:w="1141"/>
        <w:gridCol w:w="158"/>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2"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18"/>
              </w:rPr>
            </w:pPr>
            <w:r>
              <w:rPr>
                <w:rFonts w:ascii="Times New Roman;serif" w:hAnsi="Times New Roman;serif"/>
                <w:b/>
                <w:i/>
                <w:color w:val="000000"/>
                <w:sz w:val="18"/>
              </w:rPr>
              <w:t>(d) Exhibits</w:t>
            </w:r>
          </w:p>
        </w:tc>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firstLine="20"/>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5"/>
              </w:rPr>
            </w:pPr>
            <w:r>
              <w:rPr>
                <w:rFonts w:ascii="Times New Roman;serif" w:hAnsi="Times New Roman;serif"/>
                <w:b/>
                <w:color w:val="000000"/>
                <w:sz w:val="15"/>
              </w:rPr>
              <w:t>Exhibit</w:t>
            </w:r>
          </w:p>
          <w:p>
            <w:pPr>
              <w:pStyle w:val="TableContents"/>
              <w:bidi w:val="0"/>
              <w:spacing w:lineRule="auto" w:line="268" w:before="0" w:after="0"/>
              <w:jc w:val="left"/>
              <w:rPr>
                <w:rFonts w:ascii="Times New Roman;serif" w:hAnsi="Times New Roman;serif"/>
                <w:b/>
                <w:color w:val="000000"/>
                <w:sz w:val="15"/>
              </w:rPr>
            </w:pPr>
            <w:r>
              <w:rPr>
                <w:rFonts w:ascii="Times New Roman;serif" w:hAnsi="Times New Roman;serif"/>
                <w:b/>
                <w:color w:val="000000"/>
                <w:sz w:val="15"/>
              </w:rPr>
              <w:t>Number</w:t>
            </w:r>
          </w:p>
        </w:tc>
        <w:tc>
          <w:tcPr>
            <w:tcW w:w="2526" w:type="dxa"/>
            <w:gridSpan w:val="3"/>
            <w:tcBorders/>
            <w:tcMar>
              <w:top w:w="0" w:type="dxa"/>
              <w:left w:w="0" w:type="dxa"/>
              <w:bottom w:w="0" w:type="dxa"/>
              <w:right w:w="0" w:type="dxa"/>
            </w:tcMar>
            <w:vAlign w:val="center"/>
          </w:tcPr>
          <w:p>
            <w:pPr>
              <w:pStyle w:val="TableContents"/>
              <w:bidi w:val="0"/>
              <w:spacing w:before="0" w:after="283"/>
              <w:ind w:left="0" w:right="0" w:firstLine="2440"/>
              <w:jc w:val="left"/>
              <w:rPr>
                <w:sz w:val="4"/>
                <w:szCs w:val="4"/>
              </w:rPr>
            </w:pPr>
            <w:r>
              <w:rPr>
                <w:sz w:val="4"/>
                <w:szCs w:val="4"/>
              </w:rPr>
            </w:r>
          </w:p>
        </w:tc>
        <w:tc>
          <w:tcPr>
            <w:tcW w:w="687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5"/>
              </w:rPr>
            </w:pPr>
            <w:r>
              <w:rPr>
                <w:rFonts w:ascii="Times New Roman;serif" w:hAnsi="Times New Roman;serif"/>
                <w:b/>
                <w:color w:val="000000"/>
                <w:sz w:val="15"/>
              </w:rPr>
              <w:t>Description</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99.1</w:t>
            </w:r>
          </w:p>
        </w:tc>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5"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mtz630268-kex991.htm">
              <w:r>
                <w:rPr>
                  <w:rStyle w:val="InternetLink"/>
                  <w:rFonts w:ascii="Times New Roman;serif" w:hAnsi="Times New Roman;serif"/>
                  <w:b w:val="false"/>
                  <w:color w:val="000080"/>
                  <w:sz w:val="18"/>
                  <w:u w:val="single"/>
                </w:rPr>
                <w:t>Press Release</w:t>
              </w:r>
            </w:hyperlink>
            <w:r>
              <w:rPr>
                <w:rFonts w:ascii="Times New Roman;serif" w:hAnsi="Times New Roman;serif"/>
                <w:b w:val="false"/>
                <w:color w:val="0000FF"/>
                <w:sz w:val="18"/>
                <w:u w:val="single"/>
              </w:rPr>
              <w:t>, July 30, 2026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5" w:type="dxa"/>
            <w:gridSpan w:val="6"/>
            <w:vMerge w:val="restart"/>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cover page of MasTec, Inc.’s Current Report on Form 8-K, formatted in Inline XBRL (included with the Exhibit 101 attachments). </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5" w:type="dxa"/>
            <w:gridSpan w:val="6"/>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0" w:after="60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tbl>
      <w:tblPr>
        <w:tblW w:w="7740" w:type="dxa"/>
        <w:jc w:val="right"/>
        <w:tblInd w:w="0" w:type="dxa"/>
        <w:tblLayout w:type="fixed"/>
        <w:tblCellMar>
          <w:top w:w="28" w:type="dxa"/>
          <w:left w:w="28" w:type="dxa"/>
          <w:bottom w:w="28" w:type="dxa"/>
          <w:right w:w="28" w:type="dxa"/>
        </w:tblCellMar>
      </w:tblPr>
      <w:tblGrid>
        <w:gridCol w:w="179"/>
        <w:gridCol w:w="157"/>
        <w:gridCol w:w="159"/>
        <w:gridCol w:w="120"/>
        <w:gridCol w:w="120"/>
        <w:gridCol w:w="120"/>
        <w:gridCol w:w="120"/>
        <w:gridCol w:w="120"/>
        <w:gridCol w:w="120"/>
        <w:gridCol w:w="120"/>
        <w:gridCol w:w="120"/>
        <w:gridCol w:w="120"/>
        <w:gridCol w:w="109"/>
        <w:gridCol w:w="109"/>
        <w:gridCol w:w="109"/>
        <w:gridCol w:w="109"/>
        <w:gridCol w:w="109"/>
        <w:gridCol w:w="109"/>
        <w:gridCol w:w="109"/>
        <w:gridCol w:w="109"/>
        <w:gridCol w:w="109"/>
        <w:gridCol w:w="109"/>
        <w:gridCol w:w="109"/>
        <w:gridCol w:w="109"/>
        <w:gridCol w:w="219"/>
        <w:gridCol w:w="219"/>
        <w:gridCol w:w="219"/>
        <w:gridCol w:w="1227"/>
        <w:gridCol w:w="1227"/>
        <w:gridCol w:w="1746"/>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MASTEC, INC.</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080" w:type="dxa"/>
            <w:gridSpan w:val="9"/>
            <w:tcBorders/>
            <w:shd w:fill="FFFFFF" w:val="clear"/>
            <w:tcMar>
              <w:top w:w="0" w:type="dxa"/>
              <w:left w:w="0" w:type="dxa"/>
              <w:bottom w:w="0" w:type="dxa"/>
              <w:right w:w="0" w:type="dxa"/>
            </w:tcMar>
            <w:vAlign w:val="center"/>
          </w:tcPr>
          <w:p>
            <w:pPr>
              <w:pStyle w:val="TableContents"/>
              <w:bidi w:val="0"/>
              <w:spacing w:lineRule="auto" w:line="240" w:before="200" w:after="200"/>
              <w:jc w:val="both"/>
              <w:rPr>
                <w:rFonts w:ascii="Times New Roman;serif" w:hAnsi="Times New Roman;serif"/>
                <w:b w:val="false"/>
                <w:color w:val="000000"/>
                <w:sz w:val="18"/>
              </w:rPr>
            </w:pPr>
            <w:r>
              <w:rPr>
                <w:rFonts w:ascii="Times New Roman;serif" w:hAnsi="Times New Roman;serif"/>
                <w:b w:val="false"/>
                <w:color w:val="000000"/>
                <w:sz w:val="18"/>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Alberto de Cardenas</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4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Alberto de Cardenas</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General Counsel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80"/>
        <w:jc w:val="right"/>
        <w:rPr>
          <w:rFonts w:ascii="Times New Roman;serif" w:hAnsi="Times New Roman;serif"/>
          <w:b/>
          <w:color w:val="000000"/>
          <w:sz w:val="18"/>
        </w:rPr>
      </w:pPr>
      <w:r>
        <w:rPr>
          <w:rFonts w:ascii="Times New Roman;serif" w:hAnsi="Times New Roman;serif"/>
          <w:b/>
          <w:color w:val="000000"/>
          <w:sz w:val="18"/>
        </w:rPr>
        <w:t>Exhibit 99.1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048" w:type="dxa"/>
        <w:jc w:val="center"/>
        <w:tblInd w:w="0" w:type="dxa"/>
        <w:tblLayout w:type="fixed"/>
        <w:tblCellMar>
          <w:top w:w="28" w:type="dxa"/>
          <w:left w:w="28" w:type="dxa"/>
          <w:bottom w:w="28" w:type="dxa"/>
          <w:right w:w="28" w:type="dxa"/>
        </w:tblCellMar>
      </w:tblPr>
      <w:tblGrid>
        <w:gridCol w:w="124"/>
        <w:gridCol w:w="109"/>
        <w:gridCol w:w="109"/>
        <w:gridCol w:w="499"/>
        <w:gridCol w:w="499"/>
        <w:gridCol w:w="7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181AB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200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0125" cy="200025"/>
                          </a:xfrm>
                          <a:prstGeom prst="rect">
                            <a:avLst/>
                          </a:prstGeom>
                        </pic:spPr>
                      </pic:pic>
                    </a:graphicData>
                  </a:graphic>
                </wp:inline>
              </w:drawing>
            </w:r>
          </w:p>
        </w:tc>
      </w:tr>
    </w:tbl>
    <w:tbl>
      <w:tblPr>
        <w:tblW w:w="5009" w:type="dxa"/>
        <w:jc w:val="center"/>
        <w:tblInd w:w="0" w:type="dxa"/>
        <w:tblLayout w:type="fixed"/>
        <w:tblCellMar>
          <w:top w:w="28" w:type="dxa"/>
          <w:left w:w="28" w:type="dxa"/>
          <w:bottom w:w="28" w:type="dxa"/>
          <w:right w:w="28" w:type="dxa"/>
        </w:tblCellMar>
      </w:tblPr>
      <w:tblGrid>
        <w:gridCol w:w="910"/>
        <w:gridCol w:w="802"/>
        <w:gridCol w:w="808"/>
        <w:gridCol w:w="729"/>
        <w:gridCol w:w="729"/>
        <w:gridCol w:w="1031"/>
      </w:tblGrid>
      <w:tr>
        <w:trPr/>
        <w:tc>
          <w:tcPr>
            <w:tcW w:w="91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Contact:</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18"/>
              </w:rPr>
              <w:t>800 S. Douglas Road, 12</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Floor</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 Marc Lewis, Investor Relations</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Coral Gables, Florida 33134</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305-406-1815</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Tel: 305-599-1800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marc.lewis@mastec.com</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www.mastec.com</w:t>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MasTec Reports Second Quarter 2026 Results and </w:t>
      </w: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Updates Full Year 2026 Financial Guidance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Second Quarter 2026 Highlights</w:t>
      </w:r>
    </w:p>
    <w:p>
      <w:pPr>
        <w:pStyle w:val="TextBody"/>
        <w:bidi w:val="0"/>
        <w:spacing w:lineRule="auto" w:line="288" w:before="0" w:after="240"/>
        <w:ind w:left="0" w:right="0" w:hanging="360"/>
        <w:jc w:val="both"/>
        <w:rPr/>
      </w:pPr>
      <w:r>
        <w:rPr>
          <w:color w:val="000000"/>
        </w:rPr>
        <w:t>•</w:t>
      </w:r>
      <w:r>
        <w:rPr>
          <w:rFonts w:ascii="Arial;sans-serif" w:hAnsi="Arial;sans-serif"/>
          <w:b/>
          <w:color w:val="000000"/>
          <w:sz w:val="18"/>
        </w:rPr>
        <w:t>Revenue of $4.4 billion, a quarterly record, increased 23% year-over-year</w:t>
      </w:r>
    </w:p>
    <w:p>
      <w:pPr>
        <w:pStyle w:val="TextBody"/>
        <w:bidi w:val="0"/>
        <w:spacing w:lineRule="auto" w:line="288" w:before="0" w:after="240"/>
        <w:ind w:left="0" w:right="0" w:hanging="360"/>
        <w:jc w:val="both"/>
        <w:rPr/>
      </w:pPr>
      <w:r>
        <w:rPr>
          <w:color w:val="000000"/>
        </w:rPr>
        <w:t>•</w:t>
      </w:r>
      <w:r>
        <w:rPr>
          <w:rFonts w:ascii="Arial;sans-serif" w:hAnsi="Arial;sans-serif"/>
          <w:b/>
          <w:color w:val="000000"/>
          <w:sz w:val="18"/>
        </w:rPr>
        <w:t>Record 18-month backlog of $21.4 billion increased $4.9 billion year-over-year and $1.1 billion from the prior quarter, led by significant 58% year-over-year growth in Clean Energy and Infrastructure</w:t>
      </w:r>
    </w:p>
    <w:p>
      <w:pPr>
        <w:pStyle w:val="TextBody"/>
        <w:bidi w:val="0"/>
        <w:spacing w:lineRule="auto" w:line="288" w:before="0" w:after="240"/>
        <w:ind w:left="0" w:right="0" w:hanging="360"/>
        <w:jc w:val="both"/>
        <w:rPr/>
      </w:pPr>
      <w:r>
        <w:rPr>
          <w:color w:val="000000"/>
        </w:rPr>
        <w:t>•</w:t>
      </w:r>
      <w:r>
        <w:rPr>
          <w:rFonts w:ascii="Arial;sans-serif" w:hAnsi="Arial;sans-serif"/>
          <w:b/>
          <w:color w:val="000000"/>
          <w:sz w:val="18"/>
        </w:rPr>
        <w:t>Diluted EPS of $1.65 and Adjusted Diluted EPS of $2.22, both second quarter records, increased 51% and 49% year-over-year, respectively</w:t>
      </w:r>
    </w:p>
    <w:p>
      <w:pPr>
        <w:pStyle w:val="TextBody"/>
        <w:bidi w:val="0"/>
        <w:spacing w:lineRule="auto" w:line="288" w:before="0" w:after="240"/>
        <w:ind w:left="0" w:right="0" w:hanging="360"/>
        <w:jc w:val="both"/>
        <w:rPr/>
      </w:pPr>
      <w:r>
        <w:rPr>
          <w:color w:val="000000"/>
        </w:rPr>
        <w:t>•</w:t>
      </w:r>
      <w:r>
        <w:rPr>
          <w:rFonts w:ascii="Arial;sans-serif" w:hAnsi="Arial;sans-serif"/>
          <w:b/>
          <w:color w:val="000000"/>
          <w:sz w:val="18"/>
        </w:rPr>
        <w:t>GAAP Net Income of $145.7 million and Adjusted EBITDA of $384.2 million, both second quarter records, increased by 62% and 40% year-over-year, respectively</w:t>
      </w:r>
    </w:p>
    <w:p>
      <w:pPr>
        <w:pStyle w:val="TextBody"/>
        <w:bidi w:val="0"/>
        <w:spacing w:lineRule="auto" w:line="288" w:before="0" w:after="240"/>
        <w:ind w:left="0" w:right="0" w:hanging="360"/>
        <w:jc w:val="both"/>
        <w:rPr/>
      </w:pPr>
      <w:r>
        <w:rPr>
          <w:color w:val="000000"/>
        </w:rPr>
        <w:t>•</w:t>
      </w:r>
      <w:r>
        <w:rPr>
          <w:rFonts w:ascii="Arial;sans-serif" w:hAnsi="Arial;sans-serif"/>
          <w:b/>
          <w:color w:val="000000"/>
          <w:sz w:val="18"/>
        </w:rPr>
        <w:t>Updated Full Year Diluted EPS guidance to $6.20, a 22% year-over-year increase; Increased Full Year Adjusted Diluted EPS guidance to $9.30, a 42% year-over-year increase</w:t>
      </w:r>
    </w:p>
    <w:p>
      <w:pPr>
        <w:pStyle w:val="TextBody"/>
        <w:bidi w:val="0"/>
        <w:spacing w:lineRule="auto" w:line="288" w:before="0" w:after="200"/>
        <w:jc w:val="both"/>
        <w:rPr/>
      </w:pPr>
      <w:r>
        <w:rPr>
          <w:rFonts w:ascii="Times New Roman;serif" w:hAnsi="Times New Roman;serif"/>
          <w:b/>
          <w:color w:val="000000"/>
          <w:sz w:val="18"/>
        </w:rPr>
        <w:t>Coral Gables, FL, July 30, 2026</w:t>
      </w:r>
      <w:r>
        <w:rPr>
          <w:color w:val="000000"/>
        </w:rPr>
        <w:t xml:space="preserve"> — </w:t>
      </w:r>
      <w:r>
        <w:rPr>
          <w:rFonts w:ascii="Times New Roman;serif" w:hAnsi="Times New Roman;serif"/>
          <w:b w:val="false"/>
          <w:color w:val="000000"/>
          <w:sz w:val="18"/>
        </w:rPr>
        <w:t>MasTec, Inc. (NYSE: MTZ) today announced second quarter 2026 financial results and updated full year 2026 financial guidance.</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Jose R. Mas, MasTec’s CEO stated, “We once again reported a very strong quarter with excellent performance in revenue growth, margin expansion and backlog development. Strong year-over-year revenue growth of 23% was broad-based and solid execution drove margin expansion with our adjusted EBITDA margin improving 100 basis points. 18-month backlog was up $4.9 billion year-over-year, or 30%, and up $1.1 billion sequentially from the first quarter of this year to another record level.”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Mr. Mas continued, “Last week, we closed on the acquisition of The Superior Group, a premier North American full-service electrical contractor with approximately 3,000 team members. Superior is a recognized leader in building data center infrastructure and also serves a diverse set of end markets including healthcare, entertainment and industrial. Our combined service offerings allow MasTec to provide more comprehensive solutions to our customers that can enhance speed, quality and certainty of execution. I once again want to welcome The Superior Group team members to the MasTec family.”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Paul DiMarco, MasTec’s CFO added, “Our second quarter results illustrate the strength and resiliency of MasTec’s diversified operating model. The addition of Superior further enhances our capabilities and our confidence in MasTec’s ability to significantly exceed our three-year financial objectives provided at our recent Investor Day.”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hanging="360"/>
                        <w:jc w:val="left"/>
                        <w:rPr/>
                      </w:pPr>
                      <w:r>
                        <w:rPr/>
                      </w:r>
                    </w:p>
                  </w:txbxContent>
                </v:textbox>
                <w10:wrap type="none"/>
              </v:rect>
            </w:pict>
          </mc:Fallback>
        </mc:AlternateContent>
      </w:r>
    </w:p>
    <w:tbl>
      <w:tblPr>
        <w:tblW w:w="2048" w:type="dxa"/>
        <w:jc w:val="center"/>
        <w:tblInd w:w="0" w:type="dxa"/>
        <w:tblLayout w:type="fixed"/>
        <w:tblCellMar>
          <w:top w:w="28" w:type="dxa"/>
          <w:left w:w="28" w:type="dxa"/>
          <w:bottom w:w="28" w:type="dxa"/>
          <w:right w:w="28" w:type="dxa"/>
        </w:tblCellMar>
      </w:tblPr>
      <w:tblGrid>
        <w:gridCol w:w="124"/>
        <w:gridCol w:w="109"/>
        <w:gridCol w:w="109"/>
        <w:gridCol w:w="499"/>
        <w:gridCol w:w="499"/>
        <w:gridCol w:w="7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181AB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2000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0125" cy="200025"/>
                          </a:xfrm>
                          <a:prstGeom prst="rect">
                            <a:avLst/>
                          </a:prstGeom>
                        </pic:spPr>
                      </pic:pic>
                    </a:graphicData>
                  </a:graphic>
                </wp:inline>
              </w:drawing>
            </w:r>
          </w:p>
        </w:tc>
      </w:tr>
    </w:tbl>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Second Quarter 2026 Results</w:t>
      </w:r>
    </w:p>
    <w:tbl>
      <w:tblPr>
        <w:tblW w:w="7560" w:type="dxa"/>
        <w:jc w:val="center"/>
        <w:tblInd w:w="0" w:type="dxa"/>
        <w:tblLayout w:type="fixed"/>
        <w:tblCellMar>
          <w:top w:w="28" w:type="dxa"/>
          <w:left w:w="28" w:type="dxa"/>
          <w:bottom w:w="28" w:type="dxa"/>
          <w:right w:w="28" w:type="dxa"/>
        </w:tblCellMar>
      </w:tblPr>
      <w:tblGrid>
        <w:gridCol w:w="1225"/>
        <w:gridCol w:w="1078"/>
        <w:gridCol w:w="1087"/>
        <w:gridCol w:w="109"/>
        <w:gridCol w:w="109"/>
        <w:gridCol w:w="109"/>
        <w:gridCol w:w="196"/>
        <w:gridCol w:w="646"/>
        <w:gridCol w:w="256"/>
        <w:gridCol w:w="109"/>
        <w:gridCol w:w="109"/>
        <w:gridCol w:w="109"/>
        <w:gridCol w:w="196"/>
        <w:gridCol w:w="646"/>
        <w:gridCol w:w="256"/>
        <w:gridCol w:w="109"/>
        <w:gridCol w:w="109"/>
        <w:gridCol w:w="109"/>
        <w:gridCol w:w="278"/>
        <w:gridCol w:w="278"/>
        <w:gridCol w:w="437"/>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Dollars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GAAP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GAAP net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bps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39.8%</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bps</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GAAP 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51.0%</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48.8%</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280.2 </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18-month 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18"/>
        </w:rPr>
      </w:pPr>
      <w:r>
        <w:rPr>
          <w:rFonts w:ascii="Times New Roman;serif" w:hAnsi="Times New Roman;serif"/>
          <w:b/>
          <w:color w:val="000000"/>
          <w:sz w:val="18"/>
        </w:rPr>
        <w:t>Second Quarter 2026 Segment Highlights</w:t>
      </w:r>
    </w:p>
    <w:p>
      <w:pPr>
        <w:pStyle w:val="TextBody"/>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Communications</w:t>
      </w:r>
    </w:p>
    <w:tbl>
      <w:tblPr>
        <w:tblW w:w="6419" w:type="dxa"/>
        <w:jc w:val="center"/>
        <w:tblInd w:w="0" w:type="dxa"/>
        <w:tblLayout w:type="fixed"/>
        <w:tblCellMar>
          <w:top w:w="28" w:type="dxa"/>
          <w:left w:w="28" w:type="dxa"/>
          <w:bottom w:w="28" w:type="dxa"/>
          <w:right w:w="28" w:type="dxa"/>
        </w:tblCellMar>
      </w:tblPr>
      <w:tblGrid>
        <w:gridCol w:w="884"/>
        <w:gridCol w:w="777"/>
        <w:gridCol w:w="784"/>
        <w:gridCol w:w="109"/>
        <w:gridCol w:w="109"/>
        <w:gridCol w:w="109"/>
        <w:gridCol w:w="196"/>
        <w:gridCol w:w="556"/>
        <w:gridCol w:w="256"/>
        <w:gridCol w:w="109"/>
        <w:gridCol w:w="109"/>
        <w:gridCol w:w="109"/>
        <w:gridCol w:w="196"/>
        <w:gridCol w:w="556"/>
        <w:gridCol w:w="256"/>
        <w:gridCol w:w="109"/>
        <w:gridCol w:w="109"/>
        <w:gridCol w:w="109"/>
        <w:gridCol w:w="269"/>
        <w:gridCol w:w="271"/>
        <w:gridCol w:w="437"/>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Dollars in millions, unless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836.9 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EBITDA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(170) bps</w:t>
            </w:r>
          </w:p>
        </w:tc>
      </w:tr>
    </w:tbl>
    <w:p>
      <w:pPr>
        <w:pStyle w:val="TextBody"/>
        <w:bidi w:val="0"/>
        <w:spacing w:lineRule="auto" w:line="288" w:before="0" w:after="200"/>
        <w:jc w:val="both"/>
        <w:rPr>
          <w:rFonts w:ascii="Times New Roman;serif" w:hAnsi="Times New Roman;serif"/>
          <w:b/>
          <w:color w:val="000000"/>
          <w:sz w:val="18"/>
        </w:rPr>
      </w:pPr>
      <w:r>
        <w:rPr>
          <w:rFonts w:ascii="Times New Roman;serif" w:hAnsi="Times New Roman;serif"/>
          <w:b/>
          <w:color w:val="000000"/>
          <w:sz w:val="18"/>
        </w:rPr>
        <w:t>Clean Energy and Infrastructure</w:t>
      </w:r>
    </w:p>
    <w:tbl>
      <w:tblPr>
        <w:tblW w:w="6615" w:type="dxa"/>
        <w:jc w:val="center"/>
        <w:tblInd w:w="0" w:type="dxa"/>
        <w:tblLayout w:type="fixed"/>
        <w:tblCellMar>
          <w:top w:w="28" w:type="dxa"/>
          <w:left w:w="28" w:type="dxa"/>
          <w:bottom w:w="28" w:type="dxa"/>
          <w:right w:w="28" w:type="dxa"/>
        </w:tblCellMar>
      </w:tblPr>
      <w:tblGrid>
        <w:gridCol w:w="884"/>
        <w:gridCol w:w="777"/>
        <w:gridCol w:w="784"/>
        <w:gridCol w:w="109"/>
        <w:gridCol w:w="109"/>
        <w:gridCol w:w="109"/>
        <w:gridCol w:w="196"/>
        <w:gridCol w:w="691"/>
        <w:gridCol w:w="256"/>
        <w:gridCol w:w="109"/>
        <w:gridCol w:w="109"/>
        <w:gridCol w:w="109"/>
        <w:gridCol w:w="196"/>
        <w:gridCol w:w="691"/>
        <w:gridCol w:w="256"/>
        <w:gridCol w:w="109"/>
        <w:gridCol w:w="109"/>
        <w:gridCol w:w="109"/>
        <w:gridCol w:w="233"/>
        <w:gridCol w:w="233"/>
        <w:gridCol w:w="437"/>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Dollars in millions, unless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1,131.4 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EBITDA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50 bps</w:t>
            </w:r>
          </w:p>
        </w:tc>
      </w:tr>
    </w:tbl>
    <w:p>
      <w:pPr>
        <w:pStyle w:val="TextBody"/>
        <w:bidi w:val="0"/>
        <w:spacing w:lineRule="auto" w:line="288" w:before="0" w:after="200"/>
        <w:jc w:val="both"/>
        <w:rPr>
          <w:rFonts w:ascii="Times New Roman;serif" w:hAnsi="Times New Roman;serif"/>
          <w:b/>
          <w:color w:val="000000"/>
          <w:sz w:val="18"/>
        </w:rPr>
      </w:pPr>
      <w:r>
        <w:rPr>
          <w:rFonts w:ascii="Times New Roman;serif" w:hAnsi="Times New Roman;serif"/>
          <w:b/>
          <w:color w:val="000000"/>
          <w:sz w:val="18"/>
        </w:rPr>
        <w:t>Power Delivery</w:t>
      </w:r>
    </w:p>
    <w:tbl>
      <w:tblPr>
        <w:tblW w:w="6615" w:type="dxa"/>
        <w:jc w:val="center"/>
        <w:tblInd w:w="0" w:type="dxa"/>
        <w:tblLayout w:type="fixed"/>
        <w:tblCellMar>
          <w:top w:w="28" w:type="dxa"/>
          <w:left w:w="28" w:type="dxa"/>
          <w:bottom w:w="28" w:type="dxa"/>
          <w:right w:w="28" w:type="dxa"/>
        </w:tblCellMar>
      </w:tblPr>
      <w:tblGrid>
        <w:gridCol w:w="884"/>
        <w:gridCol w:w="777"/>
        <w:gridCol w:w="784"/>
        <w:gridCol w:w="109"/>
        <w:gridCol w:w="109"/>
        <w:gridCol w:w="109"/>
        <w:gridCol w:w="196"/>
        <w:gridCol w:w="691"/>
        <w:gridCol w:w="256"/>
        <w:gridCol w:w="109"/>
        <w:gridCol w:w="109"/>
        <w:gridCol w:w="109"/>
        <w:gridCol w:w="196"/>
        <w:gridCol w:w="691"/>
        <w:gridCol w:w="256"/>
        <w:gridCol w:w="109"/>
        <w:gridCol w:w="109"/>
        <w:gridCol w:w="109"/>
        <w:gridCol w:w="233"/>
        <w:gridCol w:w="233"/>
        <w:gridCol w:w="437"/>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Dollars in millions, unless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1,245.8 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1,045.6 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EBITDA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30 bps</w:t>
            </w:r>
          </w:p>
        </w:tc>
      </w:tr>
    </w:tbl>
    <w:p>
      <w:pPr>
        <w:pStyle w:val="TextBody"/>
        <w:bidi w:val="0"/>
        <w:spacing w:lineRule="auto" w:line="288" w:before="0" w:after="200"/>
        <w:jc w:val="both"/>
        <w:rPr>
          <w:rFonts w:ascii="Times New Roman;serif" w:hAnsi="Times New Roman;serif"/>
          <w:b/>
          <w:color w:val="000000"/>
          <w:sz w:val="18"/>
        </w:rPr>
      </w:pPr>
      <w:r>
        <w:rPr>
          <w:rFonts w:ascii="Times New Roman;serif" w:hAnsi="Times New Roman;serif"/>
          <w:b/>
          <w:color w:val="000000"/>
          <w:sz w:val="18"/>
        </w:rPr>
        <w:t>Pipeline Infrastructure</w:t>
      </w:r>
    </w:p>
    <w:tbl>
      <w:tblPr>
        <w:tblW w:w="6345" w:type="dxa"/>
        <w:jc w:val="center"/>
        <w:tblInd w:w="0" w:type="dxa"/>
        <w:tblLayout w:type="fixed"/>
        <w:tblCellMar>
          <w:top w:w="28" w:type="dxa"/>
          <w:left w:w="28" w:type="dxa"/>
          <w:bottom w:w="28" w:type="dxa"/>
          <w:right w:w="28" w:type="dxa"/>
        </w:tblCellMar>
      </w:tblPr>
      <w:tblGrid>
        <w:gridCol w:w="884"/>
        <w:gridCol w:w="777"/>
        <w:gridCol w:w="784"/>
        <w:gridCol w:w="109"/>
        <w:gridCol w:w="109"/>
        <w:gridCol w:w="109"/>
        <w:gridCol w:w="196"/>
        <w:gridCol w:w="556"/>
        <w:gridCol w:w="256"/>
        <w:gridCol w:w="109"/>
        <w:gridCol w:w="109"/>
        <w:gridCol w:w="109"/>
        <w:gridCol w:w="196"/>
        <w:gridCol w:w="556"/>
        <w:gridCol w:w="256"/>
        <w:gridCol w:w="109"/>
        <w:gridCol w:w="109"/>
        <w:gridCol w:w="109"/>
        <w:gridCol w:w="233"/>
        <w:gridCol w:w="233"/>
        <w:gridCol w:w="437"/>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Dollars in millions, unless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EBITDA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690 bps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hanging="360"/>
                        <w:jc w:val="left"/>
                        <w:rPr/>
                      </w:pPr>
                      <w:r>
                        <w:rPr/>
                      </w:r>
                    </w:p>
                  </w:txbxContent>
                </v:textbox>
                <w10:wrap type="none"/>
              </v:rect>
            </w:pict>
          </mc:Fallback>
        </mc:AlternateContent>
      </w:r>
    </w:p>
    <w:tbl>
      <w:tblPr>
        <w:tblW w:w="2048" w:type="dxa"/>
        <w:jc w:val="center"/>
        <w:tblInd w:w="0" w:type="dxa"/>
        <w:tblLayout w:type="fixed"/>
        <w:tblCellMar>
          <w:top w:w="28" w:type="dxa"/>
          <w:left w:w="28" w:type="dxa"/>
          <w:bottom w:w="28" w:type="dxa"/>
          <w:right w:w="28" w:type="dxa"/>
        </w:tblCellMar>
      </w:tblPr>
      <w:tblGrid>
        <w:gridCol w:w="124"/>
        <w:gridCol w:w="109"/>
        <w:gridCol w:w="109"/>
        <w:gridCol w:w="499"/>
        <w:gridCol w:w="499"/>
        <w:gridCol w:w="7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181AB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2000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000125" cy="200025"/>
                          </a:xfrm>
                          <a:prstGeom prst="rect">
                            <a:avLst/>
                          </a:prstGeom>
                        </pic:spPr>
                      </pic:pic>
                    </a:graphicData>
                  </a:graphic>
                </wp:inline>
              </w:drawing>
            </w:r>
          </w:p>
        </w:tc>
      </w:tr>
    </w:tbl>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2026 Financial Guidance Update</w:t>
      </w:r>
    </w:p>
    <w:tbl>
      <w:tblPr>
        <w:tblW w:w="6311" w:type="dxa"/>
        <w:jc w:val="center"/>
        <w:tblInd w:w="0" w:type="dxa"/>
        <w:tblLayout w:type="fixed"/>
        <w:tblCellMar>
          <w:top w:w="28" w:type="dxa"/>
          <w:left w:w="28" w:type="dxa"/>
          <w:bottom w:w="28" w:type="dxa"/>
          <w:right w:w="28" w:type="dxa"/>
        </w:tblCellMar>
      </w:tblPr>
      <w:tblGrid>
        <w:gridCol w:w="1225"/>
        <w:gridCol w:w="1078"/>
        <w:gridCol w:w="1087"/>
        <w:gridCol w:w="109"/>
        <w:gridCol w:w="109"/>
        <w:gridCol w:w="109"/>
        <w:gridCol w:w="112"/>
        <w:gridCol w:w="112"/>
        <w:gridCol w:w="112"/>
        <w:gridCol w:w="179"/>
        <w:gridCol w:w="179"/>
        <w:gridCol w:w="181"/>
        <w:gridCol w:w="109"/>
        <w:gridCol w:w="109"/>
        <w:gridCol w:w="109"/>
        <w:gridCol w:w="217"/>
        <w:gridCol w:w="217"/>
        <w:gridCol w:w="217"/>
        <w:gridCol w:w="217"/>
        <w:gridCol w:w="217"/>
        <w:gridCol w:w="307"/>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Dollars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3Q'26E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Full Year 2026E</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4,930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18,200 </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539</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785 </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1,600</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18"/>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8.8%</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GAAP 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6.20</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9.30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Conference Call</w:t>
      </w:r>
    </w:p>
    <w:p>
      <w:pPr>
        <w:pStyle w:val="TextBody"/>
        <w:bidi w:val="0"/>
        <w:spacing w:lineRule="auto" w:line="288" w:before="0" w:after="200"/>
        <w:jc w:val="both"/>
        <w:rPr>
          <w:rFonts w:ascii="Times New Roman;serif" w:hAnsi="Times New Roman;serif"/>
          <w:b w:val="false"/>
          <w:color w:val="000000"/>
          <w:sz w:val="18"/>
        </w:rPr>
      </w:pPr>
      <w:r>
        <w:rPr>
          <w:rFonts w:ascii="Times New Roman;serif" w:hAnsi="Times New Roman;serif"/>
          <w:b w:val="false"/>
          <w:color w:val="000000"/>
          <w:sz w:val="18"/>
        </w:rPr>
        <w:t>MasTec will host a webcast of its quarterly earnings call to discuss these results on Friday, July 31, 2026 at 9:00 a.m. ET, which can be accessed through the Investors section of MasTec's website at www.mastec.com. A replay of the webcast also will be available following the live event. The slide presentation that accompanies the conference call will also be posted on the MasTec Investors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18"/>
        </w:rPr>
      </w:pPr>
      <w:r>
        <w:rPr>
          <w:rFonts w:ascii="Times New Roman;serif" w:hAnsi="Times New Roman;serif"/>
          <w:b/>
          <w:color w:val="000000"/>
          <w:sz w:val="18"/>
        </w:rPr>
        <w:t>About MasTec</w:t>
      </w:r>
    </w:p>
    <w:p>
      <w:pPr>
        <w:pStyle w:val="TextBody"/>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MasTec, Inc. is a leading North American infrastructure engineering and construction company focused primarily on engineering, building, installation, maintenance and upgrade of communications, energy and utility and other infrastructure. MasTec primarily operates under four business segments including Communications, serving both wireless and wireline/fiber infrastructure; Power Delivery, serving primarily utility customers in transmission and distribution markets; Pipeline Infrastructure serving energy and other customers with installation and maintenance services primarily for natural gas pipeline and distribution infrastructure; and Clean Energy and Infrastructure, providing renewable energy engineering and construction services, as well as for heavy civil and other industrial infrastructure markets. Learn more at www.mastec.com.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hanging="360"/>
                        <w:jc w:val="left"/>
                        <w:rPr/>
                      </w:pPr>
                      <w:r>
                        <w:rPr/>
                      </w:r>
                    </w:p>
                  </w:txbxContent>
                </v:textbox>
                <w10:wrap type="none"/>
              </v:rect>
            </w:pict>
          </mc:Fallback>
        </mc:AlternateContent>
      </w:r>
    </w:p>
    <w:tbl>
      <w:tblPr>
        <w:tblW w:w="2048" w:type="dxa"/>
        <w:jc w:val="center"/>
        <w:tblInd w:w="0" w:type="dxa"/>
        <w:tblLayout w:type="fixed"/>
        <w:tblCellMar>
          <w:top w:w="28" w:type="dxa"/>
          <w:left w:w="28" w:type="dxa"/>
          <w:bottom w:w="28" w:type="dxa"/>
          <w:right w:w="28" w:type="dxa"/>
        </w:tblCellMar>
      </w:tblPr>
      <w:tblGrid>
        <w:gridCol w:w="124"/>
        <w:gridCol w:w="109"/>
        <w:gridCol w:w="109"/>
        <w:gridCol w:w="499"/>
        <w:gridCol w:w="499"/>
        <w:gridCol w:w="7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181AB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2000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000125" cy="200025"/>
                          </a:xfrm>
                          <a:prstGeom prst="rect">
                            <a:avLst/>
                          </a:prstGeom>
                        </pic:spPr>
                      </pic:pic>
                    </a:graphicData>
                  </a:graphic>
                </wp:inline>
              </w:drawing>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Operations</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(unaudited - in thousands, except per share information)</w:t>
      </w:r>
    </w:p>
    <w:tbl>
      <w:tblPr>
        <w:tblW w:w="9945" w:type="dxa"/>
        <w:jc w:val="center"/>
        <w:tblInd w:w="0" w:type="dxa"/>
        <w:tblLayout w:type="fixed"/>
        <w:tblCellMar>
          <w:top w:w="28" w:type="dxa"/>
          <w:left w:w="28" w:type="dxa"/>
          <w:bottom w:w="28" w:type="dxa"/>
          <w:right w:w="28" w:type="dxa"/>
        </w:tblCellMar>
      </w:tblPr>
      <w:tblGrid>
        <w:gridCol w:w="1523"/>
        <w:gridCol w:w="1340"/>
        <w:gridCol w:w="1352"/>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4,373,554 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3,544,705 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8,202,355 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6,392,423 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revenue, excluding 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3,109,163 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7,168,167 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unconsolidated affiliates,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MasTec, Inc.</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shares outstanding</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106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78,870 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78,521 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78,808 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78,750 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hanging="360"/>
                        <w:jc w:val="left"/>
                        <w:rPr/>
                      </w:pPr>
                      <w:r>
                        <w:rPr/>
                      </w:r>
                    </w:p>
                  </w:txbxContent>
                </v:textbox>
                <w10:wrap type="none"/>
              </v:rect>
            </w:pict>
          </mc:Fallback>
        </mc:AlternateContent>
      </w:r>
    </w:p>
    <w:tbl>
      <w:tblPr>
        <w:tblW w:w="2048" w:type="dxa"/>
        <w:jc w:val="center"/>
        <w:tblInd w:w="0" w:type="dxa"/>
        <w:tblLayout w:type="fixed"/>
        <w:tblCellMar>
          <w:top w:w="28" w:type="dxa"/>
          <w:left w:w="28" w:type="dxa"/>
          <w:bottom w:w="28" w:type="dxa"/>
          <w:right w:w="28" w:type="dxa"/>
        </w:tblCellMar>
      </w:tblPr>
      <w:tblGrid>
        <w:gridCol w:w="124"/>
        <w:gridCol w:w="109"/>
        <w:gridCol w:w="109"/>
        <w:gridCol w:w="499"/>
        <w:gridCol w:w="499"/>
        <w:gridCol w:w="7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181AB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2000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000125" cy="200025"/>
                          </a:xfrm>
                          <a:prstGeom prst="rect">
                            <a:avLst/>
                          </a:prstGeom>
                        </pic:spPr>
                      </pic:pic>
                    </a:graphicData>
                  </a:graphic>
                </wp:inline>
              </w:drawing>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(unaudited - in thousands)</w:t>
      </w:r>
    </w:p>
    <w:tbl>
      <w:tblPr>
        <w:tblW w:w="5798" w:type="dxa"/>
        <w:jc w:val="center"/>
        <w:tblInd w:w="0" w:type="dxa"/>
        <w:tblLayout w:type="fixed"/>
        <w:tblCellMar>
          <w:top w:w="28" w:type="dxa"/>
          <w:left w:w="28" w:type="dxa"/>
          <w:bottom w:w="28" w:type="dxa"/>
          <w:right w:w="28" w:type="dxa"/>
        </w:tblCellMar>
      </w:tblPr>
      <w:tblGrid>
        <w:gridCol w:w="1075"/>
        <w:gridCol w:w="948"/>
        <w:gridCol w:w="961"/>
        <w:gridCol w:w="196"/>
        <w:gridCol w:w="961"/>
        <w:gridCol w:w="109"/>
        <w:gridCol w:w="109"/>
        <w:gridCol w:w="109"/>
        <w:gridCol w:w="109"/>
        <w:gridCol w:w="196"/>
        <w:gridCol w:w="87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4,938,819 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4,329,079 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1,915,837 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1,728,470 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2,359,649 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2,248,992 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729,958 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10,925,494 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9,923,542 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equity</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3,528,949 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3,271,045 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including finance leases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2,573,839 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2,176,372 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7,325,511 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6,589,021 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3,599,983 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3,334,521 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10,925,494 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9,923,542 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(unaudited - in thousands)</w:t>
      </w:r>
    </w:p>
    <w:tbl>
      <w:tblPr>
        <w:tblW w:w="6203" w:type="dxa"/>
        <w:jc w:val="center"/>
        <w:tblInd w:w="0" w:type="dxa"/>
        <w:tblLayout w:type="fixed"/>
        <w:tblCellMar>
          <w:top w:w="28" w:type="dxa"/>
          <w:left w:w="28" w:type="dxa"/>
          <w:bottom w:w="28" w:type="dxa"/>
          <w:right w:w="28" w:type="dxa"/>
        </w:tblCellMar>
      </w:tblPr>
      <w:tblGrid>
        <w:gridCol w:w="1332"/>
        <w:gridCol w:w="1166"/>
        <w:gridCol w:w="1176"/>
        <w:gridCol w:w="196"/>
        <w:gridCol w:w="736"/>
        <w:gridCol w:w="109"/>
        <w:gridCol w:w="109"/>
        <w:gridCol w:w="109"/>
        <w:gridCol w:w="109"/>
        <w:gridCol w:w="196"/>
        <w:gridCol w:w="811"/>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(86,653)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(207,274)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currency translation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(208,851)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399,903 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period</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315,641 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191,052 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01" w:type="dxa"/>
        <w:jc w:val="center"/>
        <w:tblInd w:w="0" w:type="dxa"/>
        <w:tblLayout w:type="fixed"/>
        <w:tblCellMar>
          <w:top w:w="28" w:type="dxa"/>
          <w:left w:w="28" w:type="dxa"/>
          <w:bottom w:w="28" w:type="dxa"/>
          <w:right w:w="28" w:type="dxa"/>
        </w:tblCellMar>
      </w:tblPr>
      <w:tblGrid>
        <w:gridCol w:w="1573"/>
        <w:gridCol w:w="1386"/>
        <w:gridCol w:w="1390"/>
        <w:gridCol w:w="196"/>
        <w:gridCol w:w="646"/>
        <w:gridCol w:w="109"/>
        <w:gridCol w:w="109"/>
        <w:gridCol w:w="109"/>
        <w:gridCol w:w="109"/>
        <w:gridCol w:w="196"/>
        <w:gridCol w:w="646"/>
        <w:gridCol w:w="109"/>
        <w:gridCol w:w="109"/>
        <w:gridCol w:w="109"/>
        <w:gridCol w:w="109"/>
        <w:gridCol w:w="196"/>
        <w:gridCol w:w="646"/>
        <w:gridCol w:w="154"/>
      </w:tblGrid>
      <w:tr>
        <w:trPr/>
        <w:tc>
          <w:tcPr>
            <w:tcW w:w="1573"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Backlog by Reportable Segment</w:t>
            </w:r>
            <w:r>
              <w:rPr>
                <w:color w:val="000000"/>
              </w:rPr>
              <w:t xml:space="preserve"> </w:t>
            </w:r>
            <w:r>
              <w:rPr>
                <w:rFonts w:ascii="Times New Roman;serif" w:hAnsi="Times New Roman;serif"/>
                <w:b w:val="false"/>
                <w:color w:val="000000"/>
                <w:sz w:val="18"/>
              </w:rPr>
              <w:t>(unaudited - in millions)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18-month backlog</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21,391 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20,328 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16,452 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Backlog is a common measurement used in our industry. Our methodology for determining backlog may not, however, be comparable to the methodologies used by others. 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3"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hanging="360"/>
                        <w:jc w:val="left"/>
                        <w:rPr/>
                      </w:pPr>
                      <w:r>
                        <w:rPr/>
                      </w:r>
                    </w:p>
                  </w:txbxContent>
                </v:textbox>
                <w10:wrap type="none"/>
              </v:rect>
            </w:pict>
          </mc:Fallback>
        </mc:AlternateContent>
      </w:r>
    </w:p>
    <w:tbl>
      <w:tblPr>
        <w:tblW w:w="2048" w:type="dxa"/>
        <w:jc w:val="center"/>
        <w:tblInd w:w="0" w:type="dxa"/>
        <w:tblLayout w:type="fixed"/>
        <w:tblCellMar>
          <w:top w:w="28" w:type="dxa"/>
          <w:left w:w="28" w:type="dxa"/>
          <w:bottom w:w="28" w:type="dxa"/>
          <w:right w:w="28" w:type="dxa"/>
        </w:tblCellMar>
      </w:tblPr>
      <w:tblGrid>
        <w:gridCol w:w="124"/>
        <w:gridCol w:w="109"/>
        <w:gridCol w:w="109"/>
        <w:gridCol w:w="499"/>
        <w:gridCol w:w="499"/>
        <w:gridCol w:w="7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181AB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2000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1000125" cy="200025"/>
                          </a:xfrm>
                          <a:prstGeom prst="rect">
                            <a:avLst/>
                          </a:prstGeom>
                        </pic:spPr>
                      </pic:pic>
                    </a:graphicData>
                  </a:graphic>
                </wp:inline>
              </w:drawing>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Supplemental Disclosures and Reconciliation of Non-GAAP Disclosures</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(unaudited - in millions, except for percentages and per share information)</w:t>
      </w:r>
    </w:p>
    <w:tbl>
      <w:tblPr>
        <w:tblW w:w="7804" w:type="dxa"/>
        <w:jc w:val="center"/>
        <w:tblInd w:w="0" w:type="dxa"/>
        <w:tblLayout w:type="fixed"/>
        <w:tblCellMar>
          <w:top w:w="28" w:type="dxa"/>
          <w:left w:w="28" w:type="dxa"/>
          <w:bottom w:w="28" w:type="dxa"/>
          <w:right w:w="28" w:type="dxa"/>
        </w:tblCellMar>
      </w:tblPr>
      <w:tblGrid>
        <w:gridCol w:w="950"/>
        <w:gridCol w:w="835"/>
        <w:gridCol w:w="839"/>
        <w:gridCol w:w="210"/>
        <w:gridCol w:w="742"/>
        <w:gridCol w:w="117"/>
        <w:gridCol w:w="117"/>
        <w:gridCol w:w="117"/>
        <w:gridCol w:w="117"/>
        <w:gridCol w:w="210"/>
        <w:gridCol w:w="742"/>
        <w:gridCol w:w="117"/>
        <w:gridCol w:w="109"/>
        <w:gridCol w:w="109"/>
        <w:gridCol w:w="109"/>
        <w:gridCol w:w="196"/>
        <w:gridCol w:w="691"/>
        <w:gridCol w:w="109"/>
        <w:gridCol w:w="109"/>
        <w:gridCol w:w="109"/>
        <w:gridCol w:w="109"/>
        <w:gridCol w:w="196"/>
        <w:gridCol w:w="691"/>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Segment Information</w:t>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 by Reportable Segment</w:t>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Eliminations </w:t>
            </w:r>
            <w:r>
              <w:rPr>
                <w:rFonts w:ascii="Times New Roman;serif" w:hAnsi="Times New Roman;serif"/>
                <w:b w:val="false"/>
                <w:color w:val="000000"/>
                <w:sz w:val="12"/>
              </w:rPr>
              <w:t>(b)</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revenue</w:t>
            </w:r>
          </w:p>
        </w:tc>
        <w:tc>
          <w:tcPr>
            <w:tcW w:w="2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4,373.6 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3,544.7 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8,202.4 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6,392.4 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905"/>
        <w:gridCol w:w="316"/>
        <w:gridCol w:w="317"/>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41"/>
        <w:gridCol w:w="225"/>
        <w:gridCol w:w="256"/>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41"/>
        <w:gridCol w:w="225"/>
        <w:gridCol w:w="302"/>
      </w:tblGrid>
      <w:tr>
        <w:trPr/>
        <w:tc>
          <w:tcPr>
            <w:tcW w:w="90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EBITDA and EBITDA Margin by Segment</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Non-cash stock-based compensation expense</w:t>
            </w:r>
            <w:r>
              <w:rPr>
                <w:color w:val="000000"/>
              </w:rPr>
              <w:t xml:space="preserve"> </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Changes in fair value of acquisition-related contingent items </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Impairments of equity method investments </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Segment:</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Eliminations</w:t>
            </w:r>
            <w:r>
              <w:rPr>
                <w:color w:val="000000"/>
              </w:rPr>
              <w:t xml:space="preserve"> </w:t>
            </w:r>
            <w:r>
              <w:rPr>
                <w:rFonts w:ascii="Times New Roman;serif" w:hAnsi="Times New Roman;serif"/>
                <w:b w:val="false"/>
                <w:color w:val="000000"/>
                <w:sz w:val="12"/>
              </w:rPr>
              <w:t>(b)</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Segment 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NM - Percentage is not meaningful</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(a)Non-cash stock-based compensation expense and changes in fair value of acquisition-related contingent items are included within Corporate, while impairments of equity method investments are included within the Other segment EBITDA.</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(b)Represents intersegment eliminations and adjustments related to transactions entered into in the normal course of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hanging="360"/>
                        <w:jc w:val="left"/>
                        <w:rPr/>
                      </w:pPr>
                      <w:r>
                        <w:rPr/>
                      </w:r>
                    </w:p>
                  </w:txbxContent>
                </v:textbox>
                <w10:wrap type="none"/>
              </v:rect>
            </w:pict>
          </mc:Fallback>
        </mc:AlternateContent>
      </w:r>
    </w:p>
    <w:tbl>
      <w:tblPr>
        <w:tblW w:w="2048" w:type="dxa"/>
        <w:jc w:val="center"/>
        <w:tblInd w:w="0" w:type="dxa"/>
        <w:tblLayout w:type="fixed"/>
        <w:tblCellMar>
          <w:top w:w="28" w:type="dxa"/>
          <w:left w:w="28" w:type="dxa"/>
          <w:bottom w:w="28" w:type="dxa"/>
          <w:right w:w="28" w:type="dxa"/>
        </w:tblCellMar>
      </w:tblPr>
      <w:tblGrid>
        <w:gridCol w:w="124"/>
        <w:gridCol w:w="109"/>
        <w:gridCol w:w="109"/>
        <w:gridCol w:w="499"/>
        <w:gridCol w:w="499"/>
        <w:gridCol w:w="7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181AB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200025"/>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1000125" cy="200025"/>
                          </a:xfrm>
                          <a:prstGeom prst="rect">
                            <a:avLst/>
                          </a:prstGeom>
                        </pic:spPr>
                      </pic:pic>
                    </a:graphicData>
                  </a:graphic>
                </wp:inline>
              </w:drawing>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Supplemental Disclosures and Reconciliation of Non-GAAP Disclosures</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(unaudited - in millions, except for percentages and per share information)</w:t>
      </w:r>
    </w:p>
    <w:tbl>
      <w:tblPr>
        <w:tblW w:w="10205" w:type="dxa"/>
        <w:jc w:val="center"/>
        <w:tblInd w:w="0" w:type="dxa"/>
        <w:tblLayout w:type="fixed"/>
        <w:tblCellMar>
          <w:top w:w="28" w:type="dxa"/>
          <w:left w:w="28" w:type="dxa"/>
          <w:bottom w:w="28" w:type="dxa"/>
          <w:right w:w="28" w:type="dxa"/>
        </w:tblCellMar>
      </w:tblPr>
      <w:tblGrid>
        <w:gridCol w:w="767"/>
        <w:gridCol w:w="513"/>
        <w:gridCol w:w="516"/>
        <w:gridCol w:w="196"/>
        <w:gridCol w:w="556"/>
        <w:gridCol w:w="109"/>
        <w:gridCol w:w="109"/>
        <w:gridCol w:w="109"/>
        <w:gridCol w:w="109"/>
        <w:gridCol w:w="203"/>
        <w:gridCol w:w="203"/>
        <w:gridCol w:w="256"/>
        <w:gridCol w:w="109"/>
        <w:gridCol w:w="109"/>
        <w:gridCol w:w="109"/>
        <w:gridCol w:w="196"/>
        <w:gridCol w:w="556"/>
        <w:gridCol w:w="109"/>
        <w:gridCol w:w="109"/>
        <w:gridCol w:w="109"/>
        <w:gridCol w:w="109"/>
        <w:gridCol w:w="211"/>
        <w:gridCol w:w="199"/>
        <w:gridCol w:w="256"/>
        <w:gridCol w:w="109"/>
        <w:gridCol w:w="109"/>
        <w:gridCol w:w="109"/>
        <w:gridCol w:w="196"/>
        <w:gridCol w:w="556"/>
        <w:gridCol w:w="109"/>
        <w:gridCol w:w="109"/>
        <w:gridCol w:w="109"/>
        <w:gridCol w:w="109"/>
        <w:gridCol w:w="188"/>
        <w:gridCol w:w="188"/>
        <w:gridCol w:w="256"/>
        <w:gridCol w:w="109"/>
        <w:gridCol w:w="109"/>
        <w:gridCol w:w="109"/>
        <w:gridCol w:w="196"/>
        <w:gridCol w:w="556"/>
        <w:gridCol w:w="109"/>
        <w:gridCol w:w="109"/>
        <w:gridCol w:w="109"/>
        <w:gridCol w:w="109"/>
        <w:gridCol w:w="211"/>
        <w:gridCol w:w="199"/>
        <w:gridCol w:w="306"/>
      </w:tblGrid>
      <w:tr>
        <w:trPr/>
        <w:tc>
          <w:tcPr>
            <w:tcW w:w="76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EBITDA and Adjusted EBITDA Reconciliation</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EBITDA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acquisition-related contingent items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of equity method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7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7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7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79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1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486" w:type="dxa"/>
        <w:jc w:val="center"/>
        <w:tblInd w:w="0" w:type="dxa"/>
        <w:tblLayout w:type="fixed"/>
        <w:tblCellMar>
          <w:top w:w="28" w:type="dxa"/>
          <w:left w:w="28" w:type="dxa"/>
          <w:bottom w:w="28" w:type="dxa"/>
          <w:right w:w="28" w:type="dxa"/>
        </w:tblCellMar>
      </w:tblPr>
      <w:tblGrid>
        <w:gridCol w:w="1575"/>
        <w:gridCol w:w="1385"/>
        <w:gridCol w:w="1390"/>
        <w:gridCol w:w="238"/>
        <w:gridCol w:w="675"/>
        <w:gridCol w:w="132"/>
        <w:gridCol w:w="132"/>
        <w:gridCol w:w="132"/>
        <w:gridCol w:w="132"/>
        <w:gridCol w:w="238"/>
        <w:gridCol w:w="675"/>
        <w:gridCol w:w="132"/>
        <w:gridCol w:w="109"/>
        <w:gridCol w:w="109"/>
        <w:gridCol w:w="109"/>
        <w:gridCol w:w="217"/>
        <w:gridCol w:w="617"/>
        <w:gridCol w:w="121"/>
        <w:gridCol w:w="121"/>
        <w:gridCol w:w="121"/>
        <w:gridCol w:w="121"/>
        <w:gridCol w:w="217"/>
        <w:gridCol w:w="617"/>
        <w:gridCol w:w="171"/>
      </w:tblGrid>
      <w:tr>
        <w:trPr/>
        <w:tc>
          <w:tcPr>
            <w:tcW w:w="157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4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Net Income Reconciliation</w:t>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acquisition-related contingent items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of equity method investments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 pre-tax</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Income tax effect of adjustments </w:t>
            </w:r>
            <w:r>
              <w:rPr>
                <w:rFonts w:ascii="Times New Roman;serif" w:hAnsi="Times New Roman;serif"/>
                <w:b w:val="false"/>
                <w:color w:val="000000"/>
                <w:sz w:val="12"/>
              </w:rPr>
              <w:t>(a)</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attributable to MasTec, Inc.</w:t>
            </w:r>
          </w:p>
        </w:tc>
        <w:tc>
          <w:tcPr>
            <w:tcW w:w="2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175.0 </w:t>
            </w:r>
          </w:p>
        </w:tc>
        <w:tc>
          <w:tcPr>
            <w:tcW w:w="1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117.1 </w:t>
            </w:r>
          </w:p>
        </w:tc>
        <w:tc>
          <w:tcPr>
            <w:tcW w:w="1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284.2 </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88" w:type="dxa"/>
        <w:jc w:val="center"/>
        <w:tblInd w:w="0" w:type="dxa"/>
        <w:tblLayout w:type="fixed"/>
        <w:tblCellMar>
          <w:top w:w="28" w:type="dxa"/>
          <w:left w:w="28" w:type="dxa"/>
          <w:bottom w:w="28" w:type="dxa"/>
          <w:right w:w="28" w:type="dxa"/>
        </w:tblCellMar>
      </w:tblPr>
      <w:tblGrid>
        <w:gridCol w:w="1575"/>
        <w:gridCol w:w="1383"/>
        <w:gridCol w:w="1391"/>
        <w:gridCol w:w="261"/>
        <w:gridCol w:w="621"/>
        <w:gridCol w:w="145"/>
        <w:gridCol w:w="145"/>
        <w:gridCol w:w="145"/>
        <w:gridCol w:w="145"/>
        <w:gridCol w:w="261"/>
        <w:gridCol w:w="621"/>
        <w:gridCol w:w="145"/>
        <w:gridCol w:w="109"/>
        <w:gridCol w:w="109"/>
        <w:gridCol w:w="109"/>
        <w:gridCol w:w="238"/>
        <w:gridCol w:w="566"/>
        <w:gridCol w:w="132"/>
        <w:gridCol w:w="132"/>
        <w:gridCol w:w="132"/>
        <w:gridCol w:w="132"/>
        <w:gridCol w:w="238"/>
        <w:gridCol w:w="566"/>
        <w:gridCol w:w="187"/>
      </w:tblGrid>
      <w:tr>
        <w:trPr/>
        <w:tc>
          <w:tcPr>
            <w:tcW w:w="15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Diluted Earnings per Share Reconciliation</w:t>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acquisition-related contingent items</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of equity method investments</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 pre-tax</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Income tax effect of adjustments </w:t>
            </w:r>
            <w:r>
              <w:rPr>
                <w:rFonts w:ascii="Times New Roman;serif" w:hAnsi="Times New Roman;serif"/>
                <w:b w:val="false"/>
                <w:color w:val="000000"/>
                <w:sz w:val="12"/>
              </w:rPr>
              <w:t>(a)</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earnings per share</w:t>
            </w:r>
          </w:p>
        </w:tc>
        <w:tc>
          <w:tcPr>
            <w:tcW w:w="2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7"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hanging="360"/>
                        <w:jc w:val="left"/>
                        <w:rPr/>
                      </w:pPr>
                      <w:r>
                        <w:rPr/>
                      </w:r>
                    </w:p>
                  </w:txbxContent>
                </v:textbox>
                <w10:wrap type="none"/>
              </v:rect>
            </w:pict>
          </mc:Fallback>
        </mc:AlternateContent>
      </w:r>
    </w:p>
    <w:tbl>
      <w:tblPr>
        <w:tblW w:w="2048" w:type="dxa"/>
        <w:jc w:val="center"/>
        <w:tblInd w:w="0" w:type="dxa"/>
        <w:tblLayout w:type="fixed"/>
        <w:tblCellMar>
          <w:top w:w="28" w:type="dxa"/>
          <w:left w:w="28" w:type="dxa"/>
          <w:bottom w:w="28" w:type="dxa"/>
          <w:right w:w="28" w:type="dxa"/>
        </w:tblCellMar>
      </w:tblPr>
      <w:tblGrid>
        <w:gridCol w:w="124"/>
        <w:gridCol w:w="109"/>
        <w:gridCol w:w="109"/>
        <w:gridCol w:w="499"/>
        <w:gridCol w:w="499"/>
        <w:gridCol w:w="7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181AB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200025"/>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1000125" cy="200025"/>
                          </a:xfrm>
                          <a:prstGeom prst="rect">
                            <a:avLst/>
                          </a:prstGeom>
                        </pic:spPr>
                      </pic:pic>
                    </a:graphicData>
                  </a:graphic>
                </wp:inline>
              </w:drawing>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Supplemental Disclosures and Reconciliation of Non-GAAP Disclosures</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(unaudited - in millions, except for percentages and per share information)</w:t>
      </w:r>
    </w:p>
    <w:tbl>
      <w:tblPr>
        <w:tblW w:w="6767" w:type="dxa"/>
        <w:jc w:val="center"/>
        <w:tblInd w:w="0" w:type="dxa"/>
        <w:tblLayout w:type="fixed"/>
        <w:tblCellMar>
          <w:top w:w="28" w:type="dxa"/>
          <w:left w:w="28" w:type="dxa"/>
          <w:bottom w:w="28" w:type="dxa"/>
          <w:right w:w="28" w:type="dxa"/>
        </w:tblCellMar>
      </w:tblPr>
      <w:tblGrid>
        <w:gridCol w:w="1542"/>
        <w:gridCol w:w="1354"/>
        <w:gridCol w:w="1363"/>
        <w:gridCol w:w="196"/>
        <w:gridCol w:w="691"/>
        <w:gridCol w:w="109"/>
        <w:gridCol w:w="109"/>
        <w:gridCol w:w="109"/>
        <w:gridCol w:w="109"/>
        <w:gridCol w:w="223"/>
        <w:gridCol w:w="787"/>
        <w:gridCol w:w="175"/>
      </w:tblGrid>
      <w:tr>
        <w:trPr/>
        <w:tc>
          <w:tcPr>
            <w:tcW w:w="15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Calculation of Net Debt</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 including finance leases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154.3 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Long-term debt, including finance leases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2,573.8 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2,176.4 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2,740.2 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2,330.7 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Less: cash and cash equivalents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(315.6)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(396.0)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Net debt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2,424.6 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18"/>
              </w:rPr>
            </w:pPr>
            <w:r>
              <w:rPr>
                <w:rFonts w:ascii="Times New Roman;serif" w:hAnsi="Times New Roman;serif"/>
                <w:b w:val="false"/>
                <w:color w:val="000000"/>
                <w:sz w:val="18"/>
              </w:rPr>
              <w:t>1,934.7 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86" w:type="dxa"/>
        <w:jc w:val="center"/>
        <w:tblInd w:w="0" w:type="dxa"/>
        <w:tblLayout w:type="fixed"/>
        <w:tblCellMar>
          <w:top w:w="28" w:type="dxa"/>
          <w:left w:w="28" w:type="dxa"/>
          <w:bottom w:w="28" w:type="dxa"/>
          <w:right w:w="28" w:type="dxa"/>
        </w:tblCellMar>
      </w:tblPr>
      <w:tblGrid>
        <w:gridCol w:w="1254"/>
        <w:gridCol w:w="1102"/>
        <w:gridCol w:w="1109"/>
        <w:gridCol w:w="227"/>
        <w:gridCol w:w="645"/>
        <w:gridCol w:w="126"/>
        <w:gridCol w:w="126"/>
        <w:gridCol w:w="126"/>
        <w:gridCol w:w="126"/>
        <w:gridCol w:w="227"/>
        <w:gridCol w:w="540"/>
        <w:gridCol w:w="178"/>
      </w:tblGrid>
      <w:tr>
        <w:trPr/>
        <w:tc>
          <w:tcPr>
            <w:tcW w:w="125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Free Cash Flow Reconciliation</w:t>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and equipment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919"/>
        <w:gridCol w:w="678"/>
        <w:gridCol w:w="681"/>
        <w:gridCol w:w="169"/>
        <w:gridCol w:w="169"/>
        <w:gridCol w:w="169"/>
        <w:gridCol w:w="314"/>
        <w:gridCol w:w="197"/>
        <w:gridCol w:w="169"/>
        <w:gridCol w:w="169"/>
        <w:gridCol w:w="169"/>
        <w:gridCol w:w="169"/>
        <w:gridCol w:w="302"/>
        <w:gridCol w:w="169"/>
        <w:gridCol w:w="398"/>
        <w:gridCol w:w="109"/>
        <w:gridCol w:w="109"/>
        <w:gridCol w:w="109"/>
        <w:gridCol w:w="238"/>
        <w:gridCol w:w="841"/>
        <w:gridCol w:w="132"/>
        <w:gridCol w:w="132"/>
        <w:gridCol w:w="132"/>
        <w:gridCol w:w="132"/>
        <w:gridCol w:w="204"/>
        <w:gridCol w:w="202"/>
        <w:gridCol w:w="311"/>
        <w:gridCol w:w="109"/>
        <w:gridCol w:w="109"/>
        <w:gridCol w:w="109"/>
        <w:gridCol w:w="237"/>
        <w:gridCol w:w="837"/>
        <w:gridCol w:w="132"/>
        <w:gridCol w:w="132"/>
        <w:gridCol w:w="132"/>
        <w:gridCol w:w="132"/>
        <w:gridCol w:w="203"/>
        <w:gridCol w:w="203"/>
        <w:gridCol w:w="378"/>
      </w:tblGrid>
      <w:tr>
        <w:trPr/>
        <w:tc>
          <w:tcPr>
            <w:tcW w:w="91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EBITDA and Adjusted EBITDA Reconciliation</w:t>
            </w:r>
          </w:p>
        </w:tc>
        <w:tc>
          <w:tcPr>
            <w:tcW w:w="2563"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Guidance for the Year Ended December 31, 2026 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 2024</w:t>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539</w:t>
            </w:r>
          </w:p>
        </w:tc>
        <w:tc>
          <w:tcPr>
            <w:tcW w:w="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205 </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172 </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18"/>
              </w:rPr>
              <w:t>360</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EBITDA </w:t>
            </w:r>
          </w:p>
        </w:tc>
        <w:tc>
          <w:tcPr>
            <w:tcW w:w="5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1,531</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1,115.5 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950.8 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acquisition-related contingent items</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of equity method investments</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50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18"/>
              </w:rPr>
              <w:t>1,600</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1,150.1 </w:t>
            </w:r>
          </w:p>
        </w:tc>
        <w:tc>
          <w:tcPr>
            <w:tcW w:w="1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1,005.6 </w:t>
            </w:r>
          </w:p>
        </w:tc>
        <w:tc>
          <w:tcPr>
            <w:tcW w:w="1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3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9"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hanging="360"/>
                        <w:jc w:val="left"/>
                        <w:rPr/>
                      </w:pPr>
                      <w:r>
                        <w:rPr/>
                      </w:r>
                    </w:p>
                  </w:txbxContent>
                </v:textbox>
                <w10:wrap type="none"/>
              </v:rect>
            </w:pict>
          </mc:Fallback>
        </mc:AlternateContent>
      </w:r>
    </w:p>
    <w:tbl>
      <w:tblPr>
        <w:tblW w:w="2048" w:type="dxa"/>
        <w:jc w:val="center"/>
        <w:tblInd w:w="0" w:type="dxa"/>
        <w:tblLayout w:type="fixed"/>
        <w:tblCellMar>
          <w:top w:w="28" w:type="dxa"/>
          <w:left w:w="28" w:type="dxa"/>
          <w:bottom w:w="28" w:type="dxa"/>
          <w:right w:w="28" w:type="dxa"/>
        </w:tblCellMar>
      </w:tblPr>
      <w:tblGrid>
        <w:gridCol w:w="124"/>
        <w:gridCol w:w="109"/>
        <w:gridCol w:w="109"/>
        <w:gridCol w:w="499"/>
        <w:gridCol w:w="499"/>
        <w:gridCol w:w="7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181AB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200025"/>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1000125" cy="200025"/>
                          </a:xfrm>
                          <a:prstGeom prst="rect">
                            <a:avLst/>
                          </a:prstGeom>
                        </pic:spPr>
                      </pic:pic>
                    </a:graphicData>
                  </a:graphic>
                </wp:inline>
              </w:drawing>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Supplemental Disclosures and Reconciliation of Non-GAAP Disclosures</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(unaudited - in millions, except for percentages and per share information)</w:t>
      </w:r>
    </w:p>
    <w:tbl>
      <w:tblPr>
        <w:tblW w:w="10205" w:type="dxa"/>
        <w:jc w:val="center"/>
        <w:tblInd w:w="0" w:type="dxa"/>
        <w:tblLayout w:type="fixed"/>
        <w:tblCellMar>
          <w:top w:w="28" w:type="dxa"/>
          <w:left w:w="28" w:type="dxa"/>
          <w:bottom w:w="28" w:type="dxa"/>
          <w:right w:w="28" w:type="dxa"/>
        </w:tblCellMar>
      </w:tblPr>
      <w:tblGrid>
        <w:gridCol w:w="1118"/>
        <w:gridCol w:w="892"/>
        <w:gridCol w:w="896"/>
        <w:gridCol w:w="427"/>
        <w:gridCol w:w="427"/>
        <w:gridCol w:w="427"/>
        <w:gridCol w:w="427"/>
        <w:gridCol w:w="427"/>
        <w:gridCol w:w="430"/>
        <w:gridCol w:w="109"/>
        <w:gridCol w:w="109"/>
        <w:gridCol w:w="109"/>
        <w:gridCol w:w="458"/>
        <w:gridCol w:w="1300"/>
        <w:gridCol w:w="256"/>
        <w:gridCol w:w="109"/>
        <w:gridCol w:w="109"/>
        <w:gridCol w:w="109"/>
        <w:gridCol w:w="445"/>
        <w:gridCol w:w="1264"/>
        <w:gridCol w:w="357"/>
      </w:tblGrid>
      <w:tr>
        <w:trPr/>
        <w:tc>
          <w:tcPr>
            <w:tcW w:w="111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9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Net Income Reconciliation</w:t>
            </w:r>
          </w:p>
        </w:tc>
        <w:tc>
          <w:tcPr>
            <w:tcW w:w="256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Guidance for the Year Ended December 31, 2026 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 2024</w:t>
            </w:r>
          </w:p>
        </w:tc>
      </w:tr>
      <w:tr>
        <w:trPr/>
        <w:tc>
          <w:tcPr>
            <w:tcW w:w="2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18"/>
              </w:rPr>
              <w:t>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199.4 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acquisition-related contingent items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r>
      <w:tr>
        <w:trPr/>
        <w:tc>
          <w:tcPr>
            <w:tcW w:w="2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of equity method investments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r>
      <w:tr>
        <w:trPr/>
        <w:tc>
          <w:tcPr>
            <w:tcW w:w="290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r>
      <w:tr>
        <w:trPr/>
        <w:tc>
          <w:tcPr>
            <w:tcW w:w="290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 pre-tax</w:t>
            </w:r>
          </w:p>
        </w:tc>
        <w:tc>
          <w:tcPr>
            <w:tcW w:w="12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194.6 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Income tax effect of adjustments</w:t>
            </w:r>
            <w:r>
              <w:rPr>
                <w:color w:val="000000"/>
              </w:rPr>
              <w:t xml:space="preserve"> </w:t>
            </w:r>
            <w:r>
              <w:rPr>
                <w:rFonts w:ascii="Times New Roman;serif" w:hAnsi="Times New Roman;serif"/>
                <w:b w:val="false"/>
                <w:color w:val="000000"/>
                <w:sz w:val="12"/>
              </w:rPr>
              <w:t>(a)</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Statutory and other tax rate effects </w:t>
            </w:r>
            <w:r>
              <w:rPr>
                <w:rFonts w:ascii="Times New Roman;serif" w:hAnsi="Times New Roman;serif"/>
                <w:b w:val="false"/>
                <w:color w:val="000000"/>
                <w:sz w:val="12"/>
              </w:rPr>
              <w:t>(b)</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18"/>
              </w:rPr>
              <w:t>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348.3 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attributable to MasTec, Inc.</w:t>
            </w:r>
          </w:p>
        </w:tc>
        <w:tc>
          <w:tcPr>
            <w:tcW w:w="128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18"/>
              </w:rPr>
              <w:t>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515.2 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311.7 </w:t>
            </w:r>
          </w:p>
        </w:tc>
        <w:tc>
          <w:tcPr>
            <w:tcW w:w="3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16"/>
        <w:gridCol w:w="889"/>
        <w:gridCol w:w="894"/>
        <w:gridCol w:w="426"/>
        <w:gridCol w:w="426"/>
        <w:gridCol w:w="426"/>
        <w:gridCol w:w="448"/>
        <w:gridCol w:w="426"/>
        <w:gridCol w:w="429"/>
        <w:gridCol w:w="109"/>
        <w:gridCol w:w="109"/>
        <w:gridCol w:w="109"/>
        <w:gridCol w:w="510"/>
        <w:gridCol w:w="1214"/>
        <w:gridCol w:w="286"/>
        <w:gridCol w:w="109"/>
        <w:gridCol w:w="109"/>
        <w:gridCol w:w="109"/>
        <w:gridCol w:w="493"/>
        <w:gridCol w:w="1174"/>
        <w:gridCol w:w="394"/>
      </w:tblGrid>
      <w:tr>
        <w:trPr/>
        <w:tc>
          <w:tcPr>
            <w:tcW w:w="111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Diluted Earnings per Share Reconciliation</w:t>
            </w:r>
          </w:p>
        </w:tc>
        <w:tc>
          <w:tcPr>
            <w:tcW w:w="258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Guidance for the Year Ended December 31, 2026 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Year Ended December 31, 2024</w:t>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12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18"/>
              </w:rPr>
              <w:t>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acquisition-related contingent items</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of equity method investments</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 pre-tax</w:t>
            </w:r>
          </w:p>
        </w:tc>
        <w:tc>
          <w:tcPr>
            <w:tcW w:w="12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Income tax effect of adjustments</w:t>
            </w:r>
            <w:r>
              <w:rPr>
                <w:color w:val="000000"/>
              </w:rPr>
              <w:t xml:space="preserve"> </w:t>
            </w:r>
            <w:r>
              <w:rPr>
                <w:rFonts w:ascii="Times New Roman;serif" w:hAnsi="Times New Roman;serif"/>
                <w:b w:val="false"/>
                <w:color w:val="000000"/>
                <w:sz w:val="12"/>
              </w:rPr>
              <w:t>(a)</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Statutory and other tax rate effects </w:t>
            </w:r>
            <w:r>
              <w:rPr>
                <w:rFonts w:ascii="Times New Roman;serif" w:hAnsi="Times New Roman;serif"/>
                <w:b w:val="false"/>
                <w:color w:val="000000"/>
                <w:sz w:val="12"/>
              </w:rPr>
              <w:t>(b)</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earnings per share</w:t>
            </w:r>
          </w:p>
        </w:tc>
        <w:tc>
          <w:tcPr>
            <w:tcW w:w="127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18"/>
              </w:rPr>
              <w:t>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3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(b)Represents the effects of statutory and other tax rate changes for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1"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hanging="360"/>
                        <w:jc w:val="left"/>
                        <w:rPr/>
                      </w:pPr>
                      <w:r>
                        <w:rPr/>
                      </w:r>
                    </w:p>
                  </w:txbxContent>
                </v:textbox>
                <w10:wrap type="none"/>
              </v:rect>
            </w:pict>
          </mc:Fallback>
        </mc:AlternateContent>
      </w:r>
    </w:p>
    <w:tbl>
      <w:tblPr>
        <w:tblW w:w="2048" w:type="dxa"/>
        <w:jc w:val="center"/>
        <w:tblInd w:w="0" w:type="dxa"/>
        <w:tblLayout w:type="fixed"/>
        <w:tblCellMar>
          <w:top w:w="28" w:type="dxa"/>
          <w:left w:w="28" w:type="dxa"/>
          <w:bottom w:w="28" w:type="dxa"/>
          <w:right w:w="28" w:type="dxa"/>
        </w:tblCellMar>
      </w:tblPr>
      <w:tblGrid>
        <w:gridCol w:w="124"/>
        <w:gridCol w:w="109"/>
        <w:gridCol w:w="109"/>
        <w:gridCol w:w="499"/>
        <w:gridCol w:w="499"/>
        <w:gridCol w:w="7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181AB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200025"/>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1000125" cy="200025"/>
                          </a:xfrm>
                          <a:prstGeom prst="rect">
                            <a:avLst/>
                          </a:prstGeom>
                        </pic:spPr>
                      </pic:pic>
                    </a:graphicData>
                  </a:graphic>
                </wp:inline>
              </w:drawing>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Supplemental Disclosures and Reconciliation of Non-GAAP Disclosures</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(unaudited - in millions, except for percentages and per share information)</w:t>
      </w:r>
    </w:p>
    <w:tbl>
      <w:tblPr>
        <w:tblW w:w="10205" w:type="dxa"/>
        <w:jc w:val="center"/>
        <w:tblInd w:w="0" w:type="dxa"/>
        <w:tblLayout w:type="fixed"/>
        <w:tblCellMar>
          <w:top w:w="28" w:type="dxa"/>
          <w:left w:w="28" w:type="dxa"/>
          <w:bottom w:w="28" w:type="dxa"/>
          <w:right w:w="28" w:type="dxa"/>
        </w:tblCellMar>
      </w:tblPr>
      <w:tblGrid>
        <w:gridCol w:w="1180"/>
        <w:gridCol w:w="959"/>
        <w:gridCol w:w="963"/>
        <w:gridCol w:w="109"/>
        <w:gridCol w:w="451"/>
        <w:gridCol w:w="969"/>
        <w:gridCol w:w="250"/>
        <w:gridCol w:w="250"/>
        <w:gridCol w:w="250"/>
        <w:gridCol w:w="250"/>
        <w:gridCol w:w="330"/>
        <w:gridCol w:w="250"/>
        <w:gridCol w:w="589"/>
        <w:gridCol w:w="109"/>
        <w:gridCol w:w="109"/>
        <w:gridCol w:w="109"/>
        <w:gridCol w:w="447"/>
        <w:gridCol w:w="347"/>
        <w:gridCol w:w="269"/>
        <w:gridCol w:w="248"/>
        <w:gridCol w:w="248"/>
        <w:gridCol w:w="248"/>
        <w:gridCol w:w="310"/>
        <w:gridCol w:w="248"/>
        <w:gridCol w:w="713"/>
      </w:tblGrid>
      <w:tr>
        <w:trPr/>
        <w:tc>
          <w:tcPr>
            <w:tcW w:w="118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31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EBITDA and Adjusted EBITDA Reconciliation</w:t>
            </w:r>
          </w:p>
        </w:tc>
        <w:tc>
          <w:tcPr>
            <w:tcW w:w="109" w:type="dxa"/>
            <w:tcBorders/>
            <w:vAlign w:val="center"/>
          </w:tcPr>
          <w:p>
            <w:pPr>
              <w:pStyle w:val="TableContents"/>
              <w:bidi w:val="0"/>
              <w:spacing w:before="0" w:after="283"/>
              <w:jc w:val="left"/>
              <w:rPr>
                <w:sz w:val="4"/>
                <w:szCs w:val="4"/>
              </w:rPr>
            </w:pPr>
            <w:r>
              <w:rPr>
                <w:sz w:val="4"/>
                <w:szCs w:val="4"/>
              </w:rPr>
            </w:r>
          </w:p>
        </w:tc>
        <w:tc>
          <w:tcPr>
            <w:tcW w:w="358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Guidance for the Three Months Ended September 30, 2026 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tcMar>
              <w:top w:w="0" w:type="dxa"/>
              <w:left w:w="0" w:type="dxa"/>
              <w:bottom w:w="0" w:type="dxa"/>
              <w:right w:w="0" w:type="dxa"/>
            </w:tcMar>
            <w:vAlign w:val="center"/>
          </w:tcPr>
          <w:p>
            <w:pPr>
              <w:pStyle w:val="TableContents"/>
              <w:bidi w:val="0"/>
              <w:spacing w:lineRule="auto" w:line="288" w:before="0" w:after="0"/>
              <w:ind w:left="0" w:right="0" w:firstLine="90"/>
              <w:jc w:val="center"/>
              <w:rPr>
                <w:rFonts w:ascii="Times New Roman;serif" w:hAnsi="Times New Roman;serif"/>
                <w:b/>
                <w:color w:val="000000"/>
                <w:sz w:val="18"/>
              </w:rPr>
            </w:pPr>
            <w:r>
              <w:rPr>
                <w:rFonts w:ascii="Times New Roman;serif" w:hAnsi="Times New Roman;serif"/>
                <w:b/>
                <w:color w:val="000000"/>
                <w:sz w:val="18"/>
              </w:rPr>
              <w:t>For the Three Months Ended September 30, 2025</w:t>
            </w:r>
          </w:p>
        </w:tc>
      </w:tr>
      <w:tr>
        <w:trPr/>
        <w:tc>
          <w:tcPr>
            <w:tcW w:w="3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166.5</w:t>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45.1</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7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71.8</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7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EBITDA </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361.6</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3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acquisition-related contingent items</w:t>
            </w:r>
          </w:p>
        </w:tc>
        <w:tc>
          <w:tcPr>
            <w:tcW w:w="109" w:type="dxa"/>
            <w:tcBorders/>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3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3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3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3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3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5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373.5</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7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center"/>
        <w:tblInd w:w="0" w:type="dxa"/>
        <w:tblLayout w:type="fixed"/>
        <w:tblCellMar>
          <w:top w:w="28" w:type="dxa"/>
          <w:left w:w="28" w:type="dxa"/>
          <w:bottom w:w="28" w:type="dxa"/>
          <w:right w:w="28" w:type="dxa"/>
        </w:tblCellMar>
      </w:tblPr>
      <w:tblGrid>
        <w:gridCol w:w="1217"/>
        <w:gridCol w:w="999"/>
        <w:gridCol w:w="1003"/>
        <w:gridCol w:w="587"/>
        <w:gridCol w:w="587"/>
        <w:gridCol w:w="587"/>
        <w:gridCol w:w="595"/>
        <w:gridCol w:w="587"/>
        <w:gridCol w:w="589"/>
        <w:gridCol w:w="109"/>
        <w:gridCol w:w="109"/>
        <w:gridCol w:w="109"/>
        <w:gridCol w:w="650"/>
        <w:gridCol w:w="1847"/>
        <w:gridCol w:w="364"/>
        <w:gridCol w:w="109"/>
        <w:gridCol w:w="157"/>
      </w:tblGrid>
      <w:tr>
        <w:trPr/>
        <w:tc>
          <w:tcPr>
            <w:tcW w:w="121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Net Income Reconciliation</w:t>
            </w:r>
          </w:p>
        </w:tc>
        <w:tc>
          <w:tcPr>
            <w:tcW w:w="353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Guidance for the Three Months Ended September 30, 2026 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Three Months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18"/>
              </w:rPr>
              <w:t>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166.5 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9"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acquisition-related contingent items</w:t>
            </w:r>
          </w:p>
        </w:tc>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9"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9"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9"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9"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9"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 pre-tax</w:t>
            </w:r>
          </w:p>
        </w:tc>
        <w:tc>
          <w:tcPr>
            <w:tcW w:w="17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5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Income tax effect of adjustments</w:t>
            </w:r>
            <w:r>
              <w:rPr>
                <w:color w:val="000000"/>
              </w:rPr>
              <w:t xml:space="preserve"> </w:t>
            </w:r>
            <w:r>
              <w:rPr>
                <w:rFonts w:ascii="Times New Roman;serif" w:hAnsi="Times New Roman;serif"/>
                <w:b w:val="false"/>
                <w:color w:val="000000"/>
                <w:sz w:val="12"/>
              </w:rPr>
              <w:t>(a)</w:t>
            </w:r>
          </w:p>
        </w:tc>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9"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7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200.9 </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attributable to MasTec, Inc.</w:t>
            </w:r>
          </w:p>
        </w:tc>
        <w:tc>
          <w:tcPr>
            <w:tcW w:w="17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195.1 </w:t>
            </w:r>
          </w:p>
        </w:tc>
        <w:tc>
          <w:tcPr>
            <w:tcW w:w="3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37"/>
        <w:gridCol w:w="1019"/>
        <w:gridCol w:w="1025"/>
        <w:gridCol w:w="600"/>
        <w:gridCol w:w="600"/>
        <w:gridCol w:w="600"/>
        <w:gridCol w:w="624"/>
        <w:gridCol w:w="600"/>
        <w:gridCol w:w="603"/>
        <w:gridCol w:w="109"/>
        <w:gridCol w:w="109"/>
        <w:gridCol w:w="109"/>
        <w:gridCol w:w="711"/>
        <w:gridCol w:w="1691"/>
        <w:gridCol w:w="568"/>
      </w:tblGrid>
      <w:tr>
        <w:trPr/>
        <w:tc>
          <w:tcPr>
            <w:tcW w:w="123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2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Adjusted Diluted Earnings per Share Reconciliation</w:t>
            </w:r>
          </w:p>
        </w:tc>
        <w:tc>
          <w:tcPr>
            <w:tcW w:w="3627"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Guidance for the Three Months Ended September 30, 2026 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Three Months Ended September 30, 2025</w:t>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1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acquisition-related contingent items</w:t>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r>
      <w:tr>
        <w:trPr/>
        <w:tc>
          <w:tcPr>
            <w:tcW w:w="3281"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r>
      <w:tr>
        <w:trPr/>
        <w:tc>
          <w:tcPr>
            <w:tcW w:w="3281"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r>
      <w:tr>
        <w:trPr/>
        <w:tc>
          <w:tcPr>
            <w:tcW w:w="3281"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 pre-tax</w:t>
            </w:r>
          </w:p>
        </w:tc>
        <w:tc>
          <w:tcPr>
            <w:tcW w:w="1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Income tax effect of adjustments</w:t>
            </w:r>
            <w:r>
              <w:rPr>
                <w:color w:val="000000"/>
              </w:rPr>
              <w:t xml:space="preserve"> </w:t>
            </w:r>
            <w:r>
              <w:rPr>
                <w:rFonts w:ascii="Times New Roman;serif" w:hAnsi="Times New Roman;serif"/>
                <w:b w:val="false"/>
                <w:color w:val="000000"/>
                <w:sz w:val="12"/>
              </w:rPr>
              <w:t>(a)</w:t>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1"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r>
      <w:tr>
        <w:trPr/>
        <w:tc>
          <w:tcPr>
            <w:tcW w:w="3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earnings per share</w:t>
            </w:r>
          </w:p>
        </w:tc>
        <w:tc>
          <w:tcPr>
            <w:tcW w:w="18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18"/>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5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hanging="360"/>
                        <w:jc w:val="left"/>
                        <w:rPr/>
                      </w:pPr>
                      <w:r>
                        <w:rPr/>
                      </w:r>
                    </w:p>
                  </w:txbxContent>
                </v:textbox>
                <w10:wrap type="none"/>
              </v:rect>
            </w:pict>
          </mc:Fallback>
        </mc:AlternateContent>
      </w:r>
    </w:p>
    <w:tbl>
      <w:tblPr>
        <w:tblW w:w="2048" w:type="dxa"/>
        <w:jc w:val="center"/>
        <w:tblInd w:w="0" w:type="dxa"/>
        <w:tblLayout w:type="fixed"/>
        <w:tblCellMar>
          <w:top w:w="28" w:type="dxa"/>
          <w:left w:w="28" w:type="dxa"/>
          <w:bottom w:w="28" w:type="dxa"/>
          <w:right w:w="28" w:type="dxa"/>
        </w:tblCellMar>
      </w:tblPr>
      <w:tblGrid>
        <w:gridCol w:w="124"/>
        <w:gridCol w:w="109"/>
        <w:gridCol w:w="109"/>
        <w:gridCol w:w="499"/>
        <w:gridCol w:w="499"/>
        <w:gridCol w:w="7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181AB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200025"/>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1000125" cy="200025"/>
                          </a:xfrm>
                          <a:prstGeom prst="rect">
                            <a:avLst/>
                          </a:prstGeom>
                        </pic:spPr>
                      </pic:pic>
                    </a:graphicData>
                  </a:graphic>
                </wp:inline>
              </w:drawing>
            </w:r>
          </w:p>
        </w:tc>
      </w:tr>
    </w:tbl>
    <w:p>
      <w:pPr>
        <w:pStyle w:val="TextBody"/>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The tables may contain slight summation differences due to rounding.</w:t>
      </w:r>
    </w:p>
    <w:p>
      <w:pPr>
        <w:pStyle w:val="TextBody"/>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MasTec uses EBITDA, Adjusted EBITDA, EBITDA Margin and Adjusted EBITDA Margin, as well as Adjusted Net Income, Adjusted Net Income attributable to MasTec, Inc., Adjusted Diluted Earnings Per Share, Net Debt and Free Cash Flow, to evaluate our performance, both internally and as compared with its peers, because these measures exclude certain items that may not be indicative of its core operating results, as well as items that can vary widely across different industries or among companies within the same industry. MasTec believes that these measures provide a baseline for analyzing trends in its underlying business. MasTec believes that these non-U.S. GAAP financial measures provide meaningful information and help investors understand its financial results and assess its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net income as a percentage of revenue or total debt or net cash provided by operating activities, and should be viewed in conjunction with the most comparable U.S. GAAP financial measures and the provided reconciliations thereto. MasTec believes these non-U.S. GAAP financial measures, when viewed together with its U.S. GAAP results and related reconciliations, provide a more complete understanding of its business. Investors are strongly encouraged to review MasTec's consolidated financial statements and publicly filed reports in their entirety and not rely on any single financial measure.</w:t>
      </w:r>
    </w:p>
    <w:p>
      <w:pPr>
        <w:pStyle w:val="TextBody"/>
        <w:bidi w:val="0"/>
        <w:spacing w:before="0" w:after="24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hanging="360"/>
                        <w:jc w:val="left"/>
                        <w:rPr/>
                      </w:pPr>
                      <w:r>
                        <w:rPr/>
                      </w:r>
                    </w:p>
                  </w:txbxContent>
                </v:textbox>
                <w10:wrap type="none"/>
              </v:rect>
            </w:pict>
          </mc:Fallback>
        </mc:AlternateContent>
      </w:r>
    </w:p>
    <w:tbl>
      <w:tblPr>
        <w:tblW w:w="2048" w:type="dxa"/>
        <w:jc w:val="center"/>
        <w:tblInd w:w="0" w:type="dxa"/>
        <w:tblLayout w:type="fixed"/>
        <w:tblCellMar>
          <w:top w:w="28" w:type="dxa"/>
          <w:left w:w="28" w:type="dxa"/>
          <w:bottom w:w="28" w:type="dxa"/>
          <w:right w:w="28" w:type="dxa"/>
        </w:tblCellMar>
      </w:tblPr>
      <w:tblGrid>
        <w:gridCol w:w="124"/>
        <w:gridCol w:w="109"/>
        <w:gridCol w:w="109"/>
        <w:gridCol w:w="499"/>
        <w:gridCol w:w="499"/>
        <w:gridCol w:w="7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2" w:space="0" w:color="181AB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000125" cy="200025"/>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1000125" cy="200025"/>
                          </a:xfrm>
                          <a:prstGeom prst="rect">
                            <a:avLst/>
                          </a:prstGeom>
                        </pic:spPr>
                      </pic:pic>
                    </a:graphicData>
                  </a:graphic>
                </wp:inline>
              </w:drawing>
            </w:r>
          </w:p>
        </w:tc>
      </w:tr>
    </w:tbl>
    <w:p>
      <w:pPr>
        <w:pStyle w:val="TextBody"/>
        <w:bidi w:val="0"/>
        <w:spacing w:lineRule="auto" w:line="288" w:before="0" w:after="240"/>
        <w:jc w:val="both"/>
        <w:rPr>
          <w:rFonts w:ascii="Times New Roman;serif" w:hAnsi="Times New Roman;serif"/>
          <w:b w:val="false"/>
          <w:i/>
          <w:color w:val="000000"/>
          <w:sz w:val="18"/>
        </w:rPr>
      </w:pPr>
      <w:r>
        <w:rPr>
          <w:rFonts w:ascii="Times New Roman;serif" w:hAnsi="Times New Roman;serif"/>
          <w:b w:val="false"/>
          <w:i/>
          <w:color w:val="000000"/>
          <w:sz w:val="18"/>
        </w:rPr>
        <w:t>This press release contains forward-looking statements within the meaning of the Private Securities Litigation Reform Act. Forward-looking statements include, but are not limited to, statements relating to expectations regarding the future financial and operational performance of MasTec or Superior; expectations regarding the projected impact and benefits of Superior on MasTec's operating or financial results; expectations regarding MasTec's or Superior's business or financial outlook; expectations regarding MasTec's plans, strategies and opportunities; expectations regarding opportunities, technological developments, competitive positioning, future economic conditions and other trends in particular markets or industries; the potential strategic benefits and synergies from the acquisition of Superior; MasTec's ability to successfully integrate the operations of Superior; the impact of inflation on MasTec's costs and the ability to recover increased costs, as well as other statements reflecting expectations, intentions, assumptions or beliefs about future events and other statements that do not relate strictly to historical or current facts. These statements are based on currently available operating, financial, economic and other information, and are subject to a number of significant risks and uncertainties. A variety of factors in addition to those mentioned above, many of which are beyond our control, could cause actual future results to differ materially from those projected in the forward-looking statements. Other factors that might cause such a difference include, but are not limited to: our ability to manage projects effectively and in accordance with our estimates, as well as our ability to accurately estimate the costs associated with our fixed price and other contracts, including any material changes in estimates for completion of projects and estimates of the recoverability of change orders; market conditions, including rising or elevated levels of inflation or interest rates, regulatory or policy changes, including permitting processes, tax incentives and government funding programs that affect us or our customers' industries, access to capital, material and labor costs, supply chain issues and technological developments, all of which may affect demand for our services; changes to governmental programs and spending policies, changes to the amounts provided for under the Infrastructure Investment and Jobs Act and/or Inflation Reduction Act, including the potential for reduced support for renewable energy projects, such as a result of the One Big Beautiful Bill Act, or changes in U.S or foreign tax laws, statutes, rules, regulations or ordinances; tariff and trade actions, including retaliatory trade actions, by the United States (U.S.) and/or other countries on U.S. exports or bans by foreign countries on certain of their exports; project delays due to permitting processes, compliance with environmental and other regulatory requirements and challenges to the granting of project permits, which could cause increased costs and delayed or reduced revenue; the effect on demand for our services of changes in the amount of capital expenditures by our customers due to, among other things, economic conditions, including potential economic downturns, inflationary issues, tariff effects, the availability and cost of financing, supply chain disruptions, climate-related matters, customer consolidation in the industries we serve and/or the effects of public health matters; activity in the industries we serve and the impact on the expenditure levels of our customers of, among other items, fluctuations in commodity prices, including for fuel and energy sources, fluctuations in the cost of materials, labor, supplies or equipment, and/or supply-related issues that affect availability or cause delays for such items; the outcome of our plans for future operations, growth and services, including business development efforts, backlog, acquisitions and dispositions; risks related to completed or potential acquisitions, including our ability to integrate acquired businesses within expected timeframes, including their business operations, internal controls and/or systems, which may be found to have material weaknesses, and our ability to achieve the revenue, cost savings and earnings levels from such acquisitions at or above the levels projected, as well as the risk of potential asset impairment charges and write-downs of goodwill; our ability to attract and retain qualified personnel, key management and skilled employees, including from acquired businesses, our ability to enforce any noncompetition agreements, and our ability to maintain a workforce based upon current and anticipated workloads; any material changes in estimates for legal costs or case settlements or adverse determinations on any claim, lawsuit or proceeding; the adequacy of our insurance, legal and other reserves; adverse climate and weather events, such as the risk of wildfires, that increase operational and legal risks in certain locations where we perform services, could increase the potential liability and related costs associated with such operations; the highly competitive nature of our industry and the ability of our customers, including our largest customers, to terminate or reduce the amount of work, or in some cases, the prices paid for services, on short or no notice under our contracts, and/or customer disputes related to our performance of services and the resolution of unapproved change orders; the effect of regulatory initiatives, including risks related to and the costs of compliance with existing and potential future sustainability requirements, including with respect to climate-related matters; the timing and extent of fluctuations in operational, geographic and weather factors, including from climate-related events, that affect our customers, projects and the industries in which we operate; requirements of and restrictions imposed by our credit facility, term loans, senior notes and any future loans or securities; systems and information technology interruptions and/or data security breaches that could adversely affect our ability to operate, our operating results, our data security or our reputation, or other cybersecurity-related matters; our dependence on a limited number of customers and our ability to replace non-recurring projects with new projects; risks associated with potential environmental issues and other hazards from our operations; disputes with, or failures of, our subcontractors to deliver agreed-upon supplies or services in a timely fashion, and the risk of being required to pay our subcontractors even if our customers do not pay us; risks related to our strategic arrangements, including our equity investments; risks associated with volatility of our stock price or any dilution or stock price volatility that shareholders may experience, including as a result of shares we may issue as purchase consideration in connection with acquisitions, or as a result of other stock issuances; our ability to obtain performance and surety bonds; risks associated with operating in or expanding into additional international markets, including risks from increased tariffs, fluctuations in foreign currencies, foreign labor and general business conditions and risks from failure to comply with laws applicable to our foreign activities and/or governmental policy uncertainty; risks related to our operations that employ a unionized workforce, including labor availability, productivity and relations, as well as risks associated with multiemployer union pension plans, including underfunding and withdrawal liabilities; risks associated with our internal controls over financial reporting; risks related to a small number of our existing shareholders having the ability to influence major corporate decisions, as well as other risks detailed in our filings with the Securities and Exchange Commission. 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our actual results may differ significantly from the results that we express in, or imply by, any of our forward-looking statements. These and other risks are detailed in our filings with the Securities and Exchange Commission. We do not undertake any obligation to publicly update or revise these forward-looking statements after the date of this press release to reflect future events or circumstances, except as required by applicable law. We qualify any and all of our forward-looking statements by these cautionary factors.</w:t>
      </w:r>
    </w:p>
    <w:p>
      <w:pPr>
        <w:pStyle w:val="TextBody"/>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hanging="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hanging="3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5573</Words>
  <Characters>30489</Characters>
  <CharactersWithSpaces>35175</CharactersWithSpaces>
  <Paragraphs>1566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