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715639.xml.htm"/>
      <w:bookmarkStart w:id="1" w:name="kswkform3_178371563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Miranda Manuel Benito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LOUISIANA 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MASTEC INC</w:t>
              </w:r>
            </w:hyperlink>
            <w:r>
              <w:rPr/>
              <w:t xml:space="preserve"> [ </w:t>
            </w:r>
            <w:r>
              <w:rPr>
                <w:rFonts w:ascii="Times;serif" w:hAnsi="Times;serif"/>
                <w:color w:val="0000FF"/>
                <w:sz w:val="24"/>
                <w:shd w:fill="FFFFFF" w:val="clear"/>
              </w:rPr>
              <w:t>MTZ</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Alberto de Cardenas For: Manuel Benito Miranda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manuelmiranda.htm"/>
      <w:bookmarkStart w:id="3" w:name="kspoamanuelmirand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LIMITED POWER OF ATTORNEY FOR SECTION 16 REPORTING OBLIGATIONS Know all by these presents, that the undersigned hereby makes, constitutes and appoints Alberto de Cardenas as the undersigned's true and lawful attorney-in-fact, with full power and authority as hereinafter described on behalf of and in the name, place and stead of the undersigned to: 1) prepare, execute, acknowledge, deliver and file Forms 3, 4, and 5 (including any amendments thereto) with respect to the securities of MasTec, Inc., a Florida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 (2)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(3) submit a Form ID, and any amendments thereto, to the SEC to apply for filing codes that will allow insider reports to be filed electronically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#540769842_v1 through the EDGAR system, if such codes have not been obtained previously; and (4) perform any and all other acts which in the discretion of such attorney-in-fact are necessary or desirable for and on behalf of the undersigned in connection with the foregoing. The undersigned acknowledges that: (1) this Power of Attorney authorizes, but does not require, each such attorney-in-fact to act in their discretion on information provided to such attorney-in-fact without independent verification of such information; (2) any documents prepared and/or executed by either such attorney-in- fact on behalf of the undersigned pursuant to this Power of Attorney will be in such form and will contain such information and disclosure as such attorney-in-fact, in his or her discretion, deems necessary or desirable; (3) neither the Company nor such attorney-in-fact assumes (i)any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 4) this Power of Attorney does not relieve the undersigned from responsibility for compliance with the undersigned's obligations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#540769842_v1 Exchange Act, including without limitation the reporting requirements under Section 16 of the Exchange Act. 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 in-fact of, for and on behalf of the undersigned, shall lawfully do or cause to be done by virtue of this Limited Power of Attorney. This Power of Attorney shall remain in full force and effect until revoked by the undersigned in a signed writing delivered to each such attorney-in-fact. IN WITNESS WHEREOF, the undersigned has caused this Power of Attorney to be executed as of this 1st day of July, 2026. /s/ Manuel Benito Miranda Manuel Benito Miranda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5237" TargetMode="External"/><Relationship Id="rId3" Type="http://schemas.openxmlformats.org/officeDocument/2006/relationships/hyperlink" Target="http://www.sec.gov/cgi-bin/browse-edgar?action=getcompany&amp;CIK=00000156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969</Words>
  <Characters>5321</Characters>
  <CharactersWithSpaces>6256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poamanuelmiranda</dc:title>
</cp:coreProperties>
</file>