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16"/>
          <w:szCs w:val="16"/>
          <w:color w:val="auto"/>
        </w:rPr>
        <w:t>_____________________________________________</w:t>
      </w:r>
    </w:p>
    <w:p>
      <w:pPr>
        <w:spacing w:after="0" w:line="8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61"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16"/>
          <w:szCs w:val="16"/>
          <w:color w:val="auto"/>
        </w:rPr>
        <w:t>_____________________________________________</w:t>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(Mark One)</w:t>
      </w:r>
    </w:p>
    <w:p>
      <w:pPr>
        <w:ind w:right="20" w:firstLine="8"/>
        <w:spacing w:after="0" w:line="270" w:lineRule="auto"/>
        <w:tabs>
          <w:tab w:leader="none" w:pos="373"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24"/>
          <w:szCs w:val="24"/>
          <w:b w:val="1"/>
          <w:bCs w:val="1"/>
          <w:color w:val="auto"/>
        </w:rPr>
        <w:t>QUARTERLY REPORT PURSUANT TO SECTION 13 OR 15(d) OF THE SECURITIES EXCHANGE ACT OF 1934</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For the quarterly period ended September 30, 2026</w:t>
      </w:r>
    </w:p>
    <w:p>
      <w:pPr>
        <w:spacing w:after="0" w:line="7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OR</w:t>
      </w:r>
    </w:p>
    <w:p>
      <w:pPr>
        <w:spacing w:after="0" w:line="70" w:lineRule="exact"/>
        <w:rPr>
          <w:sz w:val="24"/>
          <w:szCs w:val="24"/>
          <w:color w:val="auto"/>
        </w:rPr>
      </w:pPr>
    </w:p>
    <w:p>
      <w:pPr>
        <w:ind w:firstLine="8"/>
        <w:spacing w:after="0" w:line="287" w:lineRule="auto"/>
        <w:tabs>
          <w:tab w:leader="none" w:pos="351"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24"/>
          <w:szCs w:val="24"/>
          <w:b w:val="1"/>
          <w:bCs w:val="1"/>
          <w:color w:val="auto"/>
        </w:rPr>
        <w:t>TRANSITION REPORT PURSUANT TO SECTION 13 OR 15(d) OF THE SECURITIES EXCHANGE ACT OF 1934</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For the transition period from __ to __</w:t>
      </w:r>
    </w:p>
    <w:p>
      <w:pPr>
        <w:spacing w:after="0" w:line="7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Commission File Number 001-08106</w:t>
      </w:r>
    </w:p>
    <w:p>
      <w:pPr>
        <w:spacing w:after="0" w:line="62"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16"/>
          <w:szCs w:val="16"/>
          <w:color w:val="auto"/>
        </w:rPr>
        <w:t>_____________________________________________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3082290</wp:posOffset>
            </wp:positionH>
            <wp:positionV relativeFrom="paragraph">
              <wp:posOffset>63500</wp:posOffset>
            </wp:positionV>
            <wp:extent cx="986155" cy="2311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86155" cy="23114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MasTec, Inc.</w:t>
      </w:r>
    </w:p>
    <w:p>
      <w:pPr>
        <w:spacing w:after="0" w:line="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i w:val="1"/>
          <w:iCs w:val="1"/>
          <w:color w:val="auto"/>
        </w:rPr>
        <w:t>(Exact name of registrant as specified in its charter)</w:t>
      </w:r>
    </w:p>
    <w:p>
      <w:pPr>
        <w:spacing w:after="0" w:line="120" w:lineRule="exact"/>
        <w:rPr>
          <w:sz w:val="24"/>
          <w:szCs w:val="24"/>
          <w:color w:val="auto"/>
        </w:rPr>
      </w:pPr>
    </w:p>
    <w:tbl>
      <w:tblPr>
        <w:tblLayout w:type="fixed"/>
        <w:tblInd w:w="1140" w:type="dxa"/>
        <w:tblCellMar>
          <w:top w:w="0" w:type="dxa"/>
          <w:left w:w="0" w:type="dxa"/>
          <w:bottom w:w="0" w:type="dxa"/>
          <w:right w:w="0" w:type="dxa"/>
        </w:tblCellMar>
      </w:tblPr>
      <w:tr>
        <w:trPr>
          <w:trHeight w:val="212"/>
        </w:trPr>
        <w:tc>
          <w:tcPr>
            <w:tcW w:w="6180" w:type="dxa"/>
            <w:vAlign w:val="bottom"/>
          </w:tcPr>
          <w:p>
            <w:pPr>
              <w:jc w:val="center"/>
              <w:ind w:right="2744"/>
              <w:spacing w:after="0"/>
              <w:rPr>
                <w:sz w:val="20"/>
                <w:szCs w:val="20"/>
                <w:color w:val="auto"/>
              </w:rPr>
            </w:pPr>
            <w:r>
              <w:rPr>
                <w:rFonts w:ascii="Times New Roman" w:cs="Times New Roman" w:eastAsia="Times New Roman" w:hAnsi="Times New Roman"/>
                <w:sz w:val="16"/>
                <w:szCs w:val="16"/>
                <w:b w:val="1"/>
                <w:bCs w:val="1"/>
                <w:color w:val="auto"/>
              </w:rPr>
              <w:t>Florida</w:t>
            </w:r>
          </w:p>
        </w:tc>
        <w:tc>
          <w:tcPr>
            <w:tcW w:w="2120" w:type="dxa"/>
            <w:vAlign w:val="bottom"/>
          </w:tcPr>
          <w:p>
            <w:pPr>
              <w:jc w:val="right"/>
              <w:ind w:right="546"/>
              <w:spacing w:after="0"/>
              <w:rPr>
                <w:sz w:val="20"/>
                <w:szCs w:val="20"/>
                <w:color w:val="auto"/>
              </w:rPr>
            </w:pPr>
            <w:r>
              <w:rPr>
                <w:rFonts w:ascii="Times New Roman" w:cs="Times New Roman" w:eastAsia="Times New Roman" w:hAnsi="Times New Roman"/>
                <w:sz w:val="16"/>
                <w:szCs w:val="16"/>
                <w:b w:val="1"/>
                <w:bCs w:val="1"/>
                <w:color w:val="auto"/>
              </w:rPr>
              <w:t>65-0829355</w:t>
            </w:r>
          </w:p>
        </w:tc>
      </w:tr>
      <w:tr>
        <w:trPr>
          <w:trHeight w:val="181"/>
        </w:trPr>
        <w:tc>
          <w:tcPr>
            <w:tcW w:w="6180" w:type="dxa"/>
            <w:vAlign w:val="bottom"/>
          </w:tcPr>
          <w:p>
            <w:pPr>
              <w:jc w:val="center"/>
              <w:ind w:right="2744"/>
              <w:spacing w:after="0"/>
              <w:rPr>
                <w:sz w:val="20"/>
                <w:szCs w:val="20"/>
                <w:color w:val="auto"/>
              </w:rPr>
            </w:pPr>
            <w:r>
              <w:rPr>
                <w:rFonts w:ascii="Times New Roman" w:cs="Times New Roman" w:eastAsia="Times New Roman" w:hAnsi="Times New Roman"/>
                <w:sz w:val="13"/>
                <w:szCs w:val="13"/>
                <w:b w:val="1"/>
                <w:bCs w:val="1"/>
                <w:i w:val="1"/>
                <w:iCs w:val="1"/>
                <w:color w:val="auto"/>
              </w:rPr>
              <w:t>(State or other jurisdiction of incorporation or organization)</w:t>
            </w:r>
          </w:p>
        </w:tc>
        <w:tc>
          <w:tcPr>
            <w:tcW w:w="2120" w:type="dxa"/>
            <w:vAlign w:val="bottom"/>
          </w:tcPr>
          <w:p>
            <w:pPr>
              <w:jc w:val="center"/>
              <w:ind w:left="26"/>
              <w:spacing w:after="0"/>
              <w:rPr>
                <w:sz w:val="20"/>
                <w:szCs w:val="20"/>
                <w:color w:val="auto"/>
              </w:rPr>
            </w:pPr>
            <w:r>
              <w:rPr>
                <w:rFonts w:ascii="Times New Roman" w:cs="Times New Roman" w:eastAsia="Times New Roman" w:hAnsi="Times New Roman"/>
                <w:sz w:val="13"/>
                <w:szCs w:val="13"/>
                <w:b w:val="1"/>
                <w:bCs w:val="1"/>
                <w:i w:val="1"/>
                <w:iCs w:val="1"/>
                <w:color w:val="auto"/>
              </w:rPr>
              <w:t>(I.R.S. Employer Identification No.)</w:t>
            </w:r>
          </w:p>
        </w:tc>
      </w:tr>
      <w:tr>
        <w:trPr>
          <w:trHeight w:val="332"/>
        </w:trPr>
        <w:tc>
          <w:tcPr>
            <w:tcW w:w="6180" w:type="dxa"/>
            <w:vAlign w:val="bottom"/>
          </w:tcPr>
          <w:p>
            <w:pPr>
              <w:jc w:val="center"/>
              <w:ind w:right="2764"/>
              <w:spacing w:after="0"/>
              <w:rPr>
                <w:sz w:val="20"/>
                <w:szCs w:val="20"/>
                <w:color w:val="auto"/>
              </w:rPr>
            </w:pPr>
            <w:r>
              <w:rPr>
                <w:rFonts w:ascii="Times New Roman" w:cs="Times New Roman" w:eastAsia="Times New Roman" w:hAnsi="Times New Roman"/>
                <w:sz w:val="16"/>
                <w:szCs w:val="16"/>
                <w:b w:val="1"/>
                <w:bCs w:val="1"/>
                <w:color w:val="auto"/>
              </w:rPr>
              <w:t>800 S. Douglas Road, 12th Floor</w:t>
            </w:r>
          </w:p>
        </w:tc>
        <w:tc>
          <w:tcPr>
            <w:tcW w:w="2120" w:type="dxa"/>
            <w:vAlign w:val="bottom"/>
          </w:tcPr>
          <w:p>
            <w:pPr>
              <w:spacing w:after="0"/>
              <w:rPr>
                <w:sz w:val="24"/>
                <w:szCs w:val="24"/>
                <w:color w:val="auto"/>
              </w:rPr>
            </w:pPr>
          </w:p>
        </w:tc>
      </w:tr>
      <w:tr>
        <w:trPr>
          <w:trHeight w:val="216"/>
        </w:trPr>
        <w:tc>
          <w:tcPr>
            <w:tcW w:w="6180" w:type="dxa"/>
            <w:vAlign w:val="bottom"/>
          </w:tcPr>
          <w:p>
            <w:pPr>
              <w:ind w:left="760"/>
              <w:spacing w:after="0"/>
              <w:rPr>
                <w:sz w:val="20"/>
                <w:szCs w:val="20"/>
                <w:color w:val="auto"/>
              </w:rPr>
            </w:pPr>
            <w:r>
              <w:rPr>
                <w:rFonts w:ascii="Times New Roman" w:cs="Times New Roman" w:eastAsia="Times New Roman" w:hAnsi="Times New Roman"/>
                <w:sz w:val="16"/>
                <w:szCs w:val="16"/>
                <w:b w:val="1"/>
                <w:bCs w:val="1"/>
                <w:color w:val="auto"/>
              </w:rPr>
              <w:t>Coral Gables, Florida</w:t>
            </w:r>
          </w:p>
        </w:tc>
        <w:tc>
          <w:tcPr>
            <w:tcW w:w="2120" w:type="dxa"/>
            <w:vAlign w:val="bottom"/>
          </w:tcPr>
          <w:p>
            <w:pPr>
              <w:jc w:val="right"/>
              <w:ind w:right="726"/>
              <w:spacing w:after="0"/>
              <w:rPr>
                <w:sz w:val="20"/>
                <w:szCs w:val="20"/>
                <w:color w:val="auto"/>
              </w:rPr>
            </w:pPr>
            <w:r>
              <w:rPr>
                <w:rFonts w:ascii="Times New Roman" w:cs="Times New Roman" w:eastAsia="Times New Roman" w:hAnsi="Times New Roman"/>
                <w:sz w:val="16"/>
                <w:szCs w:val="16"/>
                <w:b w:val="1"/>
                <w:bCs w:val="1"/>
                <w:color w:val="auto"/>
              </w:rPr>
              <w:t>33134</w:t>
            </w:r>
          </w:p>
        </w:tc>
      </w:tr>
      <w:tr>
        <w:trPr>
          <w:trHeight w:val="181"/>
        </w:trPr>
        <w:tc>
          <w:tcPr>
            <w:tcW w:w="6180" w:type="dxa"/>
            <w:vAlign w:val="bottom"/>
          </w:tcPr>
          <w:p>
            <w:pPr>
              <w:jc w:val="center"/>
              <w:ind w:right="2744"/>
              <w:spacing w:after="0"/>
              <w:rPr>
                <w:sz w:val="20"/>
                <w:szCs w:val="20"/>
                <w:color w:val="auto"/>
              </w:rPr>
            </w:pPr>
            <w:r>
              <w:rPr>
                <w:rFonts w:ascii="Times New Roman" w:cs="Times New Roman" w:eastAsia="Times New Roman" w:hAnsi="Times New Roman"/>
                <w:sz w:val="13"/>
                <w:szCs w:val="13"/>
                <w:b w:val="1"/>
                <w:bCs w:val="1"/>
                <w:i w:val="1"/>
                <w:iCs w:val="1"/>
                <w:color w:val="auto"/>
              </w:rPr>
              <w:t>(Address of principal executive offices)</w:t>
            </w:r>
          </w:p>
        </w:tc>
        <w:tc>
          <w:tcPr>
            <w:tcW w:w="2120" w:type="dxa"/>
            <w:vAlign w:val="bottom"/>
          </w:tcPr>
          <w:p>
            <w:pPr>
              <w:jc w:val="center"/>
              <w:ind w:left="46"/>
              <w:spacing w:after="0"/>
              <w:rPr>
                <w:sz w:val="20"/>
                <w:szCs w:val="20"/>
                <w:color w:val="auto"/>
              </w:rPr>
            </w:pPr>
            <w:r>
              <w:rPr>
                <w:rFonts w:ascii="Times New Roman" w:cs="Times New Roman" w:eastAsia="Times New Roman" w:hAnsi="Times New Roman"/>
                <w:sz w:val="13"/>
                <w:szCs w:val="13"/>
                <w:b w:val="1"/>
                <w:bCs w:val="1"/>
                <w:i w:val="1"/>
                <w:iCs w:val="1"/>
                <w:color w:val="auto"/>
              </w:rPr>
              <w:t>(Zip Code)</w:t>
            </w:r>
          </w:p>
        </w:tc>
      </w:tr>
      <w:tr>
        <w:trPr>
          <w:trHeight w:val="271"/>
        </w:trPr>
        <w:tc>
          <w:tcPr>
            <w:tcW w:w="6180" w:type="dxa"/>
            <w:vAlign w:val="bottom"/>
          </w:tcPr>
          <w:p>
            <w:pPr>
              <w:jc w:val="right"/>
              <w:ind w:right="1104"/>
              <w:spacing w:after="0"/>
              <w:rPr>
                <w:sz w:val="20"/>
                <w:szCs w:val="20"/>
                <w:color w:val="auto"/>
              </w:rPr>
            </w:pPr>
            <w:r>
              <w:rPr>
                <w:rFonts w:ascii="Times New Roman" w:cs="Times New Roman" w:eastAsia="Times New Roman" w:hAnsi="Times New Roman"/>
                <w:sz w:val="16"/>
                <w:szCs w:val="16"/>
                <w:b w:val="1"/>
                <w:bCs w:val="1"/>
                <w:color w:val="auto"/>
              </w:rPr>
              <w:t>(305) 599-1800</w:t>
            </w:r>
          </w:p>
        </w:tc>
        <w:tc>
          <w:tcPr>
            <w:tcW w:w="2120" w:type="dxa"/>
            <w:vAlign w:val="bottom"/>
          </w:tcPr>
          <w:p>
            <w:pPr>
              <w:spacing w:after="0"/>
              <w:rPr>
                <w:sz w:val="23"/>
                <w:szCs w:val="23"/>
                <w:color w:val="auto"/>
              </w:rPr>
            </w:pPr>
          </w:p>
        </w:tc>
      </w:tr>
      <w:tr>
        <w:trPr>
          <w:trHeight w:val="192"/>
        </w:trPr>
        <w:tc>
          <w:tcPr>
            <w:tcW w:w="6180" w:type="dxa"/>
            <w:vAlign w:val="bottom"/>
          </w:tcPr>
          <w:p>
            <w:pPr>
              <w:jc w:val="center"/>
              <w:ind w:left="2704"/>
              <w:spacing w:after="0"/>
              <w:rPr>
                <w:sz w:val="20"/>
                <w:szCs w:val="20"/>
                <w:color w:val="auto"/>
              </w:rPr>
            </w:pPr>
            <w:r>
              <w:rPr>
                <w:rFonts w:ascii="Times New Roman" w:cs="Times New Roman" w:eastAsia="Times New Roman" w:hAnsi="Times New Roman"/>
                <w:sz w:val="14"/>
                <w:szCs w:val="14"/>
                <w:b w:val="1"/>
                <w:bCs w:val="1"/>
                <w:i w:val="1"/>
                <w:iCs w:val="1"/>
                <w:color w:val="auto"/>
              </w:rPr>
              <w:t>(Registrant’s telephone number, including area code)</w:t>
            </w:r>
          </w:p>
        </w:tc>
        <w:tc>
          <w:tcPr>
            <w:tcW w:w="2120" w:type="dxa"/>
            <w:vAlign w:val="bottom"/>
          </w:tcPr>
          <w:p>
            <w:pPr>
              <w:spacing w:after="0"/>
              <w:rPr>
                <w:sz w:val="16"/>
                <w:szCs w:val="16"/>
                <w:color w:val="auto"/>
              </w:rPr>
            </w:pPr>
          </w:p>
        </w:tc>
      </w:tr>
    </w:tbl>
    <w:p>
      <w:pPr>
        <w:spacing w:after="0" w:line="7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p>
      <w:pPr>
        <w:spacing w:after="0" w:line="139" w:lineRule="exact"/>
        <w:rPr>
          <w:sz w:val="24"/>
          <w:szCs w:val="24"/>
          <w:color w:val="auto"/>
        </w:rPr>
      </w:pPr>
    </w:p>
    <w:tbl>
      <w:tblPr>
        <w:tblLayout w:type="fixed"/>
        <w:tblInd w:w="1420" w:type="dxa"/>
        <w:tblCellMar>
          <w:top w:w="0" w:type="dxa"/>
          <w:left w:w="0" w:type="dxa"/>
          <w:bottom w:w="0" w:type="dxa"/>
          <w:right w:w="0" w:type="dxa"/>
        </w:tblCellMar>
      </w:tblPr>
      <w:tr>
        <w:trPr>
          <w:trHeight w:val="152"/>
        </w:trPr>
        <w:tc>
          <w:tcPr>
            <w:tcW w:w="620" w:type="dxa"/>
            <w:vAlign w:val="bottom"/>
          </w:tcPr>
          <w:p>
            <w:pPr>
              <w:spacing w:after="0"/>
              <w:rPr>
                <w:sz w:val="13"/>
                <w:szCs w:val="13"/>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Title of each class</w:t>
            </w:r>
          </w:p>
        </w:tc>
        <w:tc>
          <w:tcPr>
            <w:tcW w:w="2020" w:type="dxa"/>
            <w:vAlign w:val="bottom"/>
          </w:tcPr>
          <w:p>
            <w:pPr>
              <w:spacing w:after="0"/>
              <w:rPr>
                <w:sz w:val="13"/>
                <w:szCs w:val="13"/>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Trading symbol(s)</w:t>
            </w:r>
          </w:p>
        </w:tc>
        <w:tc>
          <w:tcPr>
            <w:tcW w:w="1300" w:type="dxa"/>
            <w:vAlign w:val="bottom"/>
          </w:tcPr>
          <w:p>
            <w:pPr>
              <w:spacing w:after="0"/>
              <w:rPr>
                <w:sz w:val="13"/>
                <w:szCs w:val="13"/>
                <w:color w:val="auto"/>
              </w:rPr>
            </w:pPr>
          </w:p>
        </w:tc>
        <w:tc>
          <w:tcPr>
            <w:tcW w:w="2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Name of each exchange on which registered</w:t>
            </w:r>
          </w:p>
        </w:tc>
      </w:tr>
      <w:tr>
        <w:trPr>
          <w:trHeight w:val="230"/>
        </w:trPr>
        <w:tc>
          <w:tcPr>
            <w:tcW w:w="3660" w:type="dxa"/>
            <w:vAlign w:val="bottom"/>
            <w:gridSpan w:val="3"/>
          </w:tcPr>
          <w:p>
            <w:pPr>
              <w:jc w:val="center"/>
              <w:ind w:right="1420"/>
              <w:spacing w:after="0"/>
              <w:rPr>
                <w:sz w:val="20"/>
                <w:szCs w:val="20"/>
                <w:color w:val="auto"/>
              </w:rPr>
            </w:pPr>
            <w:r>
              <w:rPr>
                <w:rFonts w:ascii="Times New Roman" w:cs="Times New Roman" w:eastAsia="Times New Roman" w:hAnsi="Times New Roman"/>
                <w:sz w:val="16"/>
                <w:szCs w:val="16"/>
                <w:b w:val="1"/>
                <w:bCs w:val="1"/>
                <w:color w:val="auto"/>
              </w:rPr>
              <w:t>Common Stock, $0.10 Par Value</w:t>
            </w: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MTZ</w:t>
            </w:r>
          </w:p>
        </w:tc>
        <w:tc>
          <w:tcPr>
            <w:tcW w:w="1300" w:type="dxa"/>
            <w:vAlign w:val="bottom"/>
          </w:tcPr>
          <w:p>
            <w:pPr>
              <w:spacing w:after="0"/>
              <w:rPr>
                <w:sz w:val="20"/>
                <w:szCs w:val="20"/>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New York Stock Exchange</w:t>
            </w:r>
          </w:p>
        </w:tc>
      </w:tr>
    </w:tbl>
    <w:p>
      <w:pPr>
        <w:spacing w:after="0" w:line="249" w:lineRule="exact"/>
        <w:rPr>
          <w:sz w:val="24"/>
          <w:szCs w:val="24"/>
          <w:color w:val="auto"/>
        </w:rPr>
      </w:pPr>
    </w:p>
    <w:p>
      <w:pPr>
        <w:jc w:val="both"/>
        <w:ind w:firstLine="224"/>
        <w:spacing w:after="0" w:line="20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63" w:lineRule="exact"/>
        <w:rPr>
          <w:sz w:val="24"/>
          <w:szCs w:val="24"/>
          <w:color w:val="auto"/>
        </w:rPr>
      </w:pPr>
    </w:p>
    <w:p>
      <w:pPr>
        <w:jc w:val="both"/>
        <w:ind w:firstLine="171"/>
        <w:spacing w:after="0" w:line="21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75" w:lineRule="exact"/>
        <w:rPr>
          <w:sz w:val="24"/>
          <w:szCs w:val="24"/>
          <w:color w:val="auto"/>
        </w:rPr>
      </w:pPr>
    </w:p>
    <w:p>
      <w:pPr>
        <w:jc w:val="both"/>
        <w:ind w:firstLine="173"/>
        <w:spacing w:after="0" w:line="272"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2" w:lineRule="exact"/>
        <w:rPr>
          <w:sz w:val="24"/>
          <w:szCs w:val="24"/>
          <w:color w:val="auto"/>
        </w:rPr>
      </w:pPr>
    </w:p>
    <w:tbl>
      <w:tblPr>
        <w:tblLayout w:type="fixed"/>
        <w:tblInd w:w="840" w:type="dxa"/>
        <w:tblCellMar>
          <w:top w:w="0" w:type="dxa"/>
          <w:left w:w="0" w:type="dxa"/>
          <w:bottom w:w="0" w:type="dxa"/>
          <w:right w:w="0" w:type="dxa"/>
        </w:tblCellMar>
      </w:tblPr>
      <w:tr>
        <w:trPr>
          <w:trHeight w:val="270"/>
        </w:trPr>
        <w:tc>
          <w:tcPr>
            <w:tcW w:w="232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2440" w:type="dxa"/>
            <w:vAlign w:val="bottom"/>
          </w:tcPr>
          <w:p>
            <w:pPr>
              <w:ind w:left="860"/>
              <w:spacing w:after="0" w:line="161" w:lineRule="exact"/>
              <w:rPr>
                <w:sz w:val="20"/>
                <w:szCs w:val="20"/>
                <w:color w:val="auto"/>
              </w:rPr>
            </w:pPr>
            <w:r>
              <w:rPr>
                <w:rFonts w:ascii="MS PGothic" w:cs="MS PGothic" w:eastAsia="MS PGothic" w:hAnsi="MS PGothic"/>
                <w:sz w:val="16"/>
                <w:szCs w:val="16"/>
                <w:color w:val="auto"/>
              </w:rPr>
              <w:t>☑</w:t>
            </w:r>
          </w:p>
        </w:tc>
        <w:tc>
          <w:tcPr>
            <w:tcW w:w="3880" w:type="dxa"/>
            <w:vAlign w:val="bottom"/>
          </w:tcPr>
          <w:p>
            <w:pPr>
              <w:ind w:left="1420"/>
              <w:spacing w:after="0"/>
              <w:rPr>
                <w:sz w:val="20"/>
                <w:szCs w:val="20"/>
                <w:color w:val="auto"/>
              </w:rPr>
            </w:pPr>
            <w:r>
              <w:rPr>
                <w:rFonts w:ascii="Times New Roman" w:cs="Times New Roman" w:eastAsia="Times New Roman" w:hAnsi="Times New Roman"/>
                <w:sz w:val="16"/>
                <w:szCs w:val="16"/>
                <w:color w:val="auto"/>
              </w:rPr>
              <w:t>Accelerated filer</w:t>
            </w:r>
          </w:p>
        </w:tc>
        <w:tc>
          <w:tcPr>
            <w:tcW w:w="840" w:type="dxa"/>
            <w:vAlign w:val="bottom"/>
          </w:tcPr>
          <w:p>
            <w:pPr>
              <w:ind w:left="68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70"/>
        </w:trPr>
        <w:tc>
          <w:tcPr>
            <w:tcW w:w="232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2440" w:type="dxa"/>
            <w:vAlign w:val="bottom"/>
          </w:tcPr>
          <w:p>
            <w:pPr>
              <w:ind w:left="860"/>
              <w:spacing w:after="0" w:line="161" w:lineRule="exact"/>
              <w:rPr>
                <w:sz w:val="20"/>
                <w:szCs w:val="20"/>
                <w:color w:val="auto"/>
              </w:rPr>
            </w:pPr>
            <w:r>
              <w:rPr>
                <w:rFonts w:ascii="MS PGothic" w:cs="MS PGothic" w:eastAsia="MS PGothic" w:hAnsi="MS PGothic"/>
                <w:sz w:val="16"/>
                <w:szCs w:val="16"/>
                <w:color w:val="auto"/>
              </w:rPr>
              <w:t>☐</w:t>
            </w:r>
          </w:p>
        </w:tc>
        <w:tc>
          <w:tcPr>
            <w:tcW w:w="3880" w:type="dxa"/>
            <w:vAlign w:val="bottom"/>
          </w:tcPr>
          <w:p>
            <w:pPr>
              <w:ind w:left="142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840" w:type="dxa"/>
            <w:vAlign w:val="bottom"/>
          </w:tcPr>
          <w:p>
            <w:pPr>
              <w:ind w:left="68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72"/>
        </w:trPr>
        <w:tc>
          <w:tcPr>
            <w:tcW w:w="2320" w:type="dxa"/>
            <w:vAlign w:val="bottom"/>
          </w:tcPr>
          <w:p>
            <w:pPr>
              <w:spacing w:after="0"/>
              <w:rPr>
                <w:sz w:val="23"/>
                <w:szCs w:val="23"/>
                <w:color w:val="auto"/>
              </w:rPr>
            </w:pPr>
          </w:p>
        </w:tc>
        <w:tc>
          <w:tcPr>
            <w:tcW w:w="2440" w:type="dxa"/>
            <w:vAlign w:val="bottom"/>
          </w:tcPr>
          <w:p>
            <w:pPr>
              <w:spacing w:after="0"/>
              <w:rPr>
                <w:sz w:val="23"/>
                <w:szCs w:val="23"/>
                <w:color w:val="auto"/>
              </w:rPr>
            </w:pPr>
          </w:p>
        </w:tc>
        <w:tc>
          <w:tcPr>
            <w:tcW w:w="3880" w:type="dxa"/>
            <w:vAlign w:val="bottom"/>
          </w:tcPr>
          <w:p>
            <w:pPr>
              <w:ind w:left="1420"/>
              <w:spacing w:after="0"/>
              <w:rPr>
                <w:sz w:val="20"/>
                <w:szCs w:val="20"/>
                <w:color w:val="auto"/>
              </w:rPr>
            </w:pPr>
            <w:r>
              <w:rPr>
                <w:rFonts w:ascii="Times New Roman" w:cs="Times New Roman" w:eastAsia="Times New Roman" w:hAnsi="Times New Roman"/>
                <w:sz w:val="16"/>
                <w:szCs w:val="16"/>
                <w:color w:val="auto"/>
              </w:rPr>
              <w:t>Emerging growth company</w:t>
            </w:r>
          </w:p>
        </w:tc>
        <w:tc>
          <w:tcPr>
            <w:tcW w:w="840" w:type="dxa"/>
            <w:vAlign w:val="bottom"/>
          </w:tcPr>
          <w:p>
            <w:pPr>
              <w:ind w:left="680"/>
              <w:spacing w:after="0" w:line="161" w:lineRule="exact"/>
              <w:rPr>
                <w:sz w:val="20"/>
                <w:szCs w:val="20"/>
                <w:color w:val="auto"/>
              </w:rPr>
            </w:pPr>
            <w:r>
              <w:rPr>
                <w:rFonts w:ascii="MS PGothic" w:cs="MS PGothic" w:eastAsia="MS PGothic" w:hAnsi="MS PGothic"/>
                <w:sz w:val="16"/>
                <w:szCs w:val="16"/>
                <w:color w:val="auto"/>
                <w:w w:val="87"/>
              </w:rPr>
              <w:t>☐</w:t>
            </w:r>
          </w:p>
        </w:tc>
      </w:tr>
    </w:tbl>
    <w:p>
      <w:pPr>
        <w:spacing w:after="0" w:line="155" w:lineRule="exact"/>
        <w:rPr>
          <w:sz w:val="24"/>
          <w:szCs w:val="24"/>
          <w:color w:val="auto"/>
        </w:rPr>
      </w:pPr>
    </w:p>
    <w:p>
      <w:pPr>
        <w:ind w:right="420" w:firstLine="162"/>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5" w:lineRule="exact"/>
        <w:rPr>
          <w:sz w:val="24"/>
          <w:szCs w:val="24"/>
          <w:color w:val="auto"/>
        </w:rPr>
      </w:pPr>
    </w:p>
    <w:p>
      <w:pPr>
        <w:ind w:left="160" w:right="3300" w:firstLine="9"/>
        <w:spacing w:after="0" w:line="272"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As of October 26, 2026, MasTec, Inc. had 80,300,833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7" w:right="339" w:bottom="1440" w:gutter="0" w:footer="0" w:header="0"/>
        </w:sectPr>
      </w:pPr>
    </w:p>
    <w:bookmarkStart w:id="1" w:name="page2"/>
    <w:bookmarkEnd w:id="1"/>
    <w:p>
      <w:pPr>
        <w:jc w:val="center"/>
        <w:ind w:right="-239"/>
        <w:spacing w:after="0"/>
        <w:rPr>
          <w:sz w:val="20"/>
          <w:szCs w:val="20"/>
          <w:color w:val="auto"/>
        </w:rPr>
      </w:pPr>
      <w:r>
        <w:rPr>
          <w:rFonts w:ascii="Times New Roman" w:cs="Times New Roman" w:eastAsia="Times New Roman" w:hAnsi="Times New Roman"/>
          <w:sz w:val="16"/>
          <w:szCs w:val="16"/>
          <w:b w:val="1"/>
          <w:bCs w:val="1"/>
          <w:color w:val="auto"/>
        </w:rPr>
        <w:t>MASTEC, INC.</w:t>
      </w:r>
    </w:p>
    <w:p>
      <w:pPr>
        <w:spacing w:after="0" w:line="25"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6"/>
          <w:szCs w:val="16"/>
          <w:b w:val="1"/>
          <w:bCs w:val="1"/>
          <w:color w:val="auto"/>
        </w:rPr>
        <w:t>FORM 10-Q</w:t>
      </w:r>
    </w:p>
    <w:p>
      <w:pPr>
        <w:spacing w:after="0" w:line="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6"/>
          <w:szCs w:val="16"/>
          <w:b w:val="1"/>
          <w:bCs w:val="1"/>
          <w:color w:val="auto"/>
        </w:rPr>
        <w:t>QUARTER ENDED SEPTEMBER 30, 2026</w:t>
      </w:r>
    </w:p>
    <w:p>
      <w:pPr>
        <w:spacing w:after="0" w:line="157"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6"/>
          <w:szCs w:val="16"/>
          <w:b w:val="1"/>
          <w:bCs w:val="1"/>
          <w:color w:val="auto"/>
        </w:rPr>
        <w:t>TABLE OF CONTENTS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00" w:type="dxa"/>
            <w:vAlign w:val="bottom"/>
            <w:gridSpan w:val="3"/>
          </w:tcPr>
          <w:p>
            <w:pPr>
              <w:ind w:left="1680"/>
              <w:spacing w:after="0"/>
              <w:rPr>
                <w:sz w:val="20"/>
                <w:szCs w:val="20"/>
                <w:color w:val="auto"/>
              </w:rPr>
            </w:pPr>
            <w:r>
              <w:rPr>
                <w:rFonts w:ascii="Times New Roman" w:cs="Times New Roman" w:eastAsia="Times New Roman" w:hAnsi="Times New Roman"/>
                <w:sz w:val="16"/>
                <w:szCs w:val="16"/>
                <w:color w:val="auto"/>
                <w:w w:val="96"/>
              </w:rPr>
              <w:t>Page</w:t>
            </w:r>
          </w:p>
        </w:tc>
      </w:tr>
      <w:tr>
        <w:trPr>
          <w:trHeight w:val="181"/>
        </w:trPr>
        <w:tc>
          <w:tcPr>
            <w:tcW w:w="2480" w:type="dxa"/>
            <w:vAlign w:val="bottom"/>
            <w:gridSpan w:val="11"/>
          </w:tcPr>
          <w:p>
            <w:pPr>
              <w:spacing w:after="0" w:line="181" w:lineRule="exact"/>
              <w:rPr>
                <w:sz w:val="20"/>
                <w:szCs w:val="20"/>
                <w:color w:val="auto"/>
              </w:rPr>
            </w:pPr>
            <w:r>
              <w:rPr>
                <w:rFonts w:ascii="Times New Roman" w:cs="Times New Roman" w:eastAsia="Times New Roman" w:hAnsi="Times New Roman"/>
                <w:sz w:val="16"/>
                <w:szCs w:val="16"/>
                <w:color w:val="0000FF"/>
              </w:rPr>
              <w:t>Part I. FINANCIAL INFORMATION</w:t>
            </w:r>
          </w:p>
        </w:tc>
        <w:tc>
          <w:tcPr>
            <w:tcW w:w="6440" w:type="dxa"/>
            <w:vAlign w:val="bottom"/>
            <w:gridSpan w:val="23"/>
          </w:tcPr>
          <w:p>
            <w:pPr>
              <w:spacing w:after="0"/>
              <w:rPr>
                <w:sz w:val="15"/>
                <w:szCs w:val="15"/>
                <w:color w:val="auto"/>
              </w:rPr>
            </w:pPr>
          </w:p>
        </w:tc>
        <w:tc>
          <w:tcPr>
            <w:tcW w:w="1800" w:type="dxa"/>
            <w:vAlign w:val="bottom"/>
          </w:tcPr>
          <w:p>
            <w:pPr>
              <w:spacing w:after="0"/>
              <w:rPr>
                <w:sz w:val="15"/>
                <w:szCs w:val="15"/>
                <w:color w:val="auto"/>
              </w:rPr>
            </w:pPr>
          </w:p>
        </w:tc>
        <w:tc>
          <w:tcPr>
            <w:tcW w:w="8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color w:val="0000FF"/>
                <w:w w:val="99"/>
              </w:rPr>
              <w:t>3</w:t>
            </w:r>
          </w:p>
        </w:tc>
        <w:tc>
          <w:tcPr>
            <w:tcW w:w="120" w:type="dxa"/>
            <w:vAlign w:val="bottom"/>
          </w:tcPr>
          <w:p>
            <w:pPr>
              <w:spacing w:after="0"/>
              <w:rPr>
                <w:sz w:val="15"/>
                <w:szCs w:val="15"/>
                <w:color w:val="auto"/>
              </w:rPr>
            </w:pPr>
          </w:p>
        </w:tc>
      </w:tr>
      <w:tr>
        <w:trPr>
          <w:trHeight w:val="20"/>
        </w:trPr>
        <w:tc>
          <w:tcPr>
            <w:tcW w:w="3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108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Item 1</w:t>
            </w:r>
          </w:p>
        </w:tc>
        <w:tc>
          <w:tcPr>
            <w:tcW w:w="7500" w:type="dxa"/>
            <w:vAlign w:val="bottom"/>
            <w:gridSpan w:val="29"/>
          </w:tcPr>
          <w:p>
            <w:pPr>
              <w:spacing w:after="0"/>
              <w:rPr>
                <w:sz w:val="20"/>
                <w:szCs w:val="20"/>
                <w:color w:val="auto"/>
              </w:rPr>
            </w:pPr>
            <w:r>
              <w:rPr>
                <w:rFonts w:ascii="Times New Roman" w:cs="Times New Roman" w:eastAsia="Times New Roman" w:hAnsi="Times New Roman"/>
                <w:sz w:val="16"/>
                <w:szCs w:val="16"/>
                <w:color w:val="0000FF"/>
              </w:rPr>
              <w:t>Financial Statements (Unaudited)</w:t>
            </w:r>
          </w:p>
        </w:tc>
        <w:tc>
          <w:tcPr>
            <w:tcW w:w="1880" w:type="dxa"/>
            <w:vAlign w:val="bottom"/>
            <w:gridSpan w:val="2"/>
          </w:tcPr>
          <w:p>
            <w:pPr>
              <w:jc w:val="center"/>
              <w:ind w:left="1719"/>
              <w:spacing w:after="0"/>
              <w:rPr>
                <w:sz w:val="20"/>
                <w:szCs w:val="20"/>
                <w:color w:val="auto"/>
              </w:rPr>
            </w:pPr>
            <w:r>
              <w:rPr>
                <w:rFonts w:ascii="Times New Roman" w:cs="Times New Roman" w:eastAsia="Times New Roman" w:hAnsi="Times New Roman"/>
                <w:sz w:val="16"/>
                <w:szCs w:val="16"/>
                <w:color w:val="0000FF"/>
                <w:w w:val="99"/>
              </w:rPr>
              <w:t>3</w:t>
            </w:r>
          </w:p>
        </w:tc>
        <w:tc>
          <w:tcPr>
            <w:tcW w:w="120" w:type="dxa"/>
            <w:vAlign w:val="bottom"/>
          </w:tcPr>
          <w:p>
            <w:pPr>
              <w:spacing w:after="0"/>
              <w:rPr>
                <w:sz w:val="17"/>
                <w:szCs w:val="17"/>
                <w:color w:val="auto"/>
              </w:rPr>
            </w:pPr>
          </w:p>
        </w:tc>
      </w:tr>
      <w:tr>
        <w:trPr>
          <w:trHeight w:val="20"/>
        </w:trPr>
        <w:tc>
          <w:tcPr>
            <w:tcW w:w="3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40" w:type="dxa"/>
            <w:vAlign w:val="bottom"/>
            <w:gridSpan w:val="16"/>
          </w:tcPr>
          <w:p>
            <w:pPr>
              <w:spacing w:after="0"/>
              <w:rPr>
                <w:sz w:val="20"/>
                <w:szCs w:val="20"/>
                <w:color w:val="auto"/>
              </w:rPr>
            </w:pPr>
            <w:r>
              <w:rPr>
                <w:rFonts w:ascii="Times New Roman" w:cs="Times New Roman" w:eastAsia="Times New Roman" w:hAnsi="Times New Roman"/>
                <w:sz w:val="16"/>
                <w:szCs w:val="16"/>
                <w:color w:val="0000FF"/>
              </w:rPr>
              <w:t>Consolidated Statements of Operations</w:t>
            </w:r>
          </w:p>
        </w:tc>
        <w:tc>
          <w:tcPr>
            <w:tcW w:w="4860" w:type="dxa"/>
            <w:vAlign w:val="bottom"/>
            <w:gridSpan w:val="12"/>
          </w:tcPr>
          <w:p>
            <w:pPr>
              <w:spacing w:after="0"/>
              <w:rPr>
                <w:sz w:val="17"/>
                <w:szCs w:val="17"/>
                <w:color w:val="auto"/>
              </w:rPr>
            </w:pPr>
          </w:p>
        </w:tc>
        <w:tc>
          <w:tcPr>
            <w:tcW w:w="1800" w:type="dxa"/>
            <w:vAlign w:val="bottom"/>
          </w:tcPr>
          <w:p>
            <w:pPr>
              <w:spacing w:after="0"/>
              <w:rPr>
                <w:sz w:val="17"/>
                <w:szCs w:val="17"/>
                <w:color w:val="auto"/>
              </w:rPr>
            </w:pPr>
          </w:p>
        </w:tc>
        <w:tc>
          <w:tcPr>
            <w:tcW w:w="8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9"/>
              </w:rPr>
              <w:t>3</w:t>
            </w:r>
          </w:p>
        </w:tc>
        <w:tc>
          <w:tcPr>
            <w:tcW w:w="120" w:type="dxa"/>
            <w:vAlign w:val="bottom"/>
          </w:tcPr>
          <w:p>
            <w:pPr>
              <w:spacing w:after="0"/>
              <w:rPr>
                <w:sz w:val="17"/>
                <w:szCs w:val="17"/>
                <w:color w:val="auto"/>
              </w:rPr>
            </w:pPr>
          </w:p>
        </w:tc>
      </w:tr>
      <w:tr>
        <w:trPr>
          <w:trHeight w:val="20"/>
        </w:trPr>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0" w:type="dxa"/>
            <w:vAlign w:val="bottom"/>
            <w:gridSpan w:val="28"/>
          </w:tcPr>
          <w:p>
            <w:pPr>
              <w:spacing w:after="0"/>
              <w:rPr>
                <w:sz w:val="20"/>
                <w:szCs w:val="20"/>
                <w:color w:val="auto"/>
              </w:rPr>
            </w:pPr>
            <w:r>
              <w:rPr>
                <w:rFonts w:ascii="Times New Roman" w:cs="Times New Roman" w:eastAsia="Times New Roman" w:hAnsi="Times New Roman"/>
                <w:sz w:val="16"/>
                <w:szCs w:val="16"/>
                <w:color w:val="0000FF"/>
              </w:rPr>
              <w:t>Consolidated Statements of Comprehensive Income</w:t>
            </w:r>
          </w:p>
        </w:tc>
        <w:tc>
          <w:tcPr>
            <w:tcW w:w="1880" w:type="dxa"/>
            <w:vAlign w:val="bottom"/>
            <w:gridSpan w:val="2"/>
          </w:tcPr>
          <w:p>
            <w:pPr>
              <w:jc w:val="center"/>
              <w:ind w:left="1719"/>
              <w:spacing w:after="0"/>
              <w:rPr>
                <w:sz w:val="20"/>
                <w:szCs w:val="20"/>
                <w:color w:val="auto"/>
              </w:rPr>
            </w:pPr>
            <w:r>
              <w:rPr>
                <w:rFonts w:ascii="Times New Roman" w:cs="Times New Roman" w:eastAsia="Times New Roman" w:hAnsi="Times New Roman"/>
                <w:sz w:val="16"/>
                <w:szCs w:val="16"/>
                <w:color w:val="0000FF"/>
                <w:w w:val="99"/>
              </w:rPr>
              <w:t>4</w:t>
            </w:r>
          </w:p>
        </w:tc>
        <w:tc>
          <w:tcPr>
            <w:tcW w:w="120" w:type="dxa"/>
            <w:vAlign w:val="bottom"/>
          </w:tcPr>
          <w:p>
            <w:pPr>
              <w:spacing w:after="0"/>
              <w:rPr>
                <w:sz w:val="17"/>
                <w:szCs w:val="17"/>
                <w:color w:val="auto"/>
              </w:rPr>
            </w:pPr>
          </w:p>
        </w:tc>
      </w:tr>
      <w:tr>
        <w:trPr>
          <w:trHeight w:val="20"/>
        </w:trPr>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80" w:type="dxa"/>
            <w:vAlign w:val="bottom"/>
            <w:gridSpan w:val="11"/>
          </w:tcPr>
          <w:p>
            <w:pPr>
              <w:spacing w:after="0"/>
              <w:rPr>
                <w:sz w:val="20"/>
                <w:szCs w:val="20"/>
                <w:color w:val="auto"/>
              </w:rPr>
            </w:pPr>
            <w:r>
              <w:rPr>
                <w:rFonts w:ascii="Times New Roman" w:cs="Times New Roman" w:eastAsia="Times New Roman" w:hAnsi="Times New Roman"/>
                <w:sz w:val="16"/>
                <w:szCs w:val="16"/>
                <w:color w:val="0000FF"/>
              </w:rPr>
              <w:t>Consolidated Balance Sheets</w:t>
            </w:r>
          </w:p>
        </w:tc>
        <w:tc>
          <w:tcPr>
            <w:tcW w:w="1480" w:type="dxa"/>
            <w:vAlign w:val="bottom"/>
            <w:gridSpan w:val="10"/>
          </w:tcPr>
          <w:p>
            <w:pPr>
              <w:spacing w:after="0"/>
              <w:rPr>
                <w:sz w:val="17"/>
                <w:szCs w:val="17"/>
                <w:color w:val="auto"/>
              </w:rPr>
            </w:pPr>
          </w:p>
        </w:tc>
        <w:tc>
          <w:tcPr>
            <w:tcW w:w="4040" w:type="dxa"/>
            <w:vAlign w:val="bottom"/>
            <w:gridSpan w:val="7"/>
          </w:tcPr>
          <w:p>
            <w:pPr>
              <w:spacing w:after="0"/>
              <w:rPr>
                <w:sz w:val="17"/>
                <w:szCs w:val="17"/>
                <w:color w:val="auto"/>
              </w:rPr>
            </w:pPr>
          </w:p>
        </w:tc>
        <w:tc>
          <w:tcPr>
            <w:tcW w:w="1800" w:type="dxa"/>
            <w:vAlign w:val="bottom"/>
          </w:tcPr>
          <w:p>
            <w:pPr>
              <w:spacing w:after="0"/>
              <w:rPr>
                <w:sz w:val="17"/>
                <w:szCs w:val="17"/>
                <w:color w:val="auto"/>
              </w:rPr>
            </w:pPr>
          </w:p>
        </w:tc>
        <w:tc>
          <w:tcPr>
            <w:tcW w:w="8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9"/>
              </w:rPr>
              <w:t>5</w:t>
            </w:r>
          </w:p>
        </w:tc>
        <w:tc>
          <w:tcPr>
            <w:tcW w:w="120" w:type="dxa"/>
            <w:vAlign w:val="bottom"/>
          </w:tcPr>
          <w:p>
            <w:pPr>
              <w:spacing w:after="0"/>
              <w:rPr>
                <w:sz w:val="17"/>
                <w:szCs w:val="17"/>
                <w:color w:val="auto"/>
              </w:rPr>
            </w:pPr>
          </w:p>
        </w:tc>
      </w:tr>
      <w:tr>
        <w:trPr>
          <w:trHeight w:val="20"/>
        </w:trPr>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60" w:type="dxa"/>
            <w:vAlign w:val="bottom"/>
            <w:gridSpan w:val="14"/>
          </w:tcPr>
          <w:p>
            <w:pPr>
              <w:spacing w:after="0"/>
              <w:rPr>
                <w:sz w:val="20"/>
                <w:szCs w:val="20"/>
                <w:color w:val="auto"/>
              </w:rPr>
            </w:pPr>
            <w:r>
              <w:rPr>
                <w:rFonts w:ascii="Times New Roman" w:cs="Times New Roman" w:eastAsia="Times New Roman" w:hAnsi="Times New Roman"/>
                <w:sz w:val="16"/>
                <w:szCs w:val="16"/>
                <w:color w:val="0000FF"/>
              </w:rPr>
              <w:t>Consolidated Statements of Equity</w:t>
            </w:r>
          </w:p>
        </w:tc>
        <w:tc>
          <w:tcPr>
            <w:tcW w:w="5140" w:type="dxa"/>
            <w:vAlign w:val="bottom"/>
            <w:gridSpan w:val="14"/>
          </w:tcPr>
          <w:p>
            <w:pPr>
              <w:spacing w:after="0"/>
              <w:rPr>
                <w:sz w:val="17"/>
                <w:szCs w:val="17"/>
                <w:color w:val="auto"/>
              </w:rPr>
            </w:pPr>
          </w:p>
        </w:tc>
        <w:tc>
          <w:tcPr>
            <w:tcW w:w="1800" w:type="dxa"/>
            <w:vAlign w:val="bottom"/>
          </w:tcPr>
          <w:p>
            <w:pPr>
              <w:spacing w:after="0"/>
              <w:rPr>
                <w:sz w:val="17"/>
                <w:szCs w:val="17"/>
                <w:color w:val="auto"/>
              </w:rPr>
            </w:pPr>
          </w:p>
        </w:tc>
        <w:tc>
          <w:tcPr>
            <w:tcW w:w="8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9"/>
              </w:rPr>
              <w:t>6</w:t>
            </w:r>
          </w:p>
        </w:tc>
        <w:tc>
          <w:tcPr>
            <w:tcW w:w="120" w:type="dxa"/>
            <w:vAlign w:val="bottom"/>
          </w:tcPr>
          <w:p>
            <w:pPr>
              <w:spacing w:after="0"/>
              <w:rPr>
                <w:sz w:val="17"/>
                <w:szCs w:val="17"/>
                <w:color w:val="auto"/>
              </w:rPr>
            </w:pPr>
          </w:p>
        </w:tc>
      </w:tr>
      <w:tr>
        <w:trPr>
          <w:trHeight w:val="20"/>
        </w:trPr>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0" w:type="dxa"/>
            <w:vAlign w:val="bottom"/>
            <w:gridSpan w:val="28"/>
          </w:tcPr>
          <w:p>
            <w:pPr>
              <w:spacing w:after="0"/>
              <w:rPr>
                <w:sz w:val="20"/>
                <w:szCs w:val="20"/>
                <w:color w:val="auto"/>
              </w:rPr>
            </w:pPr>
            <w:r>
              <w:rPr>
                <w:rFonts w:ascii="Times New Roman" w:cs="Times New Roman" w:eastAsia="Times New Roman" w:hAnsi="Times New Roman"/>
                <w:sz w:val="16"/>
                <w:szCs w:val="16"/>
                <w:color w:val="0000FF"/>
              </w:rPr>
              <w:t>Consolidated Statements of Cash Flows</w:t>
            </w:r>
          </w:p>
        </w:tc>
        <w:tc>
          <w:tcPr>
            <w:tcW w:w="1880" w:type="dxa"/>
            <w:vAlign w:val="bottom"/>
            <w:gridSpan w:val="2"/>
          </w:tcPr>
          <w:p>
            <w:pPr>
              <w:jc w:val="center"/>
              <w:ind w:left="1719"/>
              <w:spacing w:after="0"/>
              <w:rPr>
                <w:sz w:val="20"/>
                <w:szCs w:val="20"/>
                <w:color w:val="auto"/>
              </w:rPr>
            </w:pPr>
            <w:r>
              <w:rPr>
                <w:rFonts w:ascii="Times New Roman" w:cs="Times New Roman" w:eastAsia="Times New Roman" w:hAnsi="Times New Roman"/>
                <w:sz w:val="16"/>
                <w:szCs w:val="16"/>
                <w:color w:val="0000FF"/>
                <w:w w:val="99"/>
              </w:rPr>
              <w:t>8</w:t>
            </w:r>
          </w:p>
        </w:tc>
        <w:tc>
          <w:tcPr>
            <w:tcW w:w="120" w:type="dxa"/>
            <w:vAlign w:val="bottom"/>
          </w:tcPr>
          <w:p>
            <w:pPr>
              <w:spacing w:after="0"/>
              <w:rPr>
                <w:sz w:val="17"/>
                <w:szCs w:val="17"/>
                <w:color w:val="auto"/>
              </w:rPr>
            </w:pPr>
          </w:p>
        </w:tc>
      </w:tr>
      <w:tr>
        <w:trPr>
          <w:trHeight w:val="20"/>
        </w:trPr>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60" w:type="dxa"/>
            <w:vAlign w:val="bottom"/>
            <w:gridSpan w:val="22"/>
          </w:tcPr>
          <w:p>
            <w:pPr>
              <w:spacing w:after="0"/>
              <w:rPr>
                <w:sz w:val="20"/>
                <w:szCs w:val="20"/>
                <w:color w:val="auto"/>
              </w:rPr>
            </w:pPr>
            <w:r>
              <w:rPr>
                <w:rFonts w:ascii="Times New Roman" w:cs="Times New Roman" w:eastAsia="Times New Roman" w:hAnsi="Times New Roman"/>
                <w:sz w:val="16"/>
                <w:szCs w:val="16"/>
                <w:color w:val="0000FF"/>
              </w:rPr>
              <w:t>Notes to Consolidated Financial Statements (Unaudited)</w:t>
            </w:r>
          </w:p>
        </w:tc>
        <w:tc>
          <w:tcPr>
            <w:tcW w:w="3740" w:type="dxa"/>
            <w:vAlign w:val="bottom"/>
            <w:gridSpan w:val="6"/>
          </w:tcPr>
          <w:p>
            <w:pPr>
              <w:spacing w:after="0"/>
              <w:rPr>
                <w:sz w:val="17"/>
                <w:szCs w:val="17"/>
                <w:color w:val="auto"/>
              </w:rPr>
            </w:pPr>
          </w:p>
        </w:tc>
        <w:tc>
          <w:tcPr>
            <w:tcW w:w="1800" w:type="dxa"/>
            <w:vAlign w:val="bottom"/>
          </w:tcPr>
          <w:p>
            <w:pPr>
              <w:spacing w:after="0"/>
              <w:rPr>
                <w:sz w:val="17"/>
                <w:szCs w:val="17"/>
                <w:color w:val="auto"/>
              </w:rPr>
            </w:pPr>
          </w:p>
        </w:tc>
        <w:tc>
          <w:tcPr>
            <w:tcW w:w="8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9"/>
              </w:rPr>
              <w:t>9</w:t>
            </w:r>
          </w:p>
        </w:tc>
        <w:tc>
          <w:tcPr>
            <w:tcW w:w="120" w:type="dxa"/>
            <w:vAlign w:val="bottom"/>
          </w:tcPr>
          <w:p>
            <w:pPr>
              <w:spacing w:after="0"/>
              <w:rPr>
                <w:sz w:val="17"/>
                <w:szCs w:val="17"/>
                <w:color w:val="auto"/>
              </w:rPr>
            </w:pPr>
          </w:p>
        </w:tc>
      </w:tr>
      <w:tr>
        <w:trPr>
          <w:trHeight w:val="20"/>
        </w:trPr>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0E32E1"/>
              </w:rPr>
              <w:t>1.</w:t>
            </w:r>
          </w:p>
        </w:tc>
        <w:tc>
          <w:tcPr>
            <w:tcW w:w="6960" w:type="dxa"/>
            <w:vAlign w:val="bottom"/>
            <w:gridSpan w:val="27"/>
          </w:tcPr>
          <w:p>
            <w:pPr>
              <w:spacing w:after="0"/>
              <w:rPr>
                <w:sz w:val="20"/>
                <w:szCs w:val="20"/>
                <w:color w:val="auto"/>
              </w:rPr>
            </w:pPr>
            <w:r>
              <w:rPr>
                <w:rFonts w:ascii="Times New Roman" w:cs="Times New Roman" w:eastAsia="Times New Roman" w:hAnsi="Times New Roman"/>
                <w:sz w:val="16"/>
                <w:szCs w:val="16"/>
                <w:color w:val="0000FF"/>
              </w:rPr>
              <w:t>Business, Basis of Presentation and Significant Accounting Policies</w:t>
            </w:r>
          </w:p>
        </w:tc>
        <w:tc>
          <w:tcPr>
            <w:tcW w:w="1880" w:type="dxa"/>
            <w:vAlign w:val="bottom"/>
            <w:gridSpan w:val="2"/>
          </w:tcPr>
          <w:p>
            <w:pPr>
              <w:jc w:val="center"/>
              <w:ind w:left="1719"/>
              <w:spacing w:after="0"/>
              <w:rPr>
                <w:sz w:val="20"/>
                <w:szCs w:val="20"/>
                <w:color w:val="auto"/>
              </w:rPr>
            </w:pPr>
            <w:r>
              <w:rPr>
                <w:rFonts w:ascii="Times New Roman" w:cs="Times New Roman" w:eastAsia="Times New Roman" w:hAnsi="Times New Roman"/>
                <w:sz w:val="16"/>
                <w:szCs w:val="16"/>
                <w:color w:val="0000FF"/>
                <w:w w:val="99"/>
              </w:rPr>
              <w:t>9</w:t>
            </w:r>
          </w:p>
        </w:tc>
        <w:tc>
          <w:tcPr>
            <w:tcW w:w="120" w:type="dxa"/>
            <w:vAlign w:val="bottom"/>
          </w:tcPr>
          <w:p>
            <w:pPr>
              <w:spacing w:after="0"/>
              <w:rPr>
                <w:sz w:val="17"/>
                <w:szCs w:val="17"/>
                <w:color w:val="auto"/>
              </w:rPr>
            </w:pPr>
          </w:p>
        </w:tc>
      </w:tr>
      <w:tr>
        <w:trPr>
          <w:trHeight w:val="20"/>
        </w:trPr>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0E32E1"/>
              </w:rPr>
              <w:t>2.</w:t>
            </w:r>
          </w:p>
        </w:tc>
        <w:tc>
          <w:tcPr>
            <w:tcW w:w="4400" w:type="dxa"/>
            <w:vAlign w:val="bottom"/>
            <w:gridSpan w:val="24"/>
          </w:tcPr>
          <w:p>
            <w:pPr>
              <w:spacing w:after="0"/>
              <w:rPr>
                <w:sz w:val="20"/>
                <w:szCs w:val="20"/>
                <w:color w:val="auto"/>
              </w:rPr>
            </w:pPr>
            <w:r>
              <w:rPr>
                <w:rFonts w:ascii="Times New Roman" w:cs="Times New Roman" w:eastAsia="Times New Roman" w:hAnsi="Times New Roman"/>
                <w:sz w:val="16"/>
                <w:szCs w:val="16"/>
                <w:color w:val="0000FF"/>
              </w:rPr>
              <w:t>Earnings Per Share</w:t>
            </w:r>
          </w:p>
        </w:tc>
        <w:tc>
          <w:tcPr>
            <w:tcW w:w="2560" w:type="dxa"/>
            <w:vAlign w:val="bottom"/>
            <w:gridSpan w:val="3"/>
          </w:tcPr>
          <w:p>
            <w:pPr>
              <w:spacing w:after="0"/>
              <w:rPr>
                <w:sz w:val="17"/>
                <w:szCs w:val="17"/>
                <w:color w:val="auto"/>
              </w:rPr>
            </w:pPr>
          </w:p>
        </w:tc>
        <w:tc>
          <w:tcPr>
            <w:tcW w:w="1880" w:type="dxa"/>
            <w:vAlign w:val="bottom"/>
            <w:gridSpan w:val="2"/>
          </w:tcPr>
          <w:p>
            <w:pPr>
              <w:jc w:val="center"/>
              <w:ind w:left="1639"/>
              <w:spacing w:after="0"/>
              <w:rPr>
                <w:sz w:val="20"/>
                <w:szCs w:val="20"/>
                <w:color w:val="auto"/>
              </w:rPr>
            </w:pPr>
            <w:r>
              <w:rPr>
                <w:rFonts w:ascii="Times New Roman" w:cs="Times New Roman" w:eastAsia="Times New Roman" w:hAnsi="Times New Roman"/>
                <w:sz w:val="16"/>
                <w:szCs w:val="16"/>
                <w:color w:val="0000FF"/>
                <w:w w:val="99"/>
              </w:rPr>
              <w:t>12</w:t>
            </w:r>
          </w:p>
        </w:tc>
        <w:tc>
          <w:tcPr>
            <w:tcW w:w="120" w:type="dxa"/>
            <w:vAlign w:val="bottom"/>
          </w:tcPr>
          <w:p>
            <w:pPr>
              <w:spacing w:after="0"/>
              <w:rPr>
                <w:sz w:val="17"/>
                <w:szCs w:val="17"/>
                <w:color w:val="auto"/>
              </w:rPr>
            </w:pPr>
          </w:p>
        </w:tc>
      </w:tr>
      <w:tr>
        <w:trPr>
          <w:trHeight w:val="20"/>
        </w:trPr>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8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0E32E1"/>
              </w:rPr>
              <w:t>3.</w:t>
            </w:r>
          </w:p>
        </w:tc>
        <w:tc>
          <w:tcPr>
            <w:tcW w:w="3680" w:type="dxa"/>
            <w:vAlign w:val="bottom"/>
            <w:tcBorders>
              <w:bottom w:val="single" w:sz="8" w:color="0000FF"/>
            </w:tcBorders>
            <w:gridSpan w:val="23"/>
          </w:tcPr>
          <w:p>
            <w:pPr>
              <w:spacing w:after="0"/>
              <w:rPr>
                <w:sz w:val="20"/>
                <w:szCs w:val="20"/>
                <w:color w:val="auto"/>
              </w:rPr>
            </w:pPr>
            <w:r>
              <w:rPr>
                <w:rFonts w:ascii="Times New Roman" w:cs="Times New Roman" w:eastAsia="Times New Roman" w:hAnsi="Times New Roman"/>
                <w:sz w:val="16"/>
                <w:szCs w:val="16"/>
                <w:color w:val="0000FF"/>
              </w:rPr>
              <w:t>Acquisitions, Goodwill and Other Intangible Assets, Net</w:t>
            </w:r>
          </w:p>
        </w:tc>
        <w:tc>
          <w:tcPr>
            <w:tcW w:w="3280" w:type="dxa"/>
            <w:vAlign w:val="bottom"/>
            <w:gridSpan w:val="4"/>
          </w:tcPr>
          <w:p>
            <w:pPr>
              <w:spacing w:after="0"/>
              <w:rPr>
                <w:sz w:val="17"/>
                <w:szCs w:val="17"/>
                <w:color w:val="auto"/>
              </w:rPr>
            </w:pPr>
          </w:p>
        </w:tc>
        <w:tc>
          <w:tcPr>
            <w:tcW w:w="1800" w:type="dxa"/>
            <w:vAlign w:val="bottom"/>
          </w:tcPr>
          <w:p>
            <w:pPr>
              <w:spacing w:after="0"/>
              <w:rPr>
                <w:sz w:val="17"/>
                <w:szCs w:val="17"/>
                <w:color w:val="auto"/>
              </w:rPr>
            </w:pPr>
          </w:p>
        </w:tc>
        <w:tc>
          <w:tcPr>
            <w:tcW w:w="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6"/>
                <w:szCs w:val="16"/>
                <w:color w:val="0000FF"/>
                <w:w w:val="74"/>
              </w:rPr>
              <w:t>12</w:t>
            </w:r>
          </w:p>
        </w:tc>
        <w:tc>
          <w:tcPr>
            <w:tcW w:w="120" w:type="dxa"/>
            <w:vAlign w:val="bottom"/>
          </w:tcPr>
          <w:p>
            <w:pPr>
              <w:spacing w:after="0"/>
              <w:rPr>
                <w:sz w:val="17"/>
                <w:szCs w:val="17"/>
                <w:color w:val="auto"/>
              </w:rPr>
            </w:pPr>
          </w:p>
        </w:tc>
      </w:tr>
      <w:tr>
        <w:trPr>
          <w:trHeight w:val="196"/>
        </w:trPr>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0E32E1"/>
              </w:rPr>
              <w:t>4.</w:t>
            </w:r>
          </w:p>
        </w:tc>
        <w:tc>
          <w:tcPr>
            <w:tcW w:w="230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6"/>
                <w:szCs w:val="16"/>
                <w:color w:val="0000FF"/>
                <w:w w:val="99"/>
              </w:rPr>
              <w:t>Fair Value of Financial Instruments</w:t>
            </w:r>
          </w:p>
        </w:tc>
        <w:tc>
          <w:tcPr>
            <w:tcW w:w="4660" w:type="dxa"/>
            <w:vAlign w:val="bottom"/>
            <w:gridSpan w:val="8"/>
          </w:tcPr>
          <w:p>
            <w:pPr>
              <w:spacing w:after="0"/>
              <w:rPr>
                <w:sz w:val="17"/>
                <w:szCs w:val="17"/>
                <w:color w:val="auto"/>
              </w:rPr>
            </w:pPr>
          </w:p>
        </w:tc>
        <w:tc>
          <w:tcPr>
            <w:tcW w:w="1800" w:type="dxa"/>
            <w:vAlign w:val="bottom"/>
          </w:tcPr>
          <w:p>
            <w:pPr>
              <w:spacing w:after="0"/>
              <w:rPr>
                <w:sz w:val="17"/>
                <w:szCs w:val="17"/>
                <w:color w:val="auto"/>
              </w:rPr>
            </w:pPr>
          </w:p>
        </w:tc>
        <w:tc>
          <w:tcPr>
            <w:tcW w:w="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6"/>
                <w:szCs w:val="16"/>
                <w:color w:val="0000FF"/>
                <w:w w:val="74"/>
              </w:rPr>
              <w:t>16</w:t>
            </w:r>
          </w:p>
        </w:tc>
        <w:tc>
          <w:tcPr>
            <w:tcW w:w="120" w:type="dxa"/>
            <w:vAlign w:val="bottom"/>
          </w:tcPr>
          <w:p>
            <w:pPr>
              <w:spacing w:after="0"/>
              <w:rPr>
                <w:sz w:val="17"/>
                <w:szCs w:val="17"/>
                <w:color w:val="auto"/>
              </w:rPr>
            </w:pPr>
          </w:p>
        </w:tc>
      </w:tr>
      <w:tr>
        <w:trPr>
          <w:trHeight w:val="196"/>
        </w:trPr>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0E32E1"/>
              </w:rPr>
              <w:t>5.</w:t>
            </w:r>
          </w:p>
        </w:tc>
        <w:tc>
          <w:tcPr>
            <w:tcW w:w="4960" w:type="dxa"/>
            <w:vAlign w:val="bottom"/>
            <w:tcBorders>
              <w:bottom w:val="single" w:sz="8" w:color="0000FF"/>
            </w:tcBorders>
            <w:gridSpan w:val="25"/>
          </w:tcPr>
          <w:p>
            <w:pPr>
              <w:spacing w:after="0"/>
              <w:rPr>
                <w:sz w:val="20"/>
                <w:szCs w:val="20"/>
                <w:color w:val="auto"/>
              </w:rPr>
            </w:pPr>
            <w:r>
              <w:rPr>
                <w:rFonts w:ascii="Times New Roman" w:cs="Times New Roman" w:eastAsia="Times New Roman" w:hAnsi="Times New Roman"/>
                <w:sz w:val="16"/>
                <w:szCs w:val="16"/>
                <w:color w:val="0000FF"/>
              </w:rPr>
              <w:t>Accounts Receivable, Net of Allowance, and Contract Assets and Liabilities</w:t>
            </w:r>
          </w:p>
        </w:tc>
        <w:tc>
          <w:tcPr>
            <w:tcW w:w="2000" w:type="dxa"/>
            <w:vAlign w:val="bottom"/>
            <w:gridSpan w:val="2"/>
          </w:tcPr>
          <w:p>
            <w:pPr>
              <w:spacing w:after="0"/>
              <w:rPr>
                <w:sz w:val="17"/>
                <w:szCs w:val="17"/>
                <w:color w:val="auto"/>
              </w:rPr>
            </w:pPr>
          </w:p>
        </w:tc>
        <w:tc>
          <w:tcPr>
            <w:tcW w:w="1800" w:type="dxa"/>
            <w:vAlign w:val="bottom"/>
          </w:tcPr>
          <w:p>
            <w:pPr>
              <w:spacing w:after="0"/>
              <w:rPr>
                <w:sz w:val="17"/>
                <w:szCs w:val="17"/>
                <w:color w:val="auto"/>
              </w:rPr>
            </w:pPr>
          </w:p>
        </w:tc>
        <w:tc>
          <w:tcPr>
            <w:tcW w:w="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6"/>
                <w:szCs w:val="16"/>
                <w:color w:val="0000FF"/>
                <w:w w:val="74"/>
              </w:rPr>
              <w:t>17</w:t>
            </w:r>
          </w:p>
        </w:tc>
        <w:tc>
          <w:tcPr>
            <w:tcW w:w="120" w:type="dxa"/>
            <w:vAlign w:val="bottom"/>
          </w:tcPr>
          <w:p>
            <w:pPr>
              <w:spacing w:after="0"/>
              <w:rPr>
                <w:sz w:val="17"/>
                <w:szCs w:val="17"/>
                <w:color w:val="auto"/>
              </w:rPr>
            </w:pPr>
          </w:p>
        </w:tc>
      </w:tr>
      <w:tr>
        <w:trPr>
          <w:trHeight w:val="196"/>
        </w:trPr>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0E32E1"/>
              </w:rPr>
              <w:t>6.</w:t>
            </w:r>
          </w:p>
        </w:tc>
        <w:tc>
          <w:tcPr>
            <w:tcW w:w="6960" w:type="dxa"/>
            <w:vAlign w:val="bottom"/>
            <w:gridSpan w:val="27"/>
          </w:tcPr>
          <w:p>
            <w:pPr>
              <w:spacing w:after="0"/>
              <w:rPr>
                <w:sz w:val="20"/>
                <w:szCs w:val="20"/>
                <w:color w:val="auto"/>
              </w:rPr>
            </w:pPr>
            <w:r>
              <w:rPr>
                <w:rFonts w:ascii="Times New Roman" w:cs="Times New Roman" w:eastAsia="Times New Roman" w:hAnsi="Times New Roman"/>
                <w:sz w:val="16"/>
                <w:szCs w:val="16"/>
                <w:color w:val="0000FF"/>
              </w:rPr>
              <w:t>Property and Equipment, Net</w:t>
            </w:r>
          </w:p>
        </w:tc>
        <w:tc>
          <w:tcPr>
            <w:tcW w:w="1880" w:type="dxa"/>
            <w:vAlign w:val="bottom"/>
            <w:gridSpan w:val="2"/>
          </w:tcPr>
          <w:p>
            <w:pPr>
              <w:jc w:val="center"/>
              <w:ind w:left="1639"/>
              <w:spacing w:after="0"/>
              <w:rPr>
                <w:sz w:val="20"/>
                <w:szCs w:val="20"/>
                <w:color w:val="auto"/>
              </w:rPr>
            </w:pPr>
            <w:r>
              <w:rPr>
                <w:rFonts w:ascii="Times New Roman" w:cs="Times New Roman" w:eastAsia="Times New Roman" w:hAnsi="Times New Roman"/>
                <w:sz w:val="16"/>
                <w:szCs w:val="16"/>
                <w:color w:val="0000FF"/>
                <w:w w:val="99"/>
              </w:rPr>
              <w:t>18</w:t>
            </w:r>
          </w:p>
        </w:tc>
        <w:tc>
          <w:tcPr>
            <w:tcW w:w="120" w:type="dxa"/>
            <w:vAlign w:val="bottom"/>
          </w:tcPr>
          <w:p>
            <w:pPr>
              <w:spacing w:after="0"/>
              <w:rPr>
                <w:sz w:val="17"/>
                <w:szCs w:val="17"/>
                <w:color w:val="auto"/>
              </w:rPr>
            </w:pPr>
          </w:p>
        </w:tc>
      </w:tr>
      <w:tr>
        <w:trPr>
          <w:trHeight w:val="196"/>
        </w:trPr>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0E32E1"/>
              </w:rPr>
              <w:t>7.</w:t>
            </w:r>
          </w:p>
        </w:tc>
        <w:tc>
          <w:tcPr>
            <w:tcW w:w="1620" w:type="dxa"/>
            <w:vAlign w:val="bottom"/>
            <w:tcBorders>
              <w:top w:val="single" w:sz="8" w:color="0000FF"/>
              <w:bottom w:val="single" w:sz="8" w:color="0000FF"/>
            </w:tcBorders>
            <w:gridSpan w:val="11"/>
          </w:tcPr>
          <w:p>
            <w:pPr>
              <w:spacing w:after="0"/>
              <w:rPr>
                <w:sz w:val="20"/>
                <w:szCs w:val="20"/>
                <w:color w:val="auto"/>
              </w:rPr>
            </w:pPr>
            <w:r>
              <w:rPr>
                <w:rFonts w:ascii="Times New Roman" w:cs="Times New Roman" w:eastAsia="Times New Roman" w:hAnsi="Times New Roman"/>
                <w:sz w:val="16"/>
                <w:szCs w:val="16"/>
                <w:color w:val="0000FF"/>
              </w:rPr>
              <w:t>Other Accrued Expenses</w:t>
            </w:r>
          </w:p>
        </w:tc>
        <w:tc>
          <w:tcPr>
            <w:tcW w:w="280" w:type="dxa"/>
            <w:vAlign w:val="bottom"/>
            <w:tcBorders>
              <w:top w:val="single" w:sz="8" w:color="0000FF"/>
            </w:tcBorders>
            <w:gridSpan w:val="3"/>
          </w:tcPr>
          <w:p>
            <w:pPr>
              <w:spacing w:after="0"/>
              <w:rPr>
                <w:sz w:val="17"/>
                <w:szCs w:val="17"/>
                <w:color w:val="auto"/>
              </w:rPr>
            </w:pPr>
          </w:p>
        </w:tc>
        <w:tc>
          <w:tcPr>
            <w:tcW w:w="5060" w:type="dxa"/>
            <w:vAlign w:val="bottom"/>
            <w:gridSpan w:val="13"/>
          </w:tcPr>
          <w:p>
            <w:pPr>
              <w:spacing w:after="0"/>
              <w:rPr>
                <w:sz w:val="17"/>
                <w:szCs w:val="17"/>
                <w:color w:val="auto"/>
              </w:rPr>
            </w:pPr>
          </w:p>
        </w:tc>
        <w:tc>
          <w:tcPr>
            <w:tcW w:w="1800" w:type="dxa"/>
            <w:vAlign w:val="bottom"/>
          </w:tcPr>
          <w:p>
            <w:pPr>
              <w:spacing w:after="0"/>
              <w:rPr>
                <w:sz w:val="17"/>
                <w:szCs w:val="17"/>
                <w:color w:val="auto"/>
              </w:rPr>
            </w:pPr>
          </w:p>
        </w:tc>
        <w:tc>
          <w:tcPr>
            <w:tcW w:w="80" w:type="dxa"/>
            <w:vAlign w:val="bottom"/>
            <w:tcBorders>
              <w:top w:val="single" w:sz="8" w:color="0000FF"/>
              <w:bottom w:val="single" w:sz="8" w:color="0000FF"/>
            </w:tcBorders>
          </w:tcPr>
          <w:p>
            <w:pPr>
              <w:jc w:val="center"/>
              <w:spacing w:after="0"/>
              <w:rPr>
                <w:sz w:val="20"/>
                <w:szCs w:val="20"/>
                <w:color w:val="auto"/>
              </w:rPr>
            </w:pPr>
            <w:r>
              <w:rPr>
                <w:rFonts w:ascii="Times New Roman" w:cs="Times New Roman" w:eastAsia="Times New Roman" w:hAnsi="Times New Roman"/>
                <w:sz w:val="16"/>
                <w:szCs w:val="16"/>
                <w:color w:val="0000FF"/>
                <w:w w:val="74"/>
              </w:rPr>
              <w:t>19</w:t>
            </w:r>
          </w:p>
        </w:tc>
        <w:tc>
          <w:tcPr>
            <w:tcW w:w="120" w:type="dxa"/>
            <w:vAlign w:val="bottom"/>
          </w:tcPr>
          <w:p>
            <w:pPr>
              <w:spacing w:after="0"/>
              <w:rPr>
                <w:sz w:val="17"/>
                <w:szCs w:val="17"/>
                <w:color w:val="auto"/>
              </w:rPr>
            </w:pPr>
          </w:p>
        </w:tc>
      </w:tr>
      <w:tr>
        <w:trPr>
          <w:trHeight w:val="196"/>
        </w:trPr>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0E32E1"/>
              </w:rPr>
              <w:t>8.</w:t>
            </w:r>
          </w:p>
        </w:tc>
        <w:tc>
          <w:tcPr>
            <w:tcW w:w="32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6"/>
                <w:szCs w:val="16"/>
                <w:color w:val="0000FF"/>
                <w:w w:val="96"/>
              </w:rPr>
              <w:t>Debt</w:t>
            </w:r>
          </w:p>
        </w:tc>
        <w:tc>
          <w:tcPr>
            <w:tcW w:w="6640" w:type="dxa"/>
            <w:vAlign w:val="bottom"/>
            <w:gridSpan w:val="24"/>
          </w:tcPr>
          <w:p>
            <w:pPr>
              <w:spacing w:after="0"/>
              <w:rPr>
                <w:sz w:val="17"/>
                <w:szCs w:val="17"/>
                <w:color w:val="auto"/>
              </w:rPr>
            </w:pPr>
          </w:p>
        </w:tc>
        <w:tc>
          <w:tcPr>
            <w:tcW w:w="1800" w:type="dxa"/>
            <w:vAlign w:val="bottom"/>
          </w:tcPr>
          <w:p>
            <w:pPr>
              <w:spacing w:after="0"/>
              <w:rPr>
                <w:sz w:val="17"/>
                <w:szCs w:val="17"/>
                <w:color w:val="auto"/>
              </w:rPr>
            </w:pPr>
          </w:p>
        </w:tc>
        <w:tc>
          <w:tcPr>
            <w:tcW w:w="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6"/>
                <w:szCs w:val="16"/>
                <w:color w:val="0000FF"/>
                <w:w w:val="74"/>
              </w:rPr>
              <w:t>19</w:t>
            </w:r>
          </w:p>
        </w:tc>
        <w:tc>
          <w:tcPr>
            <w:tcW w:w="120" w:type="dxa"/>
            <w:vAlign w:val="bottom"/>
          </w:tcPr>
          <w:p>
            <w:pPr>
              <w:spacing w:after="0"/>
              <w:rPr>
                <w:sz w:val="17"/>
                <w:szCs w:val="17"/>
                <w:color w:val="auto"/>
              </w:rPr>
            </w:pPr>
          </w:p>
        </w:tc>
      </w:tr>
      <w:tr>
        <w:trPr>
          <w:trHeight w:val="196"/>
        </w:trPr>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0E32E1"/>
              </w:rPr>
              <w:t>9.</w:t>
            </w:r>
          </w:p>
        </w:tc>
        <w:tc>
          <w:tcPr>
            <w:tcW w:w="124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6"/>
                <w:szCs w:val="16"/>
                <w:color w:val="0000FF"/>
              </w:rPr>
              <w:t>Lease Obligations</w:t>
            </w:r>
          </w:p>
        </w:tc>
        <w:tc>
          <w:tcPr>
            <w:tcW w:w="5720" w:type="dxa"/>
            <w:vAlign w:val="bottom"/>
            <w:gridSpan w:val="19"/>
          </w:tcPr>
          <w:p>
            <w:pPr>
              <w:spacing w:after="0"/>
              <w:rPr>
                <w:sz w:val="17"/>
                <w:szCs w:val="17"/>
                <w:color w:val="auto"/>
              </w:rPr>
            </w:pPr>
          </w:p>
        </w:tc>
        <w:tc>
          <w:tcPr>
            <w:tcW w:w="1800" w:type="dxa"/>
            <w:vAlign w:val="bottom"/>
          </w:tcPr>
          <w:p>
            <w:pPr>
              <w:spacing w:after="0"/>
              <w:rPr>
                <w:sz w:val="17"/>
                <w:szCs w:val="17"/>
                <w:color w:val="auto"/>
              </w:rPr>
            </w:pPr>
          </w:p>
        </w:tc>
        <w:tc>
          <w:tcPr>
            <w:tcW w:w="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6"/>
                <w:szCs w:val="16"/>
                <w:color w:val="0000FF"/>
                <w:w w:val="74"/>
              </w:rPr>
              <w:t>21</w:t>
            </w:r>
          </w:p>
        </w:tc>
        <w:tc>
          <w:tcPr>
            <w:tcW w:w="120" w:type="dxa"/>
            <w:vAlign w:val="bottom"/>
          </w:tcPr>
          <w:p>
            <w:pPr>
              <w:spacing w:after="0"/>
              <w:rPr>
                <w:sz w:val="17"/>
                <w:szCs w:val="17"/>
                <w:color w:val="auto"/>
              </w:rPr>
            </w:pPr>
          </w:p>
        </w:tc>
      </w:tr>
      <w:tr>
        <w:trPr>
          <w:trHeight w:val="196"/>
        </w:trPr>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0E32E1"/>
              </w:rPr>
              <w:t>10.</w:t>
            </w:r>
          </w:p>
        </w:tc>
        <w:tc>
          <w:tcPr>
            <w:tcW w:w="136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6"/>
                <w:szCs w:val="16"/>
                <w:color w:val="0000FF"/>
              </w:rPr>
              <w:t>Stockholders' Equity</w:t>
            </w:r>
          </w:p>
        </w:tc>
        <w:tc>
          <w:tcPr>
            <w:tcW w:w="5600" w:type="dxa"/>
            <w:vAlign w:val="bottom"/>
            <w:gridSpan w:val="18"/>
          </w:tcPr>
          <w:p>
            <w:pPr>
              <w:spacing w:after="0"/>
              <w:rPr>
                <w:sz w:val="17"/>
                <w:szCs w:val="17"/>
                <w:color w:val="auto"/>
              </w:rPr>
            </w:pPr>
          </w:p>
        </w:tc>
        <w:tc>
          <w:tcPr>
            <w:tcW w:w="1800" w:type="dxa"/>
            <w:vAlign w:val="bottom"/>
          </w:tcPr>
          <w:p>
            <w:pPr>
              <w:spacing w:after="0"/>
              <w:rPr>
                <w:sz w:val="17"/>
                <w:szCs w:val="17"/>
                <w:color w:val="auto"/>
              </w:rPr>
            </w:pPr>
          </w:p>
        </w:tc>
        <w:tc>
          <w:tcPr>
            <w:tcW w:w="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6"/>
                <w:szCs w:val="16"/>
                <w:color w:val="0000FF"/>
                <w:w w:val="74"/>
              </w:rPr>
              <w:t>22</w:t>
            </w:r>
          </w:p>
        </w:tc>
        <w:tc>
          <w:tcPr>
            <w:tcW w:w="120" w:type="dxa"/>
            <w:vAlign w:val="bottom"/>
          </w:tcPr>
          <w:p>
            <w:pPr>
              <w:spacing w:after="0"/>
              <w:rPr>
                <w:sz w:val="17"/>
                <w:szCs w:val="17"/>
                <w:color w:val="auto"/>
              </w:rPr>
            </w:pPr>
          </w:p>
        </w:tc>
      </w:tr>
      <w:tr>
        <w:trPr>
          <w:trHeight w:val="196"/>
        </w:trPr>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0E32E1"/>
              </w:rPr>
              <w:t>11.</w:t>
            </w:r>
          </w:p>
        </w:tc>
        <w:tc>
          <w:tcPr>
            <w:tcW w:w="6960" w:type="dxa"/>
            <w:vAlign w:val="bottom"/>
            <w:gridSpan w:val="27"/>
          </w:tcPr>
          <w:p>
            <w:pPr>
              <w:spacing w:after="0"/>
              <w:rPr>
                <w:sz w:val="20"/>
                <w:szCs w:val="20"/>
                <w:color w:val="auto"/>
              </w:rPr>
            </w:pPr>
            <w:r>
              <w:rPr>
                <w:rFonts w:ascii="Times New Roman" w:cs="Times New Roman" w:eastAsia="Times New Roman" w:hAnsi="Times New Roman"/>
                <w:sz w:val="16"/>
                <w:szCs w:val="16"/>
                <w:color w:val="0000FF"/>
              </w:rPr>
              <w:t>Income Taxes</w:t>
            </w:r>
          </w:p>
        </w:tc>
        <w:tc>
          <w:tcPr>
            <w:tcW w:w="1880" w:type="dxa"/>
            <w:vAlign w:val="bottom"/>
            <w:gridSpan w:val="2"/>
          </w:tcPr>
          <w:p>
            <w:pPr>
              <w:jc w:val="center"/>
              <w:ind w:left="1639"/>
              <w:spacing w:after="0"/>
              <w:rPr>
                <w:sz w:val="20"/>
                <w:szCs w:val="20"/>
                <w:color w:val="auto"/>
              </w:rPr>
            </w:pPr>
            <w:r>
              <w:rPr>
                <w:rFonts w:ascii="Times New Roman" w:cs="Times New Roman" w:eastAsia="Times New Roman" w:hAnsi="Times New Roman"/>
                <w:sz w:val="16"/>
                <w:szCs w:val="16"/>
                <w:color w:val="0000FF"/>
                <w:w w:val="99"/>
              </w:rPr>
              <w:t>23</w:t>
            </w:r>
          </w:p>
        </w:tc>
        <w:tc>
          <w:tcPr>
            <w:tcW w:w="120" w:type="dxa"/>
            <w:vAlign w:val="bottom"/>
          </w:tcPr>
          <w:p>
            <w:pPr>
              <w:spacing w:after="0"/>
              <w:rPr>
                <w:sz w:val="17"/>
                <w:szCs w:val="17"/>
                <w:color w:val="auto"/>
              </w:rPr>
            </w:pPr>
          </w:p>
        </w:tc>
      </w:tr>
      <w:tr>
        <w:trPr>
          <w:trHeight w:val="20"/>
        </w:trPr>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gridSpan w:val="4"/>
          </w:tcPr>
          <w:p>
            <w:pPr>
              <w:spacing w:after="0" w:line="20" w:lineRule="exact"/>
              <w:rPr>
                <w:sz w:val="1"/>
                <w:szCs w:val="1"/>
                <w:color w:val="auto"/>
              </w:rPr>
            </w:pPr>
          </w:p>
        </w:tc>
        <w:tc>
          <w:tcPr>
            <w:tcW w:w="1880" w:type="dxa"/>
            <w:vAlign w:val="bottom"/>
            <w:gridSpan w:val="4"/>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8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0E32E1"/>
              </w:rPr>
              <w:t>12.</w:t>
            </w:r>
          </w:p>
        </w:tc>
        <w:tc>
          <w:tcPr>
            <w:tcW w:w="226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6"/>
                <w:szCs w:val="16"/>
                <w:color w:val="0000FF"/>
              </w:rPr>
              <w:t>Segments and Related Information</w:t>
            </w:r>
          </w:p>
        </w:tc>
        <w:tc>
          <w:tcPr>
            <w:tcW w:w="4700" w:type="dxa"/>
            <w:vAlign w:val="bottom"/>
            <w:gridSpan w:val="9"/>
          </w:tcPr>
          <w:p>
            <w:pPr>
              <w:spacing w:after="0"/>
              <w:rPr>
                <w:sz w:val="17"/>
                <w:szCs w:val="17"/>
                <w:color w:val="auto"/>
              </w:rPr>
            </w:pPr>
          </w:p>
        </w:tc>
        <w:tc>
          <w:tcPr>
            <w:tcW w:w="1800" w:type="dxa"/>
            <w:vAlign w:val="bottom"/>
          </w:tcPr>
          <w:p>
            <w:pPr>
              <w:spacing w:after="0"/>
              <w:rPr>
                <w:sz w:val="17"/>
                <w:szCs w:val="17"/>
                <w:color w:val="auto"/>
              </w:rPr>
            </w:pPr>
          </w:p>
        </w:tc>
        <w:tc>
          <w:tcPr>
            <w:tcW w:w="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6"/>
                <w:szCs w:val="16"/>
                <w:color w:val="0000FF"/>
                <w:w w:val="74"/>
              </w:rPr>
              <w:t>23</w:t>
            </w:r>
          </w:p>
        </w:tc>
        <w:tc>
          <w:tcPr>
            <w:tcW w:w="120" w:type="dxa"/>
            <w:vAlign w:val="bottom"/>
          </w:tcPr>
          <w:p>
            <w:pPr>
              <w:spacing w:after="0"/>
              <w:rPr>
                <w:sz w:val="17"/>
                <w:szCs w:val="17"/>
                <w:color w:val="auto"/>
              </w:rPr>
            </w:pPr>
          </w:p>
        </w:tc>
      </w:tr>
      <w:tr>
        <w:trPr>
          <w:trHeight w:val="196"/>
        </w:trPr>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0E32E1"/>
              </w:rPr>
              <w:t>13.</w:t>
            </w:r>
          </w:p>
        </w:tc>
        <w:tc>
          <w:tcPr>
            <w:tcW w:w="6960" w:type="dxa"/>
            <w:vAlign w:val="bottom"/>
            <w:gridSpan w:val="27"/>
          </w:tcPr>
          <w:p>
            <w:pPr>
              <w:spacing w:after="0"/>
              <w:rPr>
                <w:sz w:val="20"/>
                <w:szCs w:val="20"/>
                <w:color w:val="auto"/>
              </w:rPr>
            </w:pPr>
            <w:r>
              <w:rPr>
                <w:rFonts w:ascii="Times New Roman" w:cs="Times New Roman" w:eastAsia="Times New Roman" w:hAnsi="Times New Roman"/>
                <w:sz w:val="16"/>
                <w:szCs w:val="16"/>
                <w:color w:val="0000FF"/>
              </w:rPr>
              <w:t>Commitments and Contingencies</w:t>
            </w:r>
          </w:p>
        </w:tc>
        <w:tc>
          <w:tcPr>
            <w:tcW w:w="1880" w:type="dxa"/>
            <w:vAlign w:val="bottom"/>
            <w:gridSpan w:val="2"/>
          </w:tcPr>
          <w:p>
            <w:pPr>
              <w:jc w:val="center"/>
              <w:ind w:left="1639"/>
              <w:spacing w:after="0"/>
              <w:rPr>
                <w:sz w:val="20"/>
                <w:szCs w:val="20"/>
                <w:color w:val="auto"/>
              </w:rPr>
            </w:pPr>
            <w:r>
              <w:rPr>
                <w:rFonts w:ascii="Times New Roman" w:cs="Times New Roman" w:eastAsia="Times New Roman" w:hAnsi="Times New Roman"/>
                <w:sz w:val="16"/>
                <w:szCs w:val="16"/>
                <w:color w:val="0000FF"/>
                <w:w w:val="99"/>
              </w:rPr>
              <w:t>26</w:t>
            </w:r>
          </w:p>
        </w:tc>
        <w:tc>
          <w:tcPr>
            <w:tcW w:w="120" w:type="dxa"/>
            <w:vAlign w:val="bottom"/>
          </w:tcPr>
          <w:p>
            <w:pPr>
              <w:spacing w:after="0"/>
              <w:rPr>
                <w:sz w:val="17"/>
                <w:szCs w:val="17"/>
                <w:color w:val="auto"/>
              </w:rPr>
            </w:pPr>
          </w:p>
        </w:tc>
      </w:tr>
      <w:tr>
        <w:trPr>
          <w:trHeight w:val="196"/>
        </w:trPr>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0E32E1"/>
              </w:rPr>
              <w:t>14.</w:t>
            </w:r>
          </w:p>
        </w:tc>
        <w:tc>
          <w:tcPr>
            <w:tcW w:w="2160" w:type="dxa"/>
            <w:vAlign w:val="bottom"/>
            <w:tcBorders>
              <w:top w:val="single" w:sz="8" w:color="0000FF"/>
            </w:tcBorders>
            <w:gridSpan w:val="17"/>
          </w:tcPr>
          <w:p>
            <w:pPr>
              <w:spacing w:after="0"/>
              <w:rPr>
                <w:sz w:val="20"/>
                <w:szCs w:val="20"/>
                <w:color w:val="auto"/>
              </w:rPr>
            </w:pPr>
            <w:r>
              <w:rPr>
                <w:rFonts w:ascii="Times New Roman" w:cs="Times New Roman" w:eastAsia="Times New Roman" w:hAnsi="Times New Roman"/>
                <w:sz w:val="16"/>
                <w:szCs w:val="16"/>
                <w:color w:val="0000FF"/>
              </w:rPr>
              <w:t>Related Party Transactions</w:t>
            </w:r>
          </w:p>
        </w:tc>
        <w:tc>
          <w:tcPr>
            <w:tcW w:w="4800" w:type="dxa"/>
            <w:vAlign w:val="bottom"/>
            <w:gridSpan w:val="10"/>
          </w:tcPr>
          <w:p>
            <w:pPr>
              <w:spacing w:after="0"/>
              <w:rPr>
                <w:sz w:val="17"/>
                <w:szCs w:val="17"/>
                <w:color w:val="auto"/>
              </w:rPr>
            </w:pPr>
          </w:p>
        </w:tc>
        <w:tc>
          <w:tcPr>
            <w:tcW w:w="1800" w:type="dxa"/>
            <w:vAlign w:val="bottom"/>
          </w:tcPr>
          <w:p>
            <w:pPr>
              <w:spacing w:after="0"/>
              <w:rPr>
                <w:sz w:val="17"/>
                <w:szCs w:val="17"/>
                <w:color w:val="auto"/>
              </w:rPr>
            </w:pPr>
          </w:p>
        </w:tc>
        <w:tc>
          <w:tcPr>
            <w:tcW w:w="80" w:type="dxa"/>
            <w:vAlign w:val="bottom"/>
            <w:tcBorders>
              <w:top w:val="single" w:sz="8" w:color="0000FF"/>
            </w:tcBorders>
          </w:tcPr>
          <w:p>
            <w:pPr>
              <w:jc w:val="center"/>
              <w:spacing w:after="0"/>
              <w:rPr>
                <w:sz w:val="20"/>
                <w:szCs w:val="20"/>
                <w:color w:val="auto"/>
              </w:rPr>
            </w:pPr>
            <w:r>
              <w:rPr>
                <w:rFonts w:ascii="Times New Roman" w:cs="Times New Roman" w:eastAsia="Times New Roman" w:hAnsi="Times New Roman"/>
                <w:sz w:val="16"/>
                <w:szCs w:val="16"/>
                <w:color w:val="0000FF"/>
                <w:w w:val="74"/>
              </w:rPr>
              <w:t>27</w:t>
            </w:r>
          </w:p>
        </w:tc>
        <w:tc>
          <w:tcPr>
            <w:tcW w:w="120" w:type="dxa"/>
            <w:vAlign w:val="bottom"/>
          </w:tcPr>
          <w:p>
            <w:pPr>
              <w:spacing w:after="0"/>
              <w:rPr>
                <w:sz w:val="17"/>
                <w:szCs w:val="17"/>
                <w:color w:val="auto"/>
              </w:rPr>
            </w:pPr>
          </w:p>
        </w:tc>
      </w:tr>
      <w:tr>
        <w:trPr>
          <w:trHeight w:val="20"/>
        </w:trPr>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700" w:type="dxa"/>
            <w:vAlign w:val="bottom"/>
            <w:gridSpan w:val="5"/>
            <w:shd w:val="clear" w:color="auto" w:fill="0000FF"/>
          </w:tcPr>
          <w:p>
            <w:pPr>
              <w:spacing w:after="0" w:line="20" w:lineRule="exact"/>
              <w:rPr>
                <w:sz w:val="1"/>
                <w:szCs w:val="1"/>
                <w:color w:val="auto"/>
              </w:rPr>
            </w:pPr>
          </w:p>
        </w:tc>
        <w:tc>
          <w:tcPr>
            <w:tcW w:w="1640" w:type="dxa"/>
            <w:vAlign w:val="bottom"/>
            <w:gridSpan w:val="10"/>
          </w:tcPr>
          <w:p>
            <w:pPr>
              <w:spacing w:after="0" w:line="20" w:lineRule="exact"/>
              <w:rPr>
                <w:sz w:val="1"/>
                <w:szCs w:val="1"/>
                <w:color w:val="auto"/>
              </w:rPr>
            </w:pPr>
          </w:p>
        </w:tc>
        <w:tc>
          <w:tcPr>
            <w:tcW w:w="1880" w:type="dxa"/>
            <w:vAlign w:val="bottom"/>
            <w:gridSpan w:val="4"/>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8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Item 2</w:t>
            </w:r>
          </w:p>
        </w:tc>
        <w:tc>
          <w:tcPr>
            <w:tcW w:w="560" w:type="dxa"/>
            <w:vAlign w:val="bottom"/>
            <w:gridSpan w:val="2"/>
          </w:tcPr>
          <w:p>
            <w:pPr>
              <w:spacing w:after="0"/>
              <w:rPr>
                <w:sz w:val="17"/>
                <w:szCs w:val="17"/>
                <w:color w:val="auto"/>
              </w:rPr>
            </w:pPr>
          </w:p>
        </w:tc>
        <w:tc>
          <w:tcPr>
            <w:tcW w:w="7500" w:type="dxa"/>
            <w:vAlign w:val="bottom"/>
            <w:gridSpan w:val="29"/>
          </w:tcPr>
          <w:p>
            <w:pPr>
              <w:spacing w:after="0"/>
              <w:rPr>
                <w:sz w:val="20"/>
                <w:szCs w:val="20"/>
                <w:color w:val="auto"/>
              </w:rPr>
            </w:pPr>
            <w:r>
              <w:rPr>
                <w:rFonts w:ascii="Times New Roman" w:cs="Times New Roman" w:eastAsia="Times New Roman" w:hAnsi="Times New Roman"/>
                <w:sz w:val="16"/>
                <w:szCs w:val="16"/>
                <w:color w:val="0000FF"/>
              </w:rPr>
              <w:t>Management’s Discussion and Analysis of Financial Condition and Results of Operations</w:t>
            </w:r>
          </w:p>
        </w:tc>
        <w:tc>
          <w:tcPr>
            <w:tcW w:w="1880" w:type="dxa"/>
            <w:vAlign w:val="bottom"/>
            <w:gridSpan w:val="2"/>
          </w:tcPr>
          <w:p>
            <w:pPr>
              <w:jc w:val="center"/>
              <w:ind w:left="1639"/>
              <w:spacing w:after="0"/>
              <w:rPr>
                <w:sz w:val="20"/>
                <w:szCs w:val="20"/>
                <w:color w:val="auto"/>
              </w:rPr>
            </w:pPr>
            <w:r>
              <w:rPr>
                <w:rFonts w:ascii="Times New Roman" w:cs="Times New Roman" w:eastAsia="Times New Roman" w:hAnsi="Times New Roman"/>
                <w:sz w:val="16"/>
                <w:szCs w:val="16"/>
                <w:color w:val="0000FF"/>
                <w:w w:val="99"/>
              </w:rPr>
              <w:t>29</w:t>
            </w:r>
          </w:p>
        </w:tc>
        <w:tc>
          <w:tcPr>
            <w:tcW w:w="120" w:type="dxa"/>
            <w:vAlign w:val="bottom"/>
          </w:tcPr>
          <w:p>
            <w:pPr>
              <w:spacing w:after="0"/>
              <w:rPr>
                <w:sz w:val="17"/>
                <w:szCs w:val="17"/>
                <w:color w:val="auto"/>
              </w:rPr>
            </w:pPr>
          </w:p>
        </w:tc>
      </w:tr>
      <w:tr>
        <w:trPr>
          <w:trHeight w:val="196"/>
        </w:trPr>
        <w:tc>
          <w:tcPr>
            <w:tcW w:w="340" w:type="dxa"/>
            <w:vAlign w:val="bottom"/>
          </w:tcPr>
          <w:p>
            <w:pPr>
              <w:spacing w:after="0"/>
              <w:rPr>
                <w:sz w:val="17"/>
                <w:szCs w:val="17"/>
                <w:color w:val="auto"/>
              </w:rPr>
            </w:pPr>
          </w:p>
        </w:tc>
        <w:tc>
          <w:tcPr>
            <w:tcW w:w="52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6"/>
                <w:szCs w:val="16"/>
                <w:color w:val="0000FF"/>
              </w:rPr>
              <w:t>Item 3</w:t>
            </w:r>
          </w:p>
        </w:tc>
        <w:tc>
          <w:tcPr>
            <w:tcW w:w="560" w:type="dxa"/>
            <w:vAlign w:val="bottom"/>
            <w:gridSpan w:val="2"/>
          </w:tcPr>
          <w:p>
            <w:pPr>
              <w:spacing w:after="0"/>
              <w:rPr>
                <w:sz w:val="17"/>
                <w:szCs w:val="17"/>
                <w:color w:val="auto"/>
              </w:rPr>
            </w:pPr>
          </w:p>
        </w:tc>
        <w:tc>
          <w:tcPr>
            <w:tcW w:w="5800" w:type="dxa"/>
            <w:vAlign w:val="bottom"/>
            <w:tcBorders>
              <w:top w:val="single" w:sz="8" w:color="0000FF"/>
            </w:tcBorders>
            <w:gridSpan w:val="28"/>
          </w:tcPr>
          <w:p>
            <w:pPr>
              <w:spacing w:after="0"/>
              <w:rPr>
                <w:sz w:val="20"/>
                <w:szCs w:val="20"/>
                <w:color w:val="auto"/>
              </w:rPr>
            </w:pPr>
            <w:r>
              <w:rPr>
                <w:rFonts w:ascii="Times New Roman" w:cs="Times New Roman" w:eastAsia="Times New Roman" w:hAnsi="Times New Roman"/>
                <w:sz w:val="16"/>
                <w:szCs w:val="16"/>
                <w:color w:val="0000FF"/>
              </w:rPr>
              <w:t>Quantitative and Qualitative Disclosures About Market Risk</w:t>
            </w:r>
          </w:p>
        </w:tc>
        <w:tc>
          <w:tcPr>
            <w:tcW w:w="1700" w:type="dxa"/>
            <w:vAlign w:val="bottom"/>
          </w:tcPr>
          <w:p>
            <w:pPr>
              <w:spacing w:after="0"/>
              <w:rPr>
                <w:sz w:val="17"/>
                <w:szCs w:val="17"/>
                <w:color w:val="auto"/>
              </w:rPr>
            </w:pPr>
          </w:p>
        </w:tc>
        <w:tc>
          <w:tcPr>
            <w:tcW w:w="1880" w:type="dxa"/>
            <w:vAlign w:val="bottom"/>
            <w:gridSpan w:val="2"/>
          </w:tcPr>
          <w:p>
            <w:pPr>
              <w:jc w:val="center"/>
              <w:ind w:left="1639"/>
              <w:spacing w:after="0"/>
              <w:rPr>
                <w:sz w:val="20"/>
                <w:szCs w:val="20"/>
                <w:color w:val="auto"/>
              </w:rPr>
            </w:pPr>
            <w:r>
              <w:rPr>
                <w:rFonts w:ascii="Times New Roman" w:cs="Times New Roman" w:eastAsia="Times New Roman" w:hAnsi="Times New Roman"/>
                <w:sz w:val="16"/>
                <w:szCs w:val="16"/>
                <w:color w:val="0000FF"/>
                <w:w w:val="99"/>
              </w:rPr>
              <w:t>43</w:t>
            </w:r>
          </w:p>
        </w:tc>
        <w:tc>
          <w:tcPr>
            <w:tcW w:w="120" w:type="dxa"/>
            <w:vAlign w:val="bottom"/>
          </w:tcPr>
          <w:p>
            <w:pPr>
              <w:spacing w:after="0"/>
              <w:rPr>
                <w:sz w:val="17"/>
                <w:szCs w:val="17"/>
                <w:color w:val="auto"/>
              </w:rPr>
            </w:pPr>
          </w:p>
        </w:tc>
      </w:tr>
      <w:tr>
        <w:trPr>
          <w:trHeight w:val="20"/>
        </w:trPr>
        <w:tc>
          <w:tcPr>
            <w:tcW w:w="3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2340" w:type="dxa"/>
            <w:vAlign w:val="bottom"/>
            <w:tcBorders>
              <w:right w:val="single" w:sz="8" w:color="0000FF"/>
            </w:tcBorders>
            <w:gridSpan w:val="15"/>
            <w:shd w:val="clear" w:color="auto" w:fill="0000FF"/>
          </w:tcPr>
          <w:p>
            <w:pPr>
              <w:spacing w:after="0" w:line="20" w:lineRule="exact"/>
              <w:rPr>
                <w:sz w:val="1"/>
                <w:szCs w:val="1"/>
                <w:color w:val="auto"/>
              </w:rPr>
            </w:pPr>
          </w:p>
        </w:tc>
        <w:tc>
          <w:tcPr>
            <w:tcW w:w="3580" w:type="dxa"/>
            <w:vAlign w:val="bottom"/>
            <w:gridSpan w:val="5"/>
          </w:tcPr>
          <w:p>
            <w:pPr>
              <w:spacing w:after="0" w:line="20" w:lineRule="exact"/>
              <w:rPr>
                <w:sz w:val="1"/>
                <w:szCs w:val="1"/>
                <w:color w:val="auto"/>
              </w:rPr>
            </w:pPr>
          </w:p>
        </w:tc>
        <w:tc>
          <w:tcPr>
            <w:tcW w:w="18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108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Item 4</w:t>
            </w:r>
          </w:p>
        </w:tc>
        <w:tc>
          <w:tcPr>
            <w:tcW w:w="7500" w:type="dxa"/>
            <w:vAlign w:val="bottom"/>
            <w:gridSpan w:val="29"/>
          </w:tcPr>
          <w:p>
            <w:pPr>
              <w:spacing w:after="0"/>
              <w:rPr>
                <w:sz w:val="20"/>
                <w:szCs w:val="20"/>
                <w:color w:val="auto"/>
              </w:rPr>
            </w:pPr>
            <w:r>
              <w:rPr>
                <w:rFonts w:ascii="Times New Roman" w:cs="Times New Roman" w:eastAsia="Times New Roman" w:hAnsi="Times New Roman"/>
                <w:sz w:val="16"/>
                <w:szCs w:val="16"/>
                <w:color w:val="0000FF"/>
              </w:rPr>
              <w:t>Controls and Procedures</w:t>
            </w:r>
          </w:p>
        </w:tc>
        <w:tc>
          <w:tcPr>
            <w:tcW w:w="1880" w:type="dxa"/>
            <w:vAlign w:val="bottom"/>
            <w:gridSpan w:val="2"/>
          </w:tcPr>
          <w:p>
            <w:pPr>
              <w:jc w:val="center"/>
              <w:ind w:left="1639"/>
              <w:spacing w:after="0"/>
              <w:rPr>
                <w:sz w:val="20"/>
                <w:szCs w:val="20"/>
                <w:color w:val="auto"/>
              </w:rPr>
            </w:pPr>
            <w:r>
              <w:rPr>
                <w:rFonts w:ascii="Times New Roman" w:cs="Times New Roman" w:eastAsia="Times New Roman" w:hAnsi="Times New Roman"/>
                <w:sz w:val="16"/>
                <w:szCs w:val="16"/>
                <w:color w:val="0000FF"/>
                <w:w w:val="99"/>
              </w:rPr>
              <w:t>43</w:t>
            </w:r>
          </w:p>
        </w:tc>
        <w:tc>
          <w:tcPr>
            <w:tcW w:w="120" w:type="dxa"/>
            <w:vAlign w:val="bottom"/>
          </w:tcPr>
          <w:p>
            <w:pPr>
              <w:spacing w:after="0"/>
              <w:rPr>
                <w:sz w:val="17"/>
                <w:szCs w:val="17"/>
                <w:color w:val="auto"/>
              </w:rPr>
            </w:pPr>
          </w:p>
        </w:tc>
      </w:tr>
      <w:tr>
        <w:trPr>
          <w:trHeight w:val="20"/>
        </w:trPr>
        <w:tc>
          <w:tcPr>
            <w:tcW w:w="3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2340" w:type="dxa"/>
            <w:vAlign w:val="bottom"/>
            <w:gridSpan w:val="15"/>
          </w:tcPr>
          <w:p>
            <w:pPr>
              <w:spacing w:after="0" w:line="20" w:lineRule="exact"/>
              <w:rPr>
                <w:sz w:val="1"/>
                <w:szCs w:val="1"/>
                <w:color w:val="auto"/>
              </w:rPr>
            </w:pPr>
          </w:p>
        </w:tc>
        <w:tc>
          <w:tcPr>
            <w:tcW w:w="3580" w:type="dxa"/>
            <w:vAlign w:val="bottom"/>
            <w:gridSpan w:val="5"/>
          </w:tcPr>
          <w:p>
            <w:pPr>
              <w:spacing w:after="0" w:line="20" w:lineRule="exact"/>
              <w:rPr>
                <w:sz w:val="1"/>
                <w:szCs w:val="1"/>
                <w:color w:val="auto"/>
              </w:rPr>
            </w:pPr>
          </w:p>
        </w:tc>
        <w:tc>
          <w:tcPr>
            <w:tcW w:w="18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r>
      <w:tr>
        <w:trPr>
          <w:trHeight w:val="196"/>
        </w:trPr>
        <w:tc>
          <w:tcPr>
            <w:tcW w:w="220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6"/>
                <w:szCs w:val="16"/>
                <w:color w:val="0000FF"/>
              </w:rPr>
              <w:t>Part II. OTHER INFORMATION</w:t>
            </w:r>
          </w:p>
        </w:tc>
        <w:tc>
          <w:tcPr>
            <w:tcW w:w="6720" w:type="dxa"/>
            <w:vAlign w:val="bottom"/>
            <w:gridSpan w:val="26"/>
          </w:tcPr>
          <w:p>
            <w:pPr>
              <w:spacing w:after="0"/>
              <w:rPr>
                <w:sz w:val="17"/>
                <w:szCs w:val="17"/>
                <w:color w:val="auto"/>
              </w:rPr>
            </w:pPr>
          </w:p>
        </w:tc>
        <w:tc>
          <w:tcPr>
            <w:tcW w:w="1800" w:type="dxa"/>
            <w:vAlign w:val="bottom"/>
          </w:tcPr>
          <w:p>
            <w:pPr>
              <w:spacing w:after="0"/>
              <w:rPr>
                <w:sz w:val="17"/>
                <w:szCs w:val="17"/>
                <w:color w:val="auto"/>
              </w:rPr>
            </w:pPr>
          </w:p>
        </w:tc>
        <w:tc>
          <w:tcPr>
            <w:tcW w:w="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6"/>
                <w:szCs w:val="16"/>
                <w:color w:val="0000FF"/>
                <w:w w:val="74"/>
              </w:rPr>
              <w:t>45</w:t>
            </w:r>
          </w:p>
        </w:tc>
        <w:tc>
          <w:tcPr>
            <w:tcW w:w="120" w:type="dxa"/>
            <w:vAlign w:val="bottom"/>
          </w:tcPr>
          <w:p>
            <w:pPr>
              <w:spacing w:after="0"/>
              <w:rPr>
                <w:sz w:val="17"/>
                <w:szCs w:val="17"/>
                <w:color w:val="auto"/>
              </w:rPr>
            </w:pPr>
          </w:p>
        </w:tc>
      </w:tr>
      <w:tr>
        <w:trPr>
          <w:trHeight w:val="196"/>
        </w:trPr>
        <w:tc>
          <w:tcPr>
            <w:tcW w:w="340" w:type="dxa"/>
            <w:vAlign w:val="bottom"/>
          </w:tcPr>
          <w:p>
            <w:pPr>
              <w:spacing w:after="0"/>
              <w:rPr>
                <w:sz w:val="17"/>
                <w:szCs w:val="17"/>
                <w:color w:val="auto"/>
              </w:rPr>
            </w:pPr>
          </w:p>
        </w:tc>
        <w:tc>
          <w:tcPr>
            <w:tcW w:w="108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Item 1</w:t>
            </w:r>
          </w:p>
        </w:tc>
        <w:tc>
          <w:tcPr>
            <w:tcW w:w="7500" w:type="dxa"/>
            <w:vAlign w:val="bottom"/>
            <w:gridSpan w:val="29"/>
          </w:tcPr>
          <w:p>
            <w:pPr>
              <w:spacing w:after="0"/>
              <w:rPr>
                <w:sz w:val="20"/>
                <w:szCs w:val="20"/>
                <w:color w:val="auto"/>
              </w:rPr>
            </w:pPr>
            <w:r>
              <w:rPr>
                <w:rFonts w:ascii="Times New Roman" w:cs="Times New Roman" w:eastAsia="Times New Roman" w:hAnsi="Times New Roman"/>
                <w:sz w:val="16"/>
                <w:szCs w:val="16"/>
                <w:color w:val="0000FF"/>
              </w:rPr>
              <w:t>Legal Proceedings</w:t>
            </w:r>
          </w:p>
        </w:tc>
        <w:tc>
          <w:tcPr>
            <w:tcW w:w="1880" w:type="dxa"/>
            <w:vAlign w:val="bottom"/>
            <w:gridSpan w:val="2"/>
          </w:tcPr>
          <w:p>
            <w:pPr>
              <w:jc w:val="center"/>
              <w:ind w:left="1639"/>
              <w:spacing w:after="0"/>
              <w:rPr>
                <w:sz w:val="20"/>
                <w:szCs w:val="20"/>
                <w:color w:val="auto"/>
              </w:rPr>
            </w:pPr>
            <w:r>
              <w:rPr>
                <w:rFonts w:ascii="Times New Roman" w:cs="Times New Roman" w:eastAsia="Times New Roman" w:hAnsi="Times New Roman"/>
                <w:sz w:val="16"/>
                <w:szCs w:val="16"/>
                <w:color w:val="0000FF"/>
                <w:w w:val="99"/>
              </w:rPr>
              <w:t>45</w:t>
            </w:r>
          </w:p>
        </w:tc>
        <w:tc>
          <w:tcPr>
            <w:tcW w:w="120" w:type="dxa"/>
            <w:vAlign w:val="bottom"/>
          </w:tcPr>
          <w:p>
            <w:pPr>
              <w:spacing w:after="0"/>
              <w:rPr>
                <w:sz w:val="17"/>
                <w:szCs w:val="17"/>
                <w:color w:val="auto"/>
              </w:rPr>
            </w:pPr>
          </w:p>
        </w:tc>
      </w:tr>
      <w:tr>
        <w:trPr>
          <w:trHeight w:val="20"/>
        </w:trPr>
        <w:tc>
          <w:tcPr>
            <w:tcW w:w="3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2740" w:type="dxa"/>
            <w:vAlign w:val="bottom"/>
            <w:tcBorders>
              <w:left w:val="single" w:sz="8" w:color="0000FF"/>
            </w:tcBorders>
            <w:gridSpan w:val="17"/>
          </w:tcPr>
          <w:p>
            <w:pPr>
              <w:spacing w:after="0" w:line="20" w:lineRule="exact"/>
              <w:rPr>
                <w:sz w:val="1"/>
                <w:szCs w:val="1"/>
                <w:color w:val="auto"/>
              </w:rPr>
            </w:pPr>
          </w:p>
        </w:tc>
        <w:tc>
          <w:tcPr>
            <w:tcW w:w="3580" w:type="dxa"/>
            <w:vAlign w:val="bottom"/>
            <w:gridSpan w:val="5"/>
          </w:tcPr>
          <w:p>
            <w:pPr>
              <w:spacing w:after="0" w:line="20" w:lineRule="exact"/>
              <w:rPr>
                <w:sz w:val="1"/>
                <w:szCs w:val="1"/>
                <w:color w:val="auto"/>
              </w:rPr>
            </w:pPr>
          </w:p>
        </w:tc>
        <w:tc>
          <w:tcPr>
            <w:tcW w:w="18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108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Item 1A</w:t>
            </w:r>
          </w:p>
        </w:tc>
        <w:tc>
          <w:tcPr>
            <w:tcW w:w="7500" w:type="dxa"/>
            <w:vAlign w:val="bottom"/>
            <w:gridSpan w:val="29"/>
          </w:tcPr>
          <w:p>
            <w:pPr>
              <w:spacing w:after="0"/>
              <w:rPr>
                <w:sz w:val="20"/>
                <w:szCs w:val="20"/>
                <w:color w:val="auto"/>
              </w:rPr>
            </w:pPr>
            <w:r>
              <w:rPr>
                <w:rFonts w:ascii="Times New Roman" w:cs="Times New Roman" w:eastAsia="Times New Roman" w:hAnsi="Times New Roman"/>
                <w:sz w:val="16"/>
                <w:szCs w:val="16"/>
                <w:color w:val="0000FF"/>
              </w:rPr>
              <w:t>Risk Factors</w:t>
            </w:r>
          </w:p>
        </w:tc>
        <w:tc>
          <w:tcPr>
            <w:tcW w:w="1880" w:type="dxa"/>
            <w:vAlign w:val="bottom"/>
            <w:gridSpan w:val="2"/>
          </w:tcPr>
          <w:p>
            <w:pPr>
              <w:jc w:val="center"/>
              <w:ind w:left="1639"/>
              <w:spacing w:after="0"/>
              <w:rPr>
                <w:sz w:val="20"/>
                <w:szCs w:val="20"/>
                <w:color w:val="auto"/>
              </w:rPr>
            </w:pPr>
            <w:r>
              <w:rPr>
                <w:rFonts w:ascii="Times New Roman" w:cs="Times New Roman" w:eastAsia="Times New Roman" w:hAnsi="Times New Roman"/>
                <w:sz w:val="16"/>
                <w:szCs w:val="16"/>
                <w:color w:val="0000FF"/>
                <w:w w:val="99"/>
              </w:rPr>
              <w:t>45</w:t>
            </w:r>
          </w:p>
        </w:tc>
        <w:tc>
          <w:tcPr>
            <w:tcW w:w="120" w:type="dxa"/>
            <w:vAlign w:val="bottom"/>
          </w:tcPr>
          <w:p>
            <w:pPr>
              <w:spacing w:after="0"/>
              <w:rPr>
                <w:sz w:val="17"/>
                <w:szCs w:val="17"/>
                <w:color w:val="auto"/>
              </w:rPr>
            </w:pPr>
          </w:p>
        </w:tc>
      </w:tr>
      <w:tr>
        <w:trPr>
          <w:trHeight w:val="20"/>
        </w:trPr>
        <w:tc>
          <w:tcPr>
            <w:tcW w:w="340" w:type="dxa"/>
            <w:vAlign w:val="bottom"/>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740" w:type="dxa"/>
            <w:vAlign w:val="bottom"/>
            <w:gridSpan w:val="17"/>
          </w:tcPr>
          <w:p>
            <w:pPr>
              <w:spacing w:after="0" w:line="20" w:lineRule="exact"/>
              <w:rPr>
                <w:sz w:val="1"/>
                <w:szCs w:val="1"/>
                <w:color w:val="auto"/>
              </w:rPr>
            </w:pPr>
          </w:p>
        </w:tc>
        <w:tc>
          <w:tcPr>
            <w:tcW w:w="3580" w:type="dxa"/>
            <w:vAlign w:val="bottom"/>
            <w:gridSpan w:val="5"/>
          </w:tcPr>
          <w:p>
            <w:pPr>
              <w:spacing w:after="0" w:line="20" w:lineRule="exact"/>
              <w:rPr>
                <w:sz w:val="1"/>
                <w:szCs w:val="1"/>
                <w:color w:val="auto"/>
              </w:rPr>
            </w:pPr>
          </w:p>
        </w:tc>
        <w:tc>
          <w:tcPr>
            <w:tcW w:w="18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Item 2</w:t>
            </w: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500" w:type="dxa"/>
            <w:vAlign w:val="bottom"/>
            <w:gridSpan w:val="29"/>
          </w:tcPr>
          <w:p>
            <w:pPr>
              <w:spacing w:after="0"/>
              <w:rPr>
                <w:sz w:val="20"/>
                <w:szCs w:val="20"/>
                <w:color w:val="auto"/>
              </w:rPr>
            </w:pPr>
            <w:r>
              <w:rPr>
                <w:rFonts w:ascii="Times New Roman" w:cs="Times New Roman" w:eastAsia="Times New Roman" w:hAnsi="Times New Roman"/>
                <w:sz w:val="16"/>
                <w:szCs w:val="16"/>
                <w:color w:val="0000FF"/>
              </w:rPr>
              <w:t>Unregistered Sales of Equity Securities and Use of Proceeds</w:t>
            </w:r>
          </w:p>
        </w:tc>
        <w:tc>
          <w:tcPr>
            <w:tcW w:w="1880" w:type="dxa"/>
            <w:vAlign w:val="bottom"/>
            <w:gridSpan w:val="2"/>
          </w:tcPr>
          <w:p>
            <w:pPr>
              <w:jc w:val="center"/>
              <w:ind w:left="1639"/>
              <w:spacing w:after="0"/>
              <w:rPr>
                <w:sz w:val="20"/>
                <w:szCs w:val="20"/>
                <w:color w:val="auto"/>
              </w:rPr>
            </w:pPr>
            <w:r>
              <w:rPr>
                <w:rFonts w:ascii="Times New Roman" w:cs="Times New Roman" w:eastAsia="Times New Roman" w:hAnsi="Times New Roman"/>
                <w:sz w:val="16"/>
                <w:szCs w:val="16"/>
                <w:color w:val="0000FF"/>
                <w:w w:val="99"/>
              </w:rPr>
              <w:t>45</w:t>
            </w:r>
          </w:p>
        </w:tc>
        <w:tc>
          <w:tcPr>
            <w:tcW w:w="120" w:type="dxa"/>
            <w:vAlign w:val="bottom"/>
          </w:tcPr>
          <w:p>
            <w:pPr>
              <w:spacing w:after="0"/>
              <w:rPr>
                <w:sz w:val="17"/>
                <w:szCs w:val="17"/>
                <w:color w:val="auto"/>
              </w:rPr>
            </w:pPr>
          </w:p>
        </w:tc>
      </w:tr>
      <w:tr>
        <w:trPr>
          <w:trHeight w:val="196"/>
        </w:trPr>
        <w:tc>
          <w:tcPr>
            <w:tcW w:w="340" w:type="dxa"/>
            <w:vAlign w:val="bottom"/>
          </w:tcPr>
          <w:p>
            <w:pPr>
              <w:spacing w:after="0"/>
              <w:rPr>
                <w:sz w:val="17"/>
                <w:szCs w:val="17"/>
                <w:color w:val="auto"/>
              </w:rPr>
            </w:pPr>
          </w:p>
        </w:tc>
        <w:tc>
          <w:tcPr>
            <w:tcW w:w="66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6"/>
                <w:szCs w:val="16"/>
                <w:color w:val="0000FF"/>
              </w:rPr>
              <w:t>Item 4</w:t>
            </w:r>
          </w:p>
        </w:tc>
        <w:tc>
          <w:tcPr>
            <w:tcW w:w="420" w:type="dxa"/>
            <w:vAlign w:val="bottom"/>
          </w:tcPr>
          <w:p>
            <w:pPr>
              <w:spacing w:after="0"/>
              <w:rPr>
                <w:sz w:val="17"/>
                <w:szCs w:val="17"/>
                <w:color w:val="auto"/>
              </w:rPr>
            </w:pPr>
          </w:p>
        </w:tc>
        <w:tc>
          <w:tcPr>
            <w:tcW w:w="3920" w:type="dxa"/>
            <w:vAlign w:val="bottom"/>
            <w:tcBorders>
              <w:top w:val="single" w:sz="8" w:color="0000FF"/>
            </w:tcBorders>
            <w:gridSpan w:val="24"/>
          </w:tcPr>
          <w:p>
            <w:pPr>
              <w:spacing w:after="0"/>
              <w:rPr>
                <w:sz w:val="20"/>
                <w:szCs w:val="20"/>
                <w:color w:val="auto"/>
              </w:rPr>
            </w:pPr>
            <w:r>
              <w:rPr>
                <w:rFonts w:ascii="Times New Roman" w:cs="Times New Roman" w:eastAsia="Times New Roman" w:hAnsi="Times New Roman"/>
                <w:sz w:val="16"/>
                <w:szCs w:val="16"/>
                <w:color w:val="0000FF"/>
              </w:rPr>
              <w:t>Mine Safety Disclosures</w:t>
            </w:r>
          </w:p>
        </w:tc>
        <w:tc>
          <w:tcPr>
            <w:tcW w:w="3580" w:type="dxa"/>
            <w:vAlign w:val="bottom"/>
            <w:gridSpan w:val="5"/>
          </w:tcPr>
          <w:p>
            <w:pPr>
              <w:spacing w:after="0"/>
              <w:rPr>
                <w:sz w:val="17"/>
                <w:szCs w:val="17"/>
                <w:color w:val="auto"/>
              </w:rPr>
            </w:pPr>
          </w:p>
        </w:tc>
        <w:tc>
          <w:tcPr>
            <w:tcW w:w="1880" w:type="dxa"/>
            <w:vAlign w:val="bottom"/>
            <w:gridSpan w:val="2"/>
          </w:tcPr>
          <w:p>
            <w:pPr>
              <w:jc w:val="center"/>
              <w:ind w:left="1639"/>
              <w:spacing w:after="0"/>
              <w:rPr>
                <w:sz w:val="20"/>
                <w:szCs w:val="20"/>
                <w:color w:val="auto"/>
              </w:rPr>
            </w:pPr>
            <w:r>
              <w:rPr>
                <w:rFonts w:ascii="Times New Roman" w:cs="Times New Roman" w:eastAsia="Times New Roman" w:hAnsi="Times New Roman"/>
                <w:sz w:val="16"/>
                <w:szCs w:val="16"/>
                <w:color w:val="0000FF"/>
                <w:w w:val="99"/>
              </w:rPr>
              <w:t>45</w:t>
            </w:r>
          </w:p>
        </w:tc>
        <w:tc>
          <w:tcPr>
            <w:tcW w:w="120" w:type="dxa"/>
            <w:vAlign w:val="bottom"/>
          </w:tcPr>
          <w:p>
            <w:pPr>
              <w:spacing w:after="0"/>
              <w:rPr>
                <w:sz w:val="17"/>
                <w:szCs w:val="17"/>
                <w:color w:val="auto"/>
              </w:rPr>
            </w:pPr>
          </w:p>
        </w:tc>
      </w:tr>
      <w:tr>
        <w:trPr>
          <w:trHeight w:val="20"/>
        </w:trPr>
        <w:tc>
          <w:tcPr>
            <w:tcW w:w="3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640" w:type="dxa"/>
            <w:vAlign w:val="bottom"/>
            <w:gridSpan w:val="5"/>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5920" w:type="dxa"/>
            <w:vAlign w:val="bottom"/>
            <w:gridSpan w:val="20"/>
          </w:tcPr>
          <w:p>
            <w:pPr>
              <w:spacing w:after="0" w:line="20" w:lineRule="exact"/>
              <w:rPr>
                <w:sz w:val="1"/>
                <w:szCs w:val="1"/>
                <w:color w:val="auto"/>
              </w:rPr>
            </w:pPr>
          </w:p>
        </w:tc>
        <w:tc>
          <w:tcPr>
            <w:tcW w:w="18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108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Item 5</w:t>
            </w:r>
          </w:p>
        </w:tc>
        <w:tc>
          <w:tcPr>
            <w:tcW w:w="7500" w:type="dxa"/>
            <w:vAlign w:val="bottom"/>
            <w:gridSpan w:val="29"/>
          </w:tcPr>
          <w:p>
            <w:pPr>
              <w:spacing w:after="0"/>
              <w:rPr>
                <w:sz w:val="20"/>
                <w:szCs w:val="20"/>
                <w:color w:val="auto"/>
              </w:rPr>
            </w:pPr>
            <w:r>
              <w:rPr>
                <w:rFonts w:ascii="Times New Roman" w:cs="Times New Roman" w:eastAsia="Times New Roman" w:hAnsi="Times New Roman"/>
                <w:sz w:val="16"/>
                <w:szCs w:val="16"/>
                <w:color w:val="0000FF"/>
              </w:rPr>
              <w:t>Other Information</w:t>
            </w:r>
          </w:p>
        </w:tc>
        <w:tc>
          <w:tcPr>
            <w:tcW w:w="1880" w:type="dxa"/>
            <w:vAlign w:val="bottom"/>
            <w:gridSpan w:val="2"/>
          </w:tcPr>
          <w:p>
            <w:pPr>
              <w:jc w:val="center"/>
              <w:ind w:left="1639"/>
              <w:spacing w:after="0"/>
              <w:rPr>
                <w:sz w:val="20"/>
                <w:szCs w:val="20"/>
                <w:color w:val="auto"/>
              </w:rPr>
            </w:pPr>
            <w:r>
              <w:rPr>
                <w:rFonts w:ascii="Times New Roman" w:cs="Times New Roman" w:eastAsia="Times New Roman" w:hAnsi="Times New Roman"/>
                <w:sz w:val="16"/>
                <w:szCs w:val="16"/>
                <w:color w:val="0000FF"/>
                <w:w w:val="99"/>
              </w:rPr>
              <w:t>45</w:t>
            </w:r>
          </w:p>
        </w:tc>
        <w:tc>
          <w:tcPr>
            <w:tcW w:w="120" w:type="dxa"/>
            <w:vAlign w:val="bottom"/>
          </w:tcPr>
          <w:p>
            <w:pPr>
              <w:spacing w:after="0"/>
              <w:rPr>
                <w:sz w:val="17"/>
                <w:szCs w:val="17"/>
                <w:color w:val="auto"/>
              </w:rPr>
            </w:pPr>
          </w:p>
        </w:tc>
      </w:tr>
      <w:tr>
        <w:trPr>
          <w:trHeight w:val="20"/>
        </w:trPr>
        <w:tc>
          <w:tcPr>
            <w:tcW w:w="3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8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108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Item 6</w:t>
            </w:r>
          </w:p>
        </w:tc>
        <w:tc>
          <w:tcPr>
            <w:tcW w:w="540" w:type="dxa"/>
            <w:vAlign w:val="bottom"/>
            <w:gridSpan w:val="2"/>
          </w:tcPr>
          <w:p>
            <w:pPr>
              <w:spacing w:after="0"/>
              <w:rPr>
                <w:sz w:val="20"/>
                <w:szCs w:val="20"/>
                <w:color w:val="auto"/>
              </w:rPr>
            </w:pPr>
            <w:r>
              <w:rPr>
                <w:rFonts w:ascii="Times New Roman" w:cs="Times New Roman" w:eastAsia="Times New Roman" w:hAnsi="Times New Roman"/>
                <w:sz w:val="16"/>
                <w:szCs w:val="16"/>
                <w:color w:val="0000FF"/>
                <w:w w:val="97"/>
              </w:rPr>
              <w:t>Exhibits</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880" w:type="dxa"/>
            <w:vAlign w:val="bottom"/>
            <w:gridSpan w:val="2"/>
          </w:tcPr>
          <w:p>
            <w:pPr>
              <w:jc w:val="center"/>
              <w:ind w:left="1639"/>
              <w:spacing w:after="0"/>
              <w:rPr>
                <w:sz w:val="20"/>
                <w:szCs w:val="20"/>
                <w:color w:val="auto"/>
              </w:rPr>
            </w:pPr>
            <w:r>
              <w:rPr>
                <w:rFonts w:ascii="Times New Roman" w:cs="Times New Roman" w:eastAsia="Times New Roman" w:hAnsi="Times New Roman"/>
                <w:sz w:val="16"/>
                <w:szCs w:val="16"/>
                <w:color w:val="0000FF"/>
                <w:w w:val="99"/>
              </w:rPr>
              <w:t>46</w:t>
            </w:r>
          </w:p>
        </w:tc>
        <w:tc>
          <w:tcPr>
            <w:tcW w:w="120" w:type="dxa"/>
            <w:vAlign w:val="bottom"/>
          </w:tcPr>
          <w:p>
            <w:pPr>
              <w:spacing w:after="0"/>
              <w:rPr>
                <w:sz w:val="17"/>
                <w:szCs w:val="17"/>
                <w:color w:val="auto"/>
              </w:rPr>
            </w:pPr>
          </w:p>
        </w:tc>
      </w:tr>
      <w:tr>
        <w:trPr>
          <w:trHeight w:val="20"/>
        </w:trPr>
        <w:tc>
          <w:tcPr>
            <w:tcW w:w="3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8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r>
      <w:tr>
        <w:trPr>
          <w:trHeight w:val="196"/>
        </w:trPr>
        <w:tc>
          <w:tcPr>
            <w:tcW w:w="100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6"/>
                <w:szCs w:val="16"/>
                <w:color w:val="0000FF"/>
                <w:w w:val="98"/>
              </w:rPr>
              <w:t>SIGNATURES</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6"/>
                <w:szCs w:val="16"/>
                <w:color w:val="0000FF"/>
                <w:w w:val="74"/>
              </w:rPr>
              <w:t>47</w:t>
            </w:r>
          </w:p>
        </w:tc>
        <w:tc>
          <w:tcPr>
            <w:tcW w:w="12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76200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360" w:top="893" w:right="619" w:bottom="1440" w:gutter="0" w:footer="0" w:header="0"/>
        </w:sectPr>
      </w:pPr>
    </w:p>
    <w:bookmarkStart w:id="2" w:name="page3"/>
    <w:bookmarkEnd w:id="2"/>
    <w:p>
      <w:pPr>
        <w:spacing w:after="0"/>
        <w:tabs>
          <w:tab w:leader="none" w:pos="760" w:val="left"/>
        </w:tabs>
        <w:rPr>
          <w:sz w:val="20"/>
          <w:szCs w:val="20"/>
          <w:color w:val="auto"/>
        </w:rPr>
      </w:pPr>
      <w:r>
        <w:rPr>
          <w:rFonts w:ascii="Times New Roman" w:cs="Times New Roman" w:eastAsia="Times New Roman" w:hAnsi="Times New Roman"/>
          <w:sz w:val="16"/>
          <w:szCs w:val="16"/>
          <w:b w:val="1"/>
          <w:bCs w:val="1"/>
          <w:color w:val="auto"/>
        </w:rPr>
        <w:t>PART I.</w:t>
        <w:tab/>
        <w:t>FINANCIAL INFORMATION</w:t>
      </w:r>
    </w:p>
    <w:p>
      <w:pPr>
        <w:spacing w:after="0" w:line="275"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6"/>
          <w:szCs w:val="16"/>
          <w:b w:val="1"/>
          <w:bCs w:val="1"/>
          <w:color w:val="auto"/>
        </w:rPr>
        <w:t>ITEM 1.</w:t>
      </w:r>
      <w:r>
        <w:rPr>
          <w:sz w:val="20"/>
          <w:szCs w:val="20"/>
          <w:color w:val="auto"/>
        </w:rPr>
        <w:tab/>
      </w:r>
      <w:r>
        <w:rPr>
          <w:rFonts w:ascii="Times New Roman" w:cs="Times New Roman" w:eastAsia="Times New Roman" w:hAnsi="Times New Roman"/>
          <w:sz w:val="15"/>
          <w:szCs w:val="15"/>
          <w:b w:val="1"/>
          <w:bCs w:val="1"/>
          <w:color w:val="auto"/>
        </w:rPr>
        <w:t>FINANCIAL STATEMENTS</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MASTEC,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STATEMENTS OF OPERATIONS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 - in thousands, except per share amounts)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20" w:type="dxa"/>
            <w:vAlign w:val="bottom"/>
            <w:gridSpan w:val="5"/>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80" w:type="dxa"/>
            <w:vAlign w:val="bottom"/>
          </w:tcPr>
          <w:p>
            <w:pPr>
              <w:spacing w:after="0"/>
              <w:rPr>
                <w:sz w:val="16"/>
                <w:szCs w:val="16"/>
                <w:color w:val="auto"/>
              </w:rPr>
            </w:pPr>
          </w:p>
        </w:tc>
        <w:tc>
          <w:tcPr>
            <w:tcW w:w="2060" w:type="dxa"/>
            <w:vAlign w:val="bottom"/>
            <w:gridSpan w:val="4"/>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4"/>
        </w:trPr>
        <w:tc>
          <w:tcPr>
            <w:tcW w:w="6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20" w:type="dxa"/>
            <w:vAlign w:val="bottom"/>
            <w:gridSpan w:val="5"/>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80" w:type="dxa"/>
            <w:vAlign w:val="bottom"/>
          </w:tcPr>
          <w:p>
            <w:pPr>
              <w:spacing w:after="0"/>
              <w:rPr>
                <w:sz w:val="18"/>
                <w:szCs w:val="18"/>
                <w:color w:val="auto"/>
              </w:rPr>
            </w:pPr>
          </w:p>
        </w:tc>
        <w:tc>
          <w:tcPr>
            <w:tcW w:w="2060" w:type="dxa"/>
            <w:vAlign w:val="bottom"/>
            <w:gridSpan w:val="4"/>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09"/>
        </w:trPr>
        <w:tc>
          <w:tcPr>
            <w:tcW w:w="664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Borders>
              <w:top w:val="single" w:sz="8" w:color="auto"/>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11"/>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5,152,336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3,966,948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13,354,691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10,359,371</w:t>
            </w:r>
          </w:p>
        </w:tc>
      </w:tr>
      <w:tr>
        <w:trPr>
          <w:trHeight w:val="213"/>
        </w:trPr>
        <w:tc>
          <w:tcPr>
            <w:tcW w:w="6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Costs of revenue, excluding depreciation and amortization</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4,491,474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3,429,199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11,659,641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9,074,981</w:t>
            </w:r>
          </w:p>
        </w:tc>
      </w:tr>
      <w:tr>
        <w:trPr>
          <w:trHeight w:val="219"/>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93,773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71,837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263,150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217,996</w:t>
            </w:r>
          </w:p>
        </w:tc>
      </w:tr>
      <w:tr>
        <w:trPr>
          <w:trHeight w:val="213"/>
        </w:trPr>
        <w:tc>
          <w:tcPr>
            <w:tcW w:w="6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75,282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32,719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151,411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98,042</w:t>
            </w:r>
          </w:p>
        </w:tc>
      </w:tr>
      <w:tr>
        <w:trPr>
          <w:trHeight w:val="219"/>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228,545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183,580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649,222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524,448</w:t>
            </w:r>
          </w:p>
        </w:tc>
      </w:tr>
      <w:tr>
        <w:trPr>
          <w:trHeight w:val="213"/>
        </w:trPr>
        <w:tc>
          <w:tcPr>
            <w:tcW w:w="6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Equity in earnings of integral unconsolidated affiliates, net</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(12,186)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(12,186)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664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Operating income</w:t>
            </w: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275,448</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249,613</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643,453</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443,904</w:t>
            </w:r>
          </w:p>
        </w:tc>
      </w:tr>
      <w:tr>
        <w:trPr>
          <w:trHeight w:val="213"/>
        </w:trPr>
        <w:tc>
          <w:tcPr>
            <w:tcW w:w="6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 net</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61,798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45,444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152,425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128,337</w:t>
            </w:r>
          </w:p>
        </w:tc>
      </w:tr>
      <w:tr>
        <w:trPr>
          <w:trHeight w:val="219"/>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Equity in earnings of unconsolidated affiliates, net</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(8,040)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(6,555)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(14,740)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(23,911)</w:t>
            </w:r>
          </w:p>
        </w:tc>
      </w:tr>
      <w:tr>
        <w:trPr>
          <w:trHeight w:val="213"/>
        </w:trPr>
        <w:tc>
          <w:tcPr>
            <w:tcW w:w="6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on extinguishment of debt</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3,219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3,219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net</w:t>
            </w: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(2,794)</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(1,881)</w:t>
            </w:r>
          </w:p>
        </w:tc>
      </w:tr>
      <w:tr>
        <w:trPr>
          <w:trHeight w:val="207"/>
        </w:trPr>
        <w:tc>
          <w:tcPr>
            <w:tcW w:w="66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220,158</w:t>
            </w:r>
          </w:p>
        </w:tc>
        <w:tc>
          <w:tcPr>
            <w:tcW w:w="100" w:type="dxa"/>
            <w:vAlign w:val="bottom"/>
          </w:tcPr>
          <w:p>
            <w:pPr>
              <w:spacing w:after="0"/>
              <w:rPr>
                <w:sz w:val="17"/>
                <w:szCs w:val="17"/>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211,622</w:t>
            </w:r>
          </w:p>
        </w:tc>
        <w:tc>
          <w:tcPr>
            <w:tcW w:w="10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505,343</w:t>
            </w:r>
          </w:p>
        </w:tc>
        <w:tc>
          <w:tcPr>
            <w:tcW w:w="12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341,359</w:t>
            </w:r>
          </w:p>
        </w:tc>
      </w:tr>
      <w:tr>
        <w:trPr>
          <w:trHeight w:val="219"/>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(52,439)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(45,125)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(122,222)</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(72,401)</w:t>
            </w:r>
          </w:p>
        </w:tc>
      </w:tr>
      <w:tr>
        <w:trPr>
          <w:trHeight w:val="207"/>
        </w:trPr>
        <w:tc>
          <w:tcPr>
            <w:tcW w:w="66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Net income</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167,719</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166,497</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383,121</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268,958</w:t>
            </w:r>
          </w:p>
        </w:tc>
      </w:tr>
      <w:tr>
        <w:trPr>
          <w:trHeight w:val="212"/>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attributable to non-controlling interests</w:t>
            </w: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17,153</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5,837</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41,598</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12,629</w:t>
            </w:r>
          </w:p>
        </w:tc>
      </w:tr>
      <w:tr>
        <w:trPr>
          <w:trHeight w:val="207"/>
        </w:trPr>
        <w:tc>
          <w:tcPr>
            <w:tcW w:w="66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Net income attributable to MasTec, Inc.</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150,566</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160,660</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341,523</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256,329</w:t>
            </w:r>
          </w:p>
        </w:tc>
      </w:tr>
      <w:tr>
        <w:trPr>
          <w:trHeight w:val="239"/>
        </w:trPr>
        <w:tc>
          <w:tcPr>
            <w:tcW w:w="66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r>
      <w:tr>
        <w:trPr>
          <w:trHeight w:val="213"/>
        </w:trPr>
        <w:tc>
          <w:tcPr>
            <w:tcW w:w="6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Earnings per share (Note 2):</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9"/>
        </w:trPr>
        <w:tc>
          <w:tcPr>
            <w:tcW w:w="6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Basic earnings per share</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4.36</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w:t>
            </w:r>
          </w:p>
        </w:tc>
      </w:tr>
      <w:tr>
        <w:trPr>
          <w:trHeight w:val="207"/>
        </w:trPr>
        <w:tc>
          <w:tcPr>
            <w:tcW w:w="66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Basic weighted average common shares outstanding</w:t>
            </w: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79,077</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77,702</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78,372</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77,857</w:t>
            </w:r>
          </w:p>
        </w:tc>
      </w:tr>
      <w:tr>
        <w:trPr>
          <w:trHeight w:val="239"/>
        </w:trPr>
        <w:tc>
          <w:tcPr>
            <w:tcW w:w="66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r>
      <w:tr>
        <w:trPr>
          <w:trHeight w:val="213"/>
        </w:trPr>
        <w:tc>
          <w:tcPr>
            <w:tcW w:w="66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Diluted earnings per share</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1.89</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2.04</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4.32</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3.26</w:t>
            </w:r>
          </w:p>
        </w:tc>
      </w:tr>
      <w:tr>
        <w:trPr>
          <w:trHeight w:val="210"/>
        </w:trPr>
        <w:tc>
          <w:tcPr>
            <w:tcW w:w="6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Diluted weighted average common shares outstanding</w:t>
            </w: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79,820</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78,648</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79,143</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78,672</w:t>
            </w:r>
          </w:p>
        </w:tc>
      </w:tr>
    </w:tbl>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consolidated financial statements.</w:t>
      </w:r>
    </w:p>
    <w:p>
      <w:pPr>
        <w:spacing w:after="0" w:line="200" w:lineRule="exact"/>
        <w:rPr>
          <w:sz w:val="20"/>
          <w:szCs w:val="20"/>
          <w:color w:val="auto"/>
        </w:rPr>
      </w:pPr>
    </w:p>
    <w:p>
      <w:pPr>
        <w:spacing w:after="0" w:line="388"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5"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6"/>
          <w:szCs w:val="16"/>
          <w:b w:val="1"/>
          <w:bCs w:val="1"/>
          <w:color w:val="auto"/>
        </w:rPr>
        <w:t>MASTEC,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STATEMENTS OF COMPREHENSIVE INCOME</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 - in thousands)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20" w:type="dxa"/>
            <w:vAlign w:val="bottom"/>
            <w:gridSpan w:val="5"/>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40" w:type="dxa"/>
            <w:vAlign w:val="bottom"/>
          </w:tcPr>
          <w:p>
            <w:pPr>
              <w:spacing w:after="0"/>
              <w:rPr>
                <w:sz w:val="16"/>
                <w:szCs w:val="16"/>
                <w:color w:val="auto"/>
              </w:rPr>
            </w:pPr>
          </w:p>
        </w:tc>
        <w:tc>
          <w:tcPr>
            <w:tcW w:w="2000" w:type="dxa"/>
            <w:vAlign w:val="bottom"/>
            <w:gridSpan w:val="4"/>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4"/>
        </w:trPr>
        <w:tc>
          <w:tcPr>
            <w:tcW w:w="6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20" w:type="dxa"/>
            <w:vAlign w:val="bottom"/>
            <w:gridSpan w:val="5"/>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40" w:type="dxa"/>
            <w:vAlign w:val="bottom"/>
          </w:tcPr>
          <w:p>
            <w:pPr>
              <w:spacing w:after="0"/>
              <w:rPr>
                <w:sz w:val="18"/>
                <w:szCs w:val="18"/>
                <w:color w:val="auto"/>
              </w:rPr>
            </w:pPr>
          </w:p>
        </w:tc>
        <w:tc>
          <w:tcPr>
            <w:tcW w:w="2000" w:type="dxa"/>
            <w:vAlign w:val="bottom"/>
            <w:gridSpan w:val="4"/>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09"/>
        </w:trPr>
        <w:tc>
          <w:tcPr>
            <w:tcW w:w="664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Borders>
              <w:top w:val="single" w:sz="8" w:color="auto"/>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11"/>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167,719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166,497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383,121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268,958</w:t>
            </w:r>
          </w:p>
        </w:tc>
      </w:tr>
      <w:tr>
        <w:trPr>
          <w:trHeight w:val="213"/>
        </w:trPr>
        <w:tc>
          <w:tcPr>
            <w:tcW w:w="6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comprehensive income (loss), net of tax:</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9"/>
        </w:trPr>
        <w:tc>
          <w:tcPr>
            <w:tcW w:w="6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Foreign currency translation (losses) gains</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2,925</w:t>
            </w:r>
          </w:p>
        </w:tc>
      </w:tr>
      <w:tr>
        <w:trPr>
          <w:trHeight w:val="213"/>
        </w:trPr>
        <w:tc>
          <w:tcPr>
            <w:tcW w:w="66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Unrealized gains (losses) on investment activity</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3,084</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(977)</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3,515</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(5,701)</w:t>
            </w:r>
          </w:p>
        </w:tc>
      </w:tr>
      <w:tr>
        <w:trPr>
          <w:trHeight w:val="209"/>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Comprehensive income</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170,554</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163,916</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384,037</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266,182</w:t>
            </w:r>
          </w:p>
        </w:tc>
      </w:tr>
      <w:tr>
        <w:trPr>
          <w:trHeight w:val="239"/>
        </w:trPr>
        <w:tc>
          <w:tcPr>
            <w:tcW w:w="6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16"/>
        </w:trPr>
        <w:tc>
          <w:tcPr>
            <w:tcW w:w="66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Net income attributable to non-controlling interests</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17,153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5,837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41,598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12,629</w:t>
            </w:r>
          </w:p>
        </w:tc>
      </w:tr>
      <w:tr>
        <w:trPr>
          <w:trHeight w:val="213"/>
        </w:trPr>
        <w:tc>
          <w:tcPr>
            <w:tcW w:w="664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6"/>
                <w:szCs w:val="16"/>
                <w:color w:val="auto"/>
              </w:rPr>
              <w:t>Foreign currency translation (losses) gains attributable to non-controlling interests</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2,108</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(1,037)</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(2,986)</w:t>
            </w:r>
          </w:p>
        </w:tc>
      </w:tr>
      <w:tr>
        <w:trPr>
          <w:trHeight w:val="210"/>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Comprehensive income attributable to non-controlling interests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17,083</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7,945</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40,561</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9,643</w:t>
            </w:r>
          </w:p>
        </w:tc>
      </w:tr>
      <w:tr>
        <w:trPr>
          <w:trHeight w:val="239"/>
        </w:trPr>
        <w:tc>
          <w:tcPr>
            <w:tcW w:w="66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r>
      <w:tr>
        <w:trPr>
          <w:trHeight w:val="207"/>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Comprehensive income attributable to MasTec, Inc.</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153,471</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155,971</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343,476</w:t>
            </w:r>
          </w:p>
        </w:tc>
        <w:tc>
          <w:tcPr>
            <w:tcW w:w="1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256,539</w:t>
            </w:r>
          </w:p>
        </w:tc>
      </w:tr>
    </w:tbl>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consolidated financial statements.</w:t>
      </w:r>
    </w:p>
    <w:p>
      <w:pPr>
        <w:spacing w:after="0" w:line="200" w:lineRule="exact"/>
        <w:rPr>
          <w:sz w:val="20"/>
          <w:szCs w:val="20"/>
          <w:color w:val="auto"/>
        </w:rPr>
      </w:pPr>
    </w:p>
    <w:p>
      <w:pPr>
        <w:spacing w:after="0" w:line="388"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6"/>
          <w:szCs w:val="16"/>
          <w:b w:val="1"/>
          <w:bCs w:val="1"/>
          <w:color w:val="auto"/>
        </w:rPr>
        <w:t>MASTEC,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BALANCE SHEETS</w:t>
      </w:r>
    </w:p>
    <w:p>
      <w:pPr>
        <w:spacing w:after="0" w:line="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(unaudited - in thousands, except share information)</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80" w:type="dxa"/>
            <w:vAlign w:val="bottom"/>
          </w:tcPr>
          <w:p>
            <w:pPr>
              <w:spacing w:after="0"/>
              <w:rPr>
                <w:sz w:val="16"/>
                <w:szCs w:val="16"/>
                <w:color w:val="auto"/>
              </w:rPr>
            </w:pPr>
          </w:p>
        </w:tc>
        <w:tc>
          <w:tcPr>
            <w:tcW w:w="128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4"/>
        </w:trPr>
        <w:tc>
          <w:tcPr>
            <w:tcW w:w="8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198"/>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481,816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396,030</w:t>
            </w:r>
          </w:p>
        </w:tc>
        <w:tc>
          <w:tcPr>
            <w:tcW w:w="0" w:type="dxa"/>
            <w:vAlign w:val="bottom"/>
          </w:tcPr>
          <w:p>
            <w:pPr>
              <w:spacing w:after="0"/>
              <w:rPr>
                <w:sz w:val="1"/>
                <w:szCs w:val="1"/>
                <w:color w:val="auto"/>
              </w:rPr>
            </w:pPr>
          </w:p>
        </w:tc>
      </w:tr>
      <w:tr>
        <w:trPr>
          <w:trHeight w:val="213"/>
        </w:trPr>
        <w:tc>
          <w:tcPr>
            <w:tcW w:w="82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receivable, net of allowance</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2,540,696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1,540,263</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Contract assets</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2,778,154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2,001,913</w:t>
            </w:r>
          </w:p>
        </w:tc>
        <w:tc>
          <w:tcPr>
            <w:tcW w:w="0" w:type="dxa"/>
            <w:vAlign w:val="bottom"/>
          </w:tcPr>
          <w:p>
            <w:pPr>
              <w:spacing w:after="0"/>
              <w:rPr>
                <w:sz w:val="1"/>
                <w:szCs w:val="1"/>
                <w:color w:val="auto"/>
              </w:rPr>
            </w:pPr>
          </w:p>
        </w:tc>
      </w:tr>
      <w:tr>
        <w:trPr>
          <w:trHeight w:val="213"/>
        </w:trPr>
        <w:tc>
          <w:tcPr>
            <w:tcW w:w="82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Inventories, net</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110,531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112,465</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Prepaid expenses</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136,084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183,575</w:t>
            </w:r>
          </w:p>
        </w:tc>
        <w:tc>
          <w:tcPr>
            <w:tcW w:w="0" w:type="dxa"/>
            <w:vAlign w:val="bottom"/>
          </w:tcPr>
          <w:p>
            <w:pPr>
              <w:spacing w:after="0"/>
              <w:rPr>
                <w:sz w:val="1"/>
                <w:szCs w:val="1"/>
                <w:color w:val="auto"/>
              </w:rPr>
            </w:pPr>
          </w:p>
        </w:tc>
      </w:tr>
      <w:tr>
        <w:trPr>
          <w:trHeight w:val="213"/>
        </w:trPr>
        <w:tc>
          <w:tcPr>
            <w:tcW w:w="82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current assets</w:t>
            </w: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154,045</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94,833</w:t>
            </w:r>
          </w:p>
        </w:tc>
        <w:tc>
          <w:tcPr>
            <w:tcW w:w="0" w:type="dxa"/>
            <w:vAlign w:val="bottom"/>
          </w:tcPr>
          <w:p>
            <w:pPr>
              <w:spacing w:after="0"/>
              <w:rPr>
                <w:sz w:val="1"/>
                <w:szCs w:val="1"/>
                <w:color w:val="auto"/>
              </w:rPr>
            </w:pPr>
          </w:p>
        </w:tc>
      </w:tr>
      <w:tr>
        <w:trPr>
          <w:trHeight w:val="212"/>
        </w:trPr>
        <w:tc>
          <w:tcPr>
            <w:tcW w:w="8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current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6,201,326</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4,329,079</w:t>
            </w:r>
          </w:p>
        </w:tc>
        <w:tc>
          <w:tcPr>
            <w:tcW w:w="0" w:type="dxa"/>
            <w:vAlign w:val="bottom"/>
          </w:tcPr>
          <w:p>
            <w:pPr>
              <w:spacing w:after="0"/>
              <w:rPr>
                <w:sz w:val="1"/>
                <w:szCs w:val="1"/>
                <w:color w:val="auto"/>
              </w:rPr>
            </w:pPr>
          </w:p>
        </w:tc>
      </w:tr>
      <w:tr>
        <w:trPr>
          <w:trHeight w:val="207"/>
        </w:trPr>
        <w:tc>
          <w:tcPr>
            <w:tcW w:w="82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2,058,714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1,728,470</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522,649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457,270</w:t>
            </w:r>
          </w:p>
        </w:tc>
        <w:tc>
          <w:tcPr>
            <w:tcW w:w="0" w:type="dxa"/>
            <w:vAlign w:val="bottom"/>
          </w:tcPr>
          <w:p>
            <w:pPr>
              <w:spacing w:after="0"/>
              <w:rPr>
                <w:sz w:val="1"/>
                <w:szCs w:val="1"/>
                <w:color w:val="auto"/>
              </w:rPr>
            </w:pPr>
          </w:p>
        </w:tc>
      </w:tr>
      <w:tr>
        <w:trPr>
          <w:trHeight w:val="213"/>
        </w:trPr>
        <w:tc>
          <w:tcPr>
            <w:tcW w:w="82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Goodwill, net</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3,037,312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2,248,992</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intangible assets, net</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1,732,989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656,248</w:t>
            </w:r>
          </w:p>
        </w:tc>
        <w:tc>
          <w:tcPr>
            <w:tcW w:w="0" w:type="dxa"/>
            <w:vAlign w:val="bottom"/>
          </w:tcPr>
          <w:p>
            <w:pPr>
              <w:spacing w:after="0"/>
              <w:rPr>
                <w:sz w:val="1"/>
                <w:szCs w:val="1"/>
                <w:color w:val="auto"/>
              </w:rPr>
            </w:pPr>
          </w:p>
        </w:tc>
      </w:tr>
      <w:tr>
        <w:trPr>
          <w:trHeight w:val="213"/>
        </w:trPr>
        <w:tc>
          <w:tcPr>
            <w:tcW w:w="82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long-term assets</w:t>
            </w: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584,099</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503,483</w:t>
            </w:r>
          </w:p>
        </w:tc>
        <w:tc>
          <w:tcPr>
            <w:tcW w:w="0" w:type="dxa"/>
            <w:vAlign w:val="bottom"/>
          </w:tcPr>
          <w:p>
            <w:pPr>
              <w:spacing w:after="0"/>
              <w:rPr>
                <w:sz w:val="1"/>
                <w:szCs w:val="1"/>
                <w:color w:val="auto"/>
              </w:rPr>
            </w:pPr>
          </w:p>
        </w:tc>
      </w:tr>
      <w:tr>
        <w:trPr>
          <w:trHeight w:val="212"/>
        </w:trPr>
        <w:tc>
          <w:tcPr>
            <w:tcW w:w="8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14,137,089</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9,923,542</w:t>
            </w:r>
          </w:p>
        </w:tc>
        <w:tc>
          <w:tcPr>
            <w:tcW w:w="0" w:type="dxa"/>
            <w:vAlign w:val="bottom"/>
          </w:tcPr>
          <w:p>
            <w:pPr>
              <w:spacing w:after="0"/>
              <w:rPr>
                <w:sz w:val="1"/>
                <w:szCs w:val="1"/>
                <w:color w:val="auto"/>
              </w:rPr>
            </w:pPr>
          </w:p>
        </w:tc>
      </w:tr>
      <w:tr>
        <w:trPr>
          <w:trHeight w:val="193"/>
        </w:trPr>
        <w:tc>
          <w:tcPr>
            <w:tcW w:w="8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Liabilities and equity</w:t>
            </w: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2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Current portion of long-term debt, including finance leases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180,704</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154,311</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Current portion of operating lease liabilities</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200,541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175,649</w:t>
            </w:r>
          </w:p>
        </w:tc>
        <w:tc>
          <w:tcPr>
            <w:tcW w:w="0" w:type="dxa"/>
            <w:vAlign w:val="bottom"/>
          </w:tcPr>
          <w:p>
            <w:pPr>
              <w:spacing w:after="0"/>
              <w:rPr>
                <w:sz w:val="1"/>
                <w:szCs w:val="1"/>
                <w:color w:val="auto"/>
              </w:rPr>
            </w:pPr>
          </w:p>
        </w:tc>
      </w:tr>
      <w:tr>
        <w:trPr>
          <w:trHeight w:val="213"/>
        </w:trPr>
        <w:tc>
          <w:tcPr>
            <w:tcW w:w="82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payable</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1,947,737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1,280,897</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Accrued salaries and wages</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372,523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248,266</w:t>
            </w:r>
          </w:p>
        </w:tc>
        <w:tc>
          <w:tcPr>
            <w:tcW w:w="0" w:type="dxa"/>
            <w:vAlign w:val="bottom"/>
          </w:tcPr>
          <w:p>
            <w:pPr>
              <w:spacing w:after="0"/>
              <w:rPr>
                <w:sz w:val="1"/>
                <w:szCs w:val="1"/>
                <w:color w:val="auto"/>
              </w:rPr>
            </w:pPr>
          </w:p>
        </w:tc>
      </w:tr>
      <w:tr>
        <w:trPr>
          <w:trHeight w:val="213"/>
        </w:trPr>
        <w:tc>
          <w:tcPr>
            <w:tcW w:w="82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accrued expenses</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556,102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540,778</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Contract liabilities</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1,101,464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747,730</w:t>
            </w:r>
          </w:p>
        </w:tc>
        <w:tc>
          <w:tcPr>
            <w:tcW w:w="0" w:type="dxa"/>
            <w:vAlign w:val="bottom"/>
          </w:tcPr>
          <w:p>
            <w:pPr>
              <w:spacing w:after="0"/>
              <w:rPr>
                <w:sz w:val="1"/>
                <w:szCs w:val="1"/>
                <w:color w:val="auto"/>
              </w:rPr>
            </w:pPr>
          </w:p>
        </w:tc>
      </w:tr>
      <w:tr>
        <w:trPr>
          <w:trHeight w:val="213"/>
        </w:trPr>
        <w:tc>
          <w:tcPr>
            <w:tcW w:w="82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115,056</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123,414</w:t>
            </w:r>
          </w:p>
        </w:tc>
        <w:tc>
          <w:tcPr>
            <w:tcW w:w="0" w:type="dxa"/>
            <w:vAlign w:val="bottom"/>
          </w:tcPr>
          <w:p>
            <w:pPr>
              <w:spacing w:after="0"/>
              <w:rPr>
                <w:sz w:val="1"/>
                <w:szCs w:val="1"/>
                <w:color w:val="auto"/>
              </w:rPr>
            </w:pPr>
          </w:p>
        </w:tc>
      </w:tr>
      <w:tr>
        <w:trPr>
          <w:trHeight w:val="212"/>
        </w:trPr>
        <w:tc>
          <w:tcPr>
            <w:tcW w:w="8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4,474,127</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3,271,045</w:t>
            </w:r>
          </w:p>
        </w:tc>
        <w:tc>
          <w:tcPr>
            <w:tcW w:w="0" w:type="dxa"/>
            <w:vAlign w:val="bottom"/>
          </w:tcPr>
          <w:p>
            <w:pPr>
              <w:spacing w:after="0"/>
              <w:rPr>
                <w:sz w:val="1"/>
                <w:szCs w:val="1"/>
                <w:color w:val="auto"/>
              </w:rPr>
            </w:pPr>
          </w:p>
        </w:tc>
      </w:tr>
      <w:tr>
        <w:trPr>
          <w:trHeight w:val="207"/>
        </w:trPr>
        <w:tc>
          <w:tcPr>
            <w:tcW w:w="82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Long-term debt, including finance leases</w:t>
            </w:r>
          </w:p>
        </w:tc>
        <w:tc>
          <w:tcPr>
            <w:tcW w:w="1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3,987,761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2,176,372</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Long-term operating lease liabilities</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335,583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292,839</w:t>
            </w:r>
          </w:p>
        </w:tc>
        <w:tc>
          <w:tcPr>
            <w:tcW w:w="0" w:type="dxa"/>
            <w:vAlign w:val="bottom"/>
          </w:tcPr>
          <w:p>
            <w:pPr>
              <w:spacing w:after="0"/>
              <w:rPr>
                <w:sz w:val="1"/>
                <w:szCs w:val="1"/>
                <w:color w:val="auto"/>
              </w:rPr>
            </w:pPr>
          </w:p>
        </w:tc>
      </w:tr>
      <w:tr>
        <w:trPr>
          <w:trHeight w:val="213"/>
        </w:trPr>
        <w:tc>
          <w:tcPr>
            <w:tcW w:w="82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Deferred income taxes</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518,731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478,156</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621,522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370,609</w:t>
            </w:r>
          </w:p>
        </w:tc>
        <w:tc>
          <w:tcPr>
            <w:tcW w:w="0" w:type="dxa"/>
            <w:vAlign w:val="bottom"/>
          </w:tcPr>
          <w:p>
            <w:pPr>
              <w:spacing w:after="0"/>
              <w:rPr>
                <w:sz w:val="1"/>
                <w:szCs w:val="1"/>
                <w:color w:val="auto"/>
              </w:rPr>
            </w:pPr>
          </w:p>
        </w:tc>
      </w:tr>
      <w:tr>
        <w:trPr>
          <w:trHeight w:val="207"/>
        </w:trPr>
        <w:tc>
          <w:tcPr>
            <w:tcW w:w="82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Total liabilities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9,937,724</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6,589,021</w:t>
            </w:r>
          </w:p>
        </w:tc>
        <w:tc>
          <w:tcPr>
            <w:tcW w:w="0" w:type="dxa"/>
            <w:vAlign w:val="bottom"/>
          </w:tcPr>
          <w:p>
            <w:pPr>
              <w:spacing w:after="0"/>
              <w:rPr>
                <w:sz w:val="1"/>
                <w:szCs w:val="1"/>
                <w:color w:val="auto"/>
              </w:rPr>
            </w:pPr>
          </w:p>
        </w:tc>
      </w:tr>
      <w:tr>
        <w:trPr>
          <w:trHeight w:val="199"/>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 13)</w:t>
            </w: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Equity</w:t>
            </w: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Preferred stock, $1.00 par value: authorized shares - 5,000,000; issued and outstanding shares – none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2"/>
        </w:trPr>
        <w:tc>
          <w:tcPr>
            <w:tcW w:w="822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Common stock, $0.10 par value: authorized shares - 145,000,000; issued shares - 99,436,499 and 99,319,916 (including</w:t>
            </w:r>
          </w:p>
        </w:tc>
        <w:tc>
          <w:tcPr>
            <w:tcW w:w="160" w:type="dxa"/>
            <w:vAlign w:val="bottom"/>
          </w:tcPr>
          <w:p>
            <w:pPr>
              <w:spacing w:after="0"/>
              <w:rPr>
                <w:sz w:val="14"/>
                <w:szCs w:val="14"/>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9,944</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9,932</w:t>
            </w:r>
          </w:p>
        </w:tc>
        <w:tc>
          <w:tcPr>
            <w:tcW w:w="0" w:type="dxa"/>
            <w:vAlign w:val="bottom"/>
          </w:tcPr>
          <w:p>
            <w:pPr>
              <w:spacing w:after="0"/>
              <w:rPr>
                <w:sz w:val="1"/>
                <w:szCs w:val="1"/>
                <w:color w:val="auto"/>
              </w:rPr>
            </w:pPr>
          </w:p>
        </w:tc>
      </w:tr>
      <w:tr>
        <w:trPr>
          <w:trHeight w:val="213"/>
        </w:trPr>
        <w:tc>
          <w:tcPr>
            <w:tcW w:w="82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1,018,567 and 1,038,778 of unvested stock awards) as of September 30, 2026 and December 31, 2025, respectively</w:t>
            </w:r>
          </w:p>
        </w:tc>
        <w:tc>
          <w:tcPr>
            <w:tcW w:w="16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Capital surplus</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1,723,049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1,319,920</w:t>
            </w:r>
          </w:p>
        </w:tc>
        <w:tc>
          <w:tcPr>
            <w:tcW w:w="0" w:type="dxa"/>
            <w:vAlign w:val="bottom"/>
          </w:tcPr>
          <w:p>
            <w:pPr>
              <w:spacing w:after="0"/>
              <w:rPr>
                <w:sz w:val="1"/>
                <w:szCs w:val="1"/>
                <w:color w:val="auto"/>
              </w:rPr>
            </w:pPr>
          </w:p>
        </w:tc>
      </w:tr>
      <w:tr>
        <w:trPr>
          <w:trHeight w:val="213"/>
        </w:trPr>
        <w:tc>
          <w:tcPr>
            <w:tcW w:w="82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Retained earnings</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3,049,146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2,707,623</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(42,080)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(44,033)</w:t>
            </w:r>
          </w:p>
        </w:tc>
        <w:tc>
          <w:tcPr>
            <w:tcW w:w="0" w:type="dxa"/>
            <w:vAlign w:val="bottom"/>
          </w:tcPr>
          <w:p>
            <w:pPr>
              <w:spacing w:after="0"/>
              <w:rPr>
                <w:sz w:val="1"/>
                <w:szCs w:val="1"/>
                <w:color w:val="auto"/>
              </w:rPr>
            </w:pPr>
          </w:p>
        </w:tc>
      </w:tr>
      <w:tr>
        <w:trPr>
          <w:trHeight w:val="213"/>
        </w:trPr>
        <w:tc>
          <w:tcPr>
            <w:tcW w:w="82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Treasury stock, at cost: 19,135,239 and 20,422,329 shares as of September 30, 2026 and December 31, 2025, respectively</w:t>
            </w: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(687,865)</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(734,133)</w:t>
            </w:r>
          </w:p>
        </w:tc>
        <w:tc>
          <w:tcPr>
            <w:tcW w:w="0" w:type="dxa"/>
            <w:vAlign w:val="bottom"/>
          </w:tcPr>
          <w:p>
            <w:pPr>
              <w:spacing w:after="0"/>
              <w:rPr>
                <w:sz w:val="1"/>
                <w:szCs w:val="1"/>
                <w:color w:val="auto"/>
              </w:rPr>
            </w:pPr>
          </w:p>
        </w:tc>
      </w:tr>
      <w:tr>
        <w:trPr>
          <w:trHeight w:val="212"/>
        </w:trPr>
        <w:tc>
          <w:tcPr>
            <w:tcW w:w="8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MasTec, Inc. shareholders’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4,052,194</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3,259,309</w:t>
            </w:r>
          </w:p>
        </w:tc>
        <w:tc>
          <w:tcPr>
            <w:tcW w:w="0" w:type="dxa"/>
            <w:vAlign w:val="bottom"/>
          </w:tcPr>
          <w:p>
            <w:pPr>
              <w:spacing w:after="0"/>
              <w:rPr>
                <w:sz w:val="1"/>
                <w:szCs w:val="1"/>
                <w:color w:val="auto"/>
              </w:rPr>
            </w:pPr>
          </w:p>
        </w:tc>
      </w:tr>
      <w:tr>
        <w:trPr>
          <w:trHeight w:val="207"/>
        </w:trPr>
        <w:tc>
          <w:tcPr>
            <w:tcW w:w="82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Non-controlling interests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147,171</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75,212</w:t>
            </w:r>
          </w:p>
        </w:tc>
        <w:tc>
          <w:tcPr>
            <w:tcW w:w="0" w:type="dxa"/>
            <w:vAlign w:val="bottom"/>
          </w:tcPr>
          <w:p>
            <w:pPr>
              <w:spacing w:after="0"/>
              <w:rPr>
                <w:sz w:val="1"/>
                <w:szCs w:val="1"/>
                <w:color w:val="auto"/>
              </w:rPr>
            </w:pPr>
          </w:p>
        </w:tc>
      </w:tr>
      <w:tr>
        <w:trPr>
          <w:trHeight w:val="212"/>
        </w:trPr>
        <w:tc>
          <w:tcPr>
            <w:tcW w:w="8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4,199,365</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3,334,521</w:t>
            </w:r>
          </w:p>
        </w:tc>
        <w:tc>
          <w:tcPr>
            <w:tcW w:w="0" w:type="dxa"/>
            <w:vAlign w:val="bottom"/>
          </w:tcPr>
          <w:p>
            <w:pPr>
              <w:spacing w:after="0"/>
              <w:rPr>
                <w:sz w:val="1"/>
                <w:szCs w:val="1"/>
                <w:color w:val="auto"/>
              </w:rPr>
            </w:pPr>
          </w:p>
        </w:tc>
      </w:tr>
      <w:tr>
        <w:trPr>
          <w:trHeight w:val="207"/>
        </w:trPr>
        <w:tc>
          <w:tcPr>
            <w:tcW w:w="82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 liabilities and equity</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14,137,089</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9,923,542</w:t>
            </w:r>
          </w:p>
        </w:tc>
        <w:tc>
          <w:tcPr>
            <w:tcW w:w="0" w:type="dxa"/>
            <w:vAlign w:val="bottom"/>
          </w:tcPr>
          <w:p>
            <w:pPr>
              <w:spacing w:after="0"/>
              <w:rPr>
                <w:sz w:val="1"/>
                <w:szCs w:val="1"/>
                <w:color w:val="auto"/>
              </w:rPr>
            </w:pPr>
          </w:p>
        </w:tc>
      </w:tr>
    </w:tbl>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consolidated financial statements.</w:t>
      </w:r>
    </w:p>
    <w:p>
      <w:pPr>
        <w:spacing w:after="0" w:line="200" w:lineRule="exact"/>
        <w:rPr>
          <w:sz w:val="20"/>
          <w:szCs w:val="20"/>
          <w:color w:val="auto"/>
        </w:rPr>
      </w:pPr>
    </w:p>
    <w:p>
      <w:pPr>
        <w:spacing w:after="0" w:line="388"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6"/>
          <w:szCs w:val="16"/>
          <w:b w:val="1"/>
          <w:bCs w:val="1"/>
          <w:color w:val="auto"/>
        </w:rPr>
        <w:t>MASTEC,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STATEMENTS OF EQUITY</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 - in thousands, except shares)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00" w:type="dxa"/>
            <w:vAlign w:val="bottom"/>
          </w:tcPr>
          <w:p>
            <w:pPr>
              <w:spacing w:after="0"/>
              <w:rPr>
                <w:sz w:val="16"/>
                <w:szCs w:val="16"/>
                <w:color w:val="auto"/>
              </w:rPr>
            </w:pPr>
          </w:p>
        </w:tc>
        <w:tc>
          <w:tcPr>
            <w:tcW w:w="1500" w:type="dxa"/>
            <w:vAlign w:val="bottom"/>
            <w:gridSpan w:val="4"/>
            <w:vMerge w:val="restart"/>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80" w:type="dxa"/>
            <w:vAlign w:val="bottom"/>
            <w:vMerge w:val="restart"/>
          </w:tcPr>
          <w:p>
            <w:pPr>
              <w:spacing w:after="0"/>
              <w:rPr>
                <w:sz w:val="16"/>
                <w:szCs w:val="16"/>
                <w:color w:val="auto"/>
              </w:rPr>
            </w:pPr>
          </w:p>
        </w:tc>
        <w:tc>
          <w:tcPr>
            <w:tcW w:w="1740" w:type="dxa"/>
            <w:vAlign w:val="bottom"/>
            <w:gridSpan w:val="3"/>
            <w:vMerge w:val="restart"/>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Treasury Stock</w:t>
            </w:r>
          </w:p>
        </w:tc>
        <w:tc>
          <w:tcPr>
            <w:tcW w:w="80" w:type="dxa"/>
            <w:vAlign w:val="bottom"/>
            <w:vMerge w:val="restart"/>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200" w:type="dxa"/>
            <w:vAlign w:val="bottom"/>
          </w:tcPr>
          <w:p>
            <w:pPr>
              <w:spacing w:after="0"/>
              <w:rPr>
                <w:sz w:val="16"/>
                <w:szCs w:val="16"/>
                <w:color w:val="auto"/>
              </w:rPr>
            </w:pPr>
          </w:p>
        </w:tc>
        <w:tc>
          <w:tcPr>
            <w:tcW w:w="90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100" w:type="dxa"/>
            <w:vAlign w:val="bottom"/>
          </w:tcPr>
          <w:p>
            <w:pPr>
              <w:spacing w:after="0"/>
              <w:rPr>
                <w:sz w:val="16"/>
                <w:szCs w:val="16"/>
                <w:color w:val="auto"/>
              </w:rPr>
            </w:pPr>
          </w:p>
        </w:tc>
        <w:tc>
          <w:tcPr>
            <w:tcW w:w="8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Non-</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2000" w:type="dxa"/>
            <w:vAlign w:val="bottom"/>
          </w:tcPr>
          <w:p>
            <w:pPr>
              <w:spacing w:after="0"/>
              <w:rPr>
                <w:sz w:val="14"/>
                <w:szCs w:val="14"/>
                <w:color w:val="auto"/>
              </w:rPr>
            </w:pPr>
          </w:p>
        </w:tc>
        <w:tc>
          <w:tcPr>
            <w:tcW w:w="1500" w:type="dxa"/>
            <w:vAlign w:val="bottom"/>
            <w:tcBorders>
              <w:bottom w:val="single" w:sz="8" w:color="auto"/>
            </w:tcBorders>
            <w:gridSpan w:val="4"/>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1740" w:type="dxa"/>
            <w:vAlign w:val="bottom"/>
            <w:tcBorders>
              <w:bottom w:val="single" w:sz="8" w:color="auto"/>
            </w:tcBorders>
            <w:gridSpan w:val="3"/>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160"/>
              <w:spacing w:after="0" w:line="142" w:lineRule="exact"/>
              <w:rPr>
                <w:sz w:val="20"/>
                <w:szCs w:val="20"/>
                <w:color w:val="auto"/>
              </w:rPr>
            </w:pPr>
            <w:r>
              <w:rPr>
                <w:rFonts w:ascii="Times New Roman" w:cs="Times New Roman" w:eastAsia="Times New Roman" w:hAnsi="Times New Roman"/>
                <w:sz w:val="16"/>
                <w:szCs w:val="16"/>
                <w:b w:val="1"/>
                <w:bCs w:val="1"/>
                <w:color w:val="auto"/>
              </w:rPr>
              <w:t>Other</w:t>
            </w:r>
          </w:p>
        </w:tc>
        <w:tc>
          <w:tcPr>
            <w:tcW w:w="1100" w:type="dxa"/>
            <w:vAlign w:val="bottom"/>
            <w:gridSpan w:val="3"/>
          </w:tcPr>
          <w:p>
            <w:pPr>
              <w:jc w:val="center"/>
              <w:ind w:right="60"/>
              <w:spacing w:after="0" w:line="142" w:lineRule="exact"/>
              <w:rPr>
                <w:sz w:val="20"/>
                <w:szCs w:val="20"/>
                <w:color w:val="auto"/>
              </w:rPr>
            </w:pPr>
            <w:r>
              <w:rPr>
                <w:rFonts w:ascii="Times New Roman" w:cs="Times New Roman" w:eastAsia="Times New Roman" w:hAnsi="Times New Roman"/>
                <w:sz w:val="16"/>
                <w:szCs w:val="16"/>
                <w:b w:val="1"/>
                <w:bCs w:val="1"/>
                <w:color w:val="auto"/>
                <w:w w:val="99"/>
              </w:rPr>
              <w:t>MasTec, Inc.</w:t>
            </w:r>
          </w:p>
        </w:tc>
        <w:tc>
          <w:tcPr>
            <w:tcW w:w="10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00" w:type="dxa"/>
            <w:vAlign w:val="bottom"/>
          </w:tcPr>
          <w:p>
            <w:pPr>
              <w:spacing w:after="0"/>
              <w:rPr>
                <w:sz w:val="12"/>
                <w:szCs w:val="12"/>
                <w:color w:val="auto"/>
              </w:rPr>
            </w:pPr>
          </w:p>
        </w:tc>
        <w:tc>
          <w:tcPr>
            <w:tcW w:w="9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68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96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8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900" w:type="dxa"/>
            <w:vAlign w:val="bottom"/>
            <w:gridSpan w:val="2"/>
          </w:tcPr>
          <w:p>
            <w:pPr>
              <w:ind w:left="140"/>
              <w:spacing w:after="0" w:line="142" w:lineRule="exact"/>
              <w:rPr>
                <w:sz w:val="20"/>
                <w:szCs w:val="20"/>
                <w:color w:val="auto"/>
              </w:rPr>
            </w:pPr>
            <w:r>
              <w:rPr>
                <w:rFonts w:ascii="Times New Roman" w:cs="Times New Roman" w:eastAsia="Times New Roman" w:hAnsi="Times New Roman"/>
                <w:sz w:val="16"/>
                <w:szCs w:val="16"/>
                <w:b w:val="1"/>
                <w:bCs w:val="1"/>
                <w:color w:val="auto"/>
              </w:rPr>
              <w:t>Capital</w:t>
            </w:r>
          </w:p>
        </w:tc>
        <w:tc>
          <w:tcPr>
            <w:tcW w:w="900" w:type="dxa"/>
            <w:vAlign w:val="bottom"/>
            <w:gridSpan w:val="2"/>
          </w:tcPr>
          <w:p>
            <w:pPr>
              <w:ind w:left="100"/>
              <w:spacing w:after="0" w:line="142" w:lineRule="exact"/>
              <w:rPr>
                <w:sz w:val="20"/>
                <w:szCs w:val="20"/>
                <w:color w:val="auto"/>
              </w:rPr>
            </w:pPr>
            <w:r>
              <w:rPr>
                <w:rFonts w:ascii="Times New Roman" w:cs="Times New Roman" w:eastAsia="Times New Roman" w:hAnsi="Times New Roman"/>
                <w:sz w:val="16"/>
                <w:szCs w:val="16"/>
                <w:b w:val="1"/>
                <w:bCs w:val="1"/>
                <w:color w:val="auto"/>
              </w:rPr>
              <w:t>Retained</w:t>
            </w:r>
          </w:p>
        </w:tc>
        <w:tc>
          <w:tcPr>
            <w:tcW w:w="120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110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6"/>
                <w:szCs w:val="16"/>
                <w:b w:val="1"/>
                <w:bCs w:val="1"/>
                <w:color w:val="auto"/>
              </w:rPr>
              <w:t>Shareholders’</w:t>
            </w:r>
          </w:p>
        </w:tc>
        <w:tc>
          <w:tcPr>
            <w:tcW w:w="92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6"/>
                <w:szCs w:val="16"/>
                <w:b w:val="1"/>
                <w:bCs w:val="1"/>
                <w:color w:val="auto"/>
              </w:rPr>
              <w:t>Controlling</w:t>
            </w:r>
          </w:p>
        </w:tc>
        <w:tc>
          <w:tcPr>
            <w:tcW w:w="820" w:type="dxa"/>
            <w:vAlign w:val="bottom"/>
          </w:tcPr>
          <w:p>
            <w:pPr>
              <w:jc w:val="right"/>
              <w:ind w:right="159"/>
              <w:spacing w:after="0" w:line="142" w:lineRule="exact"/>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200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680" w:type="dxa"/>
            <w:vAlign w:val="bottom"/>
            <w:gridSpan w:val="3"/>
            <w:vMerge w:val="continue"/>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90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Surplus</w:t>
            </w: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00" w:type="dxa"/>
            <w:vAlign w:val="bottom"/>
          </w:tcPr>
          <w:p>
            <w:pPr>
              <w:spacing w:after="0"/>
              <w:rPr>
                <w:sz w:val="18"/>
                <w:szCs w:val="18"/>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Loss</w:t>
            </w:r>
          </w:p>
        </w:tc>
        <w:tc>
          <w:tcPr>
            <w:tcW w:w="200" w:type="dxa"/>
            <w:vAlign w:val="bottom"/>
          </w:tcPr>
          <w:p>
            <w:pPr>
              <w:spacing w:after="0"/>
              <w:rPr>
                <w:sz w:val="18"/>
                <w:szCs w:val="18"/>
                <w:color w:val="auto"/>
              </w:rPr>
            </w:pPr>
          </w:p>
        </w:tc>
        <w:tc>
          <w:tcPr>
            <w:tcW w:w="9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100" w:type="dxa"/>
            <w:vAlign w:val="bottom"/>
          </w:tcPr>
          <w:p>
            <w:pPr>
              <w:spacing w:after="0"/>
              <w:rPr>
                <w:sz w:val="18"/>
                <w:szCs w:val="18"/>
                <w:color w:val="auto"/>
              </w:rPr>
            </w:pPr>
          </w:p>
        </w:tc>
        <w:tc>
          <w:tcPr>
            <w:tcW w:w="82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Interests</w:t>
            </w:r>
          </w:p>
        </w:tc>
        <w:tc>
          <w:tcPr>
            <w:tcW w:w="82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164"/>
        </w:trPr>
        <w:tc>
          <w:tcPr>
            <w:tcW w:w="2000" w:type="dxa"/>
            <w:vAlign w:val="bottom"/>
            <w:shd w:val="clear" w:color="auto" w:fill="CCEEFF"/>
          </w:tcPr>
          <w:p>
            <w:pPr>
              <w:ind w:left="20"/>
              <w:spacing w:after="0" w:line="164" w:lineRule="exact"/>
              <w:rPr>
                <w:sz w:val="20"/>
                <w:szCs w:val="20"/>
                <w:color w:val="auto"/>
              </w:rPr>
            </w:pPr>
            <w:r>
              <w:rPr>
                <w:rFonts w:ascii="Times New Roman" w:cs="Times New Roman" w:eastAsia="Times New Roman" w:hAnsi="Times New Roman"/>
                <w:sz w:val="16"/>
                <w:szCs w:val="16"/>
                <w:b w:val="1"/>
                <w:bCs w:val="1"/>
                <w:color w:val="auto"/>
              </w:rPr>
              <w:t>Three Months Ended</w:t>
            </w: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September 30, 2026</w:t>
            </w:r>
          </w:p>
        </w:tc>
        <w:tc>
          <w:tcPr>
            <w:tcW w:w="8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Balance as of June 30, 2026</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99,442,020</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9,945</w:t>
            </w:r>
          </w:p>
        </w:tc>
        <w:tc>
          <w:tcPr>
            <w:tcW w:w="8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(20,354,737)</w:t>
            </w:r>
          </w:p>
        </w:tc>
        <w:tc>
          <w:tcPr>
            <w:tcW w:w="8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(731,703)</w:t>
            </w:r>
          </w:p>
        </w:tc>
        <w:tc>
          <w:tcPr>
            <w:tcW w:w="8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1,345,131</w:t>
            </w:r>
          </w:p>
        </w:tc>
        <w:tc>
          <w:tcPr>
            <w:tcW w:w="8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2,898,580</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(44,985)</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3,476,968</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123,015</w:t>
            </w:r>
          </w:p>
        </w:tc>
        <w:tc>
          <w:tcPr>
            <w:tcW w:w="8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$3,599,983</w:t>
            </w:r>
          </w:p>
        </w:tc>
        <w:tc>
          <w:tcPr>
            <w:tcW w:w="0" w:type="dxa"/>
            <w:vAlign w:val="bottom"/>
          </w:tcPr>
          <w:p>
            <w:pPr>
              <w:spacing w:after="0"/>
              <w:rPr>
                <w:sz w:val="1"/>
                <w:szCs w:val="1"/>
                <w:color w:val="auto"/>
              </w:rPr>
            </w:pPr>
          </w:p>
        </w:tc>
      </w:tr>
      <w:tr>
        <w:trPr>
          <w:trHeight w:val="226"/>
        </w:trPr>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income</w:t>
            </w: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150,566</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150,566</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17,153</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167,719</w:t>
            </w:r>
          </w:p>
        </w:tc>
        <w:tc>
          <w:tcPr>
            <w:tcW w:w="0" w:type="dxa"/>
            <w:vAlign w:val="bottom"/>
          </w:tcPr>
          <w:p>
            <w:pPr>
              <w:spacing w:after="0"/>
              <w:rPr>
                <w:sz w:val="1"/>
                <w:szCs w:val="1"/>
                <w:color w:val="auto"/>
              </w:rPr>
            </w:pPr>
          </w:p>
        </w:tc>
      </w:tr>
      <w:tr>
        <w:trPr>
          <w:trHeight w:val="216"/>
        </w:trPr>
        <w:tc>
          <w:tcPr>
            <w:tcW w:w="2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comprehensive</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income (loss)</w:t>
            </w: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2,835</w:t>
            </w:r>
          </w:p>
        </w:tc>
        <w:tc>
          <w:tcPr>
            <w:tcW w:w="0" w:type="dxa"/>
            <w:vAlign w:val="bottom"/>
          </w:tcPr>
          <w:p>
            <w:pPr>
              <w:spacing w:after="0"/>
              <w:rPr>
                <w:sz w:val="1"/>
                <w:szCs w:val="1"/>
                <w:color w:val="auto"/>
              </w:rPr>
            </w:pPr>
          </w:p>
        </w:tc>
      </w:tr>
      <w:tr>
        <w:trPr>
          <w:trHeight w:val="165"/>
        </w:trPr>
        <w:tc>
          <w:tcPr>
            <w:tcW w:w="200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Non-cash stock-based</w:t>
            </w: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11,297</w:t>
            </w: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11,297</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11,297</w:t>
            </w:r>
          </w:p>
        </w:tc>
        <w:tc>
          <w:tcPr>
            <w:tcW w:w="0" w:type="dxa"/>
            <w:vAlign w:val="bottom"/>
          </w:tcPr>
          <w:p>
            <w:pPr>
              <w:spacing w:after="0"/>
              <w:rPr>
                <w:sz w:val="1"/>
                <w:szCs w:val="1"/>
                <w:color w:val="auto"/>
              </w:rPr>
            </w:pPr>
          </w:p>
        </w:tc>
      </w:tr>
      <w:tr>
        <w:trPr>
          <w:trHeight w:val="216"/>
        </w:trPr>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compensation</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Forfeiture of restricted</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shares, net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(5,405)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Shares withheld for taxes,</w:t>
            </w: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of other stock issuances</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0" w:type="dxa"/>
            <w:vAlign w:val="bottom"/>
          </w:tcPr>
          <w:p>
            <w:pPr>
              <w:spacing w:after="0"/>
              <w:rPr>
                <w:sz w:val="1"/>
                <w:szCs w:val="1"/>
                <w:color w:val="auto"/>
              </w:rPr>
            </w:pPr>
          </w:p>
        </w:tc>
      </w:tr>
      <w:tr>
        <w:trPr>
          <w:trHeight w:val="216"/>
        </w:trPr>
        <w:tc>
          <w:tcPr>
            <w:tcW w:w="2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Issuance of shares in</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connection with acquisitions</w:t>
            </w: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1,219,498</w:t>
            </w: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43,838</w:t>
            </w: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366,657</w:t>
            </w: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410,495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410,495</w:t>
            </w:r>
          </w:p>
        </w:tc>
        <w:tc>
          <w:tcPr>
            <w:tcW w:w="0" w:type="dxa"/>
            <w:vAlign w:val="bottom"/>
          </w:tcPr>
          <w:p>
            <w:pPr>
              <w:spacing w:after="0"/>
              <w:rPr>
                <w:sz w:val="1"/>
                <w:szCs w:val="1"/>
                <w:color w:val="auto"/>
              </w:rPr>
            </w:pPr>
          </w:p>
        </w:tc>
      </w:tr>
      <w:tr>
        <w:trPr>
          <w:trHeight w:val="219"/>
        </w:trPr>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Distributions to non-</w:t>
            </w: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controlling interests, net</w:t>
            </w: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(13,625)</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(13,625)</w:t>
            </w:r>
          </w:p>
        </w:tc>
        <w:tc>
          <w:tcPr>
            <w:tcW w:w="0" w:type="dxa"/>
            <w:vAlign w:val="bottom"/>
          </w:tcPr>
          <w:p>
            <w:pPr>
              <w:spacing w:after="0"/>
              <w:rPr>
                <w:sz w:val="1"/>
                <w:szCs w:val="1"/>
                <w:color w:val="auto"/>
              </w:rPr>
            </w:pPr>
          </w:p>
        </w:tc>
      </w:tr>
      <w:tr>
        <w:trPr>
          <w:trHeight w:val="216"/>
        </w:trPr>
        <w:tc>
          <w:tcPr>
            <w:tcW w:w="2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Non-controlling interests</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assumed related to</w:t>
            </w: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2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acquisitions</w:t>
            </w: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20,698</w:t>
            </w: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20,698</w:t>
            </w:r>
          </w:p>
        </w:tc>
        <w:tc>
          <w:tcPr>
            <w:tcW w:w="0" w:type="dxa"/>
            <w:vAlign w:val="bottom"/>
          </w:tcPr>
          <w:p>
            <w:pPr>
              <w:spacing w:after="0"/>
              <w:rPr>
                <w:sz w:val="1"/>
                <w:szCs w:val="1"/>
                <w:color w:val="auto"/>
              </w:rPr>
            </w:pPr>
          </w:p>
        </w:tc>
      </w:tr>
      <w:tr>
        <w:trPr>
          <w:trHeight w:val="145"/>
        </w:trPr>
        <w:tc>
          <w:tcPr>
            <w:tcW w:w="2000" w:type="dxa"/>
            <w:vAlign w:val="bottom"/>
            <w:tcBorders>
              <w:top w:val="single" w:sz="8" w:color="CCEEFF"/>
            </w:tcBorders>
            <w:shd w:val="clear" w:color="auto" w:fill="CCEEFF"/>
          </w:tcPr>
          <w:p>
            <w:pPr>
              <w:ind w:left="20"/>
              <w:spacing w:after="0" w:line="145" w:lineRule="exact"/>
              <w:rPr>
                <w:sz w:val="20"/>
                <w:szCs w:val="20"/>
                <w:color w:val="auto"/>
              </w:rPr>
            </w:pPr>
            <w:r>
              <w:rPr>
                <w:rFonts w:ascii="Times New Roman" w:cs="Times New Roman" w:eastAsia="Times New Roman" w:hAnsi="Times New Roman"/>
                <w:sz w:val="16"/>
                <w:szCs w:val="16"/>
                <w:color w:val="auto"/>
              </w:rPr>
              <w:t>Balance as of September 30,</w:t>
            </w: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99,436,499</w:t>
            </w: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9,944</w:t>
            </w:r>
          </w:p>
        </w:tc>
        <w:tc>
          <w:tcPr>
            <w:tcW w:w="80" w:type="dxa"/>
            <w:vAlign w:val="bottom"/>
            <w:tcBorders>
              <w:top w:val="single" w:sz="8" w:color="CCEEFF"/>
            </w:tcBorders>
            <w:shd w:val="clear" w:color="auto" w:fill="CCEEFF"/>
          </w:tcPr>
          <w:p>
            <w:pPr>
              <w:spacing w:after="0"/>
              <w:rPr>
                <w:sz w:val="12"/>
                <w:szCs w:val="12"/>
                <w:color w:val="auto"/>
              </w:rPr>
            </w:pPr>
          </w:p>
        </w:tc>
        <w:tc>
          <w:tcPr>
            <w:tcW w:w="880" w:type="dxa"/>
            <w:vAlign w:val="bottom"/>
            <w:tcBorders>
              <w:top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(19,135,239)</w:t>
            </w:r>
          </w:p>
        </w:tc>
        <w:tc>
          <w:tcPr>
            <w:tcW w:w="8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(687,865)</w:t>
            </w:r>
          </w:p>
        </w:tc>
        <w:tc>
          <w:tcPr>
            <w:tcW w:w="8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1,723,049</w:t>
            </w:r>
          </w:p>
        </w:tc>
        <w:tc>
          <w:tcPr>
            <w:tcW w:w="8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3,049,146</w:t>
            </w: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(42,080)</w:t>
            </w: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4,052,194</w:t>
            </w: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147,171</w:t>
            </w:r>
          </w:p>
        </w:tc>
        <w:tc>
          <w:tcPr>
            <w:tcW w:w="8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$4,199,365</w:t>
            </w:r>
          </w:p>
        </w:tc>
        <w:tc>
          <w:tcPr>
            <w:tcW w:w="0" w:type="dxa"/>
            <w:vAlign w:val="bottom"/>
          </w:tcPr>
          <w:p>
            <w:pPr>
              <w:spacing w:after="0"/>
              <w:rPr>
                <w:sz w:val="1"/>
                <w:szCs w:val="1"/>
                <w:color w:val="auto"/>
              </w:rPr>
            </w:pPr>
          </w:p>
        </w:tc>
      </w:tr>
      <w:tr>
        <w:trPr>
          <w:trHeight w:val="218"/>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vMerge w:val="continue"/>
            <w:shd w:val="clear" w:color="auto" w:fill="CCEEFF"/>
          </w:tcPr>
          <w:p>
            <w:pPr>
              <w:spacing w:after="0"/>
              <w:rPr>
                <w:sz w:val="18"/>
                <w:szCs w:val="18"/>
                <w:color w:val="auto"/>
              </w:rPr>
            </w:pPr>
          </w:p>
        </w:tc>
        <w:tc>
          <w:tcPr>
            <w:tcW w:w="46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vMerge w:val="continue"/>
            <w:shd w:val="clear" w:color="auto" w:fill="CCEEFF"/>
          </w:tcPr>
          <w:p>
            <w:pPr>
              <w:spacing w:after="0"/>
              <w:rPr>
                <w:sz w:val="18"/>
                <w:szCs w:val="18"/>
                <w:color w:val="auto"/>
              </w:rPr>
            </w:pPr>
          </w:p>
        </w:tc>
        <w:tc>
          <w:tcPr>
            <w:tcW w:w="10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vMerge w:val="continue"/>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vMerge w:val="continue"/>
            <w:shd w:val="clear" w:color="auto" w:fill="CCEEFF"/>
          </w:tcPr>
          <w:p>
            <w:pPr>
              <w:spacing w:after="0"/>
              <w:rPr>
                <w:sz w:val="18"/>
                <w:szCs w:val="18"/>
                <w:color w:val="auto"/>
              </w:rPr>
            </w:pPr>
          </w:p>
        </w:tc>
        <w:tc>
          <w:tcPr>
            <w:tcW w:w="74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20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200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rPr>
              <w:t>Three Months Ended</w:t>
            </w: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8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Balance as of June 30, 2025</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99,335,857</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9,933</w:t>
            </w:r>
          </w:p>
        </w:tc>
        <w:tc>
          <w:tcPr>
            <w:tcW w:w="8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(20,422,329)</w:t>
            </w:r>
          </w:p>
        </w:tc>
        <w:tc>
          <w:tcPr>
            <w:tcW w:w="8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(734,133)</w:t>
            </w:r>
          </w:p>
        </w:tc>
        <w:tc>
          <w:tcPr>
            <w:tcW w:w="8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1,303,045</w:t>
            </w:r>
          </w:p>
        </w:tc>
        <w:tc>
          <w:tcPr>
            <w:tcW w:w="8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2,404,250</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(35,948)</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2,947,147</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67,218</w:t>
            </w:r>
          </w:p>
        </w:tc>
        <w:tc>
          <w:tcPr>
            <w:tcW w:w="8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$3,014,365</w:t>
            </w:r>
          </w:p>
        </w:tc>
        <w:tc>
          <w:tcPr>
            <w:tcW w:w="0" w:type="dxa"/>
            <w:vAlign w:val="bottom"/>
          </w:tcPr>
          <w:p>
            <w:pPr>
              <w:spacing w:after="0"/>
              <w:rPr>
                <w:sz w:val="1"/>
                <w:szCs w:val="1"/>
                <w:color w:val="auto"/>
              </w:rPr>
            </w:pPr>
          </w:p>
        </w:tc>
      </w:tr>
      <w:tr>
        <w:trPr>
          <w:trHeight w:val="226"/>
        </w:trPr>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income</w:t>
            </w: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160,660</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160,660</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5,837</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166,497</w:t>
            </w:r>
          </w:p>
        </w:tc>
        <w:tc>
          <w:tcPr>
            <w:tcW w:w="0" w:type="dxa"/>
            <w:vAlign w:val="bottom"/>
          </w:tcPr>
          <w:p>
            <w:pPr>
              <w:spacing w:after="0"/>
              <w:rPr>
                <w:sz w:val="1"/>
                <w:szCs w:val="1"/>
                <w:color w:val="auto"/>
              </w:rPr>
            </w:pPr>
          </w:p>
        </w:tc>
      </w:tr>
      <w:tr>
        <w:trPr>
          <w:trHeight w:val="216"/>
        </w:trPr>
        <w:tc>
          <w:tcPr>
            <w:tcW w:w="2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comprehensive (loss)</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income</w:t>
            </w: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(4,689)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(4,689)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2,108</w:t>
            </w: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(2,581)</w:t>
            </w:r>
          </w:p>
        </w:tc>
        <w:tc>
          <w:tcPr>
            <w:tcW w:w="0" w:type="dxa"/>
            <w:vAlign w:val="bottom"/>
          </w:tcPr>
          <w:p>
            <w:pPr>
              <w:spacing w:after="0"/>
              <w:rPr>
                <w:sz w:val="1"/>
                <w:szCs w:val="1"/>
                <w:color w:val="auto"/>
              </w:rPr>
            </w:pPr>
          </w:p>
        </w:tc>
      </w:tr>
      <w:tr>
        <w:trPr>
          <w:trHeight w:val="219"/>
        </w:trPr>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Non-cash stock-based</w:t>
            </w: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compensation</w:t>
            </w: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9,314</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9,314</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9,314</w:t>
            </w:r>
          </w:p>
        </w:tc>
        <w:tc>
          <w:tcPr>
            <w:tcW w:w="0" w:type="dxa"/>
            <w:vAlign w:val="bottom"/>
          </w:tcPr>
          <w:p>
            <w:pPr>
              <w:spacing w:after="0"/>
              <w:rPr>
                <w:sz w:val="1"/>
                <w:szCs w:val="1"/>
                <w:color w:val="auto"/>
              </w:rPr>
            </w:pPr>
          </w:p>
        </w:tc>
      </w:tr>
      <w:tr>
        <w:trPr>
          <w:trHeight w:val="216"/>
        </w:trPr>
        <w:tc>
          <w:tcPr>
            <w:tcW w:w="2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Forfeiture of restricted</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shares, net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(8,559)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Shares withheld for taxes,</w:t>
            </w: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of other stock issuances</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0" w:type="dxa"/>
            <w:vAlign w:val="bottom"/>
          </w:tcPr>
          <w:p>
            <w:pPr>
              <w:spacing w:after="0"/>
              <w:rPr>
                <w:sz w:val="1"/>
                <w:szCs w:val="1"/>
                <w:color w:val="auto"/>
              </w:rPr>
            </w:pPr>
          </w:p>
        </w:tc>
      </w:tr>
      <w:tr>
        <w:trPr>
          <w:trHeight w:val="216"/>
        </w:trPr>
        <w:tc>
          <w:tcPr>
            <w:tcW w:w="2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Distributions to non-</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controlling interests</w:t>
            </w: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(8,227)</w:t>
            </w: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(8,227)</w:t>
            </w:r>
          </w:p>
        </w:tc>
        <w:tc>
          <w:tcPr>
            <w:tcW w:w="0" w:type="dxa"/>
            <w:vAlign w:val="bottom"/>
          </w:tcPr>
          <w:p>
            <w:pPr>
              <w:spacing w:after="0"/>
              <w:rPr>
                <w:sz w:val="1"/>
                <w:szCs w:val="1"/>
                <w:color w:val="auto"/>
              </w:rPr>
            </w:pPr>
          </w:p>
        </w:tc>
      </w:tr>
      <w:tr>
        <w:trPr>
          <w:trHeight w:val="145"/>
        </w:trPr>
        <w:tc>
          <w:tcPr>
            <w:tcW w:w="2000" w:type="dxa"/>
            <w:vAlign w:val="bottom"/>
            <w:tcBorders>
              <w:top w:val="single" w:sz="8" w:color="CCEEFF"/>
            </w:tcBorders>
            <w:shd w:val="clear" w:color="auto" w:fill="CCEEFF"/>
          </w:tcPr>
          <w:p>
            <w:pPr>
              <w:ind w:left="20"/>
              <w:spacing w:after="0" w:line="145" w:lineRule="exact"/>
              <w:rPr>
                <w:sz w:val="20"/>
                <w:szCs w:val="20"/>
                <w:color w:val="auto"/>
              </w:rPr>
            </w:pPr>
            <w:r>
              <w:rPr>
                <w:rFonts w:ascii="Times New Roman" w:cs="Times New Roman" w:eastAsia="Times New Roman" w:hAnsi="Times New Roman"/>
                <w:sz w:val="16"/>
                <w:szCs w:val="16"/>
                <w:color w:val="auto"/>
              </w:rPr>
              <w:t>Balance as of September 30,</w:t>
            </w: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99,327,105</w:t>
            </w: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9,932</w:t>
            </w:r>
          </w:p>
        </w:tc>
        <w:tc>
          <w:tcPr>
            <w:tcW w:w="80" w:type="dxa"/>
            <w:vAlign w:val="bottom"/>
            <w:tcBorders>
              <w:top w:val="single" w:sz="8" w:color="CCEEFF"/>
            </w:tcBorders>
            <w:shd w:val="clear" w:color="auto" w:fill="CCEEFF"/>
          </w:tcPr>
          <w:p>
            <w:pPr>
              <w:spacing w:after="0"/>
              <w:rPr>
                <w:sz w:val="12"/>
                <w:szCs w:val="12"/>
                <w:color w:val="auto"/>
              </w:rPr>
            </w:pPr>
          </w:p>
        </w:tc>
        <w:tc>
          <w:tcPr>
            <w:tcW w:w="880" w:type="dxa"/>
            <w:vAlign w:val="bottom"/>
            <w:tcBorders>
              <w:top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(20,422,329)</w:t>
            </w:r>
          </w:p>
        </w:tc>
        <w:tc>
          <w:tcPr>
            <w:tcW w:w="8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(734,133)</w:t>
            </w:r>
          </w:p>
        </w:tc>
        <w:tc>
          <w:tcPr>
            <w:tcW w:w="8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1,312,325</w:t>
            </w:r>
          </w:p>
        </w:tc>
        <w:tc>
          <w:tcPr>
            <w:tcW w:w="8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2,564,910</w:t>
            </w: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(40,637)</w:t>
            </w: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3,112,397</w:t>
            </w: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66,936</w:t>
            </w:r>
          </w:p>
        </w:tc>
        <w:tc>
          <w:tcPr>
            <w:tcW w:w="8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$3,179,333</w:t>
            </w:r>
          </w:p>
        </w:tc>
        <w:tc>
          <w:tcPr>
            <w:tcW w:w="0" w:type="dxa"/>
            <w:vAlign w:val="bottom"/>
          </w:tcPr>
          <w:p>
            <w:pPr>
              <w:spacing w:after="0"/>
              <w:rPr>
                <w:sz w:val="1"/>
                <w:szCs w:val="1"/>
                <w:color w:val="auto"/>
              </w:rPr>
            </w:pPr>
          </w:p>
        </w:tc>
      </w:tr>
      <w:tr>
        <w:trPr>
          <w:trHeight w:val="218"/>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vMerge w:val="continue"/>
            <w:shd w:val="clear" w:color="auto" w:fill="CCEEFF"/>
          </w:tcPr>
          <w:p>
            <w:pPr>
              <w:spacing w:after="0"/>
              <w:rPr>
                <w:sz w:val="18"/>
                <w:szCs w:val="18"/>
                <w:color w:val="auto"/>
              </w:rPr>
            </w:pPr>
          </w:p>
        </w:tc>
        <w:tc>
          <w:tcPr>
            <w:tcW w:w="46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vMerge w:val="continue"/>
            <w:shd w:val="clear" w:color="auto" w:fill="CCEEFF"/>
          </w:tcPr>
          <w:p>
            <w:pPr>
              <w:spacing w:after="0"/>
              <w:rPr>
                <w:sz w:val="18"/>
                <w:szCs w:val="18"/>
                <w:color w:val="auto"/>
              </w:rPr>
            </w:pPr>
          </w:p>
        </w:tc>
        <w:tc>
          <w:tcPr>
            <w:tcW w:w="10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vMerge w:val="continue"/>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vMerge w:val="continue"/>
            <w:shd w:val="clear" w:color="auto" w:fill="CCEEFF"/>
          </w:tcPr>
          <w:p>
            <w:pPr>
              <w:spacing w:after="0"/>
              <w:rPr>
                <w:sz w:val="18"/>
                <w:szCs w:val="18"/>
                <w:color w:val="auto"/>
              </w:rPr>
            </w:pPr>
          </w:p>
        </w:tc>
        <w:tc>
          <w:tcPr>
            <w:tcW w:w="74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4"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6"/>
          <w:szCs w:val="16"/>
          <w:b w:val="1"/>
          <w:bCs w:val="1"/>
          <w:color w:val="auto"/>
        </w:rPr>
        <w:t>MASTEC,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STATEMENTS OF EQUITY</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 - in thousands, except shares)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00" w:type="dxa"/>
            <w:vAlign w:val="bottom"/>
          </w:tcPr>
          <w:p>
            <w:pPr>
              <w:spacing w:after="0"/>
              <w:rPr>
                <w:sz w:val="16"/>
                <w:szCs w:val="16"/>
                <w:color w:val="auto"/>
              </w:rPr>
            </w:pPr>
          </w:p>
        </w:tc>
        <w:tc>
          <w:tcPr>
            <w:tcW w:w="1500" w:type="dxa"/>
            <w:vAlign w:val="bottom"/>
            <w:gridSpan w:val="4"/>
            <w:vMerge w:val="restart"/>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80" w:type="dxa"/>
            <w:vAlign w:val="bottom"/>
            <w:vMerge w:val="restart"/>
          </w:tcPr>
          <w:p>
            <w:pPr>
              <w:spacing w:after="0"/>
              <w:rPr>
                <w:sz w:val="16"/>
                <w:szCs w:val="16"/>
                <w:color w:val="auto"/>
              </w:rPr>
            </w:pPr>
          </w:p>
        </w:tc>
        <w:tc>
          <w:tcPr>
            <w:tcW w:w="1740" w:type="dxa"/>
            <w:vAlign w:val="bottom"/>
            <w:gridSpan w:val="3"/>
            <w:vMerge w:val="restart"/>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Treasury Stock</w:t>
            </w:r>
          </w:p>
        </w:tc>
        <w:tc>
          <w:tcPr>
            <w:tcW w:w="80" w:type="dxa"/>
            <w:vAlign w:val="bottom"/>
            <w:vMerge w:val="restart"/>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200" w:type="dxa"/>
            <w:vAlign w:val="bottom"/>
          </w:tcPr>
          <w:p>
            <w:pPr>
              <w:spacing w:after="0"/>
              <w:rPr>
                <w:sz w:val="16"/>
                <w:szCs w:val="16"/>
                <w:color w:val="auto"/>
              </w:rPr>
            </w:pPr>
          </w:p>
        </w:tc>
        <w:tc>
          <w:tcPr>
            <w:tcW w:w="90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100" w:type="dxa"/>
            <w:vAlign w:val="bottom"/>
          </w:tcPr>
          <w:p>
            <w:pPr>
              <w:spacing w:after="0"/>
              <w:rPr>
                <w:sz w:val="16"/>
                <w:szCs w:val="16"/>
                <w:color w:val="auto"/>
              </w:rPr>
            </w:pPr>
          </w:p>
        </w:tc>
        <w:tc>
          <w:tcPr>
            <w:tcW w:w="8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Non-</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2000" w:type="dxa"/>
            <w:vAlign w:val="bottom"/>
          </w:tcPr>
          <w:p>
            <w:pPr>
              <w:spacing w:after="0"/>
              <w:rPr>
                <w:sz w:val="14"/>
                <w:szCs w:val="14"/>
                <w:color w:val="auto"/>
              </w:rPr>
            </w:pPr>
          </w:p>
        </w:tc>
        <w:tc>
          <w:tcPr>
            <w:tcW w:w="1500" w:type="dxa"/>
            <w:vAlign w:val="bottom"/>
            <w:tcBorders>
              <w:bottom w:val="single" w:sz="8" w:color="auto"/>
            </w:tcBorders>
            <w:gridSpan w:val="4"/>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1740" w:type="dxa"/>
            <w:vAlign w:val="bottom"/>
            <w:tcBorders>
              <w:bottom w:val="single" w:sz="8" w:color="auto"/>
            </w:tcBorders>
            <w:gridSpan w:val="3"/>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160"/>
              <w:spacing w:after="0" w:line="142" w:lineRule="exact"/>
              <w:rPr>
                <w:sz w:val="20"/>
                <w:szCs w:val="20"/>
                <w:color w:val="auto"/>
              </w:rPr>
            </w:pPr>
            <w:r>
              <w:rPr>
                <w:rFonts w:ascii="Times New Roman" w:cs="Times New Roman" w:eastAsia="Times New Roman" w:hAnsi="Times New Roman"/>
                <w:sz w:val="16"/>
                <w:szCs w:val="16"/>
                <w:b w:val="1"/>
                <w:bCs w:val="1"/>
                <w:color w:val="auto"/>
              </w:rPr>
              <w:t>Other</w:t>
            </w:r>
          </w:p>
        </w:tc>
        <w:tc>
          <w:tcPr>
            <w:tcW w:w="1100" w:type="dxa"/>
            <w:vAlign w:val="bottom"/>
            <w:gridSpan w:val="3"/>
          </w:tcPr>
          <w:p>
            <w:pPr>
              <w:jc w:val="center"/>
              <w:ind w:right="60"/>
              <w:spacing w:after="0" w:line="142" w:lineRule="exact"/>
              <w:rPr>
                <w:sz w:val="20"/>
                <w:szCs w:val="20"/>
                <w:color w:val="auto"/>
              </w:rPr>
            </w:pPr>
            <w:r>
              <w:rPr>
                <w:rFonts w:ascii="Times New Roman" w:cs="Times New Roman" w:eastAsia="Times New Roman" w:hAnsi="Times New Roman"/>
                <w:sz w:val="16"/>
                <w:szCs w:val="16"/>
                <w:b w:val="1"/>
                <w:bCs w:val="1"/>
                <w:color w:val="auto"/>
                <w:w w:val="99"/>
              </w:rPr>
              <w:t>MasTec, Inc.</w:t>
            </w:r>
          </w:p>
        </w:tc>
        <w:tc>
          <w:tcPr>
            <w:tcW w:w="10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00" w:type="dxa"/>
            <w:vAlign w:val="bottom"/>
          </w:tcPr>
          <w:p>
            <w:pPr>
              <w:spacing w:after="0"/>
              <w:rPr>
                <w:sz w:val="12"/>
                <w:szCs w:val="12"/>
                <w:color w:val="auto"/>
              </w:rPr>
            </w:pPr>
          </w:p>
        </w:tc>
        <w:tc>
          <w:tcPr>
            <w:tcW w:w="9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68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9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8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900" w:type="dxa"/>
            <w:vAlign w:val="bottom"/>
            <w:gridSpan w:val="2"/>
          </w:tcPr>
          <w:p>
            <w:pPr>
              <w:ind w:left="140"/>
              <w:spacing w:after="0" w:line="142" w:lineRule="exact"/>
              <w:rPr>
                <w:sz w:val="20"/>
                <w:szCs w:val="20"/>
                <w:color w:val="auto"/>
              </w:rPr>
            </w:pPr>
            <w:r>
              <w:rPr>
                <w:rFonts w:ascii="Times New Roman" w:cs="Times New Roman" w:eastAsia="Times New Roman" w:hAnsi="Times New Roman"/>
                <w:sz w:val="16"/>
                <w:szCs w:val="16"/>
                <w:b w:val="1"/>
                <w:bCs w:val="1"/>
                <w:color w:val="auto"/>
              </w:rPr>
              <w:t>Capital</w:t>
            </w:r>
          </w:p>
        </w:tc>
        <w:tc>
          <w:tcPr>
            <w:tcW w:w="900" w:type="dxa"/>
            <w:vAlign w:val="bottom"/>
            <w:gridSpan w:val="2"/>
          </w:tcPr>
          <w:p>
            <w:pPr>
              <w:ind w:left="100"/>
              <w:spacing w:after="0" w:line="142" w:lineRule="exact"/>
              <w:rPr>
                <w:sz w:val="20"/>
                <w:szCs w:val="20"/>
                <w:color w:val="auto"/>
              </w:rPr>
            </w:pPr>
            <w:r>
              <w:rPr>
                <w:rFonts w:ascii="Times New Roman" w:cs="Times New Roman" w:eastAsia="Times New Roman" w:hAnsi="Times New Roman"/>
                <w:sz w:val="16"/>
                <w:szCs w:val="16"/>
                <w:b w:val="1"/>
                <w:bCs w:val="1"/>
                <w:color w:val="auto"/>
              </w:rPr>
              <w:t>Retained</w:t>
            </w:r>
          </w:p>
        </w:tc>
        <w:tc>
          <w:tcPr>
            <w:tcW w:w="120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110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6"/>
                <w:szCs w:val="16"/>
                <w:b w:val="1"/>
                <w:bCs w:val="1"/>
                <w:color w:val="auto"/>
              </w:rPr>
              <w:t>Shareholders’</w:t>
            </w:r>
          </w:p>
        </w:tc>
        <w:tc>
          <w:tcPr>
            <w:tcW w:w="92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6"/>
                <w:szCs w:val="16"/>
                <w:b w:val="1"/>
                <w:bCs w:val="1"/>
                <w:color w:val="auto"/>
              </w:rPr>
              <w:t>Controlling</w:t>
            </w:r>
          </w:p>
        </w:tc>
        <w:tc>
          <w:tcPr>
            <w:tcW w:w="820" w:type="dxa"/>
            <w:vAlign w:val="bottom"/>
          </w:tcPr>
          <w:p>
            <w:pPr>
              <w:jc w:val="right"/>
              <w:ind w:right="159"/>
              <w:spacing w:after="0" w:line="142" w:lineRule="exact"/>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200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680" w:type="dxa"/>
            <w:vAlign w:val="bottom"/>
            <w:gridSpan w:val="3"/>
            <w:vMerge w:val="continue"/>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90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Surplus</w:t>
            </w: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00" w:type="dxa"/>
            <w:vAlign w:val="bottom"/>
          </w:tcPr>
          <w:p>
            <w:pPr>
              <w:spacing w:after="0"/>
              <w:rPr>
                <w:sz w:val="18"/>
                <w:szCs w:val="18"/>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Loss</w:t>
            </w:r>
          </w:p>
        </w:tc>
        <w:tc>
          <w:tcPr>
            <w:tcW w:w="200" w:type="dxa"/>
            <w:vAlign w:val="bottom"/>
          </w:tcPr>
          <w:p>
            <w:pPr>
              <w:spacing w:after="0"/>
              <w:rPr>
                <w:sz w:val="18"/>
                <w:szCs w:val="18"/>
                <w:color w:val="auto"/>
              </w:rPr>
            </w:pPr>
          </w:p>
        </w:tc>
        <w:tc>
          <w:tcPr>
            <w:tcW w:w="9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100" w:type="dxa"/>
            <w:vAlign w:val="bottom"/>
          </w:tcPr>
          <w:p>
            <w:pPr>
              <w:spacing w:after="0"/>
              <w:rPr>
                <w:sz w:val="18"/>
                <w:szCs w:val="18"/>
                <w:color w:val="auto"/>
              </w:rPr>
            </w:pPr>
          </w:p>
        </w:tc>
        <w:tc>
          <w:tcPr>
            <w:tcW w:w="82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Interests</w:t>
            </w:r>
          </w:p>
        </w:tc>
        <w:tc>
          <w:tcPr>
            <w:tcW w:w="82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164"/>
        </w:trPr>
        <w:tc>
          <w:tcPr>
            <w:tcW w:w="2000" w:type="dxa"/>
            <w:vAlign w:val="bottom"/>
            <w:shd w:val="clear" w:color="auto" w:fill="CCEEFF"/>
          </w:tcPr>
          <w:p>
            <w:pPr>
              <w:ind w:left="20"/>
              <w:spacing w:after="0" w:line="164" w:lineRule="exact"/>
              <w:rPr>
                <w:sz w:val="20"/>
                <w:szCs w:val="20"/>
                <w:color w:val="auto"/>
              </w:rPr>
            </w:pPr>
            <w:r>
              <w:rPr>
                <w:rFonts w:ascii="Times New Roman" w:cs="Times New Roman" w:eastAsia="Times New Roman" w:hAnsi="Times New Roman"/>
                <w:sz w:val="16"/>
                <w:szCs w:val="16"/>
                <w:b w:val="1"/>
                <w:bCs w:val="1"/>
                <w:color w:val="auto"/>
              </w:rPr>
              <w:t>Nine Months Ended</w:t>
            </w: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September 30, 2026</w:t>
            </w:r>
          </w:p>
        </w:tc>
        <w:tc>
          <w:tcPr>
            <w:tcW w:w="8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2000" w:type="dxa"/>
            <w:vAlign w:val="bottom"/>
          </w:tcPr>
          <w:p>
            <w:pPr>
              <w:ind w:left="20"/>
              <w:spacing w:after="0" w:line="142" w:lineRule="exact"/>
              <w:rPr>
                <w:sz w:val="20"/>
                <w:szCs w:val="20"/>
                <w:color w:val="auto"/>
              </w:rPr>
            </w:pPr>
            <w:r>
              <w:rPr>
                <w:rFonts w:ascii="Times New Roman" w:cs="Times New Roman" w:eastAsia="Times New Roman" w:hAnsi="Times New Roman"/>
                <w:sz w:val="16"/>
                <w:szCs w:val="16"/>
                <w:color w:val="auto"/>
              </w:rPr>
              <w:t>Balance as of December 31,</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99,319,916</w:t>
            </w:r>
          </w:p>
        </w:tc>
        <w:tc>
          <w:tcPr>
            <w:tcW w:w="80" w:type="dxa"/>
            <w:vAlign w:val="bottom"/>
          </w:tcPr>
          <w:p>
            <w:pPr>
              <w:spacing w:after="0"/>
              <w:rPr>
                <w:sz w:val="12"/>
                <w:szCs w:val="12"/>
                <w:color w:val="auto"/>
              </w:rPr>
            </w:pPr>
          </w:p>
        </w:tc>
        <w:tc>
          <w:tcPr>
            <w:tcW w:w="14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9,932</w:t>
            </w:r>
          </w:p>
        </w:tc>
        <w:tc>
          <w:tcPr>
            <w:tcW w:w="8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(20,422,329)</w:t>
            </w:r>
          </w:p>
        </w:tc>
        <w:tc>
          <w:tcPr>
            <w:tcW w:w="8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(734,133)</w:t>
            </w:r>
          </w:p>
        </w:tc>
        <w:tc>
          <w:tcPr>
            <w:tcW w:w="8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1,319,920</w:t>
            </w:r>
          </w:p>
        </w:tc>
        <w:tc>
          <w:tcPr>
            <w:tcW w:w="8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2,707,623</w:t>
            </w:r>
          </w:p>
        </w:tc>
        <w:tc>
          <w:tcPr>
            <w:tcW w:w="80" w:type="dxa"/>
            <w:vAlign w:val="bottom"/>
          </w:tcPr>
          <w:p>
            <w:pPr>
              <w:spacing w:after="0"/>
              <w:rPr>
                <w:sz w:val="12"/>
                <w:szCs w:val="12"/>
                <w:color w:val="auto"/>
              </w:rPr>
            </w:pPr>
          </w:p>
        </w:tc>
        <w:tc>
          <w:tcPr>
            <w:tcW w:w="1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(44,033)</w:t>
            </w:r>
          </w:p>
        </w:tc>
        <w:tc>
          <w:tcPr>
            <w:tcW w:w="80" w:type="dxa"/>
            <w:vAlign w:val="bottom"/>
          </w:tcPr>
          <w:p>
            <w:pPr>
              <w:spacing w:after="0"/>
              <w:rPr>
                <w:sz w:val="12"/>
                <w:szCs w:val="12"/>
                <w:color w:val="auto"/>
              </w:rPr>
            </w:pPr>
          </w:p>
        </w:tc>
        <w:tc>
          <w:tcPr>
            <w:tcW w:w="2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3,259,309</w:t>
            </w:r>
          </w:p>
        </w:tc>
        <w:tc>
          <w:tcPr>
            <w:tcW w:w="80" w:type="dxa"/>
            <w:vAlign w:val="bottom"/>
          </w:tcPr>
          <w:p>
            <w:pPr>
              <w:spacing w:after="0"/>
              <w:rPr>
                <w:sz w:val="12"/>
                <w:szCs w:val="12"/>
                <w:color w:val="auto"/>
              </w:rPr>
            </w:pPr>
          </w:p>
        </w:tc>
        <w:tc>
          <w:tcPr>
            <w:tcW w:w="1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75,212</w:t>
            </w:r>
          </w:p>
        </w:tc>
        <w:tc>
          <w:tcPr>
            <w:tcW w:w="8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$3,334,521</w:t>
            </w:r>
          </w:p>
        </w:tc>
        <w:tc>
          <w:tcPr>
            <w:tcW w:w="0" w:type="dxa"/>
            <w:vAlign w:val="bottom"/>
          </w:tcPr>
          <w:p>
            <w:pPr>
              <w:spacing w:after="0"/>
              <w:rPr>
                <w:sz w:val="1"/>
                <w:szCs w:val="1"/>
                <w:color w:val="auto"/>
              </w:rPr>
            </w:pPr>
          </w:p>
        </w:tc>
      </w:tr>
      <w:tr>
        <w:trPr>
          <w:trHeight w:val="213"/>
        </w:trPr>
        <w:tc>
          <w:tcPr>
            <w:tcW w:w="2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8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46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vMerge w:val="continue"/>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vMerge w:val="continue"/>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income</w:t>
            </w: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341,523</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341,523</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41,598</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383,121</w:t>
            </w:r>
          </w:p>
        </w:tc>
        <w:tc>
          <w:tcPr>
            <w:tcW w:w="0" w:type="dxa"/>
            <w:vAlign w:val="bottom"/>
          </w:tcPr>
          <w:p>
            <w:pPr>
              <w:spacing w:after="0"/>
              <w:rPr>
                <w:sz w:val="1"/>
                <w:szCs w:val="1"/>
                <w:color w:val="auto"/>
              </w:rPr>
            </w:pPr>
          </w:p>
        </w:tc>
      </w:tr>
      <w:tr>
        <w:trPr>
          <w:trHeight w:val="216"/>
        </w:trPr>
        <w:tc>
          <w:tcPr>
            <w:tcW w:w="2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comprehensive</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income (loss)</w:t>
            </w: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(1,037)</w:t>
            </w: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916</w:t>
            </w:r>
          </w:p>
        </w:tc>
        <w:tc>
          <w:tcPr>
            <w:tcW w:w="0" w:type="dxa"/>
            <w:vAlign w:val="bottom"/>
          </w:tcPr>
          <w:p>
            <w:pPr>
              <w:spacing w:after="0"/>
              <w:rPr>
                <w:sz w:val="1"/>
                <w:szCs w:val="1"/>
                <w:color w:val="auto"/>
              </w:rPr>
            </w:pPr>
          </w:p>
        </w:tc>
      </w:tr>
      <w:tr>
        <w:trPr>
          <w:trHeight w:val="219"/>
        </w:trPr>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Non-cash stock-based</w:t>
            </w: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compensation</w:t>
            </w: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31,046</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31,046</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31,046</w:t>
            </w:r>
          </w:p>
        </w:tc>
        <w:tc>
          <w:tcPr>
            <w:tcW w:w="0" w:type="dxa"/>
            <w:vAlign w:val="bottom"/>
          </w:tcPr>
          <w:p>
            <w:pPr>
              <w:spacing w:after="0"/>
              <w:rPr>
                <w:sz w:val="1"/>
                <w:szCs w:val="1"/>
                <w:color w:val="auto"/>
              </w:rPr>
            </w:pPr>
          </w:p>
        </w:tc>
      </w:tr>
      <w:tr>
        <w:trPr>
          <w:trHeight w:val="216"/>
        </w:trPr>
        <w:tc>
          <w:tcPr>
            <w:tcW w:w="2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Issuance of restricted</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shares, net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178,091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Shares withheld for taxes,</w:t>
            </w: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of other stock issuances</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(61,508)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(18,320)</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(18,326)</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(18,326)</w:t>
            </w:r>
          </w:p>
        </w:tc>
        <w:tc>
          <w:tcPr>
            <w:tcW w:w="0" w:type="dxa"/>
            <w:vAlign w:val="bottom"/>
          </w:tcPr>
          <w:p>
            <w:pPr>
              <w:spacing w:after="0"/>
              <w:rPr>
                <w:sz w:val="1"/>
                <w:szCs w:val="1"/>
                <w:color w:val="auto"/>
              </w:rPr>
            </w:pPr>
          </w:p>
        </w:tc>
      </w:tr>
      <w:tr>
        <w:trPr>
          <w:trHeight w:val="216"/>
        </w:trPr>
        <w:tc>
          <w:tcPr>
            <w:tcW w:w="2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Issuance of shares in</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connection with acquisitions</w:t>
            </w: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1,287,090</w:t>
            </w: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46,268</w:t>
            </w: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390,421</w:t>
            </w: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436,689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436,689</w:t>
            </w:r>
          </w:p>
        </w:tc>
        <w:tc>
          <w:tcPr>
            <w:tcW w:w="0" w:type="dxa"/>
            <w:vAlign w:val="bottom"/>
          </w:tcPr>
          <w:p>
            <w:pPr>
              <w:spacing w:after="0"/>
              <w:rPr>
                <w:sz w:val="1"/>
                <w:szCs w:val="1"/>
                <w:color w:val="auto"/>
              </w:rPr>
            </w:pPr>
          </w:p>
        </w:tc>
      </w:tr>
      <w:tr>
        <w:trPr>
          <w:trHeight w:val="219"/>
        </w:trPr>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Distributions to non-</w:t>
            </w: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controlling interests, net</w:t>
            </w: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(31,103)</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(31,103)</w:t>
            </w:r>
          </w:p>
        </w:tc>
        <w:tc>
          <w:tcPr>
            <w:tcW w:w="0" w:type="dxa"/>
            <w:vAlign w:val="bottom"/>
          </w:tcPr>
          <w:p>
            <w:pPr>
              <w:spacing w:after="0"/>
              <w:rPr>
                <w:sz w:val="1"/>
                <w:szCs w:val="1"/>
                <w:color w:val="auto"/>
              </w:rPr>
            </w:pPr>
          </w:p>
        </w:tc>
      </w:tr>
      <w:tr>
        <w:trPr>
          <w:trHeight w:val="216"/>
        </w:trPr>
        <w:tc>
          <w:tcPr>
            <w:tcW w:w="2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Non-controlling interests</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assumed related to</w:t>
            </w: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2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acquisitions</w:t>
            </w: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62,501</w:t>
            </w: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62,501</w:t>
            </w:r>
          </w:p>
        </w:tc>
        <w:tc>
          <w:tcPr>
            <w:tcW w:w="0" w:type="dxa"/>
            <w:vAlign w:val="bottom"/>
          </w:tcPr>
          <w:p>
            <w:pPr>
              <w:spacing w:after="0"/>
              <w:rPr>
                <w:sz w:val="1"/>
                <w:szCs w:val="1"/>
                <w:color w:val="auto"/>
              </w:rPr>
            </w:pPr>
          </w:p>
        </w:tc>
      </w:tr>
      <w:tr>
        <w:trPr>
          <w:trHeight w:val="145"/>
        </w:trPr>
        <w:tc>
          <w:tcPr>
            <w:tcW w:w="2000" w:type="dxa"/>
            <w:vAlign w:val="bottom"/>
            <w:tcBorders>
              <w:top w:val="single" w:sz="8" w:color="CCEEFF"/>
            </w:tcBorders>
            <w:shd w:val="clear" w:color="auto" w:fill="CCEEFF"/>
          </w:tcPr>
          <w:p>
            <w:pPr>
              <w:ind w:left="20"/>
              <w:spacing w:after="0" w:line="145" w:lineRule="exact"/>
              <w:rPr>
                <w:sz w:val="20"/>
                <w:szCs w:val="20"/>
                <w:color w:val="auto"/>
              </w:rPr>
            </w:pPr>
            <w:r>
              <w:rPr>
                <w:rFonts w:ascii="Times New Roman" w:cs="Times New Roman" w:eastAsia="Times New Roman" w:hAnsi="Times New Roman"/>
                <w:sz w:val="16"/>
                <w:szCs w:val="16"/>
                <w:color w:val="auto"/>
              </w:rPr>
              <w:t>Balance as of September 30,</w:t>
            </w: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99,436,499</w:t>
            </w: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9,944</w:t>
            </w:r>
          </w:p>
        </w:tc>
        <w:tc>
          <w:tcPr>
            <w:tcW w:w="80" w:type="dxa"/>
            <w:vAlign w:val="bottom"/>
            <w:tcBorders>
              <w:top w:val="single" w:sz="8" w:color="CCEEFF"/>
            </w:tcBorders>
            <w:shd w:val="clear" w:color="auto" w:fill="CCEEFF"/>
          </w:tcPr>
          <w:p>
            <w:pPr>
              <w:spacing w:after="0"/>
              <w:rPr>
                <w:sz w:val="12"/>
                <w:szCs w:val="12"/>
                <w:color w:val="auto"/>
              </w:rPr>
            </w:pPr>
          </w:p>
        </w:tc>
        <w:tc>
          <w:tcPr>
            <w:tcW w:w="8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(19,135,239)</w:t>
            </w:r>
          </w:p>
        </w:tc>
        <w:tc>
          <w:tcPr>
            <w:tcW w:w="8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(687,865)</w:t>
            </w:r>
          </w:p>
        </w:tc>
        <w:tc>
          <w:tcPr>
            <w:tcW w:w="8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1,723,049</w:t>
            </w:r>
          </w:p>
        </w:tc>
        <w:tc>
          <w:tcPr>
            <w:tcW w:w="8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3,049,146</w:t>
            </w: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(42,080)</w:t>
            </w: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4,052,194</w:t>
            </w: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147,171</w:t>
            </w:r>
          </w:p>
        </w:tc>
        <w:tc>
          <w:tcPr>
            <w:tcW w:w="8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$4,199,365</w:t>
            </w:r>
          </w:p>
        </w:tc>
        <w:tc>
          <w:tcPr>
            <w:tcW w:w="0" w:type="dxa"/>
            <w:vAlign w:val="bottom"/>
          </w:tcPr>
          <w:p>
            <w:pPr>
              <w:spacing w:after="0"/>
              <w:rPr>
                <w:sz w:val="1"/>
                <w:szCs w:val="1"/>
                <w:color w:val="auto"/>
              </w:rPr>
            </w:pPr>
          </w:p>
        </w:tc>
      </w:tr>
      <w:tr>
        <w:trPr>
          <w:trHeight w:val="218"/>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vMerge w:val="continue"/>
            <w:shd w:val="clear" w:color="auto" w:fill="CCEEFF"/>
          </w:tcPr>
          <w:p>
            <w:pPr>
              <w:spacing w:after="0"/>
              <w:rPr>
                <w:sz w:val="18"/>
                <w:szCs w:val="18"/>
                <w:color w:val="auto"/>
              </w:rPr>
            </w:pPr>
          </w:p>
        </w:tc>
        <w:tc>
          <w:tcPr>
            <w:tcW w:w="46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vMerge w:val="continue"/>
            <w:shd w:val="clear" w:color="auto" w:fill="CCEEFF"/>
          </w:tcPr>
          <w:p>
            <w:pPr>
              <w:spacing w:after="0"/>
              <w:rPr>
                <w:sz w:val="18"/>
                <w:szCs w:val="18"/>
                <w:color w:val="auto"/>
              </w:rPr>
            </w:pPr>
          </w:p>
        </w:tc>
        <w:tc>
          <w:tcPr>
            <w:tcW w:w="10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vMerge w:val="continue"/>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vMerge w:val="continue"/>
            <w:shd w:val="clear" w:color="auto" w:fill="CCEEFF"/>
          </w:tcPr>
          <w:p>
            <w:pPr>
              <w:spacing w:after="0"/>
              <w:rPr>
                <w:sz w:val="18"/>
                <w:szCs w:val="18"/>
                <w:color w:val="auto"/>
              </w:rPr>
            </w:pPr>
          </w:p>
        </w:tc>
        <w:tc>
          <w:tcPr>
            <w:tcW w:w="74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20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200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rPr>
              <w:t>Nine Months Ended</w:t>
            </w: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8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2000" w:type="dxa"/>
            <w:vAlign w:val="bottom"/>
          </w:tcPr>
          <w:p>
            <w:pPr>
              <w:ind w:left="20"/>
              <w:spacing w:after="0" w:line="142" w:lineRule="exact"/>
              <w:rPr>
                <w:sz w:val="20"/>
                <w:szCs w:val="20"/>
                <w:color w:val="auto"/>
              </w:rPr>
            </w:pPr>
            <w:r>
              <w:rPr>
                <w:rFonts w:ascii="Times New Roman" w:cs="Times New Roman" w:eastAsia="Times New Roman" w:hAnsi="Times New Roman"/>
                <w:sz w:val="16"/>
                <w:szCs w:val="16"/>
                <w:color w:val="auto"/>
              </w:rPr>
              <w:t>Balance as of December 31,</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99,029,011</w:t>
            </w:r>
          </w:p>
        </w:tc>
        <w:tc>
          <w:tcPr>
            <w:tcW w:w="80" w:type="dxa"/>
            <w:vAlign w:val="bottom"/>
          </w:tcPr>
          <w:p>
            <w:pPr>
              <w:spacing w:after="0"/>
              <w:rPr>
                <w:sz w:val="12"/>
                <w:szCs w:val="12"/>
                <w:color w:val="auto"/>
              </w:rPr>
            </w:pPr>
          </w:p>
        </w:tc>
        <w:tc>
          <w:tcPr>
            <w:tcW w:w="14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9,903</w:t>
            </w:r>
          </w:p>
        </w:tc>
        <w:tc>
          <w:tcPr>
            <w:tcW w:w="8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(19,719,796)</w:t>
            </w:r>
          </w:p>
        </w:tc>
        <w:tc>
          <w:tcPr>
            <w:tcW w:w="8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(656,807)</w:t>
            </w:r>
          </w:p>
        </w:tc>
        <w:tc>
          <w:tcPr>
            <w:tcW w:w="8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1,291,027</w:t>
            </w:r>
          </w:p>
        </w:tc>
        <w:tc>
          <w:tcPr>
            <w:tcW w:w="8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2,308,581</w:t>
            </w:r>
          </w:p>
        </w:tc>
        <w:tc>
          <w:tcPr>
            <w:tcW w:w="80" w:type="dxa"/>
            <w:vAlign w:val="bottom"/>
          </w:tcPr>
          <w:p>
            <w:pPr>
              <w:spacing w:after="0"/>
              <w:rPr>
                <w:sz w:val="12"/>
                <w:szCs w:val="12"/>
                <w:color w:val="auto"/>
              </w:rPr>
            </w:pPr>
          </w:p>
        </w:tc>
        <w:tc>
          <w:tcPr>
            <w:tcW w:w="1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(40,847)</w:t>
            </w:r>
          </w:p>
        </w:tc>
        <w:tc>
          <w:tcPr>
            <w:tcW w:w="80" w:type="dxa"/>
            <w:vAlign w:val="bottom"/>
          </w:tcPr>
          <w:p>
            <w:pPr>
              <w:spacing w:after="0"/>
              <w:rPr>
                <w:sz w:val="12"/>
                <w:szCs w:val="12"/>
                <w:color w:val="auto"/>
              </w:rPr>
            </w:pPr>
          </w:p>
        </w:tc>
        <w:tc>
          <w:tcPr>
            <w:tcW w:w="2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2,911,857</w:t>
            </w:r>
          </w:p>
        </w:tc>
        <w:tc>
          <w:tcPr>
            <w:tcW w:w="80" w:type="dxa"/>
            <w:vAlign w:val="bottom"/>
          </w:tcPr>
          <w:p>
            <w:pPr>
              <w:spacing w:after="0"/>
              <w:rPr>
                <w:sz w:val="12"/>
                <w:szCs w:val="12"/>
                <w:color w:val="auto"/>
              </w:rPr>
            </w:pPr>
          </w:p>
        </w:tc>
        <w:tc>
          <w:tcPr>
            <w:tcW w:w="1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75,486</w:t>
            </w:r>
          </w:p>
        </w:tc>
        <w:tc>
          <w:tcPr>
            <w:tcW w:w="8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$2,987,343</w:t>
            </w:r>
          </w:p>
        </w:tc>
        <w:tc>
          <w:tcPr>
            <w:tcW w:w="0" w:type="dxa"/>
            <w:vAlign w:val="bottom"/>
          </w:tcPr>
          <w:p>
            <w:pPr>
              <w:spacing w:after="0"/>
              <w:rPr>
                <w:sz w:val="1"/>
                <w:szCs w:val="1"/>
                <w:color w:val="auto"/>
              </w:rPr>
            </w:pPr>
          </w:p>
        </w:tc>
      </w:tr>
      <w:tr>
        <w:trPr>
          <w:trHeight w:val="213"/>
        </w:trPr>
        <w:tc>
          <w:tcPr>
            <w:tcW w:w="2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2024</w:t>
            </w:r>
          </w:p>
        </w:tc>
        <w:tc>
          <w:tcPr>
            <w:tcW w:w="8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46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vMerge w:val="continue"/>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vMerge w:val="continue"/>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income</w:t>
            </w: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256,329</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256,329</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12,629</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268,958</w:t>
            </w:r>
          </w:p>
        </w:tc>
        <w:tc>
          <w:tcPr>
            <w:tcW w:w="0" w:type="dxa"/>
            <w:vAlign w:val="bottom"/>
          </w:tcPr>
          <w:p>
            <w:pPr>
              <w:spacing w:after="0"/>
              <w:rPr>
                <w:sz w:val="1"/>
                <w:szCs w:val="1"/>
                <w:color w:val="auto"/>
              </w:rPr>
            </w:pPr>
          </w:p>
        </w:tc>
      </w:tr>
      <w:tr>
        <w:trPr>
          <w:trHeight w:val="216"/>
        </w:trPr>
        <w:tc>
          <w:tcPr>
            <w:tcW w:w="2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comprehensive</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income (loss)</w:t>
            </w: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(2,986)</w:t>
            </w: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(2,776)</w:t>
            </w:r>
          </w:p>
        </w:tc>
        <w:tc>
          <w:tcPr>
            <w:tcW w:w="0" w:type="dxa"/>
            <w:vAlign w:val="bottom"/>
          </w:tcPr>
          <w:p>
            <w:pPr>
              <w:spacing w:after="0"/>
              <w:rPr>
                <w:sz w:val="1"/>
                <w:szCs w:val="1"/>
                <w:color w:val="auto"/>
              </w:rPr>
            </w:pPr>
          </w:p>
        </w:tc>
      </w:tr>
      <w:tr>
        <w:trPr>
          <w:trHeight w:val="219"/>
        </w:trPr>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Non-cash stock-based</w:t>
            </w: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compensation</w:t>
            </w: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25,628</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25,628</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25,628</w:t>
            </w:r>
          </w:p>
        </w:tc>
        <w:tc>
          <w:tcPr>
            <w:tcW w:w="0" w:type="dxa"/>
            <w:vAlign w:val="bottom"/>
          </w:tcPr>
          <w:p>
            <w:pPr>
              <w:spacing w:after="0"/>
              <w:rPr>
                <w:sz w:val="1"/>
                <w:szCs w:val="1"/>
                <w:color w:val="auto"/>
              </w:rPr>
            </w:pPr>
          </w:p>
        </w:tc>
      </w:tr>
      <w:tr>
        <w:trPr>
          <w:trHeight w:val="216"/>
        </w:trPr>
        <w:tc>
          <w:tcPr>
            <w:tcW w:w="2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Issuance of restricted</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shares, net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336,872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Shares withheld for taxes,</w:t>
            </w: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of other stock issuances</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(38,778)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(4,297)</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(4,301)</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(4,301)</w:t>
            </w:r>
          </w:p>
        </w:tc>
        <w:tc>
          <w:tcPr>
            <w:tcW w:w="0" w:type="dxa"/>
            <w:vAlign w:val="bottom"/>
          </w:tcPr>
          <w:p>
            <w:pPr>
              <w:spacing w:after="0"/>
              <w:rPr>
                <w:sz w:val="1"/>
                <w:szCs w:val="1"/>
                <w:color w:val="auto"/>
              </w:rPr>
            </w:pPr>
          </w:p>
        </w:tc>
      </w:tr>
      <w:tr>
        <w:trPr>
          <w:trHeight w:val="216"/>
        </w:trPr>
        <w:tc>
          <w:tcPr>
            <w:tcW w:w="2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Acquisition of treasury</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stock, at cost</w:t>
            </w: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(702,533)</w:t>
            </w: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(77,326)</w:t>
            </w: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(77,326)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(77,326)</w:t>
            </w:r>
          </w:p>
        </w:tc>
        <w:tc>
          <w:tcPr>
            <w:tcW w:w="0" w:type="dxa"/>
            <w:vAlign w:val="bottom"/>
          </w:tcPr>
          <w:p>
            <w:pPr>
              <w:spacing w:after="0"/>
              <w:rPr>
                <w:sz w:val="1"/>
                <w:szCs w:val="1"/>
                <w:color w:val="auto"/>
              </w:rPr>
            </w:pPr>
          </w:p>
        </w:tc>
      </w:tr>
      <w:tr>
        <w:trPr>
          <w:trHeight w:val="219"/>
        </w:trPr>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Distributions to non-</w:t>
            </w: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controlling interests, net</w:t>
            </w: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(18,193)</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(18,193)</w:t>
            </w:r>
          </w:p>
        </w:tc>
        <w:tc>
          <w:tcPr>
            <w:tcW w:w="0" w:type="dxa"/>
            <w:vAlign w:val="bottom"/>
          </w:tcPr>
          <w:p>
            <w:pPr>
              <w:spacing w:after="0"/>
              <w:rPr>
                <w:sz w:val="1"/>
                <w:szCs w:val="1"/>
                <w:color w:val="auto"/>
              </w:rPr>
            </w:pPr>
          </w:p>
        </w:tc>
      </w:tr>
      <w:tr>
        <w:trPr>
          <w:trHeight w:val="142"/>
        </w:trPr>
        <w:tc>
          <w:tcPr>
            <w:tcW w:w="2000" w:type="dxa"/>
            <w:vAlign w:val="bottom"/>
          </w:tcPr>
          <w:p>
            <w:pPr>
              <w:ind w:left="20"/>
              <w:spacing w:after="0" w:line="142" w:lineRule="exact"/>
              <w:rPr>
                <w:sz w:val="20"/>
                <w:szCs w:val="20"/>
                <w:color w:val="auto"/>
              </w:rPr>
            </w:pPr>
            <w:r>
              <w:rPr>
                <w:rFonts w:ascii="Times New Roman" w:cs="Times New Roman" w:eastAsia="Times New Roman" w:hAnsi="Times New Roman"/>
                <w:sz w:val="16"/>
                <w:szCs w:val="16"/>
                <w:color w:val="auto"/>
              </w:rPr>
              <w:t>Balance as of September 30,</w:t>
            </w:r>
          </w:p>
        </w:tc>
        <w:tc>
          <w:tcPr>
            <w:tcW w:w="8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99,327,105</w:t>
            </w:r>
          </w:p>
        </w:tc>
        <w:tc>
          <w:tcPr>
            <w:tcW w:w="80" w:type="dxa"/>
            <w:vAlign w:val="bottom"/>
          </w:tcPr>
          <w:p>
            <w:pPr>
              <w:spacing w:after="0"/>
              <w:rPr>
                <w:sz w:val="12"/>
                <w:szCs w:val="12"/>
                <w:color w:val="auto"/>
              </w:rPr>
            </w:pPr>
          </w:p>
        </w:tc>
        <w:tc>
          <w:tcPr>
            <w:tcW w:w="14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9,932</w:t>
            </w:r>
          </w:p>
        </w:tc>
        <w:tc>
          <w:tcPr>
            <w:tcW w:w="80" w:type="dxa"/>
            <w:vAlign w:val="bottom"/>
          </w:tcPr>
          <w:p>
            <w:pPr>
              <w:spacing w:after="0"/>
              <w:rPr>
                <w:sz w:val="12"/>
                <w:szCs w:val="12"/>
                <w:color w:val="auto"/>
              </w:rPr>
            </w:pPr>
          </w:p>
        </w:tc>
        <w:tc>
          <w:tcPr>
            <w:tcW w:w="8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(20,422,329)</w:t>
            </w:r>
          </w:p>
        </w:tc>
        <w:tc>
          <w:tcPr>
            <w:tcW w:w="80" w:type="dxa"/>
            <w:vAlign w:val="bottom"/>
          </w:tcPr>
          <w:p>
            <w:pPr>
              <w:spacing w:after="0"/>
              <w:rPr>
                <w:sz w:val="12"/>
                <w:szCs w:val="12"/>
                <w:color w:val="auto"/>
              </w:rPr>
            </w:pPr>
          </w:p>
        </w:tc>
        <w:tc>
          <w:tcPr>
            <w:tcW w:w="7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(734,133)</w:t>
            </w:r>
          </w:p>
        </w:tc>
        <w:tc>
          <w:tcPr>
            <w:tcW w:w="80" w:type="dxa"/>
            <w:vAlign w:val="bottom"/>
          </w:tcPr>
          <w:p>
            <w:pPr>
              <w:spacing w:after="0"/>
              <w:rPr>
                <w:sz w:val="12"/>
                <w:szCs w:val="12"/>
                <w:color w:val="auto"/>
              </w:rPr>
            </w:pPr>
          </w:p>
        </w:tc>
        <w:tc>
          <w:tcPr>
            <w:tcW w:w="8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1,312,325</w:t>
            </w:r>
          </w:p>
        </w:tc>
        <w:tc>
          <w:tcPr>
            <w:tcW w:w="80" w:type="dxa"/>
            <w:vAlign w:val="bottom"/>
          </w:tcPr>
          <w:p>
            <w:pPr>
              <w:spacing w:after="0"/>
              <w:rPr>
                <w:sz w:val="12"/>
                <w:szCs w:val="12"/>
                <w:color w:val="auto"/>
              </w:rPr>
            </w:pPr>
          </w:p>
        </w:tc>
        <w:tc>
          <w:tcPr>
            <w:tcW w:w="8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2,564,910</w:t>
            </w:r>
          </w:p>
        </w:tc>
        <w:tc>
          <w:tcPr>
            <w:tcW w:w="80" w:type="dxa"/>
            <w:vAlign w:val="bottom"/>
          </w:tcPr>
          <w:p>
            <w:pPr>
              <w:spacing w:after="0"/>
              <w:rPr>
                <w:sz w:val="12"/>
                <w:szCs w:val="12"/>
                <w:color w:val="auto"/>
              </w:rPr>
            </w:pPr>
          </w:p>
        </w:tc>
        <w:tc>
          <w:tcPr>
            <w:tcW w:w="10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(40,637)</w:t>
            </w:r>
          </w:p>
        </w:tc>
        <w:tc>
          <w:tcPr>
            <w:tcW w:w="80" w:type="dxa"/>
            <w:vAlign w:val="bottom"/>
          </w:tcPr>
          <w:p>
            <w:pPr>
              <w:spacing w:after="0"/>
              <w:rPr>
                <w:sz w:val="12"/>
                <w:szCs w:val="12"/>
                <w:color w:val="auto"/>
              </w:rPr>
            </w:pPr>
          </w:p>
        </w:tc>
        <w:tc>
          <w:tcPr>
            <w:tcW w:w="20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3,112,397</w:t>
            </w:r>
          </w:p>
        </w:tc>
        <w:tc>
          <w:tcPr>
            <w:tcW w:w="80" w:type="dxa"/>
            <w:vAlign w:val="bottom"/>
          </w:tcPr>
          <w:p>
            <w:pPr>
              <w:spacing w:after="0"/>
              <w:rPr>
                <w:sz w:val="12"/>
                <w:szCs w:val="12"/>
                <w:color w:val="auto"/>
              </w:rPr>
            </w:pPr>
          </w:p>
        </w:tc>
        <w:tc>
          <w:tcPr>
            <w:tcW w:w="10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66,936</w:t>
            </w:r>
          </w:p>
        </w:tc>
        <w:tc>
          <w:tcPr>
            <w:tcW w:w="80" w:type="dxa"/>
            <w:vAlign w:val="bottom"/>
          </w:tcPr>
          <w:p>
            <w:pPr>
              <w:spacing w:after="0"/>
              <w:rPr>
                <w:sz w:val="12"/>
                <w:szCs w:val="12"/>
                <w:color w:val="auto"/>
              </w:rPr>
            </w:pPr>
          </w:p>
        </w:tc>
        <w:tc>
          <w:tcPr>
            <w:tcW w:w="8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$3,179,333</w:t>
            </w:r>
          </w:p>
        </w:tc>
        <w:tc>
          <w:tcPr>
            <w:tcW w:w="0" w:type="dxa"/>
            <w:vAlign w:val="bottom"/>
          </w:tcPr>
          <w:p>
            <w:pPr>
              <w:spacing w:after="0"/>
              <w:rPr>
                <w:sz w:val="1"/>
                <w:szCs w:val="1"/>
                <w:color w:val="auto"/>
              </w:rPr>
            </w:pPr>
          </w:p>
        </w:tc>
      </w:tr>
      <w:tr>
        <w:trPr>
          <w:trHeight w:val="218"/>
        </w:trPr>
        <w:tc>
          <w:tcPr>
            <w:tcW w:w="2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82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46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vMerge w:val="continue"/>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vMerge w:val="continue"/>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4"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6"/>
          <w:szCs w:val="16"/>
          <w:b w:val="1"/>
          <w:bCs w:val="1"/>
          <w:color w:val="auto"/>
        </w:rPr>
        <w:t>MASTEC,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STATEMENTS OF CASH FLOWS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 - in thousands)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8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gridSpan w:val="5"/>
          </w:tcPr>
          <w:p>
            <w:pPr>
              <w:ind w:left="10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1"/>
        </w:trPr>
        <w:tc>
          <w:tcPr>
            <w:tcW w:w="20" w:type="dxa"/>
            <w:vAlign w:val="bottom"/>
            <w:tcBorders>
              <w:bottom w:val="single" w:sz="8" w:color="CCEEFF"/>
            </w:tcBorders>
          </w:tcPr>
          <w:p>
            <w:pPr>
              <w:spacing w:after="0"/>
              <w:rPr>
                <w:sz w:val="18"/>
                <w:szCs w:val="18"/>
                <w:color w:val="auto"/>
              </w:rPr>
            </w:pPr>
          </w:p>
        </w:tc>
        <w:tc>
          <w:tcPr>
            <w:tcW w:w="8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20" w:type="dxa"/>
            <w:vAlign w:val="bottom"/>
            <w:tcBorders>
              <w:bottom w:val="single" w:sz="8" w:color="auto"/>
            </w:tcBorders>
          </w:tcPr>
          <w:p>
            <w:pPr>
              <w:spacing w:after="0"/>
              <w:rPr>
                <w:sz w:val="18"/>
                <w:szCs w:val="18"/>
                <w:color w:val="auto"/>
              </w:rPr>
            </w:pPr>
          </w:p>
        </w:tc>
      </w:tr>
      <w:tr>
        <w:trPr>
          <w:trHeight w:val="198"/>
        </w:trPr>
        <w:tc>
          <w:tcPr>
            <w:tcW w:w="20" w:type="dxa"/>
            <w:vAlign w:val="bottom"/>
            <w:shd w:val="clear" w:color="auto" w:fill="CCEEFF"/>
          </w:tcPr>
          <w:p>
            <w:pPr>
              <w:spacing w:after="0"/>
              <w:rPr>
                <w:sz w:val="17"/>
                <w:szCs w:val="17"/>
                <w:color w:val="auto"/>
              </w:rPr>
            </w:pPr>
          </w:p>
        </w:tc>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820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383,121</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268,958</w:t>
            </w:r>
          </w:p>
        </w:tc>
        <w:tc>
          <w:tcPr>
            <w:tcW w:w="2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8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82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Depreciation</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263,150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217,996</w:t>
            </w:r>
          </w:p>
        </w:tc>
        <w:tc>
          <w:tcPr>
            <w:tcW w:w="2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82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151,411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98,042</w:t>
            </w:r>
          </w:p>
        </w:tc>
        <w:tc>
          <w:tcPr>
            <w:tcW w:w="2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82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Non-cash stock-based compensation expense</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31,046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25,628</w:t>
            </w:r>
          </w:p>
        </w:tc>
        <w:tc>
          <w:tcPr>
            <w:tcW w:w="2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82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(Benefit from) provision for deferred income taxes</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84,030</w:t>
            </w:r>
          </w:p>
        </w:tc>
        <w:tc>
          <w:tcPr>
            <w:tcW w:w="2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82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Equity in earnings of unconsolidated affiliates, net</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(34,799)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(23,911)</w:t>
            </w:r>
          </w:p>
        </w:tc>
        <w:tc>
          <w:tcPr>
            <w:tcW w:w="2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82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Impairments of equity method investments</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7,873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20" w:type="dxa"/>
            <w:vAlign w:val="bottom"/>
          </w:tcPr>
          <w:p>
            <w:pPr>
              <w:spacing w:after="0"/>
              <w:rPr>
                <w:sz w:val="18"/>
                <w:szCs w:val="18"/>
                <w:color w:val="auto"/>
              </w:rPr>
            </w:pPr>
          </w:p>
        </w:tc>
        <w:tc>
          <w:tcPr>
            <w:tcW w:w="82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Gains on sales and impairments of assets, net</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(26,161)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(13,445)</w:t>
            </w:r>
          </w:p>
        </w:tc>
        <w:tc>
          <w:tcPr>
            <w:tcW w:w="2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82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Loss on extinguishment of debt</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20" w:type="dxa"/>
            <w:vAlign w:val="bottom"/>
          </w:tcPr>
          <w:p>
            <w:pPr>
              <w:spacing w:after="0"/>
              <w:rPr>
                <w:sz w:val="18"/>
                <w:szCs w:val="18"/>
                <w:color w:val="auto"/>
              </w:rPr>
            </w:pPr>
          </w:p>
        </w:tc>
        <w:tc>
          <w:tcPr>
            <w:tcW w:w="82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Non-cash interest expense, net</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3,724</w:t>
            </w:r>
          </w:p>
        </w:tc>
        <w:tc>
          <w:tcPr>
            <w:tcW w:w="2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82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Other non-cash items, net</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1,102</w:t>
            </w:r>
          </w:p>
        </w:tc>
        <w:tc>
          <w:tcPr>
            <w:tcW w:w="2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82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Changes in assets and liabilities, net of acquisitions:</w:t>
            </w: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82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Accounts receivable</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(450,246)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(304,802)</w:t>
            </w:r>
          </w:p>
        </w:tc>
        <w:tc>
          <w:tcPr>
            <w:tcW w:w="2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82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Contract assets</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(710,196)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(453,510)</w:t>
            </w:r>
          </w:p>
        </w:tc>
        <w:tc>
          <w:tcPr>
            <w:tcW w:w="2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82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Inventories</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(7,527)</w:t>
            </w:r>
          </w:p>
        </w:tc>
        <w:tc>
          <w:tcPr>
            <w:tcW w:w="2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82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Other assets, current and long-term portion</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30,864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(55,572)</w:t>
            </w:r>
          </w:p>
        </w:tc>
        <w:tc>
          <w:tcPr>
            <w:tcW w:w="2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82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Accounts payable and accrued expenses</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504,291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316,030</w:t>
            </w:r>
          </w:p>
        </w:tc>
        <w:tc>
          <w:tcPr>
            <w:tcW w:w="2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82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Contract liabilities</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144,068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(5,263)</w:t>
            </w:r>
          </w:p>
        </w:tc>
        <w:tc>
          <w:tcPr>
            <w:tcW w:w="2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82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Other liabilities, current and long-term portion</w:t>
            </w: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92,277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21,496</w:t>
            </w:r>
          </w:p>
        </w:tc>
        <w:tc>
          <w:tcPr>
            <w:tcW w:w="20" w:type="dxa"/>
            <w:vAlign w:val="bottom"/>
            <w:tcBorders>
              <w:bottom w:val="single" w:sz="8" w:color="auto"/>
            </w:tcBorders>
            <w:shd w:val="clear" w:color="auto" w:fill="CCEEFF"/>
          </w:tcPr>
          <w:p>
            <w:pPr>
              <w:spacing w:after="0"/>
              <w:rPr>
                <w:sz w:val="19"/>
                <w:szCs w:val="19"/>
                <w:color w:val="auto"/>
              </w:rPr>
            </w:pPr>
          </w:p>
        </w:tc>
      </w:tr>
      <w:tr>
        <w:trPr>
          <w:trHeight w:val="207"/>
        </w:trPr>
        <w:tc>
          <w:tcPr>
            <w:tcW w:w="20" w:type="dxa"/>
            <w:vAlign w:val="bottom"/>
            <w:tcBorders>
              <w:bottom w:val="single" w:sz="8" w:color="CCEEFF"/>
            </w:tcBorders>
          </w:tcPr>
          <w:p>
            <w:pPr>
              <w:spacing w:after="0"/>
              <w:rPr>
                <w:sz w:val="17"/>
                <w:szCs w:val="17"/>
                <w:color w:val="auto"/>
              </w:rPr>
            </w:pPr>
          </w:p>
        </w:tc>
        <w:tc>
          <w:tcPr>
            <w:tcW w:w="82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387,774</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172,976</w:t>
            </w:r>
          </w:p>
        </w:tc>
        <w:tc>
          <w:tcPr>
            <w:tcW w:w="20" w:type="dxa"/>
            <w:vAlign w:val="bottom"/>
            <w:tcBorders>
              <w:bottom w:val="single" w:sz="8" w:color="auto"/>
            </w:tcBorders>
          </w:tcPr>
          <w:p>
            <w:pPr>
              <w:spacing w:after="0"/>
              <w:rPr>
                <w:sz w:val="17"/>
                <w:szCs w:val="17"/>
                <w:color w:val="auto"/>
              </w:rPr>
            </w:pPr>
          </w:p>
        </w:tc>
      </w:tr>
      <w:tr>
        <w:trPr>
          <w:trHeight w:val="199"/>
        </w:trPr>
        <w:tc>
          <w:tcPr>
            <w:tcW w:w="20" w:type="dxa"/>
            <w:vAlign w:val="bottom"/>
            <w:shd w:val="clear" w:color="auto" w:fill="CCEEFF"/>
          </w:tcPr>
          <w:p>
            <w:pPr>
              <w:spacing w:after="0"/>
              <w:rPr>
                <w:sz w:val="17"/>
                <w:szCs w:val="17"/>
                <w:color w:val="auto"/>
              </w:rPr>
            </w:pPr>
          </w:p>
        </w:tc>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82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Cash paid for acquisitions, net of cash acquired</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(1,634,219)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(24,479)</w:t>
            </w:r>
          </w:p>
        </w:tc>
        <w:tc>
          <w:tcPr>
            <w:tcW w:w="2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82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Capital expenditures</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(275,657)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(179,764)</w:t>
            </w:r>
          </w:p>
        </w:tc>
        <w:tc>
          <w:tcPr>
            <w:tcW w:w="2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82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Proceeds from sales of property and equipment</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46,377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42,342</w:t>
            </w:r>
          </w:p>
        </w:tc>
        <w:tc>
          <w:tcPr>
            <w:tcW w:w="2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82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Payments for other investments</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(5,603)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20" w:type="dxa"/>
            <w:vAlign w:val="bottom"/>
          </w:tcPr>
          <w:p>
            <w:pPr>
              <w:spacing w:after="0"/>
              <w:rPr>
                <w:sz w:val="18"/>
                <w:szCs w:val="18"/>
                <w:color w:val="auto"/>
              </w:rPr>
            </w:pPr>
          </w:p>
        </w:tc>
        <w:tc>
          <w:tcPr>
            <w:tcW w:w="82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Proceeds from other investments</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17,000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2,650</w:t>
            </w:r>
          </w:p>
        </w:tc>
        <w:tc>
          <w:tcPr>
            <w:tcW w:w="2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82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Other investing activities, net</w:t>
            </w: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3,924</w:t>
            </w:r>
          </w:p>
        </w:tc>
        <w:tc>
          <w:tcPr>
            <w:tcW w:w="20" w:type="dxa"/>
            <w:vAlign w:val="bottom"/>
            <w:tcBorders>
              <w:bottom w:val="single" w:sz="8" w:color="auto"/>
            </w:tcBorders>
            <w:shd w:val="clear" w:color="auto" w:fill="CCEEFF"/>
          </w:tcPr>
          <w:p>
            <w:pPr>
              <w:spacing w:after="0"/>
              <w:rPr>
                <w:sz w:val="19"/>
                <w:szCs w:val="19"/>
                <w:color w:val="auto"/>
              </w:rPr>
            </w:pPr>
          </w:p>
        </w:tc>
      </w:tr>
      <w:tr>
        <w:trPr>
          <w:trHeight w:val="207"/>
        </w:trPr>
        <w:tc>
          <w:tcPr>
            <w:tcW w:w="20" w:type="dxa"/>
            <w:vAlign w:val="bottom"/>
            <w:tcBorders>
              <w:bottom w:val="single" w:sz="8" w:color="CCEEFF"/>
            </w:tcBorders>
          </w:tcPr>
          <w:p>
            <w:pPr>
              <w:spacing w:after="0"/>
              <w:rPr>
                <w:sz w:val="17"/>
                <w:szCs w:val="17"/>
                <w:color w:val="auto"/>
              </w:rPr>
            </w:pPr>
          </w:p>
        </w:tc>
        <w:tc>
          <w:tcPr>
            <w:tcW w:w="82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(1,855,836)</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(155,327)</w:t>
            </w:r>
          </w:p>
        </w:tc>
        <w:tc>
          <w:tcPr>
            <w:tcW w:w="20" w:type="dxa"/>
            <w:vAlign w:val="bottom"/>
            <w:tcBorders>
              <w:bottom w:val="single" w:sz="8" w:color="auto"/>
            </w:tcBorders>
          </w:tcPr>
          <w:p>
            <w:pPr>
              <w:spacing w:after="0"/>
              <w:rPr>
                <w:sz w:val="17"/>
                <w:szCs w:val="17"/>
                <w:color w:val="auto"/>
              </w:rPr>
            </w:pPr>
          </w:p>
        </w:tc>
      </w:tr>
      <w:tr>
        <w:trPr>
          <w:trHeight w:val="199"/>
        </w:trPr>
        <w:tc>
          <w:tcPr>
            <w:tcW w:w="20" w:type="dxa"/>
            <w:vAlign w:val="bottom"/>
            <w:shd w:val="clear" w:color="auto" w:fill="CCEEFF"/>
          </w:tcPr>
          <w:p>
            <w:pPr>
              <w:spacing w:after="0"/>
              <w:rPr>
                <w:sz w:val="17"/>
                <w:szCs w:val="17"/>
                <w:color w:val="auto"/>
              </w:rPr>
            </w:pPr>
          </w:p>
        </w:tc>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82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Proceeds from credit facilities and term loans</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6,652,537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4,407,886</w:t>
            </w:r>
          </w:p>
        </w:tc>
        <w:tc>
          <w:tcPr>
            <w:tcW w:w="2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82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Repayments of credit facilities and term loans</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(5,476,649)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(4,327,327)</w:t>
            </w:r>
          </w:p>
        </w:tc>
        <w:tc>
          <w:tcPr>
            <w:tcW w:w="2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82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Proceeds from issuance of 5.850% senior notes</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647,764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20" w:type="dxa"/>
            <w:vAlign w:val="bottom"/>
            <w:shd w:val="clear" w:color="auto" w:fill="CCEEFF"/>
          </w:tcPr>
          <w:p>
            <w:pPr>
              <w:spacing w:after="0"/>
              <w:rPr>
                <w:sz w:val="19"/>
                <w:szCs w:val="19"/>
                <w:color w:val="auto"/>
              </w:rPr>
            </w:pPr>
          </w:p>
        </w:tc>
        <w:tc>
          <w:tcPr>
            <w:tcW w:w="82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Repayments of 6.625% senior notes</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(74,884)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20" w:type="dxa"/>
            <w:vAlign w:val="bottom"/>
          </w:tcPr>
          <w:p>
            <w:pPr>
              <w:spacing w:after="0"/>
              <w:rPr>
                <w:sz w:val="18"/>
                <w:szCs w:val="18"/>
                <w:color w:val="auto"/>
              </w:rPr>
            </w:pPr>
          </w:p>
        </w:tc>
        <w:tc>
          <w:tcPr>
            <w:tcW w:w="82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Payments of finance lease obligations</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(112,300)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(126,553)</w:t>
            </w:r>
          </w:p>
        </w:tc>
        <w:tc>
          <w:tcPr>
            <w:tcW w:w="2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82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Repurchases of common stock</w:t>
            </w:r>
          </w:p>
        </w:tc>
        <w:tc>
          <w:tcPr>
            <w:tcW w:w="2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(77,326)</w:t>
            </w:r>
          </w:p>
        </w:tc>
        <w:tc>
          <w:tcPr>
            <w:tcW w:w="2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82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Payments of acquisition-related contingent consideration</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(11,368)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(17,482)</w:t>
            </w:r>
          </w:p>
        </w:tc>
        <w:tc>
          <w:tcPr>
            <w:tcW w:w="2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82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Payments for acquisition-related contingent assets</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(8,952)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20" w:type="dxa"/>
            <w:vAlign w:val="bottom"/>
          </w:tcPr>
          <w:p>
            <w:pPr>
              <w:spacing w:after="0"/>
              <w:rPr>
                <w:sz w:val="18"/>
                <w:szCs w:val="18"/>
                <w:color w:val="auto"/>
              </w:rPr>
            </w:pPr>
          </w:p>
        </w:tc>
        <w:tc>
          <w:tcPr>
            <w:tcW w:w="82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Payments to non-controlling interests, net</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(31,103)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(18,193)</w:t>
            </w:r>
          </w:p>
        </w:tc>
        <w:tc>
          <w:tcPr>
            <w:tcW w:w="2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82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Payments for stock-based awards</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(18,326)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(4,830)</w:t>
            </w:r>
          </w:p>
        </w:tc>
        <w:tc>
          <w:tcPr>
            <w:tcW w:w="20" w:type="dxa"/>
            <w:vAlign w:val="bottom"/>
            <w:shd w:val="clear" w:color="auto" w:fill="CCEEFF"/>
          </w:tcPr>
          <w:p>
            <w:pPr>
              <w:spacing w:after="0"/>
              <w:rPr>
                <w:sz w:val="19"/>
                <w:szCs w:val="19"/>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820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6"/>
                <w:szCs w:val="16"/>
                <w:color w:val="auto"/>
              </w:rPr>
              <w:t>Other financing activities, net</w:t>
            </w: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(12,530)</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(23,216)</w:t>
            </w:r>
          </w:p>
        </w:tc>
        <w:tc>
          <w:tcPr>
            <w:tcW w:w="20" w:type="dxa"/>
            <w:vAlign w:val="bottom"/>
            <w:tcBorders>
              <w:bottom w:val="single" w:sz="8" w:color="auto"/>
            </w:tcBorders>
          </w:tcPr>
          <w:p>
            <w:pPr>
              <w:spacing w:after="0"/>
              <w:rPr>
                <w:sz w:val="18"/>
                <w:szCs w:val="18"/>
                <w:color w:val="auto"/>
              </w:rPr>
            </w:pPr>
          </w:p>
        </w:tc>
      </w:tr>
      <w:tr>
        <w:trPr>
          <w:trHeight w:val="212"/>
        </w:trPr>
        <w:tc>
          <w:tcPr>
            <w:tcW w:w="20" w:type="dxa"/>
            <w:vAlign w:val="bottom"/>
            <w:shd w:val="clear" w:color="auto" w:fill="CCEEFF"/>
          </w:tcPr>
          <w:p>
            <w:pPr>
              <w:spacing w:after="0"/>
              <w:rPr>
                <w:sz w:val="18"/>
                <w:szCs w:val="18"/>
                <w:color w:val="auto"/>
              </w:rPr>
            </w:pPr>
          </w:p>
        </w:tc>
        <w:tc>
          <w:tcPr>
            <w:tcW w:w="8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Net cash provided by (used in) financing activities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1,554,189</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(187,041)</w:t>
            </w:r>
          </w:p>
        </w:tc>
        <w:tc>
          <w:tcPr>
            <w:tcW w:w="20" w:type="dxa"/>
            <w:vAlign w:val="bottom"/>
            <w:tcBorders>
              <w:bottom w:val="single" w:sz="8" w:color="auto"/>
            </w:tcBorders>
            <w:shd w:val="clear" w:color="auto" w:fill="CCEEFF"/>
          </w:tcPr>
          <w:p>
            <w:pPr>
              <w:spacing w:after="0"/>
              <w:rPr>
                <w:sz w:val="18"/>
                <w:szCs w:val="18"/>
                <w:color w:val="auto"/>
              </w:rPr>
            </w:pPr>
          </w:p>
        </w:tc>
      </w:tr>
      <w:tr>
        <w:trPr>
          <w:trHeight w:val="207"/>
        </w:trPr>
        <w:tc>
          <w:tcPr>
            <w:tcW w:w="20" w:type="dxa"/>
            <w:vAlign w:val="bottom"/>
          </w:tcPr>
          <w:p>
            <w:pPr>
              <w:spacing w:after="0"/>
              <w:rPr>
                <w:sz w:val="17"/>
                <w:szCs w:val="17"/>
                <w:color w:val="auto"/>
              </w:rPr>
            </w:pPr>
          </w:p>
        </w:tc>
        <w:tc>
          <w:tcPr>
            <w:tcW w:w="8200" w:type="dxa"/>
            <w:vAlign w:val="bottom"/>
          </w:tcPr>
          <w:p>
            <w:pPr>
              <w:spacing w:after="0"/>
              <w:rPr>
                <w:sz w:val="20"/>
                <w:szCs w:val="20"/>
                <w:color w:val="auto"/>
              </w:rPr>
            </w:pPr>
            <w:r>
              <w:rPr>
                <w:rFonts w:ascii="Times New Roman" w:cs="Times New Roman" w:eastAsia="Times New Roman" w:hAnsi="Times New Roman"/>
                <w:sz w:val="16"/>
                <w:szCs w:val="16"/>
                <w:color w:val="auto"/>
              </w:rPr>
              <w:t>Effect of currency translation on cash</w:t>
            </w:r>
          </w:p>
        </w:tc>
        <w:tc>
          <w:tcPr>
            <w:tcW w:w="2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907</w:t>
            </w:r>
          </w:p>
        </w:tc>
        <w:tc>
          <w:tcPr>
            <w:tcW w:w="20" w:type="dxa"/>
            <w:vAlign w:val="bottom"/>
          </w:tcPr>
          <w:p>
            <w:pPr>
              <w:spacing w:after="0"/>
              <w:rPr>
                <w:sz w:val="17"/>
                <w:szCs w:val="17"/>
                <w:color w:val="auto"/>
              </w:rPr>
            </w:pPr>
          </w:p>
        </w:tc>
      </w:tr>
      <w:tr>
        <w:trPr>
          <w:trHeight w:val="219"/>
        </w:trPr>
        <w:tc>
          <w:tcPr>
            <w:tcW w:w="20" w:type="dxa"/>
            <w:vAlign w:val="bottom"/>
            <w:shd w:val="clear" w:color="auto" w:fill="CCEEFF"/>
          </w:tcPr>
          <w:p>
            <w:pPr>
              <w:spacing w:after="0"/>
              <w:rPr>
                <w:sz w:val="19"/>
                <w:szCs w:val="19"/>
                <w:color w:val="auto"/>
              </w:rPr>
            </w:pPr>
          </w:p>
        </w:tc>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increase (decrease) in cash and cash equivalents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85,786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(168,485)</w:t>
            </w:r>
          </w:p>
        </w:tc>
        <w:tc>
          <w:tcPr>
            <w:tcW w:w="20" w:type="dxa"/>
            <w:vAlign w:val="bottom"/>
            <w:tcBorders>
              <w:bottom w:val="single" w:sz="8" w:color="auto"/>
            </w:tcBorders>
            <w:shd w:val="clear" w:color="auto" w:fill="CCEEFF"/>
          </w:tcPr>
          <w:p>
            <w:pPr>
              <w:spacing w:after="0"/>
              <w:rPr>
                <w:sz w:val="19"/>
                <w:szCs w:val="19"/>
                <w:color w:val="auto"/>
              </w:rPr>
            </w:pPr>
          </w:p>
        </w:tc>
      </w:tr>
      <w:tr>
        <w:trPr>
          <w:trHeight w:val="207"/>
        </w:trPr>
        <w:tc>
          <w:tcPr>
            <w:tcW w:w="20" w:type="dxa"/>
            <w:vAlign w:val="bottom"/>
            <w:tcBorders>
              <w:bottom w:val="single" w:sz="8" w:color="CCEEFF"/>
            </w:tcBorders>
          </w:tcPr>
          <w:p>
            <w:pPr>
              <w:spacing w:after="0"/>
              <w:rPr>
                <w:sz w:val="17"/>
                <w:szCs w:val="17"/>
                <w:color w:val="auto"/>
              </w:rPr>
            </w:pPr>
          </w:p>
        </w:tc>
        <w:tc>
          <w:tcPr>
            <w:tcW w:w="8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Cash and cash equivalents - beginning of period</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396,030</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399,903</w:t>
            </w:r>
          </w:p>
        </w:tc>
        <w:tc>
          <w:tcPr>
            <w:tcW w:w="20" w:type="dxa"/>
            <w:vAlign w:val="bottom"/>
            <w:tcBorders>
              <w:bottom w:val="single" w:sz="8" w:color="auto"/>
            </w:tcBorders>
          </w:tcPr>
          <w:p>
            <w:pPr>
              <w:spacing w:after="0"/>
              <w:rPr>
                <w:sz w:val="17"/>
                <w:szCs w:val="17"/>
                <w:color w:val="auto"/>
              </w:rPr>
            </w:pPr>
          </w:p>
        </w:tc>
      </w:tr>
      <w:tr>
        <w:trPr>
          <w:trHeight w:val="209"/>
        </w:trPr>
        <w:tc>
          <w:tcPr>
            <w:tcW w:w="20" w:type="dxa"/>
            <w:vAlign w:val="bottom"/>
            <w:shd w:val="clear" w:color="auto" w:fill="CCEEFF"/>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and cash equivalents - end of period</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481,816</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231,418</w:t>
            </w:r>
          </w:p>
        </w:tc>
        <w:tc>
          <w:tcPr>
            <w:tcW w:w="20" w:type="dxa"/>
            <w:vAlign w:val="bottom"/>
            <w:tcBorders>
              <w:bottom w:val="single" w:sz="8" w:color="auto"/>
            </w:tcBorders>
            <w:shd w:val="clear" w:color="auto" w:fill="CCEEFF"/>
          </w:tcPr>
          <w:p>
            <w:pPr>
              <w:spacing w:after="0"/>
              <w:rPr>
                <w:sz w:val="18"/>
                <w:szCs w:val="18"/>
                <w:color w:val="auto"/>
              </w:rPr>
            </w:pPr>
          </w:p>
        </w:tc>
      </w:tr>
      <w:tr>
        <w:trPr>
          <w:trHeight w:val="118"/>
        </w:trPr>
        <w:tc>
          <w:tcPr>
            <w:tcW w:w="20" w:type="dxa"/>
            <w:vAlign w:val="bottom"/>
          </w:tcPr>
          <w:p>
            <w:pPr>
              <w:spacing w:after="0"/>
              <w:rPr>
                <w:sz w:val="10"/>
                <w:szCs w:val="10"/>
                <w:color w:val="auto"/>
              </w:rPr>
            </w:pPr>
          </w:p>
        </w:tc>
        <w:tc>
          <w:tcPr>
            <w:tcW w:w="8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56"/>
        </w:trPr>
        <w:tc>
          <w:tcPr>
            <w:tcW w:w="20" w:type="dxa"/>
            <w:vAlign w:val="bottom"/>
          </w:tcPr>
          <w:p>
            <w:pPr>
              <w:spacing w:after="0"/>
              <w:rPr>
                <w:sz w:val="22"/>
                <w:szCs w:val="22"/>
                <w:color w:val="auto"/>
              </w:rPr>
            </w:pPr>
          </w:p>
        </w:tc>
        <w:tc>
          <w:tcPr>
            <w:tcW w:w="82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Supplemental cash flow information:</w:t>
            </w:r>
          </w:p>
        </w:tc>
        <w:tc>
          <w:tcPr>
            <w:tcW w:w="20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20" w:type="dxa"/>
            <w:vAlign w:val="bottom"/>
          </w:tcPr>
          <w:p>
            <w:pPr>
              <w:spacing w:after="0"/>
              <w:rPr>
                <w:sz w:val="22"/>
                <w:szCs w:val="22"/>
                <w:color w:val="auto"/>
              </w:rPr>
            </w:pPr>
          </w:p>
        </w:tc>
      </w:tr>
      <w:tr>
        <w:trPr>
          <w:trHeight w:val="213"/>
        </w:trPr>
        <w:tc>
          <w:tcPr>
            <w:tcW w:w="20" w:type="dxa"/>
            <w:vAlign w:val="bottom"/>
          </w:tcPr>
          <w:p>
            <w:pPr>
              <w:spacing w:after="0"/>
              <w:rPr>
                <w:sz w:val="18"/>
                <w:szCs w:val="18"/>
                <w:color w:val="auto"/>
              </w:rPr>
            </w:pPr>
          </w:p>
        </w:tc>
        <w:tc>
          <w:tcPr>
            <w:tcW w:w="82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Interest paid</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146,322</w:t>
            </w:r>
          </w:p>
        </w:tc>
        <w:tc>
          <w:tcPr>
            <w:tcW w:w="100" w:type="dxa"/>
            <w:vAlign w:val="bottom"/>
          </w:tcPr>
          <w:p>
            <w:pPr>
              <w:spacing w:after="0"/>
              <w:rPr>
                <w:sz w:val="18"/>
                <w:szCs w:val="18"/>
                <w:color w:val="auto"/>
              </w:rPr>
            </w:pPr>
          </w:p>
        </w:tc>
        <w:tc>
          <w:tcPr>
            <w:tcW w:w="34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131,052</w:t>
            </w:r>
          </w:p>
        </w:tc>
        <w:tc>
          <w:tcPr>
            <w:tcW w:w="20" w:type="dxa"/>
            <w:vAlign w:val="bottom"/>
          </w:tcPr>
          <w:p>
            <w:pPr>
              <w:spacing w:after="0"/>
              <w:rPr>
                <w:sz w:val="18"/>
                <w:szCs w:val="18"/>
                <w:color w:val="auto"/>
              </w:rPr>
            </w:pPr>
          </w:p>
        </w:tc>
      </w:tr>
      <w:tr>
        <w:trPr>
          <w:trHeight w:val="219"/>
        </w:trPr>
        <w:tc>
          <w:tcPr>
            <w:tcW w:w="20" w:type="dxa"/>
            <w:vAlign w:val="bottom"/>
          </w:tcPr>
          <w:p>
            <w:pPr>
              <w:spacing w:after="0"/>
              <w:rPr>
                <w:sz w:val="19"/>
                <w:szCs w:val="19"/>
                <w:color w:val="auto"/>
              </w:rPr>
            </w:pPr>
          </w:p>
        </w:tc>
        <w:tc>
          <w:tcPr>
            <w:tcW w:w="82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Income taxes paid, net of refunds</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18,098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36,621</w:t>
            </w:r>
          </w:p>
        </w:tc>
        <w:tc>
          <w:tcPr>
            <w:tcW w:w="20" w:type="dxa"/>
            <w:vAlign w:val="bottom"/>
          </w:tcPr>
          <w:p>
            <w:pPr>
              <w:spacing w:after="0"/>
              <w:rPr>
                <w:sz w:val="19"/>
                <w:szCs w:val="19"/>
                <w:color w:val="auto"/>
              </w:rPr>
            </w:pPr>
          </w:p>
        </w:tc>
      </w:tr>
      <w:tr>
        <w:trPr>
          <w:trHeight w:val="226"/>
        </w:trPr>
        <w:tc>
          <w:tcPr>
            <w:tcW w:w="20" w:type="dxa"/>
            <w:vAlign w:val="bottom"/>
          </w:tcPr>
          <w:p>
            <w:pPr>
              <w:spacing w:after="0"/>
              <w:rPr>
                <w:sz w:val="19"/>
                <w:szCs w:val="19"/>
                <w:color w:val="auto"/>
              </w:rPr>
            </w:pPr>
          </w:p>
        </w:tc>
        <w:tc>
          <w:tcPr>
            <w:tcW w:w="82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Supplemental disclosure of non-cash information:</w:t>
            </w: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82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Additions to property and equipment from finance leases and other financing arrangements</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212,763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187,640</w:t>
            </w:r>
          </w:p>
        </w:tc>
        <w:tc>
          <w:tcPr>
            <w:tcW w:w="20" w:type="dxa"/>
            <w:vAlign w:val="bottom"/>
          </w:tcPr>
          <w:p>
            <w:pPr>
              <w:spacing w:after="0"/>
              <w:rPr>
                <w:sz w:val="19"/>
                <w:szCs w:val="19"/>
                <w:color w:val="auto"/>
              </w:rPr>
            </w:pPr>
          </w:p>
        </w:tc>
      </w:tr>
    </w:tbl>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consolidated financial statements.</w:t>
      </w:r>
    </w:p>
    <w:p>
      <w:pPr>
        <w:sectPr>
          <w:pgSz w:w="11900" w:h="16838" w:orient="portrait"/>
          <w:cols w:equalWidth="0" w:num="1">
            <w:col w:w="11240"/>
          </w:cols>
          <w:pgMar w:left="320" w:top="893" w:right="339" w:bottom="1440" w:gutter="0" w:footer="0" w:header="0"/>
        </w:sectPr>
      </w:pPr>
    </w:p>
    <w:p>
      <w:pPr>
        <w:spacing w:after="0" w:line="304"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type w:val="continuous"/>
        </w:sectPr>
      </w:pPr>
    </w:p>
    <w:bookmarkStart w:id="8" w:name="page9"/>
    <w:bookmarkEnd w:id="8"/>
    <w:p>
      <w:pPr>
        <w:jc w:val="center"/>
        <w:spacing w:after="0"/>
        <w:rPr>
          <w:sz w:val="20"/>
          <w:szCs w:val="20"/>
          <w:color w:val="auto"/>
        </w:rPr>
      </w:pPr>
      <w:r>
        <w:rPr>
          <w:rFonts w:ascii="Times New Roman" w:cs="Times New Roman" w:eastAsia="Times New Roman" w:hAnsi="Times New Roman"/>
          <w:sz w:val="16"/>
          <w:szCs w:val="16"/>
          <w:b w:val="1"/>
          <w:bCs w:val="1"/>
          <w:color w:val="auto"/>
        </w:rPr>
        <w:t>MASTEC,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 – Business, Basis of Presentation and Significant Accounting Policies</w:t>
      </w:r>
    </w:p>
    <w:p>
      <w:pPr>
        <w:spacing w:after="0" w:line="1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Nature of the Business</w:t>
      </w:r>
    </w:p>
    <w:p>
      <w:pPr>
        <w:spacing w:after="0" w:line="117"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6"/>
          <w:szCs w:val="16"/>
          <w:color w:val="auto"/>
        </w:rPr>
        <w:t>MasTec, Inc. (collectively with its subsidiaries, “MasTec,” or the “Company”) is a leading North American infrastructure engineering and construction company focused primarily on engineering, building, installation, maintenance and upgrade of communications, energy and utility and other infrastructure, such as: wireless, wireline/fiber; power delivery infrastructure, including transmission, distribution, large load electrical infrastructure, grid hardening and modernization, environmental planning and compliance; power generation infrastructure, primarily from clean energy and renewable sources; pipeline infrastructure, including for natural gas, water and carbon capture sequestration pipelines and pipeline integrity services; heavy civil and industrial infrastructure, including the construction and maintenance of buildings, roads, bridges, rail, water/sewer systems and other civil infrastructure, including data center infrastructure; and environmental remediation services. MasTec’s customers are primarily in these industries. MasTec reports its results under five reportable segments: (1) Communications; (2) Clean Energy and Infrastructure; (3) Power Delivery; (4) Pipeline Infrastructure and (5) Other.</w:t>
      </w:r>
    </w:p>
    <w:p>
      <w:pPr>
        <w:spacing w:after="0" w:line="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Basis of Presentation</w:t>
      </w:r>
    </w:p>
    <w:p>
      <w:pPr>
        <w:spacing w:after="0" w:line="117"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6"/>
          <w:szCs w:val="16"/>
          <w:color w:val="auto"/>
        </w:rPr>
        <w:t>The accompanying consolidated financial statements are unaudited and have been prepared in accordance with accounting principles generally accepted in the United States (“U.S. GAAP”) for interim financial information and with the instructions for Form 10-Q and Rule 10-01 of Regulation S-X. Pursuant to these rules and regulations, certain information and footnote disclosures normally included in the annual audited consolidated financial statements prepared in accordance with U.S. GAAP have been condensed or omitted. The accompanying consolidated balance sheet as of December 31, 2025 is derived from the Company’s audited financial statements as of that date. Because certain information and footnote disclosures have been condensed or omitted, these consolidated financial statements should be read in conjunction with the audited consolidated financial statements and notes thereto as of and for the year ended December 31, 2025 contained in the Company’s 2025 Annual Report on Form 10-K (the “2025 Form 10-K”). In management’s opinion, all normal and recurring adjustments considered necessary for a fair statement of the financial position, results of operations and cash flows for the periods presented have been included.</w:t>
      </w:r>
    </w:p>
    <w:p>
      <w:pPr>
        <w:spacing w:after="0" w:line="86"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6"/>
          <w:szCs w:val="16"/>
          <w:color w:val="auto"/>
        </w:rPr>
        <w:t>When appropriate, prior year amounts are reclassified to conform with the current period presentation. Beginning in 2026, certain reclassifications were made to the consolidated statements of operations. The Company now presents a separate “Operating income” subtotal on the consolidated statements of operations, which is common practice within the Company’s industry and enhances comparability with the Company’s peers. Additionally, changes in fair value of acquisition-related contingent items, which are composed of earn-outs and additional payments in connection with prior year acquisitions, have been reclassified from Other income, net to General and administrative expenses. Previously reported periods have been reclassified to conform to the current period presentation. These changes in presentation did not impact previously reported Income before income taxes or Net income, and did not change how the Company evaluates its performance.</w:t>
      </w:r>
    </w:p>
    <w:p>
      <w:pPr>
        <w:spacing w:after="0" w:line="73" w:lineRule="exact"/>
        <w:rPr>
          <w:sz w:val="20"/>
          <w:szCs w:val="20"/>
          <w:color w:val="auto"/>
        </w:rPr>
      </w:pPr>
    </w:p>
    <w:p>
      <w:pPr>
        <w:jc w:val="both"/>
        <w:ind w:firstLine="648"/>
        <w:spacing w:after="0" w:line="280" w:lineRule="auto"/>
        <w:rPr>
          <w:sz w:val="20"/>
          <w:szCs w:val="20"/>
          <w:color w:val="auto"/>
        </w:rPr>
      </w:pPr>
      <w:r>
        <w:rPr>
          <w:rFonts w:ascii="Times New Roman" w:cs="Times New Roman" w:eastAsia="Times New Roman" w:hAnsi="Times New Roman"/>
          <w:sz w:val="16"/>
          <w:szCs w:val="16"/>
          <w:color w:val="auto"/>
        </w:rPr>
        <w:t>Interim period operating results do not necessarily indicate the results that may be expected for any other interim period or for the full fiscal year. The Company believes that the disclosures made in these consolidated financial statements are adequate to make the information not misleading.</w:t>
      </w:r>
    </w:p>
    <w:p>
      <w:pPr>
        <w:spacing w:after="0" w:line="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Principles of Consolidation</w:t>
      </w:r>
    </w:p>
    <w:p>
      <w:pPr>
        <w:spacing w:after="0" w:line="11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color w:val="auto"/>
        </w:rPr>
        <w:t>The accompanying consolidated financial statements include MasTec, Inc. and its subsidiaries and include the accounts of all majority owned subsidiaries over which the Company exercises control and, when applicable, entities in which the Company has a controlling financial interest. All significant intercompany balances and transactions have been eliminated in consolidation. Other parties’ interests in entities that MasTec consolidates are reported as non-controlling interests within equity. Net income or loss attributable to non-controlling interests is reported as “Net income attributable to non-controlling interests” in the consolidated statements of operations. Investments in entities for which the Company does not have a controlling financial interest, but over which it has the ability to exert significant influence, are accounted for under the equity method of accounting. For equity investees in which the Company has an undivided interest in the assets, liabilities and profits or losses of an unincorporated entity, but does not exercise control over the entity, the Company consolidates its proportional interest in the accounts of the entity.</w:t>
      </w:r>
    </w:p>
    <w:p>
      <w:pPr>
        <w:spacing w:after="0" w:line="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Translation of Foreign Currencies</w:t>
      </w:r>
    </w:p>
    <w:p>
      <w:pPr>
        <w:spacing w:after="0" w:line="117"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6"/>
          <w:szCs w:val="16"/>
          <w:color w:val="auto"/>
        </w:rPr>
        <w:t>The assets and liabilities of foreign subsidiaries with a functional currency other than the U.S. dollar are translated into U.S. dollars at period-end exchange rates and revenue and expenses are translated at average rates of exchange during the applicable period, with resulting translation gains or losses included within other comprehensive income or loss. Substantially all of the Company’s foreign operations use their local currency as their functional currency. For foreign operations for which the local currency is not the functional currency, the operation’s non-monetary assets are remeasured into U.S. dollars at historical exchange rates. All other accounts are remeasured at current exchange rates. Gains or losses from remeasurement are included in other income or expense, net. Currency gains or losses resulting from transactions executed in currencies other than the functional currency are included in other income or expense, net.</w:t>
      </w:r>
    </w:p>
    <w:p>
      <w:pPr>
        <w:spacing w:after="0" w:line="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In these consolidated financial statements, “$” means U.S. dollars unless otherwise noted.</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6"/>
          <w:szCs w:val="16"/>
          <w:b w:val="1"/>
          <w:bCs w:val="1"/>
          <w:color w:val="auto"/>
        </w:rPr>
        <w:t>Significant Accounting Policies</w:t>
      </w:r>
    </w:p>
    <w:p>
      <w:pPr>
        <w:spacing w:after="0" w:line="11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Revenue Recognition</w:t>
      </w:r>
    </w:p>
    <w:p>
      <w:pPr>
        <w:spacing w:after="0" w:line="131"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The Company recognizes revenue from contracts with customers when, or as, control of promised services and goods is transferred to customers. The amount of revenue recognized reflects the consideration to which the Company expects to be entitled in exchange for the services and goods transferred. The Company primarily recognizes revenue over time utilizing the cost-to-cost measure of progress, which best depicts the continuous transfer of control of goods or services to the customer, and correspondingly, when performance obligations are satisfied for the related contracts.</w:t>
      </w:r>
    </w:p>
    <w:p>
      <w:pPr>
        <w:spacing w:after="0" w:line="6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6"/>
          <w:szCs w:val="16"/>
          <w:b w:val="1"/>
          <w:bCs w:val="1"/>
          <w:i w:val="1"/>
          <w:iCs w:val="1"/>
          <w:color w:val="auto"/>
        </w:rPr>
        <w:t xml:space="preserve">Contracts. </w:t>
      </w:r>
      <w:r>
        <w:rPr>
          <w:rFonts w:ascii="Times New Roman" w:cs="Times New Roman" w:eastAsia="Times New Roman" w:hAnsi="Times New Roman"/>
          <w:sz w:val="16"/>
          <w:szCs w:val="16"/>
          <w:color w:val="auto"/>
        </w:rPr>
        <w:t>The Company derives revenue primarily from construction projects performed under: (i) master service and other service agreements, which generally</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provide a menu of available services in a specific geographic territory that are utilized on an as-needed basis, and are typically priced using either a time and materials or a fixed price per unit basis; and (ii) contracts for specific projects requiring the construction and installation of an entire infrastructure system, or specified units within an infrastructure system, which may be subject to one or multiple pricing models, including fixed price, unit price, time and materials, or cost plus a markup. Revenue derived from projects performed under master service and other service agreements totaled approximately 35% and 38% of consolidated revenue for the three and nine months ended September 30, 2026, respectively, and totaled approximately 43% and 45% for the three and nine months ended September 30, 2025, respectively.</w:t>
      </w:r>
    </w:p>
    <w:p>
      <w:pPr>
        <w:spacing w:after="0" w:line="86"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For certain master service and other service agreements, revenue is recognized at a point in time, primarily for install-to-the-home and certain other wireless services in the Company’s Communications segment. Point in time revenue is recognized when the work order has been fulfilled, which, for the majority of the Company’s point in time revenue, is the same day it is initiated. Point in time revenue accounted for approximately 2% of consolidated revenue for both the three and nine months ended September 30, 2026, and approximately 1% for both the three and nine months ended September 30, 2025.</w:t>
      </w:r>
    </w:p>
    <w:p>
      <w:pPr>
        <w:spacing w:after="0" w:line="7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6"/>
          <w:szCs w:val="16"/>
          <w:color w:val="auto"/>
        </w:rPr>
        <w:t>The total transaction price and cost estimation processes used for recognizing revenue over time under the cost-to-cost method are based primarily on the professional knowledge and experience of the Company’s project managers, operational and financial professionals, and other professional expertise, as warranted. Management reviews estimates of total contract transaction price and costs on an ongoing basis. Changes in job performance, job conditions and management’s assessment of the estimated amount and probability of variable consideration are factors that influence estimates of the total contract transaction price, total costs to complete those contracts and the Company’s profit recognition. Changes in these factors could result in revisions to the amount of revenue recognized in the period in which the revisions are determined, which revisions could materially affect the Company’s consolidated results of operations for that period. Provisions for losses on uncompleted contracts are recorded in the period in which such losses are estimated. For both the nine months ended September 30, 2026 and 2025, project profit was affected by less than 5% as a result of changes in contract estimates included in projects that were in process as of December 31, 2025 and 2024, respectively. Changes in recognized revenue, net, as a result of changes in total contract transaction price estimates, including from variable consideration, and/or changes in cost estimates, related to performance obligations satisfied or partially satisfied in prior periods positively affected revenue by approximately 0.2% and 0.6% for the three months ended September 30, 2026 and 2025, respectively, and such net changes positively affected revenue by approximately 0.5% and 1.0% for the nine months ended September 30, 2026 and 2025, respectively.</w:t>
      </w:r>
    </w:p>
    <w:p>
      <w:pPr>
        <w:spacing w:after="0" w:line="83"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16"/>
          <w:szCs w:val="16"/>
          <w:b w:val="1"/>
          <w:bCs w:val="1"/>
          <w:i w:val="1"/>
          <w:iCs w:val="1"/>
          <w:color w:val="auto"/>
        </w:rPr>
        <w:t xml:space="preserve">Performance Obligations. </w:t>
      </w:r>
      <w:r>
        <w:rPr>
          <w:rFonts w:ascii="Times New Roman" w:cs="Times New Roman" w:eastAsia="Times New Roman" w:hAnsi="Times New Roman"/>
          <w:sz w:val="16"/>
          <w:szCs w:val="16"/>
          <w:color w:val="auto"/>
        </w:rPr>
        <w:t>A performance obligation is a contractual promise to transfer a distinct good or service to a customer. The transaction price of a</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contract is allocated to each distinct performance obligation and recognized as revenue when or as the performance obligation is satisfied. The Company’s contracts often require significant services to integrate complex activities and equipment into a single deliverable, and are therefore generally accounted for as a single performance obligation, even when delivering multiple distinct services.</w:t>
      </w:r>
    </w:p>
    <w:p>
      <w:pPr>
        <w:spacing w:after="0" w:line="6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color w:val="auto"/>
        </w:rPr>
        <w:t>Remaining performance obligations represent the amount of unearned transaction prices under contracts for which work is wholly or partially unperformed, including the Company’s share of unearned transaction prices from its proportionately consolidated non-controlled joint ventures. As of September 30, 2026, the amount of the Company’s remaining performance obligations was $19.1 billion. Based on current expectations, the Company anticipates it will recognize approximately $4.3 billion, or 22.5%, of its remaining performance obligations as revenue during 2026, with the majority of the remaining balance expected to be recognized over the subsequent two year period, and the balance recognized thereafter. Estimates of the timing of revenue recognition for remaining performance obligations may change as a result of project accelerations, cancellations, deferrals or other changes in the timing of project work, including changes in project schedules, weather conditions, regulatory matters, permitting, and market conditions. These factors, among others, could cause revenue to be realized in periods and at levels different from those originally expected.</w:t>
      </w:r>
    </w:p>
    <w:p>
      <w:pPr>
        <w:spacing w:after="0" w:line="83"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6"/>
          <w:szCs w:val="16"/>
          <w:b w:val="1"/>
          <w:bCs w:val="1"/>
          <w:i w:val="1"/>
          <w:iCs w:val="1"/>
          <w:color w:val="auto"/>
        </w:rPr>
        <w:t xml:space="preserve">Variable Consideration. </w:t>
      </w:r>
      <w:r>
        <w:rPr>
          <w:rFonts w:ascii="Times New Roman" w:cs="Times New Roman" w:eastAsia="Times New Roman" w:hAnsi="Times New Roman"/>
          <w:sz w:val="16"/>
          <w:szCs w:val="16"/>
          <w:color w:val="auto"/>
        </w:rPr>
        <w:t>Transaction prices for the Company’s contracts may include variable consideration, which comprises items such as change orders, claims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and incentives. Management estimates variable consideration for a performance obligation utilizing estimation methods that it believes best predict the amount of consideration to which the Company will be entitled. Management’s estimates of variable consideration and the determination of whether to include estimated amounts in transaction prices are based largely on discussions, correspondence or preliminary negotiations and past practices with the customer, engineering studies and legal advice and all other relevant information that is reasonably available at the time of the estimate. To the extent unapproved change orders, claims and other variable consideration reflected in transaction prices are not resolved in the Company’s favor, or to the extent incentives reflected in transaction prices are not earned, there could be reductions in, or reversals of, previously recognized revenue.</w:t>
      </w:r>
    </w:p>
    <w:p>
      <w:pPr>
        <w:spacing w:after="0" w:line="8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color w:val="auto"/>
        </w:rPr>
        <w:t>As of September 30, 2026 and December 31, 2025, the Company’s contract transaction prices included approximately $334 million and $229 million, respectively, of change orders and/or claims for certain contracts that were in the process of being resolved in the ordinary course of its business, including through negotiation, arbitration and other proceedings. These transaction price adjustments, when earned, are included within contract assets or accounts receivable, net of allowance, as appropriate. As of both September 30, 2026 and December 31, 2025, these change orders and/or claims primarily related to certain projects in the Company’s Clean Energy and Infrastructure and Power Delivery segments. The Company actively engages with its customers to complete the final approval process for such amounts and generally expects these processes to be completed within one year. Amounts ultimately realized upon final agreement by customers could be higher or lower than such estimated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1" w:right="339" w:bottom="1440" w:gutter="0" w:footer="0" w:header="0"/>
        </w:sectPr>
      </w:pPr>
    </w:p>
    <w:bookmarkStart w:id="10" w:name="page11"/>
    <w:bookmarkEnd w:id="10"/>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Supplier Financing Program</w:t>
      </w:r>
    </w:p>
    <w:p>
      <w:pPr>
        <w:spacing w:after="0" w:line="117"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6"/>
          <w:szCs w:val="16"/>
          <w:color w:val="auto"/>
        </w:rPr>
        <w:t>The Company has provided certain of its suppliers with access to a supplier finance program administered through a third party, which facilitates participating suppliers’ ability to finance payments due from the Company through third-party financial institutions. Participating suppliers may, at their sole discretion, receive payment of the Company’s obligation prior to the scheduled due dates, at a discounted price from the third party. The Company agrees to pay the financial institution the stated amount generally within 60 days of receipt of the invoice. The Company’s obligations to its suppliers, including amounts due and scheduled payment dates, are not impacted by the supplier’s decision to finance amounts under these arrangements. The Company does not have pledged assets or other guarantees under the program. As of September 30, 2026 and December 31, 2025, the outstanding payment obligations under the Company’s supplier finance program totaled approximately $130.4 million and $125.6 million, respectively, which amounts are recorded within accounts payable in the consolidated balance sheets. The associated payments are included within operating activities in the consolidated statements of cash flows.</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Recent Accounting Pronouncements</w:t>
      </w:r>
    </w:p>
    <w:p>
      <w:pPr>
        <w:spacing w:after="0" w:line="1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The discussion below describes the effects of recent accounting pronouncements, as updated from the discussion in the Company’s 2025 Form 10-K.</w:t>
      </w:r>
    </w:p>
    <w:p>
      <w:pPr>
        <w:spacing w:after="0" w:line="10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Accounting Pronouncements Adopted in 2026</w:t>
      </w:r>
    </w:p>
    <w:p>
      <w:pPr>
        <w:spacing w:after="0" w:line="129"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6"/>
          <w:szCs w:val="16"/>
          <w:color w:val="auto"/>
        </w:rPr>
        <w:t xml:space="preserve">In July 2025, the Financial Accounting Standards Board (“FASB”) issued Accounting Standards Update (“ASU”) 2025-05, </w:t>
      </w:r>
      <w:r>
        <w:rPr>
          <w:rFonts w:ascii="Times New Roman" w:cs="Times New Roman" w:eastAsia="Times New Roman" w:hAnsi="Times New Roman"/>
          <w:sz w:val="16"/>
          <w:szCs w:val="16"/>
          <w:i w:val="1"/>
          <w:iCs w:val="1"/>
          <w:color w:val="auto"/>
        </w:rPr>
        <w:t>Financial Instruments—Credit Losses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(Topic 326): Measurement of Credit Losses for Accounts Receivable and Contract Assets </w:t>
      </w:r>
      <w:r>
        <w:rPr>
          <w:rFonts w:ascii="Times New Roman" w:cs="Times New Roman" w:eastAsia="Times New Roman" w:hAnsi="Times New Roman"/>
          <w:sz w:val="16"/>
          <w:szCs w:val="16"/>
          <w:color w:val="auto"/>
        </w:rPr>
        <w:t>(“ASU 2025-05”). ASU 2025-05 provides a practical expedient that permits an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entity to assume that conditions at the balance sheet date remain unchanged over the life of the asset when estimating expected credit losses for current accounts receivable and current contract assets. ASU 2025-05 is effective for fiscal years beginning after December 15, 2025, including interim periods within those fiscal years, with early adoption permitted. The amendments in ASU 2025-05 should be applied prospectively. The Company adopted this ASU prospectively in the first quarter of 2026, and its adoption did not have a material effect on the Company’s consolidated financial statements.</w:t>
      </w:r>
    </w:p>
    <w:p>
      <w:pPr>
        <w:spacing w:after="0" w:line="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Recently Issued Accounting Pronouncements Not Yet Adopted</w:t>
      </w:r>
    </w:p>
    <w:p>
      <w:pPr>
        <w:spacing w:after="0" w:line="1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 xml:space="preserve">In November 2024, the FASB issued ASU 2024-03, </w:t>
      </w:r>
      <w:r>
        <w:rPr>
          <w:rFonts w:ascii="Times New Roman" w:cs="Times New Roman" w:eastAsia="Times New Roman" w:hAnsi="Times New Roman"/>
          <w:sz w:val="16"/>
          <w:szCs w:val="16"/>
          <w:i w:val="1"/>
          <w:iCs w:val="1"/>
          <w:color w:val="auto"/>
        </w:rPr>
        <w:t>Income Statement—Reporting Comprehensive Income—Expense Disaggregation Disclosures (Subtopic 220-</w:t>
      </w:r>
    </w:p>
    <w:p>
      <w:pPr>
        <w:spacing w:after="0" w:line="2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i w:val="1"/>
          <w:iCs w:val="1"/>
          <w:color w:val="auto"/>
        </w:rPr>
        <w:t xml:space="preserve">40): Disaggregation of Income Statement Expenses </w:t>
      </w:r>
      <w:r>
        <w:rPr>
          <w:rFonts w:ascii="Times New Roman" w:cs="Times New Roman" w:eastAsia="Times New Roman" w:hAnsi="Times New Roman"/>
          <w:sz w:val="16"/>
          <w:szCs w:val="16"/>
          <w:color w:val="auto"/>
        </w:rPr>
        <w:t>(“ASU 2024-03”) to enhance the transparency and clarity of the components of specific expense categories in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income statement. ASU 2024-03 requires disclosure of additional information about specific expense categories underlying certain income statement expense line items. In January 2025, the FASB issued ASU 2025-01, </w:t>
      </w:r>
      <w:r>
        <w:rPr>
          <w:rFonts w:ascii="Times New Roman" w:cs="Times New Roman" w:eastAsia="Times New Roman" w:hAnsi="Times New Roman"/>
          <w:sz w:val="16"/>
          <w:szCs w:val="16"/>
          <w:i w:val="1"/>
          <w:iCs w:val="1"/>
          <w:color w:val="auto"/>
        </w:rPr>
        <w:t>Income Statement—Reporting Comprehensive Income—Expense Disaggregation Disclosures (Subtopic 220-40): Clarifying</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the Effective Date </w:t>
      </w:r>
      <w:r>
        <w:rPr>
          <w:rFonts w:ascii="Times New Roman" w:cs="Times New Roman" w:eastAsia="Times New Roman" w:hAnsi="Times New Roman"/>
          <w:sz w:val="16"/>
          <w:szCs w:val="16"/>
          <w:color w:val="auto"/>
        </w:rPr>
        <w:t>to clarify that all public business entities are required to adopt the guidance in annual periods beginning after December 15, 2026, and interim periods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within annual periods beginning after December 15, 2027. Early adoption is permitted. The amendments in ASU 2024-03, and its related clarifying ASU, should be applied prospectively, with retrospective application permitted. The Company is currently evaluating the impact this ASU will have on its disclosures.</w:t>
      </w:r>
    </w:p>
    <w:p>
      <w:pPr>
        <w:spacing w:after="0" w:line="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 xml:space="preserve">In May 2025, the FASB issued ASU 2025-03, </w:t>
      </w:r>
      <w:r>
        <w:rPr>
          <w:rFonts w:ascii="Times New Roman" w:cs="Times New Roman" w:eastAsia="Times New Roman" w:hAnsi="Times New Roman"/>
          <w:sz w:val="16"/>
          <w:szCs w:val="16"/>
          <w:i w:val="1"/>
          <w:iCs w:val="1"/>
          <w:color w:val="auto"/>
        </w:rPr>
        <w:t>Business Combinations (Topic 805) and Consolidation (Topic 810): Determining the Accounting Acquirer in the</w:t>
      </w:r>
    </w:p>
    <w:p>
      <w:pPr>
        <w:spacing w:after="0" w:line="2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i w:val="1"/>
          <w:iCs w:val="1"/>
          <w:color w:val="auto"/>
        </w:rPr>
        <w:t xml:space="preserve">Acquisition of a Variable Interest Entity </w:t>
      </w:r>
      <w:r>
        <w:rPr>
          <w:rFonts w:ascii="Times New Roman" w:cs="Times New Roman" w:eastAsia="Times New Roman" w:hAnsi="Times New Roman"/>
          <w:sz w:val="16"/>
          <w:szCs w:val="16"/>
          <w:color w:val="auto"/>
        </w:rPr>
        <w:t>(“ASU 2025-03”). ASU 2025-03 clarifies the guidance in determining the accounting acquirer in a business combination effected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primarily by exchanging equity interests when the acquiree is a variable interest entity that meets the definition of a business. ASU 2025-03 is effective for fiscal years beginning after December 15, 2026, including interim periods within those fiscal years, with early adoption permitted. ASU 2025-03 is required to be applied prospectively to any acquisition transaction that occurs after the initial application date. The Company does not expect that this ASU will have a material effect on its consolidated financial statements.</w:t>
      </w:r>
    </w:p>
    <w:p>
      <w:pPr>
        <w:spacing w:after="0" w:line="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color w:val="auto"/>
        </w:rPr>
        <w:t xml:space="preserve">In September 2025, the FASB issued ASU 2025-06, </w:t>
      </w:r>
      <w:r>
        <w:rPr>
          <w:rFonts w:ascii="Times New Roman" w:cs="Times New Roman" w:eastAsia="Times New Roman" w:hAnsi="Times New Roman"/>
          <w:sz w:val="16"/>
          <w:szCs w:val="16"/>
          <w:i w:val="1"/>
          <w:iCs w:val="1"/>
          <w:color w:val="auto"/>
        </w:rPr>
        <w:t>Intangibles—Goodwill and Other—Internal-Use Software (Subtopic 350-40): Targeted Improvements to the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Accounting for Internal-Use Software </w:t>
      </w:r>
      <w:r>
        <w:rPr>
          <w:rFonts w:ascii="Times New Roman" w:cs="Times New Roman" w:eastAsia="Times New Roman" w:hAnsi="Times New Roman"/>
          <w:sz w:val="16"/>
          <w:szCs w:val="16"/>
          <w:color w:val="auto"/>
        </w:rPr>
        <w:t>(“ASU 2025-06”). ASU 2025-06 modernizes the accounting for internal-use software by eliminating the previous stage-based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capitalization model so that the guidance is neutral to different software development methods. ASU 2025-06 is effective for fiscal years beginning after December 15, 2027, including interim periods within those fiscal years, with early adoption permitted. The amendments in ASU 2025-06 should be applied prospectively, with retrospective application or a modified transition approach permitted. The Company is currently evaluating the impact this ASU will have on its consolidated financial statements.</w:t>
      </w:r>
    </w:p>
    <w:p>
      <w:pPr>
        <w:spacing w:after="0" w:line="280"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6"/>
          <w:szCs w:val="16"/>
          <w:color w:val="auto"/>
        </w:rPr>
        <w:t xml:space="preserve">In December 2025, the FASB issued ASU 2025-11, </w:t>
      </w:r>
      <w:r>
        <w:rPr>
          <w:rFonts w:ascii="Times New Roman" w:cs="Times New Roman" w:eastAsia="Times New Roman" w:hAnsi="Times New Roman"/>
          <w:sz w:val="16"/>
          <w:szCs w:val="16"/>
          <w:i w:val="1"/>
          <w:iCs w:val="1"/>
          <w:color w:val="auto"/>
        </w:rPr>
        <w:t>Interim Reporting (Topic 270): Narrow-Scope Improvements</w:t>
      </w:r>
      <w:r>
        <w:rPr>
          <w:rFonts w:ascii="Times New Roman" w:cs="Times New Roman" w:eastAsia="Times New Roman" w:hAnsi="Times New Roman"/>
          <w:sz w:val="16"/>
          <w:szCs w:val="16"/>
          <w:color w:val="auto"/>
        </w:rPr>
        <w:t xml:space="preserve"> (“ASU 2025-11”). ASU 2025-11 improves existing guidance within Accounting Standards Codification (“ASC”) Topic 270 by clarifying the scope and applicability of the standard and by providing a comprehensive list of interim disclosure requirements. ASU 2025-11 also establishes a principle to disclose events since the end of the last annual reporting period that have a material impact on the entity. ASU 2025-11 is effective for interim reporting periods within annual reporting periods beginning after December 15, 2027, with early adoption permitted. The Company is currently evaluating the impact this ASU will have on its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6"/>
          <w:szCs w:val="16"/>
          <w:b w:val="1"/>
          <w:bCs w:val="1"/>
          <w:color w:val="auto"/>
        </w:rPr>
        <w:t>Note 2 – Earnings Per Share</w:t>
      </w:r>
    </w:p>
    <w:p>
      <w:pPr>
        <w:spacing w:after="0" w:line="115"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16"/>
          <w:szCs w:val="16"/>
          <w:color w:val="auto"/>
        </w:rPr>
        <w:t>Basic earnings per share is computed by dividing net income attributable to MasTec by the weighted average number of common shares outstanding for the period, which excludes non-participating unvested restricted share awards. Diluted earnings per share is computed by dividing net income attributable to MasTec by the weighted average number of fully diluted shares, as calculated primarily under the treasury stock method, which includes the potential effect of dilutive common stock equivalents, such as issued but unvested restricted shares.</w:t>
      </w:r>
    </w:p>
    <w:p>
      <w:pPr>
        <w:spacing w:after="0" w:line="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The following table provides details underlying the Company’s earnings per share calculations for the periods indicated (in thousands):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20" w:type="dxa"/>
            <w:vAlign w:val="bottom"/>
            <w:gridSpan w:val="5"/>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40" w:type="dxa"/>
            <w:vAlign w:val="bottom"/>
          </w:tcPr>
          <w:p>
            <w:pPr>
              <w:spacing w:after="0"/>
              <w:rPr>
                <w:sz w:val="16"/>
                <w:szCs w:val="16"/>
                <w:color w:val="auto"/>
              </w:rPr>
            </w:pPr>
          </w:p>
        </w:tc>
        <w:tc>
          <w:tcPr>
            <w:tcW w:w="2000" w:type="dxa"/>
            <w:vAlign w:val="bottom"/>
            <w:gridSpan w:val="4"/>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4"/>
        </w:trPr>
        <w:tc>
          <w:tcPr>
            <w:tcW w:w="6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20" w:type="dxa"/>
            <w:vAlign w:val="bottom"/>
            <w:gridSpan w:val="5"/>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40" w:type="dxa"/>
            <w:vAlign w:val="bottom"/>
          </w:tcPr>
          <w:p>
            <w:pPr>
              <w:spacing w:after="0"/>
              <w:rPr>
                <w:sz w:val="18"/>
                <w:szCs w:val="18"/>
                <w:color w:val="auto"/>
              </w:rPr>
            </w:pPr>
          </w:p>
        </w:tc>
        <w:tc>
          <w:tcPr>
            <w:tcW w:w="2000" w:type="dxa"/>
            <w:vAlign w:val="bottom"/>
            <w:gridSpan w:val="4"/>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09"/>
        </w:trPr>
        <w:tc>
          <w:tcPr>
            <w:tcW w:w="664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Borders>
              <w:top w:val="single" w:sz="8" w:color="auto"/>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198"/>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attributable to MasTec:</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13"/>
        </w:trPr>
        <w:tc>
          <w:tcPr>
            <w:tcW w:w="6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income - basic and diluted</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150,566</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160,660</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341,523</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256,329</w:t>
            </w:r>
          </w:p>
        </w:tc>
      </w:tr>
      <w:tr>
        <w:trPr>
          <w:trHeight w:val="219"/>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shares outstanding:</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13"/>
        </w:trPr>
        <w:tc>
          <w:tcPr>
            <w:tcW w:w="6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Weighted average shares outstanding - basic</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79,077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77,702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78,372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77,857</w:t>
            </w:r>
          </w:p>
        </w:tc>
      </w:tr>
      <w:tr>
        <w:trPr>
          <w:trHeight w:val="219"/>
        </w:trPr>
        <w:tc>
          <w:tcPr>
            <w:tcW w:w="6640" w:type="dxa"/>
            <w:vAlign w:val="bottom"/>
            <w:shd w:val="clear" w:color="auto" w:fill="CCEEFF"/>
          </w:tcPr>
          <w:p>
            <w:pPr>
              <w:ind w:left="140"/>
              <w:spacing w:after="0" w:line="219" w:lineRule="exact"/>
              <w:rPr>
                <w:sz w:val="20"/>
                <w:szCs w:val="20"/>
                <w:color w:val="auto"/>
              </w:rPr>
            </w:pPr>
            <w:r>
              <w:rPr>
                <w:rFonts w:ascii="Times New Roman" w:cs="Times New Roman" w:eastAsia="Times New Roman" w:hAnsi="Times New Roman"/>
                <w:sz w:val="16"/>
                <w:szCs w:val="16"/>
                <w:color w:val="auto"/>
              </w:rPr>
              <w:t xml:space="preserve">Dilutive common stock equivalents </w:t>
            </w:r>
            <w:r>
              <w:rPr>
                <w:rFonts w:ascii="Times New Roman" w:cs="Times New Roman" w:eastAsia="Times New Roman" w:hAnsi="Times New Roman"/>
                <w:sz w:val="21"/>
                <w:szCs w:val="21"/>
                <w:color w:val="auto"/>
                <w:vertAlign w:val="superscript"/>
              </w:rPr>
              <w:t>(a)</w:t>
            </w: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771</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815</w:t>
            </w:r>
          </w:p>
        </w:tc>
      </w:tr>
      <w:tr>
        <w:trPr>
          <w:trHeight w:val="207"/>
        </w:trPr>
        <w:tc>
          <w:tcPr>
            <w:tcW w:w="6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Weighted average shares outstanding - diluted</w:t>
            </w: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79,820</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78,648</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79,143</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78,672</w:t>
            </w:r>
          </w:p>
        </w:tc>
      </w:tr>
    </w:tbl>
    <w:p>
      <w:pPr>
        <w:spacing w:after="0" w:line="112" w:lineRule="exact"/>
        <w:rPr>
          <w:sz w:val="20"/>
          <w:szCs w:val="20"/>
          <w:color w:val="auto"/>
        </w:rPr>
      </w:pPr>
    </w:p>
    <w:p>
      <w:pPr>
        <w:ind w:left="340" w:hanging="332"/>
        <w:spacing w:after="0" w:line="282" w:lineRule="auto"/>
        <w:tabs>
          <w:tab w:leader="none" w:pos="337"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three months ended September 30, 2026 and 2025, anti-dilutive common stock equivalents totaled approximately 2,000 and 1,000, respectively, and for the nine months ended September 30, 2026 and 2025, such shares totaled approximately 139,000 and 12,000, respectively.</w:t>
      </w:r>
    </w:p>
    <w:p>
      <w:pPr>
        <w:spacing w:after="0" w:line="126"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16"/>
          <w:szCs w:val="16"/>
          <w:b w:val="1"/>
          <w:bCs w:val="1"/>
          <w:i w:val="1"/>
          <w:iCs w:val="1"/>
          <w:color w:val="auto"/>
        </w:rPr>
        <w:t xml:space="preserve">Share Repurchases. </w:t>
      </w:r>
      <w:r>
        <w:rPr>
          <w:rFonts w:ascii="Times New Roman" w:cs="Times New Roman" w:eastAsia="Times New Roman" w:hAnsi="Times New Roman"/>
          <w:sz w:val="16"/>
          <w:szCs w:val="16"/>
          <w:color w:val="auto"/>
        </w:rPr>
        <w:t>There were no share repurchases under the Company’s share repurchase program for the nine months ended September 30, 2026. For the nine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months ended September 30, 2025, the Company repurchased 702,533 shares of its common stock, the effect of which on the Company’s weighted average shares outstanding was a reduction of approximately 483,000 shares. See Note 10 – Stockholders' Equity for details of the Company’s share repurchase transactions.</w:t>
      </w:r>
    </w:p>
    <w:p>
      <w:pPr>
        <w:spacing w:after="0" w:line="56"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16"/>
          <w:szCs w:val="16"/>
          <w:b w:val="1"/>
          <w:bCs w:val="1"/>
          <w:i w:val="1"/>
          <w:iCs w:val="1"/>
          <w:color w:val="auto"/>
        </w:rPr>
        <w:t>Shares Issued for Acquisitions</w:t>
      </w:r>
      <w:r>
        <w:rPr>
          <w:rFonts w:ascii="Times New Roman" w:cs="Times New Roman" w:eastAsia="Times New Roman" w:hAnsi="Times New Roman"/>
          <w:sz w:val="16"/>
          <w:szCs w:val="16"/>
          <w:color w:val="auto"/>
        </w:rPr>
        <w:t>. The Company has issued shares of its common stock in connection with certain acquisitions. During the quarter ended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September 30, 2026, the Company issued 1,219,498 shares of its common stock from its treasury shares in connection with the acquisition of Electrical Specialists, Inc., d/b/a The Superior Group (“Superior”) on July 20, 2026, of which the weighted average impact was an increase of approximately 954,000 and 322,000 shares for the three and nine months ended September 30, 2026, respectively. During the second quarter of 2026, the Company issued 67,592 shares in connection with certain additional payments made to the sellers in the 2021 acquisition of Henkels &amp; McCoy Holdings, Inc., formerly known as Henkels &amp; McCoy Group, Inc. (“HMG”). See Note 3 – Acquisitions, Goodwill and Other Intangible Assets, Net for additional information.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3 – Acquisitions, Goodwill and Other Intangible Assets, Net</w:t>
      </w:r>
    </w:p>
    <w:p>
      <w:pPr>
        <w:spacing w:after="0" w:line="1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The following table provides a reconciliation of changes in goodwill by reportable segment for the period indicated (in millions):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Communications</w:t>
            </w:r>
          </w:p>
        </w:tc>
        <w:tc>
          <w:tcPr>
            <w:tcW w:w="120" w:type="dxa"/>
            <w:vAlign w:val="bottom"/>
          </w:tcPr>
          <w:p>
            <w:pPr>
              <w:spacing w:after="0"/>
              <w:rPr>
                <w:sz w:val="16"/>
                <w:szCs w:val="16"/>
                <w:color w:val="auto"/>
              </w:rPr>
            </w:pPr>
          </w:p>
        </w:tc>
        <w:tc>
          <w:tcPr>
            <w:tcW w:w="14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Clean Energy and</w:t>
            </w:r>
          </w:p>
        </w:tc>
        <w:tc>
          <w:tcPr>
            <w:tcW w:w="140" w:type="dxa"/>
            <w:vAlign w:val="bottom"/>
          </w:tcPr>
          <w:p>
            <w:pPr>
              <w:spacing w:after="0"/>
              <w:rPr>
                <w:sz w:val="16"/>
                <w:szCs w:val="16"/>
                <w:color w:val="auto"/>
              </w:rPr>
            </w:pPr>
          </w:p>
        </w:tc>
        <w:tc>
          <w:tcPr>
            <w:tcW w:w="140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Power Delivery</w:t>
            </w:r>
          </w:p>
        </w:tc>
        <w:tc>
          <w:tcPr>
            <w:tcW w:w="180" w:type="dxa"/>
            <w:vAlign w:val="bottom"/>
          </w:tcPr>
          <w:p>
            <w:pPr>
              <w:spacing w:after="0"/>
              <w:rPr>
                <w:sz w:val="16"/>
                <w:szCs w:val="16"/>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Pipeline</w:t>
            </w:r>
          </w:p>
        </w:tc>
        <w:tc>
          <w:tcPr>
            <w:tcW w:w="160" w:type="dxa"/>
            <w:vAlign w:val="bottom"/>
          </w:tcPr>
          <w:p>
            <w:pPr>
              <w:spacing w:after="0"/>
              <w:rPr>
                <w:sz w:val="16"/>
                <w:szCs w:val="16"/>
                <w:color w:val="auto"/>
              </w:rPr>
            </w:pPr>
          </w:p>
        </w:tc>
        <w:tc>
          <w:tcPr>
            <w:tcW w:w="124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Total Goodwill</w:t>
            </w:r>
          </w:p>
        </w:tc>
        <w:tc>
          <w:tcPr>
            <w:tcW w:w="0" w:type="dxa"/>
            <w:vAlign w:val="bottom"/>
          </w:tcPr>
          <w:p>
            <w:pPr>
              <w:spacing w:after="0"/>
              <w:rPr>
                <w:sz w:val="1"/>
                <w:szCs w:val="1"/>
                <w:color w:val="auto"/>
              </w:rPr>
            </w:pPr>
          </w:p>
        </w:tc>
      </w:tr>
      <w:tr>
        <w:trPr>
          <w:trHeight w:val="214"/>
        </w:trPr>
        <w:tc>
          <w:tcPr>
            <w:tcW w:w="3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Infrastructure</w:t>
            </w:r>
          </w:p>
        </w:tc>
        <w:tc>
          <w:tcPr>
            <w:tcW w:w="140" w:type="dxa"/>
            <w:vAlign w:val="bottom"/>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Infrastructure</w:t>
            </w:r>
          </w:p>
        </w:tc>
        <w:tc>
          <w:tcPr>
            <w:tcW w:w="16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 gross, as of December 31, 2025</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557.0</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767.5</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397.2</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642.6</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2,364.3</w:t>
            </w:r>
          </w:p>
        </w:tc>
        <w:tc>
          <w:tcPr>
            <w:tcW w:w="0" w:type="dxa"/>
            <w:vAlign w:val="bottom"/>
          </w:tcPr>
          <w:p>
            <w:pPr>
              <w:spacing w:after="0"/>
              <w:rPr>
                <w:sz w:val="1"/>
                <w:szCs w:val="1"/>
                <w:color w:val="auto"/>
              </w:rPr>
            </w:pPr>
          </w:p>
        </w:tc>
      </w:tr>
      <w:tr>
        <w:trPr>
          <w:trHeight w:val="216"/>
        </w:trPr>
        <w:tc>
          <w:tcPr>
            <w:tcW w:w="3600" w:type="dxa"/>
            <w:vAlign w:val="bottom"/>
          </w:tcPr>
          <w:p>
            <w:pPr>
              <w:ind w:left="140"/>
              <w:spacing w:after="0" w:line="216" w:lineRule="exact"/>
              <w:rPr>
                <w:sz w:val="20"/>
                <w:szCs w:val="20"/>
                <w:color w:val="auto"/>
              </w:rPr>
            </w:pPr>
            <w:r>
              <w:rPr>
                <w:rFonts w:ascii="Times New Roman" w:cs="Times New Roman" w:eastAsia="Times New Roman" w:hAnsi="Times New Roman"/>
                <w:sz w:val="16"/>
                <w:szCs w:val="16"/>
                <w:color w:val="auto"/>
              </w:rPr>
              <w:t xml:space="preserve">Accumulated impairment loss </w:t>
            </w:r>
            <w:r>
              <w:rPr>
                <w:rFonts w:ascii="Times New Roman" w:cs="Times New Roman" w:eastAsia="Times New Roman" w:hAnsi="Times New Roman"/>
                <w:sz w:val="21"/>
                <w:szCs w:val="21"/>
                <w:color w:val="auto"/>
                <w:vertAlign w:val="superscript"/>
              </w:rPr>
              <w:t>(a)</w:t>
            </w:r>
          </w:p>
        </w:tc>
        <w:tc>
          <w:tcPr>
            <w:tcW w:w="12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(115.3)</w:t>
            </w:r>
          </w:p>
        </w:tc>
        <w:tc>
          <w:tcPr>
            <w:tcW w:w="0" w:type="dxa"/>
            <w:vAlign w:val="bottom"/>
          </w:tcPr>
          <w:p>
            <w:pPr>
              <w:spacing w:after="0"/>
              <w:rPr>
                <w:sz w:val="1"/>
                <w:szCs w:val="1"/>
                <w:color w:val="auto"/>
              </w:rPr>
            </w:pPr>
          </w:p>
        </w:tc>
      </w:tr>
      <w:tr>
        <w:trPr>
          <w:trHeight w:val="210"/>
        </w:trPr>
        <w:tc>
          <w:tcPr>
            <w:tcW w:w="3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 net, as of December 31, 2025</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557.0</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767.5</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397.2</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527.3</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2,249.0</w:t>
            </w:r>
          </w:p>
        </w:tc>
        <w:tc>
          <w:tcPr>
            <w:tcW w:w="0" w:type="dxa"/>
            <w:vAlign w:val="bottom"/>
          </w:tcPr>
          <w:p>
            <w:pPr>
              <w:spacing w:after="0"/>
              <w:rPr>
                <w:sz w:val="1"/>
                <w:szCs w:val="1"/>
                <w:color w:val="auto"/>
              </w:rPr>
            </w:pPr>
          </w:p>
        </w:tc>
      </w:tr>
      <w:tr>
        <w:trPr>
          <w:trHeight w:val="207"/>
        </w:trPr>
        <w:tc>
          <w:tcPr>
            <w:tcW w:w="3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Additions from new business combinations</w:t>
            </w:r>
          </w:p>
        </w:tc>
        <w:tc>
          <w:tcPr>
            <w:tcW w:w="1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639.2</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773.9</w:t>
            </w:r>
          </w:p>
        </w:tc>
        <w:tc>
          <w:tcPr>
            <w:tcW w:w="0" w:type="dxa"/>
            <w:vAlign w:val="bottom"/>
          </w:tcPr>
          <w:p>
            <w:pPr>
              <w:spacing w:after="0"/>
              <w:rPr>
                <w:sz w:val="1"/>
                <w:szCs w:val="1"/>
                <w:color w:val="auto"/>
              </w:rPr>
            </w:pPr>
          </w:p>
        </w:tc>
      </w:tr>
      <w:tr>
        <w:trPr>
          <w:trHeight w:val="219"/>
        </w:trPr>
        <w:tc>
          <w:tcPr>
            <w:tcW w:w="3600" w:type="dxa"/>
            <w:vAlign w:val="bottom"/>
            <w:shd w:val="clear" w:color="auto" w:fill="CCEEFF"/>
          </w:tcPr>
          <w:p>
            <w:pPr>
              <w:ind w:left="140"/>
              <w:spacing w:after="0" w:line="219" w:lineRule="exact"/>
              <w:rPr>
                <w:sz w:val="20"/>
                <w:szCs w:val="20"/>
                <w:color w:val="auto"/>
              </w:rPr>
            </w:pPr>
            <w:r>
              <w:rPr>
                <w:rFonts w:ascii="Times New Roman" w:cs="Times New Roman" w:eastAsia="Times New Roman" w:hAnsi="Times New Roman"/>
                <w:sz w:val="16"/>
                <w:szCs w:val="16"/>
                <w:color w:val="auto"/>
              </w:rPr>
              <w:t xml:space="preserve">Measurement period adjustments </w:t>
            </w:r>
            <w:r>
              <w:rPr>
                <w:rFonts w:ascii="Times New Roman" w:cs="Times New Roman" w:eastAsia="Times New Roman" w:hAnsi="Times New Roman"/>
                <w:sz w:val="21"/>
                <w:szCs w:val="21"/>
                <w:color w:val="auto"/>
                <w:vertAlign w:val="superscript"/>
              </w:rPr>
              <w:t>(b)</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w:t>
            </w:r>
          </w:p>
        </w:tc>
        <w:tc>
          <w:tcPr>
            <w:tcW w:w="0" w:type="dxa"/>
            <w:vAlign w:val="bottom"/>
          </w:tcPr>
          <w:p>
            <w:pPr>
              <w:spacing w:after="0"/>
              <w:rPr>
                <w:sz w:val="1"/>
                <w:szCs w:val="1"/>
                <w:color w:val="auto"/>
              </w:rPr>
            </w:pPr>
          </w:p>
        </w:tc>
      </w:tr>
      <w:tr>
        <w:trPr>
          <w:trHeight w:val="213"/>
        </w:trPr>
        <w:tc>
          <w:tcPr>
            <w:tcW w:w="3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Currency translation adjustments</w:t>
            </w:r>
          </w:p>
        </w:tc>
        <w:tc>
          <w:tcPr>
            <w:tcW w:w="12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0" w:type="dxa"/>
            <w:vAlign w:val="bottom"/>
          </w:tcPr>
          <w:p>
            <w:pPr>
              <w:spacing w:after="0"/>
              <w:rPr>
                <w:sz w:val="1"/>
                <w:szCs w:val="1"/>
                <w:color w:val="auto"/>
              </w:rPr>
            </w:pPr>
          </w:p>
        </w:tc>
      </w:tr>
      <w:tr>
        <w:trPr>
          <w:trHeight w:val="210"/>
        </w:trPr>
        <w:tc>
          <w:tcPr>
            <w:tcW w:w="3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 net, as of September 30, 2026</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562.7</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882.9</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1,036.4</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555.3</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3,037.3</w:t>
            </w: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300" w:hanging="292"/>
        <w:spacing w:after="0"/>
        <w:tabs>
          <w:tab w:leader="none" w:pos="3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Accumulated impairment loss includes the effects of currency translation gains and/or losses.</w:t>
      </w:r>
    </w:p>
    <w:p>
      <w:pPr>
        <w:spacing w:after="0" w:line="41" w:lineRule="exact"/>
        <w:rPr>
          <w:rFonts w:ascii="Times New Roman" w:cs="Times New Roman" w:eastAsia="Times New Roman" w:hAnsi="Times New Roman"/>
          <w:sz w:val="14"/>
          <w:szCs w:val="14"/>
          <w:color w:val="auto"/>
        </w:rPr>
      </w:pPr>
    </w:p>
    <w:p>
      <w:pPr>
        <w:ind w:left="340" w:hanging="332"/>
        <w:spacing w:after="0" w:line="302" w:lineRule="auto"/>
        <w:tabs>
          <w:tab w:leader="none" w:pos="352"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adjustments, net, to preliminary estimates of fair value within the measurement period of up to one year from the date of acquisition. Measurement period adjustments, net, for the nine months ended September 30, 2026 were primarily the result of net working capital and valuation adjustments.</w:t>
      </w:r>
    </w:p>
    <w:p>
      <w:pPr>
        <w:spacing w:after="0" w:line="200" w:lineRule="exact"/>
        <w:rPr>
          <w:sz w:val="20"/>
          <w:szCs w:val="20"/>
          <w:color w:val="auto"/>
        </w:rPr>
      </w:pPr>
    </w:p>
    <w:p>
      <w:pPr>
        <w:spacing w:after="0" w:line="362"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9" w:right="339" w:bottom="1440" w:gutter="0" w:footer="0" w:header="0"/>
        </w:sectPr>
      </w:pPr>
    </w:p>
    <w:bookmarkStart w:id="12" w:name="page13"/>
    <w:bookmarkEnd w:id="12"/>
    <w:p>
      <w:pPr>
        <w:ind w:left="660"/>
        <w:spacing w:after="0"/>
        <w:rPr>
          <w:sz w:val="20"/>
          <w:szCs w:val="20"/>
          <w:color w:val="auto"/>
        </w:rPr>
      </w:pPr>
      <w:r>
        <w:rPr>
          <w:rFonts w:ascii="Times New Roman" w:cs="Times New Roman" w:eastAsia="Times New Roman" w:hAnsi="Times New Roman"/>
          <w:sz w:val="16"/>
          <w:szCs w:val="16"/>
          <w:color w:val="auto"/>
        </w:rPr>
        <w:t>The following table provides a reconciliation of changes in other intangible assets, net, for the period indicated (in millions):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Other Intangible Assets, Net</w:t>
            </w:r>
          </w:p>
        </w:tc>
        <w:tc>
          <w:tcPr>
            <w:tcW w:w="4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5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gridSpan w:val="2"/>
          </w:tcPr>
          <w:p>
            <w:pPr>
              <w:jc w:val="center"/>
              <w:ind w:right="220"/>
              <w:spacing w:after="0" w:line="158" w:lineRule="exact"/>
              <w:rPr>
                <w:sz w:val="20"/>
                <w:szCs w:val="20"/>
                <w:color w:val="auto"/>
              </w:rPr>
            </w:pPr>
            <w:r>
              <w:rPr>
                <w:rFonts w:ascii="Times New Roman" w:cs="Times New Roman" w:eastAsia="Times New Roman" w:hAnsi="Times New Roman"/>
                <w:sz w:val="16"/>
                <w:szCs w:val="16"/>
                <w:b w:val="1"/>
                <w:bCs w:val="1"/>
                <w:color w:val="auto"/>
              </w:rPr>
              <w:t>Customer</w:t>
            </w:r>
          </w:p>
        </w:tc>
        <w:tc>
          <w:tcPr>
            <w:tcW w:w="1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Relationships and</w:t>
            </w:r>
          </w:p>
        </w:tc>
        <w:tc>
          <w:tcPr>
            <w:tcW w:w="160" w:type="dxa"/>
            <w:vAlign w:val="bottom"/>
          </w:tcPr>
          <w:p>
            <w:pPr>
              <w:spacing w:after="0"/>
              <w:rPr>
                <w:sz w:val="14"/>
                <w:szCs w:val="14"/>
                <w:color w:val="auto"/>
              </w:rPr>
            </w:pPr>
          </w:p>
        </w:tc>
        <w:tc>
          <w:tcPr>
            <w:tcW w:w="136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Trade Names</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 xml:space="preserve">Other </w:t>
            </w:r>
            <w:r>
              <w:rPr>
                <w:rFonts w:ascii="Times New Roman" w:cs="Times New Roman" w:eastAsia="Times New Roman" w:hAnsi="Times New Roman"/>
                <w:sz w:val="21"/>
                <w:szCs w:val="21"/>
                <w:b w:val="1"/>
                <w:bCs w:val="1"/>
                <w:color w:val="auto"/>
                <w:vertAlign w:val="superscript"/>
              </w:rPr>
              <w:t>(b)</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vMerge w:val="restart"/>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ind w:right="220"/>
              <w:spacing w:after="0" w:line="216" w:lineRule="exact"/>
              <w:rPr>
                <w:sz w:val="20"/>
                <w:szCs w:val="20"/>
                <w:color w:val="auto"/>
              </w:rPr>
            </w:pPr>
            <w:r>
              <w:rPr>
                <w:rFonts w:ascii="Times New Roman" w:cs="Times New Roman" w:eastAsia="Times New Roman" w:hAnsi="Times New Roman"/>
                <w:sz w:val="16"/>
                <w:szCs w:val="16"/>
                <w:b w:val="1"/>
                <w:bCs w:val="1"/>
                <w:color w:val="auto"/>
                <w:w w:val="95"/>
              </w:rPr>
              <w:t xml:space="preserve">Backlog </w:t>
            </w:r>
            <w:r>
              <w:rPr>
                <w:rFonts w:ascii="Times New Roman" w:cs="Times New Roman" w:eastAsia="Times New Roman" w:hAnsi="Times New Roman"/>
                <w:sz w:val="21"/>
                <w:szCs w:val="21"/>
                <w:b w:val="1"/>
                <w:bCs w:val="1"/>
                <w:color w:val="auto"/>
                <w:w w:val="95"/>
                <w:vertAlign w:val="superscript"/>
              </w:rPr>
              <w:t>(a)</w:t>
            </w:r>
          </w:p>
        </w:tc>
        <w:tc>
          <w:tcPr>
            <w:tcW w:w="16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1020" w:type="dxa"/>
            <w:vAlign w:val="bottom"/>
            <w:vMerge w:val="continue"/>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intangible assets, gross, as of December 31, 2025</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1,113.2</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228.3</w:t>
            </w:r>
          </w:p>
        </w:tc>
        <w:tc>
          <w:tcPr>
            <w:tcW w:w="1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80.0</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1,421.5</w:t>
            </w:r>
          </w:p>
        </w:tc>
        <w:tc>
          <w:tcPr>
            <w:tcW w:w="0" w:type="dxa"/>
            <w:vAlign w:val="bottom"/>
          </w:tcPr>
          <w:p>
            <w:pPr>
              <w:spacing w:after="0"/>
              <w:rPr>
                <w:sz w:val="1"/>
                <w:szCs w:val="1"/>
                <w:color w:val="auto"/>
              </w:rPr>
            </w:pPr>
          </w:p>
        </w:tc>
      </w:tr>
      <w:tr>
        <w:trPr>
          <w:trHeight w:val="213"/>
        </w:trPr>
        <w:tc>
          <w:tcPr>
            <w:tcW w:w="51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Accumulated amortization</w:t>
            </w:r>
          </w:p>
        </w:tc>
        <w:tc>
          <w:tcPr>
            <w:tcW w:w="1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(628.8)</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(83.7)</w:t>
            </w:r>
          </w:p>
        </w:tc>
        <w:tc>
          <w:tcPr>
            <w:tcW w:w="10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8"/>
              </w:rPr>
              <w:t>(52.8)</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(765.3)</w:t>
            </w:r>
          </w:p>
        </w:tc>
        <w:tc>
          <w:tcPr>
            <w:tcW w:w="0" w:type="dxa"/>
            <w:vAlign w:val="bottom"/>
          </w:tcPr>
          <w:p>
            <w:pPr>
              <w:spacing w:after="0"/>
              <w:rPr>
                <w:sz w:val="1"/>
                <w:szCs w:val="1"/>
                <w:color w:val="auto"/>
              </w:rPr>
            </w:pPr>
          </w:p>
        </w:tc>
      </w:tr>
      <w:tr>
        <w:trPr>
          <w:trHeight w:val="212"/>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intangible assets, net, as of December 31, 2025</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484.4</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144.6</w:t>
            </w:r>
          </w:p>
        </w:tc>
        <w:tc>
          <w:tcPr>
            <w:tcW w:w="10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656.2</w:t>
            </w:r>
          </w:p>
        </w:tc>
        <w:tc>
          <w:tcPr>
            <w:tcW w:w="0" w:type="dxa"/>
            <w:vAlign w:val="bottom"/>
          </w:tcPr>
          <w:p>
            <w:pPr>
              <w:spacing w:after="0"/>
              <w:rPr>
                <w:sz w:val="1"/>
                <w:szCs w:val="1"/>
                <w:color w:val="auto"/>
              </w:rPr>
            </w:pPr>
          </w:p>
        </w:tc>
      </w:tr>
      <w:tr>
        <w:trPr>
          <w:trHeight w:val="207"/>
        </w:trPr>
        <w:tc>
          <w:tcPr>
            <w:tcW w:w="51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Additions from new business combinations</w:t>
            </w:r>
          </w:p>
        </w:tc>
        <w:tc>
          <w:tcPr>
            <w:tcW w:w="1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1,137.9</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88.9</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1,230.8</w:t>
            </w:r>
          </w:p>
        </w:tc>
        <w:tc>
          <w:tcPr>
            <w:tcW w:w="0" w:type="dxa"/>
            <w:vAlign w:val="bottom"/>
          </w:tcPr>
          <w:p>
            <w:pPr>
              <w:spacing w:after="0"/>
              <w:rPr>
                <w:sz w:val="1"/>
                <w:szCs w:val="1"/>
                <w:color w:val="auto"/>
              </w:rPr>
            </w:pPr>
          </w:p>
        </w:tc>
      </w:tr>
      <w:tr>
        <w:trPr>
          <w:trHeight w:val="219"/>
        </w:trPr>
        <w:tc>
          <w:tcPr>
            <w:tcW w:w="5180" w:type="dxa"/>
            <w:vAlign w:val="bottom"/>
            <w:shd w:val="clear" w:color="auto" w:fill="CCEEFF"/>
          </w:tcPr>
          <w:p>
            <w:pPr>
              <w:ind w:left="140"/>
              <w:spacing w:after="0" w:line="219" w:lineRule="exact"/>
              <w:rPr>
                <w:sz w:val="20"/>
                <w:szCs w:val="20"/>
                <w:color w:val="auto"/>
              </w:rPr>
            </w:pPr>
            <w:r>
              <w:rPr>
                <w:rFonts w:ascii="Times New Roman" w:cs="Times New Roman" w:eastAsia="Times New Roman" w:hAnsi="Times New Roman"/>
                <w:sz w:val="16"/>
                <w:szCs w:val="16"/>
                <w:color w:val="auto"/>
              </w:rPr>
              <w:t xml:space="preserve">Measurement period adjustments </w:t>
            </w:r>
            <w:r>
              <w:rPr>
                <w:rFonts w:ascii="Times New Roman" w:cs="Times New Roman" w:eastAsia="Times New Roman" w:hAnsi="Times New Roman"/>
                <w:sz w:val="21"/>
                <w:szCs w:val="21"/>
                <w:color w:val="auto"/>
                <w:vertAlign w:val="superscript"/>
              </w:rPr>
              <w:t>(c)</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213"/>
        </w:trPr>
        <w:tc>
          <w:tcPr>
            <w:tcW w:w="51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Currency translation adjustments</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19"/>
        </w:trPr>
        <w:tc>
          <w:tcPr>
            <w:tcW w:w="5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Amortization expense</w:t>
            </w:r>
          </w:p>
        </w:tc>
        <w:tc>
          <w:tcPr>
            <w:tcW w:w="1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(130.0)</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w:t>
            </w:r>
          </w:p>
        </w:tc>
        <w:tc>
          <w:tcPr>
            <w:tcW w:w="10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(151.4)</w:t>
            </w:r>
          </w:p>
        </w:tc>
        <w:tc>
          <w:tcPr>
            <w:tcW w:w="0" w:type="dxa"/>
            <w:vAlign w:val="bottom"/>
          </w:tcPr>
          <w:p>
            <w:pPr>
              <w:spacing w:after="0"/>
              <w:rPr>
                <w:sz w:val="1"/>
                <w:szCs w:val="1"/>
                <w:color w:val="auto"/>
              </w:rPr>
            </w:pPr>
          </w:p>
        </w:tc>
      </w:tr>
      <w:tr>
        <w:trPr>
          <w:trHeight w:val="207"/>
        </w:trPr>
        <w:tc>
          <w:tcPr>
            <w:tcW w:w="5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intangible assets, net, as of September 30, 2026</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1,490.1</w:t>
            </w:r>
          </w:p>
        </w:tc>
        <w:tc>
          <w:tcPr>
            <w:tcW w:w="12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216.1</w:t>
            </w:r>
          </w:p>
        </w:tc>
        <w:tc>
          <w:tcPr>
            <w:tcW w:w="100" w:type="dxa"/>
            <w:vAlign w:val="bottom"/>
          </w:tcPr>
          <w:p>
            <w:pPr>
              <w:spacing w:after="0"/>
              <w:rPr>
                <w:sz w:val="17"/>
                <w:szCs w:val="17"/>
                <w:color w:val="auto"/>
              </w:rPr>
            </w:pPr>
          </w:p>
        </w:tc>
        <w:tc>
          <w:tcPr>
            <w:tcW w:w="1020" w:type="dxa"/>
            <w:vAlign w:val="bottom"/>
            <w:tcBorders>
              <w:bottom w:val="single" w:sz="8" w:color="auto"/>
            </w:tcBorders>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26.8</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1,733.0</w:t>
            </w:r>
          </w:p>
        </w:tc>
        <w:tc>
          <w:tcPr>
            <w:tcW w:w="0" w:type="dxa"/>
            <w:vAlign w:val="bottom"/>
          </w:tcPr>
          <w:p>
            <w:pPr>
              <w:spacing w:after="0"/>
              <w:rPr>
                <w:sz w:val="1"/>
                <w:szCs w:val="1"/>
                <w:color w:val="auto"/>
              </w:rPr>
            </w:pPr>
          </w:p>
        </w:tc>
      </w:tr>
    </w:tbl>
    <w:p>
      <w:pPr>
        <w:spacing w:after="0" w:line="112" w:lineRule="exact"/>
        <w:rPr>
          <w:sz w:val="20"/>
          <w:szCs w:val="20"/>
          <w:color w:val="auto"/>
        </w:rPr>
      </w:pPr>
    </w:p>
    <w:p>
      <w:pPr>
        <w:ind w:left="340" w:right="20" w:hanging="332"/>
        <w:spacing w:after="0" w:line="281" w:lineRule="auto"/>
        <w:tabs>
          <w:tab w:leader="none" w:pos="337"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September 30, 2026 and December 31, 2025, the gross amount of customer relationships totaled $2,053.8 million and $1,051.3 million, respectively, and, net of accumulated amortization, totaled $1,388.6 million and $465.2 million, respectively.</w:t>
      </w:r>
    </w:p>
    <w:p>
      <w:pPr>
        <w:spacing w:after="0" w:line="1" w:lineRule="exact"/>
        <w:rPr>
          <w:rFonts w:ascii="Times New Roman" w:cs="Times New Roman" w:eastAsia="Times New Roman" w:hAnsi="Times New Roman"/>
          <w:sz w:val="14"/>
          <w:szCs w:val="14"/>
          <w:color w:val="auto"/>
        </w:rPr>
      </w:pPr>
    </w:p>
    <w:p>
      <w:pPr>
        <w:ind w:left="340" w:hanging="332"/>
        <w:spacing w:after="0" w:line="281" w:lineRule="auto"/>
        <w:tabs>
          <w:tab w:leader="none" w:pos="332"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principally of pre-qualifications, intellectual property and non-compete agreements. Additions for the nine months ended September 30, 2026 related to the first quarter asset acquisition included within the Company’s Pipeline Infrastructure segment.</w:t>
      </w:r>
    </w:p>
    <w:p>
      <w:pPr>
        <w:spacing w:after="0" w:line="1" w:lineRule="exact"/>
        <w:rPr>
          <w:rFonts w:ascii="Times New Roman" w:cs="Times New Roman" w:eastAsia="Times New Roman" w:hAnsi="Times New Roman"/>
          <w:sz w:val="14"/>
          <w:szCs w:val="14"/>
          <w:color w:val="auto"/>
        </w:rPr>
      </w:pPr>
    </w:p>
    <w:p>
      <w:pPr>
        <w:ind w:left="340" w:hanging="332"/>
        <w:spacing w:after="0" w:line="302" w:lineRule="auto"/>
        <w:tabs>
          <w:tab w:leader="none" w:pos="337" w:val="left"/>
        </w:tabs>
        <w:numPr>
          <w:ilvl w:val="0"/>
          <w:numId w:val="5"/>
        </w:numPr>
        <w:rPr>
          <w:rFonts w:ascii="Times New Roman" w:cs="Times New Roman" w:eastAsia="Times New Roman" w:hAnsi="Times New Roman"/>
          <w:sz w:val="14"/>
          <w:szCs w:val="14"/>
          <w:color w:val="26282A"/>
        </w:rPr>
      </w:pPr>
      <w:r>
        <w:rPr>
          <w:rFonts w:ascii="Times New Roman" w:cs="Times New Roman" w:eastAsia="Times New Roman" w:hAnsi="Times New Roman"/>
          <w:sz w:val="14"/>
          <w:szCs w:val="14"/>
          <w:color w:val="auto"/>
        </w:rPr>
        <w:t>Represents adjustments, net, to preliminary estimates of fair value within the measurement period of up to one year from the date of acquisition. Measurement period adjustments, net, for the nine months ended September 30, 2026 related primarily to decreases in amortizing intangible assets resulting from valuation adjustments.</w:t>
      </w:r>
    </w:p>
    <w:p>
      <w:pPr>
        <w:spacing w:after="0" w:line="117" w:lineRule="exact"/>
        <w:rPr>
          <w:sz w:val="20"/>
          <w:szCs w:val="20"/>
          <w:color w:val="auto"/>
        </w:rPr>
      </w:pPr>
    </w:p>
    <w:p>
      <w:pPr>
        <w:jc w:val="both"/>
        <w:ind w:firstLine="648"/>
        <w:spacing w:after="0" w:line="280" w:lineRule="auto"/>
        <w:rPr>
          <w:sz w:val="20"/>
          <w:szCs w:val="20"/>
          <w:color w:val="auto"/>
        </w:rPr>
      </w:pPr>
      <w:r>
        <w:rPr>
          <w:rFonts w:ascii="Times New Roman" w:cs="Times New Roman" w:eastAsia="Times New Roman" w:hAnsi="Times New Roman"/>
          <w:sz w:val="16"/>
          <w:szCs w:val="16"/>
          <w:color w:val="auto"/>
        </w:rPr>
        <w:t>During the three months ended September 30, 2026, no events occurred that would indicate it was more likely than not that goodwill or other intangible asset impairments exist.</w:t>
      </w:r>
    </w:p>
    <w:p>
      <w:pPr>
        <w:spacing w:after="0" w:line="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Recent Acquisitions</w:t>
      </w:r>
    </w:p>
    <w:p>
      <w:pPr>
        <w:spacing w:after="0" w:line="117"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6"/>
          <w:szCs w:val="16"/>
          <w:color w:val="auto"/>
        </w:rPr>
        <w:t>The Company seeks to grow and diversify its business both organically and through acquisitions and/or strategic arrangements in order to deepen its market presence and customer base, broaden its geographic reach and expand its service offerings. Acquisitions are funded with cash on hand, borrowings under the Company’s senior unsecured credit facility and other debt financing and, for certain acquisitions, with shares of the Company’s common stock, and are generally subject to customary purchase price adjustments. The goodwill balances for each of the respective acquisitions represent the estimated values of each acquired company’s geographic presence in key markets, assembled workforce, synergies expected to be achieved from the combined operations of each of the acquired companies and MasTec, as well as the acquired company’s industry-specific project management expertise.</w:t>
      </w:r>
    </w:p>
    <w:p>
      <w:pPr>
        <w:spacing w:after="0" w:line="69"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16"/>
          <w:szCs w:val="16"/>
          <w:b w:val="1"/>
          <w:bCs w:val="1"/>
          <w:i w:val="1"/>
          <w:iCs w:val="1"/>
          <w:color w:val="auto"/>
        </w:rPr>
        <w:t xml:space="preserve">2026 Acquisitions. </w:t>
      </w:r>
      <w:r>
        <w:rPr>
          <w:rFonts w:ascii="Times New Roman" w:cs="Times New Roman" w:eastAsia="Times New Roman" w:hAnsi="Times New Roman"/>
          <w:sz w:val="16"/>
          <w:szCs w:val="16"/>
          <w:color w:val="auto"/>
        </w:rPr>
        <w:t>Effective in January 2026, MasTec acquired 86% of the equity interests of McKee Utility Contractors, LLC (“McKee”), an infrastructure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services company that specializes in water and wastewater distribution networks in the south central region of the United States, which is included within the Company’s Clean Energy and Infrastructure segment. MasTec has the option to acquire the remaining noncontrolling interest in the entity following the third anniversary of the consummation date. The aggregate purchase price consisted of approximately $237 million in cash, net of cash acquired, subject to certain working capital and other contractually agreed-upon adjustments.</w:t>
      </w:r>
    </w:p>
    <w:p>
      <w:pPr>
        <w:spacing w:after="0" w:line="68"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6"/>
          <w:szCs w:val="16"/>
          <w:color w:val="auto"/>
        </w:rPr>
        <w:t>On July 20, 2026, MasTec acquired all of the equity interests of Superior, a premier full-service electrical contractor focused on critical infrastructure, which is included within the Company’s Power Delivery segment. Superior is a recognized leader in large load electrical infrastructure while serving a diverse range of end markets, including technology, healthcare, entertainment and industrial. The aggregate purchase price consisted of $1.2 billion in cash, net of cash acquired, subject to certain working capital and other contractually agreed-upon adjustments; 1,219,498 shares of MasTec common stock issued from its treasury shares; and a three-year earn-out liability, with no maximum payment amount. The cash portion of the acquisition was funded with a combination of cash on hand, borrowings under the Company’s amended Credit Facility, and a new unsecured term loan facility. See Note 8 – Debt for additional information.</w:t>
      </w:r>
    </w:p>
    <w:p>
      <w:pPr>
        <w:spacing w:after="0" w:line="87"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Additionally, effective in June 2026, MasTec acquired all of the equity interests of a fiber optic repair and telecommunications company, which is included within the Company’s Communications segment; and, effective in August 2026, MasTec acquired all of the equity interests of a company that specializes in pipeline infrastructure, which is included within the Company’s Pipeline Infrastructure segment. The aggregate purchase price of these acquisitions consisted of $128 million in cash, net of cash acquired, and earn-out liabilities with terms of up to five years.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13" w:name="page14"/>
    <w:bookmarkEnd w:id="13"/>
    <w:p>
      <w:pPr>
        <w:ind w:firstLine="648"/>
        <w:spacing w:after="0" w:line="280" w:lineRule="auto"/>
        <w:rPr>
          <w:sz w:val="20"/>
          <w:szCs w:val="20"/>
          <w:color w:val="auto"/>
        </w:rPr>
      </w:pPr>
      <w:r>
        <w:rPr>
          <w:rFonts w:ascii="Times New Roman" w:cs="Times New Roman" w:eastAsia="Times New Roman" w:hAnsi="Times New Roman"/>
          <w:sz w:val="16"/>
          <w:szCs w:val="16"/>
          <w:color w:val="auto"/>
        </w:rPr>
        <w:t>The following table summarizes, as of September 30, 2026, the estimated fair values of the consideration paid, net assets acquired, and non-controlling interest assumed for the Company’s 2026 acquisitions (in millions):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Acquisition consideration:</w:t>
            </w: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McKee</w:t>
            </w: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Superior</w:t>
            </w: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All Others</w:t>
            </w:r>
          </w:p>
        </w:tc>
      </w:tr>
      <w:tr>
        <w:trPr>
          <w:trHeight w:val="213"/>
        </w:trPr>
        <w:tc>
          <w:tcPr>
            <w:tcW w:w="6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paid</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261.4</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1,297.7</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128.3</w:t>
            </w:r>
          </w:p>
        </w:tc>
      </w:tr>
      <w:tr>
        <w:trPr>
          <w:trHeight w:val="213"/>
        </w:trPr>
        <w:tc>
          <w:tcPr>
            <w:tcW w:w="6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Value of shares transferred</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410.5</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6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Estimated fair value of contingent consideration</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179.4</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w:t>
            </w:r>
          </w:p>
        </w:tc>
      </w:tr>
      <w:tr>
        <w:trPr>
          <w:trHeight w:val="213"/>
        </w:trPr>
        <w:tc>
          <w:tcPr>
            <w:tcW w:w="69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Less: cash acquired</w:t>
            </w: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(24.8)</w:t>
            </w: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(59.6)</w:t>
            </w: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w:t>
            </w:r>
          </w:p>
        </w:tc>
      </w:tr>
      <w:tr>
        <w:trPr>
          <w:trHeight w:val="212"/>
        </w:trPr>
        <w:tc>
          <w:tcPr>
            <w:tcW w:w="6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consideration paid, net</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236.6</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1,828.0</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143.5</w:t>
            </w:r>
          </w:p>
        </w:tc>
      </w:tr>
      <w:tr>
        <w:trPr>
          <w:trHeight w:val="270"/>
        </w:trPr>
        <w:tc>
          <w:tcPr>
            <w:tcW w:w="69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16"/>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 acquired and liabilities assumed:</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3"/>
        </w:trPr>
        <w:tc>
          <w:tcPr>
            <w:tcW w:w="6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receivable and contract assets</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79.7</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495.5</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40.2</w:t>
            </w:r>
          </w:p>
        </w:tc>
      </w:tr>
      <w:tr>
        <w:trPr>
          <w:trHeight w:val="219"/>
        </w:trPr>
        <w:tc>
          <w:tcPr>
            <w:tcW w:w="6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Property and equipment</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42.1</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59.2</w:t>
            </w:r>
          </w:p>
        </w:tc>
      </w:tr>
      <w:tr>
        <w:trPr>
          <w:trHeight w:val="213"/>
        </w:trPr>
        <w:tc>
          <w:tcPr>
            <w:tcW w:w="6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Amortizing intangible assets</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141.5</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1,034.0</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44.3</w:t>
            </w:r>
          </w:p>
        </w:tc>
      </w:tr>
      <w:tr>
        <w:trPr>
          <w:trHeight w:val="219"/>
        </w:trPr>
        <w:tc>
          <w:tcPr>
            <w:tcW w:w="6940" w:type="dxa"/>
            <w:vAlign w:val="bottom"/>
            <w:shd w:val="clear" w:color="auto" w:fill="CCEEFF"/>
          </w:tcPr>
          <w:p>
            <w:pPr>
              <w:ind w:left="140"/>
              <w:spacing w:after="0" w:line="219" w:lineRule="exact"/>
              <w:rPr>
                <w:sz w:val="20"/>
                <w:szCs w:val="20"/>
                <w:color w:val="auto"/>
              </w:rPr>
            </w:pPr>
            <w:r>
              <w:rPr>
                <w:rFonts w:ascii="Times New Roman" w:cs="Times New Roman" w:eastAsia="Times New Roman" w:hAnsi="Times New Roman"/>
                <w:sz w:val="16"/>
                <w:szCs w:val="16"/>
                <w:color w:val="auto"/>
              </w:rPr>
              <w:t xml:space="preserve">Other assets </w:t>
            </w:r>
            <w:r>
              <w:rPr>
                <w:rFonts w:ascii="Times New Roman" w:cs="Times New Roman" w:eastAsia="Times New Roman" w:hAnsi="Times New Roman"/>
                <w:sz w:val="21"/>
                <w:szCs w:val="21"/>
                <w:color w:val="auto"/>
                <w:vertAlign w:val="superscript"/>
              </w:rPr>
              <w:t>(a)</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87.1</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w:t>
            </w:r>
          </w:p>
        </w:tc>
      </w:tr>
      <w:tr>
        <w:trPr>
          <w:trHeight w:val="213"/>
        </w:trPr>
        <w:tc>
          <w:tcPr>
            <w:tcW w:w="6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payable</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(182.9)</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w:t>
            </w:r>
          </w:p>
        </w:tc>
      </w:tr>
      <w:tr>
        <w:trPr>
          <w:trHeight w:val="219"/>
        </w:trPr>
        <w:tc>
          <w:tcPr>
            <w:tcW w:w="6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Contract liabilities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(181.6)</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r>
      <w:tr>
        <w:trPr>
          <w:trHeight w:val="213"/>
        </w:trPr>
        <w:tc>
          <w:tcPr>
            <w:tcW w:w="6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accrued expenses</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w:t>
            </w:r>
          </w:p>
        </w:tc>
      </w:tr>
      <w:tr>
        <w:trPr>
          <w:trHeight w:val="219"/>
        </w:trPr>
        <w:tc>
          <w:tcPr>
            <w:tcW w:w="6940" w:type="dxa"/>
            <w:vAlign w:val="bottom"/>
            <w:shd w:val="clear" w:color="auto" w:fill="CCEEFF"/>
          </w:tcPr>
          <w:p>
            <w:pPr>
              <w:ind w:left="140"/>
              <w:spacing w:after="0" w:line="219" w:lineRule="exact"/>
              <w:rPr>
                <w:sz w:val="20"/>
                <w:szCs w:val="20"/>
                <w:color w:val="auto"/>
              </w:rPr>
            </w:pPr>
            <w:r>
              <w:rPr>
                <w:rFonts w:ascii="Times New Roman" w:cs="Times New Roman" w:eastAsia="Times New Roman" w:hAnsi="Times New Roman"/>
                <w:sz w:val="16"/>
                <w:szCs w:val="16"/>
                <w:color w:val="auto"/>
              </w:rPr>
              <w:t xml:space="preserve">Other liabilities </w:t>
            </w:r>
            <w:r>
              <w:rPr>
                <w:rFonts w:ascii="Times New Roman" w:cs="Times New Roman" w:eastAsia="Times New Roman" w:hAnsi="Times New Roman"/>
                <w:sz w:val="21"/>
                <w:szCs w:val="21"/>
                <w:color w:val="auto"/>
                <w:vertAlign w:val="superscript"/>
              </w:rPr>
              <w:t>(b)</w:t>
            </w: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(43.7)</w:t>
            </w: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w:t>
            </w: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r>
      <w:tr>
        <w:trPr>
          <w:trHeight w:val="207"/>
        </w:trPr>
        <w:tc>
          <w:tcPr>
            <w:tcW w:w="69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Total identifiable net assets, excluding cash</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172.4</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1,209.7</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106.5</w:t>
            </w:r>
          </w:p>
        </w:tc>
      </w:tr>
      <w:tr>
        <w:trPr>
          <w:trHeight w:val="253"/>
        </w:trPr>
        <w:tc>
          <w:tcPr>
            <w:tcW w:w="69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r>
      <w:tr>
        <w:trPr>
          <w:trHeight w:val="213"/>
        </w:trPr>
        <w:tc>
          <w:tcPr>
            <w:tcW w:w="69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Goodwill</w:t>
            </w: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105.8</w:t>
            </w: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639.2</w:t>
            </w: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37.0</w:t>
            </w:r>
          </w:p>
        </w:tc>
      </w:tr>
      <w:tr>
        <w:trPr>
          <w:trHeight w:val="209"/>
        </w:trPr>
        <w:tc>
          <w:tcPr>
            <w:tcW w:w="6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net assets, excluding cash</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278.2</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1,848.9</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143.5</w:t>
            </w:r>
          </w:p>
        </w:tc>
      </w:tr>
      <w:tr>
        <w:trPr>
          <w:trHeight w:val="253"/>
        </w:trPr>
        <w:tc>
          <w:tcPr>
            <w:tcW w:w="69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16"/>
        </w:trPr>
        <w:tc>
          <w:tcPr>
            <w:tcW w:w="6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Less: non-controlling interest</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70"/>
        </w:trPr>
        <w:tc>
          <w:tcPr>
            <w:tcW w:w="694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spacing w:after="0"/>
              <w:rPr>
                <w:sz w:val="23"/>
                <w:szCs w:val="23"/>
                <w:color w:val="auto"/>
              </w:rPr>
            </w:pPr>
          </w:p>
        </w:tc>
      </w:tr>
      <w:tr>
        <w:trPr>
          <w:trHeight w:val="207"/>
        </w:trPr>
        <w:tc>
          <w:tcPr>
            <w:tcW w:w="6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net assets acquired</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236.6</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1,828.0</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143.5</w:t>
            </w:r>
          </w:p>
        </w:tc>
      </w:tr>
    </w:tbl>
    <w:p>
      <w:pPr>
        <w:spacing w:after="0" w:line="99" w:lineRule="exact"/>
        <w:rPr>
          <w:sz w:val="20"/>
          <w:szCs w:val="20"/>
          <w:color w:val="auto"/>
        </w:rPr>
      </w:pPr>
    </w:p>
    <w:p>
      <w:pPr>
        <w:ind w:left="320" w:hanging="312"/>
        <w:spacing w:after="0"/>
        <w:tabs>
          <w:tab w:leader="none" w:pos="3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assets acquired primarily consist of prepaid expenses and operating lease right-of-use assets, and for the Superior acquisition, the basis in equity method investments.</w:t>
      </w:r>
    </w:p>
    <w:p>
      <w:pPr>
        <w:spacing w:after="0" w:line="55"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liabilities acquired include operating lease liabilities and, for the McKee acquisition, deferred income taxes.</w:t>
      </w:r>
    </w:p>
    <w:p>
      <w:pPr>
        <w:spacing w:after="0" w:line="172"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16"/>
          <w:szCs w:val="16"/>
          <w:color w:val="auto"/>
        </w:rPr>
        <w:t>Amortizing intangible assets related to the 2026 acquisitions are primarily composed of customer relationships and, to a lesser extent, backlog and trade names. The weighted average amortization period of the amortizable intangible assets acquired was 8.9 years. The following table summarizes the estimated fair values of identifiable intangible assets for the Company’s 2026 acquisitions as of September 30, 2026, and the related weighted average amortization periods by type (in millions):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1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Estimated Fair Value</w:t>
            </w:r>
          </w:p>
        </w:tc>
        <w:tc>
          <w:tcPr>
            <w:tcW w:w="3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3100" w:type="dxa"/>
            <w:vAlign w:val="bottom"/>
          </w:tcPr>
          <w:p>
            <w:pPr>
              <w:spacing w:after="0"/>
              <w:rPr>
                <w:sz w:val="12"/>
                <w:szCs w:val="12"/>
                <w:color w:val="auto"/>
              </w:rPr>
            </w:pPr>
          </w:p>
        </w:tc>
        <w:tc>
          <w:tcPr>
            <w:tcW w:w="2500" w:type="dxa"/>
            <w:vAlign w:val="bottom"/>
          </w:tcPr>
          <w:p>
            <w:pPr>
              <w:jc w:val="center"/>
              <w:ind w:left="559"/>
              <w:spacing w:after="0" w:line="148" w:lineRule="exact"/>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3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100" w:type="dxa"/>
            <w:vAlign w:val="bottom"/>
          </w:tcPr>
          <w:p>
            <w:pPr>
              <w:spacing w:after="0"/>
              <w:rPr>
                <w:sz w:val="14"/>
                <w:szCs w:val="14"/>
                <w:color w:val="auto"/>
              </w:rPr>
            </w:pPr>
          </w:p>
        </w:tc>
        <w:tc>
          <w:tcPr>
            <w:tcW w:w="2500" w:type="dxa"/>
            <w:vAlign w:val="bottom"/>
          </w:tcPr>
          <w:p>
            <w:pPr>
              <w:jc w:val="center"/>
              <w:ind w:left="579"/>
              <w:spacing w:after="0" w:line="162" w:lineRule="exact"/>
              <w:rPr>
                <w:sz w:val="20"/>
                <w:szCs w:val="20"/>
                <w:color w:val="auto"/>
              </w:rPr>
            </w:pPr>
            <w:r>
              <w:rPr>
                <w:rFonts w:ascii="Times New Roman" w:cs="Times New Roman" w:eastAsia="Times New Roman" w:hAnsi="Times New Roman"/>
                <w:sz w:val="16"/>
                <w:szCs w:val="16"/>
                <w:b w:val="1"/>
                <w:bCs w:val="1"/>
                <w:color w:val="auto"/>
              </w:rPr>
              <w:t>Amortization Period (in</w:t>
            </w:r>
          </w:p>
        </w:tc>
        <w:tc>
          <w:tcPr>
            <w:tcW w:w="380" w:type="dxa"/>
            <w:vAlign w:val="bottom"/>
          </w:tcPr>
          <w:p>
            <w:pPr>
              <w:spacing w:after="0"/>
              <w:rPr>
                <w:sz w:val="14"/>
                <w:szCs w:val="14"/>
                <w:color w:val="auto"/>
              </w:rPr>
            </w:pPr>
          </w:p>
        </w:tc>
        <w:tc>
          <w:tcPr>
            <w:tcW w:w="1520" w:type="dxa"/>
            <w:vAlign w:val="bottom"/>
            <w:gridSpan w:val="2"/>
            <w:vMerge w:val="restart"/>
          </w:tcPr>
          <w:p>
            <w:pPr>
              <w:ind w:left="280"/>
              <w:spacing w:after="0"/>
              <w:rPr>
                <w:sz w:val="20"/>
                <w:szCs w:val="20"/>
                <w:color w:val="auto"/>
              </w:rPr>
            </w:pPr>
            <w:r>
              <w:rPr>
                <w:rFonts w:ascii="Times New Roman" w:cs="Times New Roman" w:eastAsia="Times New Roman" w:hAnsi="Times New Roman"/>
                <w:sz w:val="16"/>
                <w:szCs w:val="16"/>
                <w:b w:val="1"/>
                <w:bCs w:val="1"/>
                <w:color w:val="auto"/>
              </w:rPr>
              <w:t>McKee</w:t>
            </w:r>
          </w:p>
        </w:tc>
        <w:tc>
          <w:tcPr>
            <w:tcW w:w="140" w:type="dxa"/>
            <w:vAlign w:val="bottom"/>
          </w:tcPr>
          <w:p>
            <w:pPr>
              <w:spacing w:after="0"/>
              <w:rPr>
                <w:sz w:val="14"/>
                <w:szCs w:val="14"/>
                <w:color w:val="auto"/>
              </w:rPr>
            </w:pPr>
          </w:p>
        </w:tc>
        <w:tc>
          <w:tcPr>
            <w:tcW w:w="17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Superior</w:t>
            </w:r>
          </w:p>
        </w:tc>
        <w:tc>
          <w:tcPr>
            <w:tcW w:w="340" w:type="dxa"/>
            <w:vAlign w:val="bottom"/>
          </w:tcPr>
          <w:p>
            <w:pPr>
              <w:spacing w:after="0"/>
              <w:rPr>
                <w:sz w:val="14"/>
                <w:szCs w:val="14"/>
                <w:color w:val="auto"/>
              </w:rPr>
            </w:pPr>
          </w:p>
        </w:tc>
        <w:tc>
          <w:tcPr>
            <w:tcW w:w="1500" w:type="dxa"/>
            <w:vAlign w:val="bottom"/>
            <w:vMerge w:val="restart"/>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All Others</w:t>
            </w:r>
          </w:p>
        </w:tc>
        <w:tc>
          <w:tcPr>
            <w:tcW w:w="0" w:type="dxa"/>
            <w:vAlign w:val="bottom"/>
          </w:tcPr>
          <w:p>
            <w:pPr>
              <w:spacing w:after="0"/>
              <w:rPr>
                <w:sz w:val="1"/>
                <w:szCs w:val="1"/>
                <w:color w:val="auto"/>
              </w:rPr>
            </w:pPr>
          </w:p>
        </w:tc>
      </w:tr>
      <w:tr>
        <w:trPr>
          <w:trHeight w:val="214"/>
        </w:trPr>
        <w:tc>
          <w:tcPr>
            <w:tcW w:w="3100" w:type="dxa"/>
            <w:vAlign w:val="bottom"/>
          </w:tcPr>
          <w:p>
            <w:pPr>
              <w:spacing w:after="0"/>
              <w:rPr>
                <w:sz w:val="18"/>
                <w:szCs w:val="18"/>
                <w:color w:val="auto"/>
              </w:rPr>
            </w:pPr>
          </w:p>
        </w:tc>
        <w:tc>
          <w:tcPr>
            <w:tcW w:w="2500" w:type="dxa"/>
            <w:vAlign w:val="bottom"/>
          </w:tcPr>
          <w:p>
            <w:pPr>
              <w:jc w:val="center"/>
              <w:ind w:left="579"/>
              <w:spacing w:after="0"/>
              <w:rPr>
                <w:sz w:val="20"/>
                <w:szCs w:val="20"/>
                <w:color w:val="auto"/>
              </w:rPr>
            </w:pPr>
            <w:r>
              <w:rPr>
                <w:rFonts w:ascii="Times New Roman" w:cs="Times New Roman" w:eastAsia="Times New Roman" w:hAnsi="Times New Roman"/>
                <w:sz w:val="16"/>
                <w:szCs w:val="16"/>
                <w:b w:val="1"/>
                <w:bCs w:val="1"/>
                <w:color w:val="auto"/>
              </w:rPr>
              <w:t>years)</w:t>
            </w:r>
          </w:p>
        </w:tc>
        <w:tc>
          <w:tcPr>
            <w:tcW w:w="380" w:type="dxa"/>
            <w:vAlign w:val="bottom"/>
          </w:tcPr>
          <w:p>
            <w:pPr>
              <w:spacing w:after="0"/>
              <w:rPr>
                <w:sz w:val="18"/>
                <w:szCs w:val="18"/>
                <w:color w:val="auto"/>
              </w:rPr>
            </w:pPr>
          </w:p>
        </w:tc>
        <w:tc>
          <w:tcPr>
            <w:tcW w:w="15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15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Customer relationships</w:t>
            </w:r>
          </w:p>
        </w:tc>
        <w:tc>
          <w:tcPr>
            <w:tcW w:w="2500" w:type="dxa"/>
            <w:vAlign w:val="bottom"/>
            <w:tcBorders>
              <w:top w:val="single" w:sz="8" w:color="CCEEFF"/>
            </w:tcBorders>
            <w:shd w:val="clear" w:color="auto" w:fill="CCEEFF"/>
          </w:tcPr>
          <w:p>
            <w:pPr>
              <w:jc w:val="center"/>
              <w:ind w:left="579"/>
              <w:spacing w:after="0"/>
              <w:rPr>
                <w:sz w:val="20"/>
                <w:szCs w:val="20"/>
                <w:color w:val="auto"/>
              </w:rPr>
            </w:pPr>
            <w:r>
              <w:rPr>
                <w:rFonts w:ascii="Times New Roman" w:cs="Times New Roman" w:eastAsia="Times New Roman" w:hAnsi="Times New Roman"/>
                <w:sz w:val="16"/>
                <w:szCs w:val="16"/>
                <w:color w:val="auto"/>
                <w:w w:val="99"/>
              </w:rPr>
              <w:t>9.8</w:t>
            </w:r>
          </w:p>
        </w:tc>
        <w:tc>
          <w:tcPr>
            <w:tcW w:w="380" w:type="dxa"/>
            <w:vAlign w:val="bottom"/>
            <w:tcBorders>
              <w:top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108.3</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856.0</w:t>
            </w: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w:t>
            </w:r>
          </w:p>
        </w:tc>
        <w:tc>
          <w:tcPr>
            <w:tcW w:w="0" w:type="dxa"/>
            <w:vAlign w:val="bottom"/>
          </w:tcPr>
          <w:p>
            <w:pPr>
              <w:spacing w:after="0"/>
              <w:rPr>
                <w:sz w:val="1"/>
                <w:szCs w:val="1"/>
                <w:color w:val="auto"/>
              </w:rPr>
            </w:pPr>
          </w:p>
        </w:tc>
      </w:tr>
      <w:tr>
        <w:trPr>
          <w:trHeight w:val="213"/>
        </w:trPr>
        <w:tc>
          <w:tcPr>
            <w:tcW w:w="3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Backlog</w:t>
            </w:r>
          </w:p>
        </w:tc>
        <w:tc>
          <w:tcPr>
            <w:tcW w:w="2500" w:type="dxa"/>
            <w:vAlign w:val="bottom"/>
          </w:tcPr>
          <w:p>
            <w:pPr>
              <w:jc w:val="center"/>
              <w:ind w:left="579"/>
              <w:spacing w:after="0"/>
              <w:rPr>
                <w:sz w:val="20"/>
                <w:szCs w:val="20"/>
                <w:color w:val="auto"/>
              </w:rPr>
            </w:pPr>
            <w:r>
              <w:rPr>
                <w:rFonts w:ascii="Times New Roman" w:cs="Times New Roman" w:eastAsia="Times New Roman" w:hAnsi="Times New Roman"/>
                <w:sz w:val="16"/>
                <w:szCs w:val="16"/>
                <w:color w:val="auto"/>
                <w:w w:val="99"/>
              </w:rPr>
              <w:t>1.5</w:t>
            </w:r>
          </w:p>
        </w:tc>
        <w:tc>
          <w:tcPr>
            <w:tcW w:w="3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0" w:type="dxa"/>
            <w:vAlign w:val="bottom"/>
          </w:tcPr>
          <w:p>
            <w:pPr>
              <w:spacing w:after="0"/>
              <w:rPr>
                <w:sz w:val="1"/>
                <w:szCs w:val="1"/>
                <w:color w:val="auto"/>
              </w:rPr>
            </w:pPr>
          </w:p>
        </w:tc>
      </w:tr>
      <w:tr>
        <w:trPr>
          <w:trHeight w:val="219"/>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Trade names</w:t>
            </w:r>
          </w:p>
        </w:tc>
        <w:tc>
          <w:tcPr>
            <w:tcW w:w="2500" w:type="dxa"/>
            <w:vAlign w:val="bottom"/>
            <w:shd w:val="clear" w:color="auto" w:fill="CCEEFF"/>
          </w:tcPr>
          <w:p>
            <w:pPr>
              <w:jc w:val="center"/>
              <w:ind w:left="579"/>
              <w:spacing w:after="0"/>
              <w:rPr>
                <w:sz w:val="20"/>
                <w:szCs w:val="20"/>
                <w:color w:val="auto"/>
              </w:rPr>
            </w:pPr>
            <w:r>
              <w:rPr>
                <w:rFonts w:ascii="Times New Roman" w:cs="Times New Roman" w:eastAsia="Times New Roman" w:hAnsi="Times New Roman"/>
                <w:sz w:val="16"/>
                <w:szCs w:val="16"/>
                <w:color w:val="auto"/>
                <w:w w:val="99"/>
              </w:rPr>
              <w:t>9.2</w:t>
            </w:r>
          </w:p>
        </w:tc>
        <w:tc>
          <w:tcPr>
            <w:tcW w:w="3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83.0</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0" w:type="dxa"/>
            <w:vAlign w:val="bottom"/>
          </w:tcPr>
          <w:p>
            <w:pPr>
              <w:spacing w:after="0"/>
              <w:rPr>
                <w:sz w:val="1"/>
                <w:szCs w:val="1"/>
                <w:color w:val="auto"/>
              </w:rPr>
            </w:pPr>
          </w:p>
        </w:tc>
      </w:tr>
      <w:tr>
        <w:trPr>
          <w:trHeight w:val="204"/>
        </w:trPr>
        <w:tc>
          <w:tcPr>
            <w:tcW w:w="31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identifiable intangible assets</w:t>
            </w:r>
          </w:p>
        </w:tc>
        <w:tc>
          <w:tcPr>
            <w:tcW w:w="2500" w:type="dxa"/>
            <w:vAlign w:val="bottom"/>
          </w:tcPr>
          <w:p>
            <w:pPr>
              <w:spacing w:after="0"/>
              <w:rPr>
                <w:sz w:val="17"/>
                <w:szCs w:val="17"/>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141.5</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1,034.0</w:t>
            </w:r>
          </w:p>
        </w:tc>
        <w:tc>
          <w:tcPr>
            <w:tcW w:w="80" w:type="dxa"/>
            <w:vAlign w:val="bottom"/>
          </w:tcPr>
          <w:p>
            <w:pPr>
              <w:spacing w:after="0"/>
              <w:rPr>
                <w:sz w:val="17"/>
                <w:szCs w:val="17"/>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44.3</w:t>
            </w:r>
          </w:p>
        </w:tc>
        <w:tc>
          <w:tcPr>
            <w:tcW w:w="0" w:type="dxa"/>
            <w:vAlign w:val="bottom"/>
          </w:tcPr>
          <w:p>
            <w:pPr>
              <w:spacing w:after="0"/>
              <w:rPr>
                <w:sz w:val="1"/>
                <w:szCs w:val="1"/>
                <w:color w:val="auto"/>
              </w:rPr>
            </w:pPr>
          </w:p>
        </w:tc>
      </w:tr>
    </w:tbl>
    <w:p>
      <w:pPr>
        <w:spacing w:after="0" w:line="23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6"/>
          <w:szCs w:val="16"/>
          <w:color w:val="auto"/>
        </w:rPr>
        <w:t>Customer relationships are based on operational history and the nature of the customers, which are primarily municipalities and utility customers for McKee and primarily general contractors for Superior. Backlog is based on estimated cash flows expected to be derived from future work on acquired contracts with customers. The fair values of the customer relationships and acquired backlog intangible assets were determined using the multi-period excess earnings method under the income approach. This method reflects the present value of the projected operating cash flows generated by the intangible asset after considering the cost to realize revenue and an appropriate discount rate to reflect the time value and risk associated with the invested capital. The fair values of the trade names were determined using the relief-from-royalty method under the income approach, which assumes that the assets have value to the extent that the Company is relieved of the obligation to pay royalties for the benefits received from them, with significant assumptions including forecasted revenue, royalty rates and discount rates. The significant assumptions used by the Company in determining the fair value of customer relationships intangible assets include forecasted revenues attributable to customer relationships, Earnings before interest, taxes, depreciation and amortization (“EBITDA”) margins, discount rates, and customer attrition rates. Such assumptions are classified as Level 3 inputs within the fair value hierarchy. The weighted average discount rate and customer attrition rates used to determine the fair value of the customer relationships for the acquisitions were 19.9% and 5.0%, respectively, for the Company’s 2026 acquisitions.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4" w:name="page15"/>
    <w:bookmarkEnd w:id="14"/>
    <w:p>
      <w:pPr>
        <w:jc w:val="both"/>
        <w:ind w:firstLine="648"/>
        <w:spacing w:after="0" w:line="258" w:lineRule="auto"/>
        <w:rPr>
          <w:sz w:val="20"/>
          <w:szCs w:val="20"/>
          <w:color w:val="auto"/>
        </w:rPr>
      </w:pPr>
      <w:r>
        <w:rPr>
          <w:rFonts w:ascii="Times New Roman" w:cs="Times New Roman" w:eastAsia="Times New Roman" w:hAnsi="Times New Roman"/>
          <w:sz w:val="16"/>
          <w:szCs w:val="16"/>
          <w:color w:val="auto"/>
        </w:rPr>
        <w:t xml:space="preserve">Determination of the estimated fair values of net assets acquired and consideration transferred for these acquisitions, which have been accounted for as business combinations under ASC Topic 805, </w:t>
      </w:r>
      <w:r>
        <w:rPr>
          <w:rFonts w:ascii="Times New Roman" w:cs="Times New Roman" w:eastAsia="Times New Roman" w:hAnsi="Times New Roman"/>
          <w:sz w:val="16"/>
          <w:szCs w:val="16"/>
          <w:i w:val="1"/>
          <w:iCs w:val="1"/>
          <w:color w:val="auto"/>
        </w:rPr>
        <w:t>Business Combinations</w:t>
      </w:r>
      <w:r>
        <w:rPr>
          <w:rFonts w:ascii="Times New Roman" w:cs="Times New Roman" w:eastAsia="Times New Roman" w:hAnsi="Times New Roman"/>
          <w:sz w:val="16"/>
          <w:szCs w:val="16"/>
          <w:color w:val="auto"/>
        </w:rPr>
        <w:t xml:space="preserve"> (“ASC 805”), was preliminary as of September 30, 2026; as a result, further adjustments to these estimates may occur, with potential updates primarily related to amortizing intangible asset values, accounts payable, certain contingent liabilities, contract liabilities, and closing working capital adjustments. The Company expects to finalize the valuations and complete the purchase price consideration allocations no later than one year from the acquisition dates. As of September 30, 2026, the remaining potential undiscounted earn-out liabilities for the 2026 acquisitions were estimated to be up to $318 million; however, there is no maximum payment amount. See Note 4 – Fair Value of Financial Instruments for fair value estimates and other details related to the Company’s earn-out arrangements. As of September 30, 2026, $676 million of the goodwill balance related to these acquisitions is expected to be tax deductible.</w:t>
      </w:r>
    </w:p>
    <w:p>
      <w:pPr>
        <w:spacing w:after="0" w:line="87" w:lineRule="exact"/>
        <w:rPr>
          <w:sz w:val="20"/>
          <w:szCs w:val="20"/>
          <w:color w:val="auto"/>
        </w:rPr>
      </w:pPr>
    </w:p>
    <w:p>
      <w:pPr>
        <w:jc w:val="both"/>
        <w:ind w:firstLine="648"/>
        <w:spacing w:after="0" w:line="280" w:lineRule="auto"/>
        <w:rPr>
          <w:sz w:val="20"/>
          <w:szCs w:val="20"/>
          <w:color w:val="auto"/>
        </w:rPr>
      </w:pPr>
      <w:r>
        <w:rPr>
          <w:rFonts w:ascii="Times New Roman" w:cs="Times New Roman" w:eastAsia="Times New Roman" w:hAnsi="Times New Roman"/>
          <w:sz w:val="16"/>
          <w:szCs w:val="16"/>
          <w:color w:val="auto"/>
        </w:rPr>
        <w:t>Additionally, effective in March 2026, MasTec acquired certain of the assets of an equipment company for an aggregate purchase price of approximately $20 million, which is accounted for as an asset acquisition under ASC 805 and included within the Company’s Pipeline Infrastructure segment.</w:t>
      </w:r>
    </w:p>
    <w:p>
      <w:pPr>
        <w:spacing w:after="0" w:line="66"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6"/>
          <w:szCs w:val="16"/>
          <w:b w:val="1"/>
          <w:bCs w:val="1"/>
          <w:i w:val="1"/>
          <w:iCs w:val="1"/>
          <w:color w:val="26282A"/>
        </w:rPr>
        <w:t xml:space="preserve">2025 Acquisitions. </w:t>
      </w:r>
      <w:r>
        <w:rPr>
          <w:rFonts w:ascii="Times New Roman" w:cs="Times New Roman" w:eastAsia="Times New Roman" w:hAnsi="Times New Roman"/>
          <w:sz w:val="16"/>
          <w:szCs w:val="16"/>
          <w:color w:val="000000"/>
        </w:rPr>
        <w:t>During 2025, MasTec acquired all of the equity interests of the following: (i) within the Company’s Communications segment: a</w:t>
      </w:r>
      <w:r>
        <w:rPr>
          <w:rFonts w:ascii="Times New Roman" w:cs="Times New Roman" w:eastAsia="Times New Roman" w:hAnsi="Times New Roman"/>
          <w:sz w:val="16"/>
          <w:szCs w:val="16"/>
          <w:b w:val="1"/>
          <w:bCs w:val="1"/>
          <w:i w:val="1"/>
          <w:iCs w:val="1"/>
          <w:color w:val="26282A"/>
        </w:rPr>
        <w:t xml:space="preserve"> </w:t>
      </w:r>
      <w:r>
        <w:rPr>
          <w:rFonts w:ascii="Times New Roman" w:cs="Times New Roman" w:eastAsia="Times New Roman" w:hAnsi="Times New Roman"/>
          <w:sz w:val="16"/>
          <w:szCs w:val="16"/>
          <w:color w:val="000000"/>
        </w:rPr>
        <w:t>telecommunications construction company, effective in July; (ii) within the Company’s Pipeline Infrastructure segment: a construction company specializing in roadway infrastructure, effective in August; and (iii) within the Company’s Clean Energy and Infrastructure segment: a construction company specializing in construction management and design-build services, effective in December. Additionally, MasTec acquired certain operations and assets of a business specializing in install-to-the-home services included within the Company’s Communications segment, effective in November.</w:t>
      </w:r>
    </w:p>
    <w:p>
      <w:pPr>
        <w:spacing w:after="0" w:line="74" w:lineRule="exact"/>
        <w:rPr>
          <w:sz w:val="20"/>
          <w:szCs w:val="20"/>
          <w:color w:val="auto"/>
        </w:rPr>
      </w:pPr>
    </w:p>
    <w:p>
      <w:pPr>
        <w:jc w:val="both"/>
        <w:ind w:firstLine="648"/>
        <w:spacing w:after="0" w:line="298" w:lineRule="auto"/>
        <w:rPr>
          <w:sz w:val="20"/>
          <w:szCs w:val="20"/>
          <w:color w:val="auto"/>
        </w:rPr>
      </w:pPr>
      <w:r>
        <w:rPr>
          <w:rFonts w:ascii="Times New Roman" w:cs="Times New Roman" w:eastAsia="Times New Roman" w:hAnsi="Times New Roman"/>
          <w:sz w:val="16"/>
          <w:szCs w:val="16"/>
          <w:color w:val="auto"/>
        </w:rPr>
        <w:t>Additionally, effective in July 2025, MasTec acquired certain of the assets of an equipment company, which is accounted for as an asset acquisition under ASC 805 and included within the Company’s Pipeline Infrastructure segment.</w:t>
      </w:r>
    </w:p>
    <w:p>
      <w:pPr>
        <w:spacing w:after="0" w:line="43"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6"/>
          <w:szCs w:val="16"/>
          <w:color w:val="auto"/>
        </w:rPr>
        <w:t>The aggregate purchase price of the Company’s 2025 acquisitions was composed of approximately $89 million in cash, net of cash acquired, and a five year earn-out liability valued at approximately $13 million with respect to one of such acquisitions. Determination of the estimated fair values of net assets acquired and consideration transferred for two of these acquisitions, which have been accounted for as business combinations under ASC 805, was preliminary as of September 30, 2026; as a result, further adjustments to these estimates may occur. The Company expects to finalize the valuation and complete the purchase price consideration allocation no later than one year from the acquisition date. As of September 30, 2026, the remaining potential undiscounted earn-out liabilities for the 2025 acquisitions were estimated to be between $2 million and $18 million; however, there is no maximum payment amount. See Note 4 – Fair Value of Financial Instruments for fair value estimates and other details related to the Company’s earn-out arrangements. Approximately $34 million of the goodwill balance related to the 2025 acquisitions is expected to be tax deductible as of September 30, 2026.</w:t>
      </w:r>
    </w:p>
    <w:p>
      <w:pPr>
        <w:spacing w:after="0" w:line="6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6"/>
          <w:szCs w:val="16"/>
          <w:b w:val="1"/>
          <w:bCs w:val="1"/>
          <w:i w:val="1"/>
          <w:iCs w:val="1"/>
          <w:color w:val="auto"/>
        </w:rPr>
        <w:t>HMG Additional Payments</w:t>
      </w:r>
      <w:r>
        <w:rPr>
          <w:rFonts w:ascii="Times New Roman" w:cs="Times New Roman" w:eastAsia="Times New Roman" w:hAnsi="Times New Roman"/>
          <w:sz w:val="16"/>
          <w:szCs w:val="16"/>
          <w:color w:val="auto"/>
        </w:rPr>
        <w:t>. The purchase agreement in connection with the 2021 acquisition of HMG provided for certain additional payments to be made to the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sellers if certain receivables are collected by the Company (the “Additional Payments”). As of December 31, 2025, the estimated fair value of remaining Additional Payments totaled $17.8 million, which was included within other current liabilities in the consolidated balance sheets. During the first and second quarters of 2026, the Company collected the remaining receivables subject to the Additional Payments, including the $3.9 million collected during the first quarter of 2026. As a result, a final Additional Payment of $35.1 million was made in May 2026, consisting of approximately $8.9 million in cash, which is reflected within financing activities in the consolidated statements of cash flows, and 67,592 shares of MasTec common stock. For the nine months ended September 30, 2026 and 2025, the Company recorded fair value adjustments totaling expenses of $13.4 million and $3.9 million, respectively, which are recorded within general and administrative expenses.</w:t>
      </w:r>
    </w:p>
    <w:p>
      <w:pPr>
        <w:spacing w:after="0" w:line="71"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16"/>
          <w:szCs w:val="16"/>
          <w:b w:val="1"/>
          <w:bCs w:val="1"/>
          <w:i w:val="1"/>
          <w:iCs w:val="1"/>
          <w:color w:val="auto"/>
        </w:rPr>
        <w:t>Pro forma results</w:t>
      </w:r>
      <w:r>
        <w:rPr>
          <w:rFonts w:ascii="Times New Roman" w:cs="Times New Roman" w:eastAsia="Times New Roman" w:hAnsi="Times New Roman"/>
          <w:sz w:val="16"/>
          <w:szCs w:val="16"/>
          <w:color w:val="auto"/>
        </w:rPr>
        <w:t>. The Company’s unaudited pro forma financial results include the results of operations of acquired companies as if those companies had been</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consolidated as of the beginning of the year prior to their acquisition, and are provided for illustrative purposes only. These unaudited pro forma financial results do not purport to be indicative of the actual results that would have been achieved by the combined companies for the periods indicated, or of the results that may be achieved by the combined companies in the future.</w:t>
      </w:r>
    </w:p>
    <w:p>
      <w:pPr>
        <w:spacing w:after="0" w:line="82"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6"/>
          <w:szCs w:val="16"/>
          <w:color w:val="auto"/>
        </w:rPr>
        <w:t>The Company’s unaudited pro forma financial results were prepared by adding the unaudited historical results of acquired businesses to the historical results of MasTec, and then adjusting those combined results for (i) acquisition costs; (ii) amortization expense from acquired intangible assets; (iii) interest expense associated with debt incurred to finance the acquisitions; (iv) interest expense from debt repaid upon acquisition; and (v) other purchase accounting related adjustments. These unaudited pro forma financial results do not include adjustments to reflect other cost savings or synergies that may have resulted from these acquisitions. Future results may vary significantly due to future events and other factors, many of which are beyond the Company’s control.</w:t>
      </w:r>
    </w:p>
    <w:p>
      <w:pPr>
        <w:spacing w:after="0" w:line="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The following table provides unaudited supplemental pro forma results for the periods indicated (in millions):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20" w:type="dxa"/>
            <w:vAlign w:val="bottom"/>
            <w:gridSpan w:val="5"/>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40" w:type="dxa"/>
            <w:vAlign w:val="bottom"/>
          </w:tcPr>
          <w:p>
            <w:pPr>
              <w:spacing w:after="0"/>
              <w:rPr>
                <w:sz w:val="16"/>
                <w:szCs w:val="16"/>
                <w:color w:val="auto"/>
              </w:rPr>
            </w:pPr>
          </w:p>
        </w:tc>
        <w:tc>
          <w:tcPr>
            <w:tcW w:w="2000" w:type="dxa"/>
            <w:vAlign w:val="bottom"/>
            <w:gridSpan w:val="4"/>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4"/>
        </w:trPr>
        <w:tc>
          <w:tcPr>
            <w:tcW w:w="6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20" w:type="dxa"/>
            <w:vAlign w:val="bottom"/>
            <w:gridSpan w:val="5"/>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40" w:type="dxa"/>
            <w:vAlign w:val="bottom"/>
          </w:tcPr>
          <w:p>
            <w:pPr>
              <w:spacing w:after="0"/>
              <w:rPr>
                <w:sz w:val="18"/>
                <w:szCs w:val="18"/>
                <w:color w:val="auto"/>
              </w:rPr>
            </w:pPr>
          </w:p>
        </w:tc>
        <w:tc>
          <w:tcPr>
            <w:tcW w:w="2000" w:type="dxa"/>
            <w:vAlign w:val="bottom"/>
            <w:gridSpan w:val="4"/>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09"/>
        </w:trPr>
        <w:tc>
          <w:tcPr>
            <w:tcW w:w="664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Borders>
              <w:top w:val="single" w:sz="8" w:color="auto"/>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11"/>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5,252.0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4,346.5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14,288.8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11,477.5</w:t>
            </w:r>
          </w:p>
        </w:tc>
      </w:tr>
      <w:tr>
        <w:trPr>
          <w:trHeight w:val="210"/>
        </w:trPr>
        <w:tc>
          <w:tcPr>
            <w:tcW w:w="6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403.0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276.9</w:t>
            </w:r>
          </w:p>
        </w:tc>
      </w:tr>
    </w:tbl>
    <w:p>
      <w:pPr>
        <w:spacing w:after="0" w:line="244"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6"/>
          <w:szCs w:val="16"/>
          <w:b w:val="1"/>
          <w:bCs w:val="1"/>
          <w:i w:val="1"/>
          <w:iCs w:val="1"/>
          <w:color w:val="auto"/>
        </w:rPr>
        <w:t>Acquisition results</w:t>
      </w:r>
      <w:r>
        <w:rPr>
          <w:rFonts w:ascii="Times New Roman" w:cs="Times New Roman" w:eastAsia="Times New Roman" w:hAnsi="Times New Roman"/>
          <w:sz w:val="16"/>
          <w:szCs w:val="16"/>
          <w:color w:val="auto"/>
        </w:rPr>
        <w:t>. Revenue and net income from the Company’s 2026 acquisitions included within the Company’s consolidated results of operations for the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three months ended September 30, 2026 were $602.4 million and $44.9 million, respectively, and $735.6 million and $50.2 million for the nine months ended September 30, 2026, respectively. Revenue and net income from the Company’s 2025 acquisitions included within the Company’s consolidated results of operations for both the three and nine months ended September 30, 2025 were immaterial. Acquisition costs incurred for acquisitions completed in 2026 were $5.8 million and $7.8 million for the three and nine months ended September 30, 2026, respectively.</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6"/>
          <w:szCs w:val="16"/>
          <w:b w:val="1"/>
          <w:bCs w:val="1"/>
          <w:color w:val="auto"/>
        </w:rPr>
        <w:t>Note 4 – Fair Value of Financial Instruments</w:t>
      </w:r>
    </w:p>
    <w:p>
      <w:pPr>
        <w:spacing w:after="0" w:line="115"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16"/>
          <w:szCs w:val="16"/>
          <w:color w:val="auto"/>
        </w:rPr>
        <w:t>The Company’s financial instruments are primarily composed of cash and cash equivalents, accounts receivable and contract assets, notes receivable, cash collateral deposited with insurance carriers, life insurance assets, equity investments, certain other assets and investments, deferred compensation plan assets and liabilities, accounts payable and other current liabilities, acquisition-related contingent consideration and other liabilities, and debt obligations.</w:t>
      </w:r>
    </w:p>
    <w:p>
      <w:pPr>
        <w:spacing w:after="0" w:line="76"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6"/>
          <w:szCs w:val="16"/>
          <w:color w:val="auto"/>
        </w:rPr>
        <w:t>Fair value is the price that would be received to sell an asset or the amount paid to transfer a liability, also referred to as the “exit price,” in the principal or most advantageous market for the asset or liability in an orderly transaction between market participants on the measurement date. The fair value guidance establishes a valuation hierarchy, which requires maximizing the use of observable inputs when measuring fair value. The three levels of inputs that may be used are: (i) Level 1 - quoted market prices in active markets for identical assets or liabilities; (ii) Level 2 - observable market-based inputs or other observable inputs, including quoted market prices for identical or similar assets or liabilities in markets that are not active; and (iii) Level 3 - significant unobservable inputs that cannot be corroborated by observable market data, which are generally determined using valuation models incorporating management estimates of market participant assumptions.</w:t>
      </w:r>
    </w:p>
    <w:p>
      <w:pPr>
        <w:spacing w:after="0" w:line="6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Acquisition-Related Contingent Consideration</w:t>
      </w:r>
    </w:p>
    <w:p>
      <w:pPr>
        <w:spacing w:after="0" w:line="11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6"/>
          <w:szCs w:val="16"/>
          <w:color w:val="auto"/>
        </w:rPr>
        <w:t>Acquisition-related contingent consideration is composed of earn-outs, which represent the estimated fair value of future amounts payable for businesses, which the Company refers to as “Earn-outs,” that are contingent upon the acquired businesses achieving certain levels of earnings in the future. The fair values of the Company’s Earn-out liabilities are estimated using income approaches, such as discounted cash flow or option pricing models, both of which incorporate significant inputs not observable in the market (Level 3 inputs), including management’s estimates and entity-specific assumptions, such as projected financial results, and are evaluated on an ongoing basis. Key assumptions include the discount rate, which as of September 30, 2026 ranged from 11.0% to 23.8% with a weighted average rate of 14.1%, and probability-weighted projections of revenue, operating costs and cash flows. Significant changes in any of these assumptions could result in significantly higher or lower estimated Earn-out liabilities. The ultimate payment amounts for the Company’s Earn-out liabilities will be determined based on the actual results achieved by the acquired businesses. As of September 30, 2026, the range of potential undiscounted Earn-out liabilities was estimated to be between $18 million and $383 million; however, there is no maximum payment amount.</w:t>
      </w:r>
    </w:p>
    <w:p>
      <w:pPr>
        <w:spacing w:after="0" w:line="90"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16"/>
          <w:szCs w:val="16"/>
          <w:color w:val="auto"/>
        </w:rPr>
        <w:t>Earn-out activity consists primarily of additions from new business combinations, changes in the expected fair value of future payment obligations, and payments. The following table, which may contain slight summation differences due to rounding, provides a reconciliation of changes in Earn-out liabilities measured at fair value for the periods indicated (in millions):</w:t>
      </w:r>
    </w:p>
    <w:p>
      <w:pPr>
        <w:spacing w:after="0" w:line="99" w:lineRule="exact"/>
        <w:rPr>
          <w:sz w:val="20"/>
          <w:szCs w:val="20"/>
          <w:color w:val="auto"/>
        </w:rPr>
      </w:pPr>
    </w:p>
    <w:p>
      <w:pPr>
        <w:jc w:val="center"/>
        <w:ind w:left="8200"/>
        <w:spacing w:after="0"/>
        <w:rPr>
          <w:sz w:val="20"/>
          <w:szCs w:val="20"/>
          <w:color w:val="auto"/>
        </w:rPr>
      </w:pPr>
      <w:r>
        <w:rPr>
          <w:rFonts w:ascii="Times New Roman" w:cs="Times New Roman" w:eastAsia="Times New Roman" w:hAnsi="Times New Roman"/>
          <w:sz w:val="16"/>
          <w:szCs w:val="16"/>
          <w:b w:val="1"/>
          <w:bCs w:val="1"/>
          <w:color w:val="auto"/>
        </w:rPr>
        <w:t>Nine Months Ended</w:t>
      </w:r>
    </w:p>
    <w:p>
      <w:pPr>
        <w:jc w:val="center"/>
        <w:ind w:left="8200"/>
        <w:spacing w:after="0"/>
        <w:rPr>
          <w:sz w:val="20"/>
          <w:szCs w:val="20"/>
          <w:color w:val="auto"/>
        </w:rPr>
      </w:pPr>
      <w:r>
        <w:rPr>
          <w:rFonts w:ascii="Times New Roman" w:cs="Times New Roman" w:eastAsia="Times New Roman" w:hAnsi="Times New Roman"/>
          <w:sz w:val="16"/>
          <w:szCs w:val="16"/>
          <w:b w:val="1"/>
          <w:bCs w:val="1"/>
          <w:color w:val="auto"/>
        </w:rPr>
        <w:t>September 30,</w:t>
      </w:r>
    </w:p>
    <w:p>
      <w:pPr>
        <w:sectPr>
          <w:pgSz w:w="11900" w:h="16838" w:orient="portrait"/>
          <w:cols w:equalWidth="0" w:num="1">
            <w:col w:w="11240"/>
          </w:cols>
          <w:pgMar w:left="320" w:top="1109" w:right="339" w:bottom="1440" w:gutter="0" w:footer="0" w:header="0"/>
        </w:sectPr>
      </w:pPr>
    </w:p>
    <w:p>
      <w:pPr>
        <w:spacing w:after="0" w:line="2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 xml:space="preserve">Balance as of beginning of period </w:t>
      </w:r>
      <w:r>
        <w:rPr>
          <w:rFonts w:ascii="Times New Roman" w:cs="Times New Roman" w:eastAsia="Times New Roman" w:hAnsi="Times New Roman"/>
          <w:sz w:val="21"/>
          <w:szCs w:val="21"/>
          <w:color w:val="auto"/>
          <w:vertAlign w:val="superscript"/>
        </w:rPr>
        <w:t>(a)</w:t>
      </w:r>
    </w:p>
    <w:p>
      <w:pPr>
        <w:ind w:left="140"/>
        <w:spacing w:after="0"/>
        <w:rPr>
          <w:sz w:val="20"/>
          <w:szCs w:val="20"/>
          <w:color w:val="auto"/>
        </w:rPr>
      </w:pPr>
      <w:r>
        <w:rPr>
          <w:rFonts w:ascii="Times New Roman" w:cs="Times New Roman" w:eastAsia="Times New Roman" w:hAnsi="Times New Roman"/>
          <w:sz w:val="16"/>
          <w:szCs w:val="16"/>
          <w:color w:val="auto"/>
        </w:rPr>
        <w:t>Additions</w:t>
      </w:r>
    </w:p>
    <w:p>
      <w:pPr>
        <w:spacing w:after="0" w:line="11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 xml:space="preserve">Fair value adjustments </w:t>
      </w:r>
      <w:r>
        <w:rPr>
          <w:rFonts w:ascii="Times New Roman" w:cs="Times New Roman" w:eastAsia="Times New Roman" w:hAnsi="Times New Roman"/>
          <w:sz w:val="21"/>
          <w:szCs w:val="21"/>
          <w:color w:val="auto"/>
          <w:vertAlign w:val="superscript"/>
        </w:rPr>
        <w:t>(b)</w:t>
      </w:r>
    </w:p>
    <w:p>
      <w:pPr>
        <w:ind w:left="140"/>
        <w:spacing w:after="0"/>
        <w:rPr>
          <w:sz w:val="20"/>
          <w:szCs w:val="20"/>
          <w:color w:val="auto"/>
        </w:rPr>
      </w:pPr>
      <w:r>
        <w:rPr>
          <w:rFonts w:ascii="Times New Roman" w:cs="Times New Roman" w:eastAsia="Times New Roman" w:hAnsi="Times New Roman"/>
          <w:sz w:val="16"/>
          <w:szCs w:val="16"/>
          <w:color w:val="auto"/>
        </w:rPr>
        <w:t>Payments</w:t>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 xml:space="preserve">Balance as of end of period </w:t>
      </w:r>
      <w:r>
        <w:rPr>
          <w:rFonts w:ascii="Times New Roman" w:cs="Times New Roman" w:eastAsia="Times New Roman" w:hAnsi="Times New Roman"/>
          <w:sz w:val="21"/>
          <w:szCs w:val="21"/>
          <w:color w:val="auto"/>
          <w:vertAlign w:val="superscript"/>
        </w:rPr>
        <w:t>(a)</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4"/>
        </w:trPr>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05"/>
        </w:trPr>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72.6</w:t>
            </w:r>
          </w:p>
        </w:tc>
        <w:tc>
          <w:tcPr>
            <w:tcW w:w="100" w:type="dxa"/>
            <w:vAlign w:val="bottom"/>
          </w:tcPr>
          <w:p>
            <w:pPr>
              <w:spacing w:after="0"/>
              <w:rPr>
                <w:sz w:val="17"/>
                <w:szCs w:val="17"/>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112.7</w:t>
            </w:r>
          </w:p>
        </w:tc>
      </w:tr>
      <w:tr>
        <w:trPr>
          <w:trHeight w:val="324"/>
        </w:trPr>
        <w:tc>
          <w:tcPr>
            <w:tcW w:w="3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194.9</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r>
      <w:tr>
        <w:trPr>
          <w:trHeight w:val="216"/>
        </w:trPr>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r>
      <w:tr>
        <w:trPr>
          <w:trHeight w:val="219"/>
        </w:trPr>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(21.3)</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(24.8)</w:t>
            </w:r>
          </w:p>
        </w:tc>
      </w:tr>
      <w:tr>
        <w:trPr>
          <w:trHeight w:val="210"/>
        </w:trPr>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259.1</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-5213985</wp:posOffset>
            </wp:positionH>
            <wp:positionV relativeFrom="paragraph">
              <wp:posOffset>-779780</wp:posOffset>
            </wp:positionV>
            <wp:extent cx="7132320" cy="146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-5213985</wp:posOffset>
            </wp:positionH>
            <wp:positionV relativeFrom="paragraph">
              <wp:posOffset>-427990</wp:posOffset>
            </wp:positionV>
            <wp:extent cx="71323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-5213985</wp:posOffset>
            </wp:positionH>
            <wp:positionV relativeFrom="paragraph">
              <wp:posOffset>-153670</wp:posOffset>
            </wp:positionV>
            <wp:extent cx="7132320" cy="146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98" w:lineRule="exact"/>
        <w:rPr>
          <w:sz w:val="20"/>
          <w:szCs w:val="20"/>
          <w:color w:val="auto"/>
        </w:rPr>
      </w:pPr>
    </w:p>
    <w:p>
      <w:pPr>
        <w:sectPr>
          <w:pgSz w:w="11900" w:h="16838" w:orient="portrait"/>
          <w:cols w:equalWidth="0" w:num="2">
            <w:col w:w="7500" w:space="720"/>
            <w:col w:w="3020"/>
          </w:cols>
          <w:pgMar w:left="320" w:top="1109" w:right="339" w:bottom="1440" w:gutter="0" w:footer="0" w:header="0"/>
          <w:type w:val="continuous"/>
        </w:sectPr>
      </w:pPr>
    </w:p>
    <w:p>
      <w:pPr>
        <w:ind w:left="320" w:hanging="312"/>
        <w:spacing w:after="0"/>
        <w:tabs>
          <w:tab w:leader="none" w:pos="320" w:val="left"/>
        </w:tabs>
        <w:numPr>
          <w:ilvl w:val="0"/>
          <w:numId w:val="7"/>
        </w:numPr>
        <w:rPr>
          <w:rFonts w:ascii="Times New Roman" w:cs="Times New Roman" w:eastAsia="Times New Roman" w:hAnsi="Times New Roman"/>
          <w:sz w:val="14"/>
          <w:szCs w:val="14"/>
          <w:color w:val="26282A"/>
        </w:rPr>
      </w:pPr>
      <w:r>
        <w:rPr>
          <w:rFonts w:ascii="Times New Roman" w:cs="Times New Roman" w:eastAsia="Times New Roman" w:hAnsi="Times New Roman"/>
          <w:sz w:val="14"/>
          <w:szCs w:val="14"/>
          <w:color w:val="auto"/>
        </w:rPr>
        <w:t>Earn-out liabilities included within other current liabilities totaled approximately $25.1 million and $28.2 million as of September 30, 2026 and December 31, 2025, respectively.</w:t>
      </w:r>
    </w:p>
    <w:p>
      <w:pPr>
        <w:spacing w:after="0" w:line="55" w:lineRule="exact"/>
        <w:rPr>
          <w:rFonts w:ascii="Times New Roman" w:cs="Times New Roman" w:eastAsia="Times New Roman" w:hAnsi="Times New Roman"/>
          <w:sz w:val="14"/>
          <w:szCs w:val="14"/>
          <w:color w:val="26282A"/>
        </w:rPr>
      </w:pPr>
    </w:p>
    <w:p>
      <w:pPr>
        <w:ind w:left="340" w:hanging="332"/>
        <w:spacing w:after="0" w:line="302" w:lineRule="auto"/>
        <w:tabs>
          <w:tab w:leader="none" w:pos="332"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nine months ended September 30, 2026, fair value adjustments related primarily to increases within the Power Delivery segment. For the nine months ended September 30, 2025, fair value adjustments related primarily to decreases within the Power Delivery segment, which were partially offset by increases primarily within the Pipeline Infrastructure segment.</w:t>
      </w:r>
    </w:p>
    <w:p>
      <w:pPr>
        <w:spacing w:after="0" w:line="9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Equity Investments</w:t>
      </w:r>
    </w:p>
    <w:p>
      <w:pPr>
        <w:spacing w:after="0" w:line="13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color w:val="auto"/>
        </w:rPr>
        <w:t>The Company’s equity investments as of September 30, 2026 include the Company’s: (i) 33% equity interests in Trans-Pecos Pipeline, LLC and Comanche Trail Pipeline, LLC, collectively “Waha JVs”; (ii) 33% to 50% equity interests in equity investments specializing in electrical contracting that were included in the net assets acquired as part of the Superior acquisition and are operationally integral to the Company’s business (the “Integral Investments”); (iii) interests in certain proportionately consolidated non-controlled joint ventures; and (iv) certain other equity investments. As of September 30, 2026 and December 31, 2025, the aggregate carrying value of the Company’s equity investments, which are recorded within other long-term assets in the consolidated balance sheets, totaled approximately $452 million and $377 million, respectively. Income or loss from these investments is recorded in the consolidated statements of operations as Equity in earnings of integral unconsolidated affiliates, net for the Integral Investments and within Equity in earnings of unconsolidated affiliates, net for all other equity investments, including the Waha JVs.</w:t>
      </w:r>
    </w:p>
    <w:p>
      <w:pPr>
        <w:spacing w:after="0" w:line="74"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16"/>
          <w:szCs w:val="16"/>
          <w:color w:val="auto"/>
        </w:rPr>
        <w:t>During the first quarter of 2026, the Company sold its 15% equity interest in Cross Country Infrastructure Services, Inc. (“CCI”) for approximately $17 million, resulting in an immaterial gain. Except for an investment for which the Company recorded an other-than-temporary impairment loss of $7.9 million, included within equity in earnings of unconsolidated affiliates, net, in the first quarter of 2026, there were no impairments related to these investments in either of the three or nine months ended September 30, 2026 or 2025.</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9" w:right="339" w:bottom="1440" w:gutter="0" w:footer="0" w:header="0"/>
          <w:type w:val="continuous"/>
        </w:sectPr>
      </w:pPr>
    </w:p>
    <w:bookmarkStart w:id="16" w:name="page17"/>
    <w:bookmarkEnd w:id="16"/>
    <w:p>
      <w:pPr>
        <w:jc w:val="both"/>
        <w:ind w:firstLine="648"/>
        <w:spacing w:after="0" w:line="261" w:lineRule="auto"/>
        <w:rPr>
          <w:sz w:val="20"/>
          <w:szCs w:val="20"/>
          <w:color w:val="auto"/>
        </w:rPr>
      </w:pPr>
      <w:r>
        <w:rPr>
          <w:rFonts w:ascii="Times New Roman" w:cs="Times New Roman" w:eastAsia="Times New Roman" w:hAnsi="Times New Roman"/>
          <w:sz w:val="16"/>
          <w:szCs w:val="16"/>
          <w:b w:val="1"/>
          <w:bCs w:val="1"/>
          <w:i w:val="1"/>
          <w:iCs w:val="1"/>
          <w:color w:val="auto"/>
        </w:rPr>
        <w:t>The Waha JVs</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The Waha JVs own and operate certain pipeline infrastructure in the U.S. that transports natural gas to the Mexico border for export. The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Company’s investments in the Waha JVs are accounted for as equity method investments. Cumulative undistributed earnings from the Waha JVs, which represents cumulative equity in earnings for the Waha JVs less distributions of earnings, totaled $159 million as of September 30, 2026. The Company’s net investment in the Waha JVs, which differs from its proportionate share of the net assets of the Waha JVs due primarily to equity method goodwill associated with capitalized investment costs, totaled approximately $305 million and $290 million as of September 30, 2026 and December 31, 2025, respectively. The table below reflects the investment activity of the Waha JVs for the periods indicated (in millions):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640" w:type="dxa"/>
            <w:vAlign w:val="bottom"/>
          </w:tcPr>
          <w:p>
            <w:pPr>
              <w:spacing w:after="0"/>
              <w:rPr>
                <w:sz w:val="16"/>
                <w:szCs w:val="16"/>
                <w:color w:val="auto"/>
              </w:rPr>
            </w:pPr>
          </w:p>
        </w:tc>
        <w:tc>
          <w:tcPr>
            <w:tcW w:w="1940" w:type="dxa"/>
            <w:vAlign w:val="bottom"/>
            <w:gridSpan w:val="4"/>
          </w:tcPr>
          <w:p>
            <w:pPr>
              <w:ind w:left="4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80" w:type="dxa"/>
            <w:vAlign w:val="bottom"/>
            <w:gridSpan w:val="4"/>
          </w:tcPr>
          <w:p>
            <w:pPr>
              <w:jc w:val="center"/>
              <w:ind w:left="279"/>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360" w:type="dxa"/>
            <w:vAlign w:val="bottom"/>
          </w:tcPr>
          <w:p>
            <w:pPr>
              <w:spacing w:after="0"/>
              <w:rPr>
                <w:sz w:val="16"/>
                <w:szCs w:val="16"/>
                <w:color w:val="auto"/>
              </w:rPr>
            </w:pPr>
          </w:p>
        </w:tc>
      </w:tr>
      <w:tr>
        <w:trPr>
          <w:trHeight w:val="214"/>
        </w:trPr>
        <w:tc>
          <w:tcPr>
            <w:tcW w:w="6640" w:type="dxa"/>
            <w:vAlign w:val="bottom"/>
          </w:tcPr>
          <w:p>
            <w:pPr>
              <w:spacing w:after="0"/>
              <w:rPr>
                <w:sz w:val="18"/>
                <w:szCs w:val="18"/>
                <w:color w:val="auto"/>
              </w:rPr>
            </w:pPr>
          </w:p>
        </w:tc>
        <w:tc>
          <w:tcPr>
            <w:tcW w:w="1940" w:type="dxa"/>
            <w:vAlign w:val="bottom"/>
            <w:tcBorders>
              <w:bottom w:val="single" w:sz="8" w:color="auto"/>
            </w:tcBorders>
            <w:gridSpan w:val="4"/>
          </w:tcPr>
          <w:p>
            <w:pPr>
              <w:ind w:left="64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3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4"/>
          </w:tcPr>
          <w:p>
            <w:pPr>
              <w:jc w:val="center"/>
              <w:ind w:left="27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360" w:type="dxa"/>
            <w:vAlign w:val="bottom"/>
            <w:tcBorders>
              <w:bottom w:val="single" w:sz="8" w:color="auto"/>
            </w:tcBorders>
          </w:tcPr>
          <w:p>
            <w:pPr>
              <w:spacing w:after="0"/>
              <w:rPr>
                <w:sz w:val="18"/>
                <w:szCs w:val="18"/>
                <w:color w:val="auto"/>
              </w:rPr>
            </w:pPr>
          </w:p>
        </w:tc>
      </w:tr>
      <w:tr>
        <w:trPr>
          <w:trHeight w:val="210"/>
        </w:trPr>
        <w:tc>
          <w:tcPr>
            <w:tcW w:w="664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6"/>
                <w:szCs w:val="16"/>
                <w:b w:val="1"/>
                <w:bCs w:val="1"/>
                <w:color w:val="auto"/>
              </w:rPr>
              <w:t>2026</w:t>
            </w:r>
          </w:p>
        </w:tc>
        <w:tc>
          <w:tcPr>
            <w:tcW w:w="3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3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3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360" w:type="dxa"/>
            <w:vAlign w:val="bottom"/>
            <w:tcBorders>
              <w:bottom w:val="single" w:sz="8" w:color="auto"/>
            </w:tcBorders>
          </w:tcPr>
          <w:p>
            <w:pPr>
              <w:spacing w:after="0"/>
              <w:rPr>
                <w:sz w:val="18"/>
                <w:szCs w:val="18"/>
                <w:color w:val="auto"/>
              </w:rPr>
            </w:pPr>
          </w:p>
        </w:tc>
      </w:tr>
      <w:tr>
        <w:trPr>
          <w:trHeight w:val="211"/>
        </w:trPr>
        <w:tc>
          <w:tcPr>
            <w:tcW w:w="6640" w:type="dxa"/>
            <w:vAlign w:val="bottom"/>
            <w:shd w:val="clear" w:color="auto" w:fill="CCEEFF"/>
          </w:tcPr>
          <w:p>
            <w:pPr>
              <w:ind w:left="20"/>
              <w:spacing w:after="0" w:line="212" w:lineRule="exact"/>
              <w:rPr>
                <w:sz w:val="20"/>
                <w:szCs w:val="20"/>
                <w:color w:val="auto"/>
              </w:rPr>
            </w:pPr>
            <w:r>
              <w:rPr>
                <w:rFonts w:ascii="Times New Roman" w:cs="Times New Roman" w:eastAsia="Times New Roman" w:hAnsi="Times New Roman"/>
                <w:sz w:val="16"/>
                <w:szCs w:val="16"/>
                <w:color w:val="auto"/>
              </w:rPr>
              <w:t xml:space="preserve">Equity in earnings </w:t>
            </w:r>
            <w:r>
              <w:rPr>
                <w:rFonts w:ascii="Times New Roman" w:cs="Times New Roman" w:eastAsia="Times New Roman" w:hAnsi="Times New Roman"/>
                <w:sz w:val="21"/>
                <w:szCs w:val="21"/>
                <w:color w:val="auto"/>
                <w:vertAlign w:val="superscript"/>
              </w:rPr>
              <w:t>(a)</w:t>
            </w:r>
          </w:p>
        </w:tc>
        <w:tc>
          <w:tcPr>
            <w:tcW w:w="760" w:type="dxa"/>
            <w:vAlign w:val="bottom"/>
            <w:shd w:val="clear" w:color="auto" w:fill="CCEEFF"/>
          </w:tcPr>
          <w:p>
            <w:pPr>
              <w:jc w:val="right"/>
              <w:ind w:right="579"/>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79"/>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519"/>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23.4</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519"/>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23.3</w:t>
            </w:r>
          </w:p>
        </w:tc>
      </w:tr>
      <w:tr>
        <w:trPr>
          <w:trHeight w:val="281"/>
        </w:trPr>
        <w:tc>
          <w:tcPr>
            <w:tcW w:w="6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xml:space="preserve">Distributions of earnings </w:t>
            </w:r>
            <w:r>
              <w:rPr>
                <w:rFonts w:ascii="Times New Roman" w:cs="Times New Roman" w:eastAsia="Times New Roman" w:hAnsi="Times New Roman"/>
                <w:sz w:val="21"/>
                <w:szCs w:val="21"/>
                <w:color w:val="auto"/>
                <w:vertAlign w:val="superscript"/>
              </w:rPr>
              <w:t>(b)</w:t>
            </w:r>
          </w:p>
        </w:tc>
        <w:tc>
          <w:tcPr>
            <w:tcW w:w="76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11.3</w:t>
            </w: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17.1</w:t>
            </w:r>
          </w:p>
        </w:tc>
      </w:tr>
    </w:tbl>
    <w:p>
      <w:pPr>
        <w:spacing w:after="0" w:line="48" w:lineRule="exact"/>
        <w:rPr>
          <w:sz w:val="20"/>
          <w:szCs w:val="20"/>
          <w:color w:val="auto"/>
        </w:rPr>
      </w:pPr>
    </w:p>
    <w:p>
      <w:pPr>
        <w:ind w:left="340" w:right="600" w:hanging="332"/>
        <w:spacing w:after="0" w:line="281" w:lineRule="auto"/>
        <w:tabs>
          <w:tab w:leader="none" w:pos="337"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Equity in earnings related to the Company’s proportionate share of income from the Waha JVs is recorded in Equity in earnings of unconsolidated affiliates, net in the consolidated statements of operations and included within the Company’s Other segment.</w:t>
      </w:r>
    </w:p>
    <w:p>
      <w:pPr>
        <w:spacing w:after="0" w:line="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Distributions of earnings from the Waha JVs are included within operating cash flows.</w:t>
      </w:r>
    </w:p>
    <w:p>
      <w:pPr>
        <w:spacing w:after="0" w:line="181"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16"/>
          <w:szCs w:val="16"/>
          <w:b w:val="1"/>
          <w:bCs w:val="1"/>
          <w:i w:val="1"/>
          <w:iCs w:val="1"/>
          <w:color w:val="auto"/>
        </w:rPr>
        <w:t xml:space="preserve">Other Equity Investments. </w:t>
      </w:r>
      <w:r>
        <w:rPr>
          <w:rFonts w:ascii="Times New Roman" w:cs="Times New Roman" w:eastAsia="Times New Roman" w:hAnsi="Times New Roman"/>
          <w:sz w:val="16"/>
          <w:szCs w:val="16"/>
          <w:color w:val="auto"/>
        </w:rPr>
        <w:t>The Company has equity interests in certain other entities that are accounted for as equity method investments, including the Integral</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Investments. For the nine months ended September 30, 2026, equity contributions related to these entities totaled approximately $1.6 million, and for the nine months ended September 30, 2025, the Company made no equity contributions to these other entities. For the nine months ended September 30, 2026 and 2025, distributions from these entities totaled approximately $15.1 million and $0.5 million, respectively, with the 2026 distributions primarily related to the Company’s Integral Investments.</w:t>
      </w:r>
    </w:p>
    <w:p>
      <w:pPr>
        <w:spacing w:after="0" w:line="69"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6"/>
          <w:szCs w:val="16"/>
          <w:color w:val="auto"/>
        </w:rPr>
        <w:t>Certain subsidiaries of MasTec provide services to certain of these equity method investments. Revenue recognized in connection with these services totaled approximately $18.3 million for both the three and nine months ended September 30, 2026. Additionally, the Company has subcontracting arrangements with certain of these entities for the performance of construction services, and expenses recognized in connection with these arrangements totaled approximately $0.6 million and $1.5 million for the three and nine months ended September 30, 2026, respectively, and totaled approximately $0.9 million and $2.9 million for the three and nine months ended September 30, 2025, respectively. As of both September 30, 2026 and December 31, 2025, related amounts payable to these entities totaled approximately $0.3 million. As of September 30, 2026 and December 31, 2025, receivables from these entities totaled approximately $2.0 million and $4.0 million, respectively.</w:t>
      </w:r>
    </w:p>
    <w:p>
      <w:pPr>
        <w:spacing w:after="0" w:line="8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6"/>
          <w:szCs w:val="16"/>
          <w:b w:val="1"/>
          <w:bCs w:val="1"/>
          <w:i w:val="1"/>
          <w:iCs w:val="1"/>
          <w:color w:val="auto"/>
        </w:rPr>
        <w:t>Variable Interest Entities</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The Company has determined that certain of its investment arrangements are variable interest entities (“VIEs”). Management assesses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its VIEs on an ongoing basis to determine if the Company is the primary beneficiary and if consolidation is required. As of September 30, 2026, management determined that the Company is the primary beneficiary of two of its VIEs, which include an electric utility contractor. Accordingly, these entities have been consolidated within the Company’s financial statements, with the other parties’ interests accounted for as non-controlling interests. As of September 30, 2026 and December 31, 2025, the carrying values of assets associated with the Company’s consolidated VIEs totaled approximately $155.5 million and $187.3 million, respectively, which amounts consisted primarily of accounts receivable, net of allowance and contract assets. The carrying values of liabilities associated with the Company’s consolidated VIEs totaled approximately $152.0 million and $184.6 million as of September 30, 2026 and December 31, 2025, respectively, which amounts consisted primarily of accounts payable. The Company has not provided, nor is it obligated to provide, any financial support to any of its consolidated VIEs.</w:t>
      </w:r>
    </w:p>
    <w:p>
      <w:pPr>
        <w:spacing w:after="0" w:line="88"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The carrying values of the Company’s VIEs that are not consolidated totaled approximately $12 million and $20 million as of September 30, 2026 and December 31, 2025, respectively, and are recorded within other long-term assets in the consolidated balance sheets, with the decrease primarily attributable to an other-than-temporary impairment loss of $7.9 million, as described above. Management believes that the Company’s maximum exposure to loss for its non-consolidated VIEs, inclusive of additional financing commitments, approximated $13 million and $28 million as of September 30, 2026 and December 31, 2025, respectively.</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5 – Accounts Receivable, Net of Allowance, and Contract Assets and Liabilities</w:t>
      </w:r>
    </w:p>
    <w:p>
      <w:pPr>
        <w:spacing w:after="0" w:line="1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The following table provides details of accounts receivable, net of allowance, and contract assets (together, “accounts receivable, net”) as of the dates indicated (in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millions):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80" w:type="dxa"/>
            <w:vAlign w:val="bottom"/>
          </w:tcPr>
          <w:p>
            <w:pPr>
              <w:spacing w:after="0"/>
              <w:rPr>
                <w:sz w:val="16"/>
                <w:szCs w:val="16"/>
                <w:color w:val="auto"/>
              </w:rPr>
            </w:pPr>
          </w:p>
        </w:tc>
        <w:tc>
          <w:tcPr>
            <w:tcW w:w="128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4"/>
        </w:trPr>
        <w:tc>
          <w:tcPr>
            <w:tcW w:w="8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11"/>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Contract billings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2,554.3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1,558.2</w:t>
            </w:r>
          </w:p>
        </w:tc>
      </w:tr>
      <w:tr>
        <w:trPr>
          <w:trHeight w:val="213"/>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allowance</w:t>
            </w: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(17.9)</w:t>
            </w:r>
          </w:p>
        </w:tc>
      </w:tr>
      <w:tr>
        <w:trPr>
          <w:trHeight w:val="210"/>
        </w:trPr>
        <w:tc>
          <w:tcPr>
            <w:tcW w:w="8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Accounts receivable, net of allowance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2,540.7</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1,540.3</w:t>
            </w:r>
          </w:p>
        </w:tc>
      </w:tr>
      <w:tr>
        <w:trPr>
          <w:trHeight w:val="239"/>
        </w:trPr>
        <w:tc>
          <w:tcPr>
            <w:tcW w:w="8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16"/>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Retainage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756.2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428.4</w:t>
            </w:r>
          </w:p>
        </w:tc>
      </w:tr>
      <w:tr>
        <w:trPr>
          <w:trHeight w:val="213"/>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Unbilled receivables</w:t>
            </w: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2,022.0</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1,573.5</w:t>
            </w:r>
          </w:p>
        </w:tc>
      </w:tr>
      <w:tr>
        <w:trPr>
          <w:trHeight w:val="210"/>
        </w:trPr>
        <w:tc>
          <w:tcPr>
            <w:tcW w:w="8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Contract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2,778.2</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2,001.9</w:t>
            </w: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17" w:name="page18"/>
    <w:bookmarkEnd w:id="17"/>
    <w:p>
      <w:pPr>
        <w:jc w:val="both"/>
        <w:ind w:firstLine="648"/>
        <w:spacing w:after="0" w:line="261" w:lineRule="auto"/>
        <w:rPr>
          <w:sz w:val="20"/>
          <w:szCs w:val="20"/>
          <w:color w:val="auto"/>
        </w:rPr>
      </w:pPr>
      <w:r>
        <w:rPr>
          <w:rFonts w:ascii="Times New Roman" w:cs="Times New Roman" w:eastAsia="Times New Roman" w:hAnsi="Times New Roman"/>
          <w:sz w:val="16"/>
          <w:szCs w:val="16"/>
          <w:color w:val="auto"/>
        </w:rPr>
        <w:t>Contract billings represent the amount of performance obligations that have been billed but not yet collected, whereas contract assets consist of unbilled receivables and retainage. Unbilled receivables, which are included in contract assets, represent the estimated value of unbilled work for projects with performance obligations recognized over time. Unbilled receivables include amounts for work performed for which the Company has an unconditional right to receive payment and that are not subject to the completion of any other specific task, other than the billing itself. Retainage represents a portion of the contract amount that has been billed, but for which the contract allows the customer to retain a portion of the billed amount until final contract settlement. As of September 30, 2026, the increase in contract assets was driven primarily by ordinary course project activity within the Company’s Clean Energy and Infrastructure and Power Delivery segments, including increased project volume and the timing of billings, as well as the impact of the McKee acquisition in the first quarter within the Clean Energy and Infrastructure segment and the Superior acquisition in the third quarter within the Power Delivery segment.</w:t>
      </w:r>
    </w:p>
    <w:p>
      <w:pPr>
        <w:spacing w:after="0" w:line="87" w:lineRule="exact"/>
        <w:rPr>
          <w:sz w:val="20"/>
          <w:szCs w:val="20"/>
          <w:color w:val="auto"/>
        </w:rPr>
      </w:pPr>
    </w:p>
    <w:p>
      <w:pPr>
        <w:jc w:val="both"/>
        <w:ind w:firstLine="648"/>
        <w:spacing w:after="0" w:line="280" w:lineRule="auto"/>
        <w:rPr>
          <w:sz w:val="20"/>
          <w:szCs w:val="20"/>
          <w:color w:val="auto"/>
        </w:rPr>
      </w:pPr>
      <w:r>
        <w:rPr>
          <w:rFonts w:ascii="Times New Roman" w:cs="Times New Roman" w:eastAsia="Times New Roman" w:hAnsi="Times New Roman"/>
          <w:sz w:val="16"/>
          <w:szCs w:val="16"/>
          <w:color w:val="auto"/>
        </w:rPr>
        <w:t>For the nine months ended September 30, 2026 and 2025, provisions for credit losses totaled recoveries of approximately $3.4 million and $0.7 million, respectively, both of which included certain project-specific reserves. Impairment losses on contract assets were not material in either period.</w:t>
      </w:r>
    </w:p>
    <w:p>
      <w:pPr>
        <w:spacing w:after="0" w:line="7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6"/>
          <w:szCs w:val="16"/>
          <w:color w:val="auto"/>
        </w:rPr>
        <w:t>Contract liabilities, which are generally classified within current liabilities on the Company’s consolidated balance sheets, consist primarily of deferred revenue and also include the amount of any accrued project losses. Under certain contracts, the Company may be entitled to invoice the customer and receive payments in advance of performing the related contract work. In those instances, the Company recognizes a liability for advance billings in excess of revenue recognized, which is referred to as deferred revenue. Total contract liabilities, including accrued project losses, totaled approximately $1,101.5 million and $747.7 million as of September 30, 2026 and December 31, 2025, respectively, of which deferred revenue comprised approximately $1,087.1 million and $741.0 million, respectively. The increase in contract liabilities as of September 30, 2026 was driven primarily by ordinary course project activity, including increased project volume and the timing of billings within the Company’s Clean Energy and Infrastructure segment, as well as the impact of the Superior acquisition in the third quarter within the Power Delivery segment, partially offset by a decrease in connection with the timing of billings in the Power Delivery segment.</w:t>
      </w:r>
    </w:p>
    <w:p>
      <w:pPr>
        <w:spacing w:after="0" w:line="9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For the nine months ended September 30, 2026 and 2025, the Company recognized revenue of approximately $713.0 million and $695.4 million, respectively, related to amounts that were included in deferred revenue as of December 31, 2025 and December 31, 2024, respectively, resulting primarily from the advancement of physical progress on the related projects during the respective periods.</w:t>
      </w:r>
    </w:p>
    <w:p>
      <w:pPr>
        <w:spacing w:after="0" w:line="8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6"/>
          <w:szCs w:val="16"/>
          <w:color w:val="auto"/>
        </w:rPr>
        <w:t xml:space="preserve">The Company is party to certain non-recourse financing arrangements in the ordinary course of business, under which certain receivables are sold to a financial institution in return for a nominal fee. The Company has certain additional non-recourse financing arrangements under which it continues to manage collections for the transferred receivables, and for which the corresponding servicing assets or liabilities are not material. For the nine months ended September 30, 2026 and 2025, the Company sold approximately $483 million and $378 million, respectively, of receivables under financing arrangements for which it continues to manage collections for the transferred receivables, and, as of September 30, 2026 and December 31, 2025, outstanding sold receivables related thereto totaled approximately $148 million and $172 million, respectively, which amounts are excluded from accounts receivable, net of allowance, in the consolidated balance sheets. The Company’s involvement in the collection process for these receivables is not considered to constitute significant continuing involvement, and, therefore, the receivables are accounted for as a sale under ASC Topic 860, </w:t>
      </w:r>
      <w:r>
        <w:rPr>
          <w:rFonts w:ascii="Times New Roman" w:cs="Times New Roman" w:eastAsia="Times New Roman" w:hAnsi="Times New Roman"/>
          <w:sz w:val="16"/>
          <w:szCs w:val="16"/>
          <w:i w:val="1"/>
          <w:iCs w:val="1"/>
          <w:color w:val="auto"/>
        </w:rPr>
        <w:t>Transfers and Servicing</w:t>
      </w:r>
      <w:r>
        <w:rPr>
          <w:rFonts w:ascii="Times New Roman" w:cs="Times New Roman" w:eastAsia="Times New Roman" w:hAnsi="Times New Roman"/>
          <w:sz w:val="16"/>
          <w:szCs w:val="16"/>
          <w:color w:val="auto"/>
        </w:rPr>
        <w:t>. Cash collections from the sale of receivables are reflected within operating activities in the consolidated statements of cash flows. The Company is also party to arrangements with certain customers that allow for early collection of receivables for a nominal fee, at the Company’s option. Discount charges related to the above described financing arrangements, which are included within interest expense, net, totaled approximately $3.9 million and $5.7 million for the three months ended September 30, 2026 and 2025, respectively, and totaled approximately $15.8 million and $17.6 million for the nine months ended September 30, 2026 and 2025, respectively.</w:t>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6 – Property and Equipment, Net</w:t>
      </w:r>
    </w:p>
    <w:p>
      <w:pPr>
        <w:spacing w:after="0" w:line="1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The following table provides details of property and equipment, net, including property and equipment held under finance leases, as of the dates indicated (in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millions):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80" w:type="dxa"/>
            <w:vAlign w:val="bottom"/>
          </w:tcPr>
          <w:p>
            <w:pPr>
              <w:spacing w:after="0"/>
              <w:rPr>
                <w:sz w:val="16"/>
                <w:szCs w:val="16"/>
                <w:color w:val="auto"/>
              </w:rPr>
            </w:pPr>
          </w:p>
        </w:tc>
        <w:tc>
          <w:tcPr>
            <w:tcW w:w="128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4"/>
        </w:trPr>
        <w:tc>
          <w:tcPr>
            <w:tcW w:w="8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11"/>
        </w:trPr>
        <w:tc>
          <w:tcPr>
            <w:tcW w:w="8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Land</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65.3</w:t>
            </w:r>
          </w:p>
        </w:tc>
      </w:tr>
      <w:tr>
        <w:trPr>
          <w:trHeight w:val="213"/>
        </w:trPr>
        <w:tc>
          <w:tcPr>
            <w:tcW w:w="82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Buildings and leasehold improvements</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101.2</w:t>
            </w:r>
          </w:p>
        </w:tc>
      </w:tr>
      <w:tr>
        <w:trPr>
          <w:trHeight w:val="219"/>
        </w:trPr>
        <w:tc>
          <w:tcPr>
            <w:tcW w:w="8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Machinery, equipment and vehicles</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3,668.1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3,295.8</w:t>
            </w:r>
          </w:p>
        </w:tc>
      </w:tr>
      <w:tr>
        <w:trPr>
          <w:trHeight w:val="213"/>
        </w:trPr>
        <w:tc>
          <w:tcPr>
            <w:tcW w:w="82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Office equipment, furniture and internal-use software</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368.2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375.9</w:t>
            </w:r>
          </w:p>
        </w:tc>
      </w:tr>
      <w:tr>
        <w:trPr>
          <w:trHeight w:val="219"/>
        </w:trPr>
        <w:tc>
          <w:tcPr>
            <w:tcW w:w="8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Construction in progress</w:t>
            </w: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49.1</w:t>
            </w:r>
          </w:p>
        </w:tc>
      </w:tr>
      <w:tr>
        <w:trPr>
          <w:trHeight w:val="207"/>
        </w:trPr>
        <w:tc>
          <w:tcPr>
            <w:tcW w:w="82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Total property and equipment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4,306.2</w:t>
            </w:r>
          </w:p>
        </w:tc>
        <w:tc>
          <w:tcPr>
            <w:tcW w:w="10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3,887.3</w:t>
            </w:r>
          </w:p>
        </w:tc>
      </w:tr>
      <w:tr>
        <w:trPr>
          <w:trHeight w:val="219"/>
        </w:trPr>
        <w:tc>
          <w:tcPr>
            <w:tcW w:w="8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Less accumulated depreciation and amortization</w:t>
            </w: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(2,247.5)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(2,158.8)</w:t>
            </w:r>
          </w:p>
        </w:tc>
      </w:tr>
      <w:tr>
        <w:trPr>
          <w:trHeight w:val="207"/>
        </w:trPr>
        <w:tc>
          <w:tcPr>
            <w:tcW w:w="82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2,058.7</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1,728.5</w:t>
            </w:r>
          </w:p>
        </w:tc>
      </w:tr>
    </w:tbl>
    <w:p>
      <w:pPr>
        <w:spacing w:after="0" w:line="22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16"/>
          <w:szCs w:val="16"/>
          <w:color w:val="auto"/>
        </w:rPr>
        <w:t>As of September 30, 2026 and December 31, 2025, the gross amount of capitalized internal-use software totaled $245.3 million and $247.2 million, respectively, and, net of accumulated amortization, totaled $42.1 million and $54.0 million, respectively. Accrued capital expenditures, the effects of which are excluded from capital expenditures in the Company’s consolidated statements of cash flows given their non-cash nature, totaled $22.3 million and $9.3 million as of September 30, 2026 and 2025, respectively.</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12"/>
        </w:trPr>
        <w:tc>
          <w:tcPr>
            <w:tcW w:w="82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Note 7 – Other Accrued Expenses</w:t>
            </w: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97"/>
        </w:trPr>
        <w:tc>
          <w:tcPr>
            <w:tcW w:w="822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The following table provides details of other accrued expenses as of the dates indicated (in millions):</w:t>
            </w: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03"/>
        </w:trPr>
        <w:tc>
          <w:tcPr>
            <w:tcW w:w="8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80" w:type="dxa"/>
            <w:vAlign w:val="bottom"/>
          </w:tcPr>
          <w:p>
            <w:pPr>
              <w:spacing w:after="0"/>
              <w:rPr>
                <w:sz w:val="24"/>
                <w:szCs w:val="24"/>
                <w:color w:val="auto"/>
              </w:rPr>
            </w:pPr>
          </w:p>
        </w:tc>
        <w:tc>
          <w:tcPr>
            <w:tcW w:w="128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4"/>
        </w:trPr>
        <w:tc>
          <w:tcPr>
            <w:tcW w:w="8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11"/>
        </w:trPr>
        <w:tc>
          <w:tcPr>
            <w:tcW w:w="8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Accrued project costs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270.9</w:t>
            </w:r>
          </w:p>
        </w:tc>
      </w:tr>
      <w:tr>
        <w:trPr>
          <w:trHeight w:val="216"/>
        </w:trPr>
        <w:tc>
          <w:tcPr>
            <w:tcW w:w="8220" w:type="dxa"/>
            <w:vAlign w:val="bottom"/>
          </w:tcPr>
          <w:p>
            <w:pPr>
              <w:ind w:left="60"/>
              <w:spacing w:after="0" w:line="216" w:lineRule="exact"/>
              <w:rPr>
                <w:sz w:val="20"/>
                <w:szCs w:val="20"/>
                <w:color w:val="auto"/>
              </w:rPr>
            </w:pPr>
            <w:r>
              <w:rPr>
                <w:rFonts w:ascii="Times New Roman" w:cs="Times New Roman" w:eastAsia="Times New Roman" w:hAnsi="Times New Roman"/>
                <w:sz w:val="16"/>
                <w:szCs w:val="16"/>
                <w:color w:val="auto"/>
              </w:rPr>
              <w:t xml:space="preserve">Self-insurance and related liabilities </w:t>
            </w:r>
            <w:r>
              <w:rPr>
                <w:rFonts w:ascii="Times New Roman" w:cs="Times New Roman" w:eastAsia="Times New Roman" w:hAnsi="Times New Roman"/>
                <w:sz w:val="21"/>
                <w:szCs w:val="21"/>
                <w:color w:val="auto"/>
                <w:vertAlign w:val="superscript"/>
              </w:rPr>
              <w:t>(a)</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81.9</w:t>
            </w:r>
          </w:p>
        </w:tc>
      </w:tr>
      <w:tr>
        <w:trPr>
          <w:trHeight w:val="216"/>
        </w:trPr>
        <w:tc>
          <w:tcPr>
            <w:tcW w:w="8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Income, sales and other taxes</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64.7</w:t>
            </w:r>
          </w:p>
        </w:tc>
      </w:tr>
      <w:tr>
        <w:trPr>
          <w:trHeight w:val="213"/>
        </w:trPr>
        <w:tc>
          <w:tcPr>
            <w:tcW w:w="822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6"/>
                <w:szCs w:val="16"/>
                <w:color w:val="auto"/>
              </w:rPr>
              <w:t>Other</w:t>
            </w: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123.3</w:t>
            </w:r>
          </w:p>
        </w:tc>
      </w:tr>
      <w:tr>
        <w:trPr>
          <w:trHeight w:val="209"/>
        </w:trPr>
        <w:tc>
          <w:tcPr>
            <w:tcW w:w="8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Other accrued expenses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556.1</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540.8</w:t>
            </w:r>
          </w:p>
        </w:tc>
      </w:tr>
    </w:tbl>
    <w:p>
      <w:pPr>
        <w:spacing w:after="0" w:line="99" w:lineRule="exact"/>
        <w:rPr>
          <w:sz w:val="20"/>
          <w:szCs w:val="20"/>
          <w:color w:val="auto"/>
        </w:rPr>
      </w:pPr>
    </w:p>
    <w:p>
      <w:pPr>
        <w:ind w:left="320" w:hanging="312"/>
        <w:spacing w:after="0"/>
        <w:tabs>
          <w:tab w:leader="none" w:pos="3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Note 13 – Commitments and Contingencies for additional information on insurance reserves.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8 – Debt</w:t>
      </w:r>
    </w:p>
    <w:p>
      <w:pPr>
        <w:spacing w:after="0" w:line="1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The following table provides details of the carrying values of debt as of the dates indicated (in millions):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6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372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Maturity Date</w:t>
            </w:r>
          </w:p>
        </w:tc>
        <w:tc>
          <w:tcPr>
            <w:tcW w:w="14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80" w:type="dxa"/>
            <w:vAlign w:val="bottom"/>
          </w:tcPr>
          <w:p>
            <w:pPr>
              <w:spacing w:after="0"/>
              <w:rPr>
                <w:sz w:val="16"/>
                <w:szCs w:val="16"/>
                <w:color w:val="auto"/>
              </w:rPr>
            </w:pPr>
          </w:p>
        </w:tc>
        <w:tc>
          <w:tcPr>
            <w:tcW w:w="128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4"/>
        </w:trPr>
        <w:tc>
          <w:tcPr>
            <w:tcW w:w="4660" w:type="dxa"/>
            <w:vAlign w:val="bottom"/>
            <w:gridSpan w:val="2"/>
            <w:vMerge w:val="continue"/>
          </w:tcPr>
          <w:p>
            <w:pPr>
              <w:spacing w:after="0"/>
              <w:rPr>
                <w:sz w:val="18"/>
                <w:szCs w:val="18"/>
                <w:color w:val="auto"/>
              </w:rPr>
            </w:pPr>
          </w:p>
        </w:tc>
        <w:tc>
          <w:tcPr>
            <w:tcW w:w="3720" w:type="dxa"/>
            <w:vAlign w:val="bottom"/>
            <w:gridSpan w:val="3"/>
            <w:vMerge w:val="continue"/>
          </w:tcPr>
          <w:p>
            <w:pPr>
              <w:spacing w:after="0"/>
              <w:rPr>
                <w:sz w:val="18"/>
                <w:szCs w:val="18"/>
                <w:color w:val="auto"/>
              </w:rPr>
            </w:pPr>
          </w:p>
        </w:tc>
        <w:tc>
          <w:tcPr>
            <w:tcW w:w="1300" w:type="dxa"/>
            <w:vAlign w:val="bottom"/>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211"/>
        </w:trPr>
        <w:tc>
          <w:tcPr>
            <w:tcW w:w="45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Senior credit facility:</w:t>
            </w:r>
          </w:p>
        </w:tc>
        <w:tc>
          <w:tcPr>
            <w:tcW w:w="120" w:type="dxa"/>
            <w:vAlign w:val="bottom"/>
            <w:tcBorders>
              <w:top w:val="single" w:sz="8" w:color="CCEEFF"/>
            </w:tcBorders>
            <w:shd w:val="clear" w:color="auto" w:fill="CCEEFF"/>
          </w:tcPr>
          <w:p>
            <w:pPr>
              <w:spacing w:after="0"/>
              <w:rPr>
                <w:sz w:val="18"/>
                <w:szCs w:val="18"/>
                <w:color w:val="auto"/>
              </w:rPr>
            </w:pPr>
          </w:p>
        </w:tc>
        <w:tc>
          <w:tcPr>
            <w:tcW w:w="34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June 26, 2030</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6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Revolving loans</w:t>
            </w:r>
          </w:p>
        </w:tc>
        <w:tc>
          <w:tcPr>
            <w:tcW w:w="3720" w:type="dxa"/>
            <w:vAlign w:val="bottom"/>
            <w:gridSpan w:val="3"/>
          </w:tcPr>
          <w:p>
            <w:pPr>
              <w:ind w:left="358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1,042.2</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118.0</w:t>
            </w:r>
          </w:p>
        </w:tc>
        <w:tc>
          <w:tcPr>
            <w:tcW w:w="0" w:type="dxa"/>
            <w:vAlign w:val="bottom"/>
          </w:tcPr>
          <w:p>
            <w:pPr>
              <w:spacing w:after="0"/>
              <w:rPr>
                <w:sz w:val="1"/>
                <w:szCs w:val="1"/>
                <w:color w:val="auto"/>
              </w:rPr>
            </w:pPr>
          </w:p>
        </w:tc>
      </w:tr>
      <w:tr>
        <w:trPr>
          <w:trHeight w:val="219"/>
        </w:trPr>
        <w:tc>
          <w:tcPr>
            <w:tcW w:w="4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4.500% Senior Notes</w:t>
            </w:r>
          </w:p>
        </w:tc>
        <w:tc>
          <w:tcPr>
            <w:tcW w:w="37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August 15, 2028</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600.0</w:t>
            </w:r>
          </w:p>
        </w:tc>
        <w:tc>
          <w:tcPr>
            <w:tcW w:w="0" w:type="dxa"/>
            <w:vAlign w:val="bottom"/>
          </w:tcPr>
          <w:p>
            <w:pPr>
              <w:spacing w:after="0"/>
              <w:rPr>
                <w:sz w:val="1"/>
                <w:szCs w:val="1"/>
                <w:color w:val="auto"/>
              </w:rPr>
            </w:pPr>
          </w:p>
        </w:tc>
      </w:tr>
      <w:tr>
        <w:trPr>
          <w:trHeight w:val="213"/>
        </w:trPr>
        <w:tc>
          <w:tcPr>
            <w:tcW w:w="46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5.900% Senior Notes</w:t>
            </w:r>
          </w:p>
        </w:tc>
        <w:tc>
          <w:tcPr>
            <w:tcW w:w="37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June 15, 2029</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550.0</w:t>
            </w:r>
          </w:p>
        </w:tc>
        <w:tc>
          <w:tcPr>
            <w:tcW w:w="0" w:type="dxa"/>
            <w:vAlign w:val="bottom"/>
          </w:tcPr>
          <w:p>
            <w:pPr>
              <w:spacing w:after="0"/>
              <w:rPr>
                <w:sz w:val="1"/>
                <w:szCs w:val="1"/>
                <w:color w:val="auto"/>
              </w:rPr>
            </w:pPr>
          </w:p>
        </w:tc>
      </w:tr>
      <w:tr>
        <w:trPr>
          <w:trHeight w:val="219"/>
        </w:trPr>
        <w:tc>
          <w:tcPr>
            <w:tcW w:w="4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6.625% Senior Notes</w:t>
            </w:r>
          </w:p>
        </w:tc>
        <w:tc>
          <w:tcPr>
            <w:tcW w:w="37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August 15, 2029</w:t>
            </w: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72.3</w:t>
            </w:r>
          </w:p>
        </w:tc>
        <w:tc>
          <w:tcPr>
            <w:tcW w:w="0" w:type="dxa"/>
            <w:vAlign w:val="bottom"/>
          </w:tcPr>
          <w:p>
            <w:pPr>
              <w:spacing w:after="0"/>
              <w:rPr>
                <w:sz w:val="1"/>
                <w:szCs w:val="1"/>
                <w:color w:val="auto"/>
              </w:rPr>
            </w:pPr>
          </w:p>
        </w:tc>
      </w:tr>
      <w:tr>
        <w:trPr>
          <w:trHeight w:val="213"/>
        </w:trPr>
        <w:tc>
          <w:tcPr>
            <w:tcW w:w="46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5.850% Senior Notes</w:t>
            </w:r>
          </w:p>
        </w:tc>
        <w:tc>
          <w:tcPr>
            <w:tcW w:w="37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September 30, 2036</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4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2025 Term Loan Facility</w:t>
            </w:r>
          </w:p>
        </w:tc>
        <w:tc>
          <w:tcPr>
            <w:tcW w:w="37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June 26, 2028</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600.0</w:t>
            </w:r>
          </w:p>
        </w:tc>
        <w:tc>
          <w:tcPr>
            <w:tcW w:w="0" w:type="dxa"/>
            <w:vAlign w:val="bottom"/>
          </w:tcPr>
          <w:p>
            <w:pPr>
              <w:spacing w:after="0"/>
              <w:rPr>
                <w:sz w:val="1"/>
                <w:szCs w:val="1"/>
                <w:color w:val="auto"/>
              </w:rPr>
            </w:pPr>
          </w:p>
        </w:tc>
      </w:tr>
      <w:tr>
        <w:trPr>
          <w:trHeight w:val="318"/>
        </w:trPr>
        <w:tc>
          <w:tcPr>
            <w:tcW w:w="46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2026 Term Loan Facility:</w:t>
            </w:r>
          </w:p>
        </w:tc>
        <w:tc>
          <w:tcPr>
            <w:tcW w:w="3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4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46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Three-Year Tranche</w:t>
            </w:r>
          </w:p>
        </w:tc>
        <w:tc>
          <w:tcPr>
            <w:tcW w:w="37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July 20, 2029</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46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Four-Year Tranche</w:t>
            </w:r>
          </w:p>
        </w:tc>
        <w:tc>
          <w:tcPr>
            <w:tcW w:w="37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July 19, 2030</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4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Finance lease and other obligations</w:t>
            </w:r>
          </w:p>
        </w:tc>
        <w:tc>
          <w:tcPr>
            <w:tcW w:w="3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498.9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405.3</w:t>
            </w:r>
          </w:p>
        </w:tc>
        <w:tc>
          <w:tcPr>
            <w:tcW w:w="0" w:type="dxa"/>
            <w:vAlign w:val="bottom"/>
          </w:tcPr>
          <w:p>
            <w:pPr>
              <w:spacing w:after="0"/>
              <w:rPr>
                <w:sz w:val="1"/>
                <w:szCs w:val="1"/>
                <w:color w:val="auto"/>
              </w:rPr>
            </w:pPr>
          </w:p>
        </w:tc>
      </w:tr>
      <w:tr>
        <w:trPr>
          <w:trHeight w:val="207"/>
        </w:trPr>
        <w:tc>
          <w:tcPr>
            <w:tcW w:w="466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6"/>
                <w:szCs w:val="16"/>
                <w:color w:val="auto"/>
              </w:rPr>
              <w:t>Total debt obligations</w:t>
            </w:r>
          </w:p>
        </w:tc>
        <w:tc>
          <w:tcPr>
            <w:tcW w:w="344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4,191.1</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2,345.6</w:t>
            </w:r>
          </w:p>
        </w:tc>
        <w:tc>
          <w:tcPr>
            <w:tcW w:w="0" w:type="dxa"/>
            <w:vAlign w:val="bottom"/>
          </w:tcPr>
          <w:p>
            <w:pPr>
              <w:spacing w:after="0"/>
              <w:rPr>
                <w:sz w:val="1"/>
                <w:szCs w:val="1"/>
                <w:color w:val="auto"/>
              </w:rPr>
            </w:pPr>
          </w:p>
        </w:tc>
      </w:tr>
      <w:tr>
        <w:trPr>
          <w:trHeight w:val="212"/>
        </w:trPr>
        <w:tc>
          <w:tcPr>
            <w:tcW w:w="46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Less unamortized discount and deferred financing costs</w:t>
            </w:r>
          </w:p>
        </w:tc>
        <w:tc>
          <w:tcPr>
            <w:tcW w:w="3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0" w:type="dxa"/>
            <w:vAlign w:val="bottom"/>
          </w:tcPr>
          <w:p>
            <w:pPr>
              <w:spacing w:after="0"/>
              <w:rPr>
                <w:sz w:val="1"/>
                <w:szCs w:val="1"/>
                <w:color w:val="auto"/>
              </w:rPr>
            </w:pPr>
          </w:p>
        </w:tc>
      </w:tr>
      <w:tr>
        <w:trPr>
          <w:trHeight w:val="207"/>
        </w:trPr>
        <w:tc>
          <w:tcPr>
            <w:tcW w:w="466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6"/>
                <w:szCs w:val="16"/>
                <w:color w:val="auto"/>
              </w:rPr>
              <w:t>Total debt obligations, net</w:t>
            </w:r>
          </w:p>
        </w:tc>
        <w:tc>
          <w:tcPr>
            <w:tcW w:w="344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4,168.5</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2,330.7</w:t>
            </w:r>
          </w:p>
        </w:tc>
        <w:tc>
          <w:tcPr>
            <w:tcW w:w="0" w:type="dxa"/>
            <w:vAlign w:val="bottom"/>
          </w:tcPr>
          <w:p>
            <w:pPr>
              <w:spacing w:after="0"/>
              <w:rPr>
                <w:sz w:val="1"/>
                <w:szCs w:val="1"/>
                <w:color w:val="auto"/>
              </w:rPr>
            </w:pPr>
          </w:p>
        </w:tc>
      </w:tr>
      <w:tr>
        <w:trPr>
          <w:trHeight w:val="212"/>
        </w:trPr>
        <w:tc>
          <w:tcPr>
            <w:tcW w:w="46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Current portion of long-term debt</w:t>
            </w:r>
          </w:p>
        </w:tc>
        <w:tc>
          <w:tcPr>
            <w:tcW w:w="3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180.7</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154.3</w:t>
            </w:r>
          </w:p>
        </w:tc>
        <w:tc>
          <w:tcPr>
            <w:tcW w:w="0" w:type="dxa"/>
            <w:vAlign w:val="bottom"/>
          </w:tcPr>
          <w:p>
            <w:pPr>
              <w:spacing w:after="0"/>
              <w:rPr>
                <w:sz w:val="1"/>
                <w:szCs w:val="1"/>
                <w:color w:val="auto"/>
              </w:rPr>
            </w:pPr>
          </w:p>
        </w:tc>
      </w:tr>
      <w:tr>
        <w:trPr>
          <w:trHeight w:val="207"/>
        </w:trPr>
        <w:tc>
          <w:tcPr>
            <w:tcW w:w="466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Long-term debt</w:t>
            </w:r>
          </w:p>
        </w:tc>
        <w:tc>
          <w:tcPr>
            <w:tcW w:w="3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3,987.8</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2,176.4</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Senior Credit Facility</w:t>
      </w:r>
    </w:p>
    <w:p>
      <w:pPr>
        <w:spacing w:after="0" w:line="131"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16"/>
          <w:szCs w:val="16"/>
          <w:color w:val="auto"/>
        </w:rPr>
        <w:t>The Company maintains a senior unsecured credit facility (the “Credit Facility”), which is composed of revolving commitments and matures on June 26, 2030. On July 7, 2026, the Credit Facility was amended to increase the aggregate revolving commitments from $1.9 billion to $2.25 billion. The other terms and conditions of the Credit Facility remain unchanged.</w:t>
      </w:r>
    </w:p>
    <w:p>
      <w:pPr>
        <w:spacing w:after="0" w:line="63" w:lineRule="exact"/>
        <w:rPr>
          <w:sz w:val="20"/>
          <w:szCs w:val="20"/>
          <w:color w:val="auto"/>
        </w:rPr>
      </w:pPr>
    </w:p>
    <w:p>
      <w:pPr>
        <w:jc w:val="both"/>
        <w:ind w:right="20" w:firstLine="648"/>
        <w:spacing w:after="0" w:line="280" w:lineRule="auto"/>
        <w:rPr>
          <w:sz w:val="20"/>
          <w:szCs w:val="20"/>
          <w:color w:val="auto"/>
        </w:rPr>
      </w:pPr>
      <w:r>
        <w:rPr>
          <w:rFonts w:ascii="Times New Roman" w:cs="Times New Roman" w:eastAsia="Times New Roman" w:hAnsi="Times New Roman"/>
          <w:sz w:val="16"/>
          <w:szCs w:val="16"/>
          <w:color w:val="auto"/>
        </w:rPr>
        <w:t>As of both September 30, 2026 and December 31, 2025, the fair value of the Credit Facility, as estimated based on an income approach utilizing significant unobservable Level 3 inputs including discount rate assumptions, approximated its carrying value.</w:t>
      </w:r>
    </w:p>
    <w:p>
      <w:pPr>
        <w:spacing w:after="0" w:line="70"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6"/>
          <w:szCs w:val="16"/>
          <w:color w:val="auto"/>
        </w:rPr>
        <w:t>As of September 30, 2026 and December 31, 2025, outstanding revolving loans accrued interest at weighted average rates of approximately 5.09% and 4.56% per annum, respectively, and included $42.2 million and $43.0 million, respectively, of borrowings denominated in Canadian dollars. Letters of credit of approximately $81.7 million and $57.1 million were issued as of September 30, 2026 and December 31, 2025, respectively. As of both September 30, 2026 and December 31, 2025, letter of credit fees accrued at 0.4375% per annum for performance standby letters of credit, and at 1.250% per annum for financial standby letters of credit. Outstanding letters of credit mature at various dates and most have automatic renewal provisions, subject to prior notice of cancellation.</w:t>
      </w:r>
    </w:p>
    <w:p>
      <w:pPr>
        <w:spacing w:after="0" w:line="87"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As of September 30, 2026 and December 31, 2025, availability for revolving loans totaled $1,126.1 million and $1,724.9 million, respectively, or up to $668.3 million and $692.9 million, respectively, for new letters of credit. Revolving loan borrowing capacity included $257.8 million and $257.0 million of availability in either Canadian dollars or Mexican pesos as of September 30, 2026 and December 31, 2025, respectively. The unused facility fee as of both September 30, 2026 and December 31, 2025 accrued at a rate of 0.175% per annum.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9" w:right="339" w:bottom="1440" w:gutter="0" w:footer="0" w:header="0"/>
        </w:sectPr>
      </w:pPr>
    </w:p>
    <w:bookmarkStart w:id="19" w:name="page20"/>
    <w:bookmarkEnd w:id="19"/>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Other Credit Facilities</w:t>
      </w:r>
    </w:p>
    <w:p>
      <w:pPr>
        <w:spacing w:after="0" w:line="117"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16"/>
          <w:szCs w:val="16"/>
          <w:color w:val="auto"/>
        </w:rPr>
        <w:t>The Company has a separate credit facility, under which it may issue up to $50.0 million of performance standby letters of credit. As of September 30, 2026 and December 31, 2025, letters of credit issued under this facility totaled $16.3 million and $33.4 million, respectively, which accrued fees at 0.50% per annum for both periods. Additionally, in October 2026, the Company entered into a new letter of credit agreement providing for the issuance of up to $100 million in aggregate of performance and financial standby letters of credit.</w:t>
      </w:r>
    </w:p>
    <w:p>
      <w:pPr>
        <w:spacing w:after="0" w:line="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Senior Notes</w:t>
      </w:r>
    </w:p>
    <w:p>
      <w:pPr>
        <w:spacing w:after="0" w:line="11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b w:val="1"/>
          <w:bCs w:val="1"/>
          <w:i w:val="1"/>
          <w:iCs w:val="1"/>
          <w:color w:val="auto"/>
        </w:rPr>
        <w:t xml:space="preserve">4.500% Senior Notes. </w:t>
      </w:r>
      <w:r>
        <w:rPr>
          <w:rFonts w:ascii="Times New Roman" w:cs="Times New Roman" w:eastAsia="Times New Roman" w:hAnsi="Times New Roman"/>
          <w:sz w:val="16"/>
          <w:szCs w:val="16"/>
          <w:color w:val="auto"/>
        </w:rPr>
        <w:t>As of both September 30, 2026 and December 31, 2025, the gross carrying amount of the Company’s 4.500% senior notes due August 15,</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2028 (the “4.500% Senior Notes”) totaled $600.0 million, and their estimated fair value totaled approximately $586.7 million and $595.7 million, respectively.</w:t>
      </w:r>
    </w:p>
    <w:p>
      <w:pPr>
        <w:spacing w:after="0" w:line="10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b w:val="1"/>
          <w:bCs w:val="1"/>
          <w:i w:val="1"/>
          <w:iCs w:val="1"/>
          <w:color w:val="auto"/>
        </w:rPr>
        <w:t xml:space="preserve">5.900% Senior Notes. </w:t>
      </w:r>
      <w:r>
        <w:rPr>
          <w:rFonts w:ascii="Times New Roman" w:cs="Times New Roman" w:eastAsia="Times New Roman" w:hAnsi="Times New Roman"/>
          <w:sz w:val="16"/>
          <w:szCs w:val="16"/>
          <w:color w:val="auto"/>
        </w:rPr>
        <w:t>As of both September 30, 2026 and December 31, 2025, the gross carrying amount of the Company’s 5.900% senior notes due June 15,</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2029 (the “5.900% Senior Notes”) totaled $550.0 million, and their estimated fair value totaled approximately $550.8 million and $574.1 million, respectively.</w:t>
      </w:r>
    </w:p>
    <w:p>
      <w:pPr>
        <w:spacing w:after="0" w:line="10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 xml:space="preserve">6.625% Senior Notes. </w:t>
      </w:r>
      <w:r>
        <w:rPr>
          <w:rFonts w:ascii="Times New Roman" w:cs="Times New Roman" w:eastAsia="Times New Roman" w:hAnsi="Times New Roman"/>
          <w:sz w:val="16"/>
          <w:szCs w:val="16"/>
          <w:color w:val="auto"/>
        </w:rPr>
        <w:t>As further described below, the Company used a portion of the net proceeds from the 5.850% Senior Notes (as defined below) to redeem</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the $74.9 million aggregate principal amount of the 6.625% Senior Notes that would have otherwise matured on August 15, 2029 (the “6.625% Senior Notes”).</w:t>
      </w:r>
    </w:p>
    <w:p>
      <w:pPr>
        <w:spacing w:after="0" w:line="6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6"/>
          <w:szCs w:val="16"/>
          <w:b w:val="1"/>
          <w:bCs w:val="1"/>
          <w:i w:val="1"/>
          <w:iCs w:val="1"/>
          <w:color w:val="auto"/>
        </w:rPr>
        <w:t xml:space="preserve">5.850% Senior Notes. </w:t>
      </w:r>
      <w:r>
        <w:rPr>
          <w:rFonts w:ascii="Times New Roman" w:cs="Times New Roman" w:eastAsia="Times New Roman" w:hAnsi="Times New Roman"/>
          <w:sz w:val="16"/>
          <w:szCs w:val="16"/>
          <w:color w:val="auto"/>
        </w:rPr>
        <w:t>On August 17, 2026, the Company completed an offering of $650 million aggregate principal amount of 5.850% senior unsecured notes due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September 30, 2036 (the “5.850% Senior Notes”). Interest on the 5.850% Senior Notes is payable semiannually in arrears on March 30 and September 30 of each year, beginning on March 30, 2027. The 5.850% Senior Notes are senior unsecured obligations of the Company and rank equally with all of the Company’s other senior unsecured indebtedness. The 5.850% Senior Notes are effectively subordinated to all secured indebtedness of the Company, to the extent of the value of the assets securing such indebtedness, and structurally subordinated to all of the obligations of the subsidiaries of the Company, including trade payables. As of September 30, 2026, the estimated fair value of the Company’s 5.850% Senior Notes totaled approximately $617.3 million.</w:t>
      </w:r>
    </w:p>
    <w:p>
      <w:pPr>
        <w:spacing w:after="0" w:line="72"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6"/>
          <w:szCs w:val="16"/>
          <w:color w:val="auto"/>
        </w:rPr>
        <w:t>The Company has the option to redeem all or a portion of the 5.850% Senior Notes at the redemption prices specified in the indenture that governs the 5.850% Senior Notes (the “5.850% Senior Notes Indenture”), plus accrued and unpaid interest, if any, to, but excluding, the redemption date. If a change of control triggering event, as defined in the 5.850% Senior Notes Indenture, occurs, each holder of the 5.850% Senior Notes will have the right to require the Company to repurchase all or any portion of such holder’s 5.850% Senior Notes then outstanding at a price equal to 101% of the principal amount of the 5.850% Senior Notes, plus accrued and unpaid interest, if any, to, but excluding, the date of repurchase, subject to the right of holders of 5.850% Senior Notes on the relevant record date to receive interest due on the relevant interest payment date.</w:t>
      </w:r>
    </w:p>
    <w:p>
      <w:pPr>
        <w:spacing w:after="0" w:line="73"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6"/>
          <w:szCs w:val="16"/>
          <w:color w:val="auto"/>
        </w:rPr>
        <w:t>The 5.850% Senior Notes Indenture, among other things, generally limits the ability of the Company and certain of its subsidiaries to create liens, enter into sale and leaseback transactions and effect mergers, subject to certain exceptions. The 5.850% Senior Notes Indenture provides for customary events of default, which include, subject, in certain cases, to customary grace and cure periods, among others, nonpayment of principal or interest; breach of other covenants or agreements in the 5.850% Senior Notes Indenture; failure to pay certain other indebtedness; and certain events of bankruptcy or insolvency. Generally, if an event of default occurs and is continuing, the trustee or holders of at least 25% of the 5.850% Senior Notes then outstanding may declare the principal amount, premium, if any, and accrued interest on all of the 5.850% Senior Notes to be immediately due and payable.</w:t>
      </w:r>
    </w:p>
    <w:p>
      <w:pPr>
        <w:spacing w:after="0" w:line="87"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6"/>
          <w:szCs w:val="16"/>
          <w:color w:val="auto"/>
        </w:rPr>
        <w:t>The Company used a portion of the net proceeds from the 5.850% Senior Notes offering to repay $450 million of the $600 million senior unsecured term loan facility (the “2025 Term Loan Facility”) and redeem the $74.9 million aggregate principal amount of the 6.625% Senior Notes that would have otherwise matured on August 15, 2029. The redemption was completed on August 17, 2026 (the “Redemption Date”) at a redemption price equal to 100% of the aggregate principal amount of the 6.625% Senior Notes redeemed, plus accrued and unpaid interest to, but not including, the Redemption Date. The remaining net proceeds were used for working capital and other general corporate purposes.</w:t>
      </w:r>
    </w:p>
    <w:p>
      <w:pPr>
        <w:spacing w:after="0" w:line="87" w:lineRule="exact"/>
        <w:rPr>
          <w:sz w:val="20"/>
          <w:szCs w:val="20"/>
          <w:color w:val="auto"/>
        </w:rPr>
      </w:pPr>
    </w:p>
    <w:p>
      <w:pPr>
        <w:jc w:val="both"/>
        <w:ind w:firstLine="648"/>
        <w:spacing w:after="0" w:line="280" w:lineRule="auto"/>
        <w:rPr>
          <w:sz w:val="20"/>
          <w:szCs w:val="20"/>
          <w:color w:val="auto"/>
        </w:rPr>
      </w:pPr>
      <w:r>
        <w:rPr>
          <w:rFonts w:ascii="Times New Roman" w:cs="Times New Roman" w:eastAsia="Times New Roman" w:hAnsi="Times New Roman"/>
          <w:sz w:val="16"/>
          <w:szCs w:val="16"/>
          <w:color w:val="auto"/>
        </w:rPr>
        <w:t>The estimated fair values of the Company’s senior notes outstanding as of September 30, 2026 and December 31, 2025, as applicable, were determined based on an exit price approach using Level 2 inputs.</w:t>
      </w:r>
    </w:p>
    <w:p>
      <w:pPr>
        <w:spacing w:after="0" w:line="5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2025 Term Loan Facility</w:t>
      </w:r>
    </w:p>
    <w:p>
      <w:pPr>
        <w:spacing w:after="0" w:line="131" w:lineRule="exact"/>
        <w:rPr>
          <w:sz w:val="20"/>
          <w:szCs w:val="20"/>
          <w:color w:val="auto"/>
        </w:rPr>
      </w:pPr>
    </w:p>
    <w:p>
      <w:pPr>
        <w:jc w:val="both"/>
        <w:ind w:firstLine="729"/>
        <w:spacing w:after="0" w:line="261" w:lineRule="auto"/>
        <w:rPr>
          <w:sz w:val="20"/>
          <w:szCs w:val="20"/>
          <w:color w:val="auto"/>
        </w:rPr>
      </w:pPr>
      <w:r>
        <w:rPr>
          <w:rFonts w:ascii="Times New Roman" w:cs="Times New Roman" w:eastAsia="Times New Roman" w:hAnsi="Times New Roman"/>
          <w:sz w:val="16"/>
          <w:szCs w:val="16"/>
          <w:color w:val="auto"/>
        </w:rPr>
        <w:t>As described above, the Company used a portion of the net proceeds from the 5.850% Senior Notes to repay $450 million of the original $600 million aggregate principal amount under the 2025 Term Loan Facility, which matures on June 26, 2028. As of September 30, 2026 and December 31, 2025, outstanding borrowings were $150 million and $600 million, respectively, and accrued interest at rates of 5.03% and 4.85%, respectively. Such borrowings are not subject to amortization and are not guaranteed by, or secured by any assets of, the Company or any of its subsidiaries. The fair value of the 2025 Term Loan Facility as of September 30, 2026 and December 31, 2025, as estimated based on an income approach utilizing significant unobservable Level 3 inputs, including discount rate assumptions, approximated its carrying value.</w:t>
      </w:r>
    </w:p>
    <w:p>
      <w:pPr>
        <w:spacing w:after="0" w:line="26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2026 Term Loan Facility</w:t>
      </w:r>
    </w:p>
    <w:p>
      <w:pPr>
        <w:spacing w:after="0" w:line="131"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6"/>
          <w:szCs w:val="16"/>
          <w:color w:val="auto"/>
        </w:rPr>
        <w:t>On July 7, 2026, the Company entered into a new senior unsecured delayed draw term loan agreement (the “2026 Term Loan Facility”), providing $700 million in delayed draw term loan commitments (the “Term Loan Commitments”), consisting of $400 million of three-year commitments (the “Three-Year Tranche”) and $300 million of four-year commitments (the “Four-Year Tranche”). The Term Loan Commitments were fully drawn in July 2026, and were used to finance a portion of the cash consideration for the acquisition of Superior and related transaction and financing costs. See Note 3 – Acquisitions, Goodwill and Other Intangible Assets, Net for additional information. The Three-Year Tranche will mature on July 20, 2029 and the Four-Year Tranche will mature on July 19, 2030. Loans under the Three-Year Tranche are not subject to amortization. Loans under the Four-Year Tranche will be amortized in quarterly principal installments of $3.75 million commencing on</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20" w:name="page21"/>
    <w:bookmarkEnd w:id="20"/>
    <w:p>
      <w:pPr>
        <w:jc w:val="both"/>
        <w:spacing w:after="0" w:line="272" w:lineRule="auto"/>
        <w:rPr>
          <w:sz w:val="20"/>
          <w:szCs w:val="20"/>
          <w:color w:val="auto"/>
        </w:rPr>
      </w:pPr>
      <w:r>
        <w:rPr>
          <w:rFonts w:ascii="Times New Roman" w:cs="Times New Roman" w:eastAsia="Times New Roman" w:hAnsi="Times New Roman"/>
          <w:sz w:val="16"/>
          <w:szCs w:val="16"/>
          <w:color w:val="auto"/>
        </w:rPr>
        <w:t>December 31, 2027 and will increase to $7.5 million on December 31, 2028, until maturity, subject to the application of certain prepayments. As of September 30, 2026, the Company had $700 million outstanding under the 2026 Term Loan Facility. The fair value of the 2026 Term Loan Facility as of September 30, 2026, as estimated based on an income approach utilizing significant unobservable Level 3 inputs including discount rate assumptions, approximated its carrying value.</w:t>
      </w:r>
    </w:p>
    <w:p>
      <w:pPr>
        <w:spacing w:after="0" w:line="6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6"/>
          <w:szCs w:val="16"/>
          <w:color w:val="auto"/>
        </w:rPr>
        <w:t>Outstanding loans under the Three-Year Tranche bear interest, at the Company’s option, at a rate equal to either (a) Term Secured Overnight Financing Rate (“SOFR”), as defined in the 2026 Term Loan Facility, plus a margin of 1.000% to 1.500%, or (b) Base Rate, as defined below, plus a margin of up to 0.500%. Outstanding loans under the Four-Year Tranche bear interest, at the Company’s option, at a rate equal to either (a) Term SOFR plus a margin of 1.125% to 1.625%, or (b) Base Rate, plus a margin of 0.125% to 0.625%. The Base Rate equals the highest of (i) the Federal Funds Rate, as defined in the 2026 Term Loan Facility, plus 0.50%, (ii) Bank of America’s prime rate, and (iii) Term SOFR plus 1.00%. In each of the foregoing cases, the applicable margin is based on the Company’s Consolidated Leverage Ratio and Debt Rating, each as defined in the 2026 Term Loan Facility, as of the most recent fiscal quarter. As of September 30, 2026, the 2026 Term Loan Facility accrued interest at a rate of 5.20%.</w:t>
      </w:r>
    </w:p>
    <w:p>
      <w:pPr>
        <w:spacing w:after="0" w:line="7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6"/>
          <w:szCs w:val="16"/>
          <w:color w:val="auto"/>
        </w:rPr>
        <w:t>The obligations under the 2026 Term Loan Facility are not guaranteed and are not secured by any assets of the Company or any of its subsidiaries. The 2026 Term Loan Facility contains affirmative and negative covenants that, among other things, limit the Company’s ability to engage in certain activities, including, but not limited to, acquisitions, mergers and consolidations, debt incurrence, investments, asset sales and lien incurrence. In addition, the 2026 Term Loan Facility provides for customary events of default and carries cross-default provisions with the Company’s other significant debt instruments, including the Company’s indemnity agreement with its surety provider, as well as customary remedies, including the acceleration of repayment of outstanding amounts. The 2026 Term Loan Facility requires the Company to maintain a Consolidated Leverage Ratio, as defined in the 2026 Term Loan Facility, of not more than 3.50:1.00 as of the end of any fiscal quarter (except that, subject to certain conditions, if a permitted acquisition or series of permitted acquisitions having consideration exceeding $200 million occurs, such ratio is increased to 4.00:1.00 for the fiscal quarter in which the acquisition is completed and the four subsequent fiscal quarters). For purposes of calculating the Consolidated Leverage Ratio, funded indebtedness excludes undrawn standby performance letters of credit included in the calculation of Consolidated Funded Indebtedness, as defined in the 2026 Term Loan Facility.</w:t>
      </w:r>
    </w:p>
    <w:p>
      <w:pPr>
        <w:spacing w:after="0" w:line="28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Debt Covenants</w:t>
      </w:r>
    </w:p>
    <w:p>
      <w:pPr>
        <w:spacing w:after="0" w:line="117"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16"/>
          <w:szCs w:val="16"/>
          <w:color w:val="auto"/>
        </w:rPr>
        <w:t>The Company’s outstanding debt instruments are subject to certain provisions and covenants, as more fully described above and in Note 8 – Debt in the Company’s 2025 Form 10-K. MasTec was in compliance with the provisions and covenants of its outstanding debt instruments as of both September 30, 2026 and December 31, 2025.</w:t>
      </w:r>
    </w:p>
    <w:p>
      <w:pPr>
        <w:spacing w:after="0" w:line="25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Additional Information</w:t>
      </w:r>
    </w:p>
    <w:p>
      <w:pPr>
        <w:spacing w:after="0" w:line="131"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16"/>
          <w:szCs w:val="16"/>
          <w:color w:val="auto"/>
        </w:rPr>
        <w:t>The Company recorded deferred financing costs and debt discounts of $12.2 million in connection with the amendment to the Credit Facility, the 2026 Term Loan Facility, and the 5.850% Senior Notes offering, including $2.2 million of debt discount associated with the 5.850% Senior Notes. These amounts are being amortized to interest expense using the effective interest method over the respective terms of those instruments.</w:t>
      </w:r>
    </w:p>
    <w:p>
      <w:pPr>
        <w:spacing w:after="0" w:line="63"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16"/>
          <w:szCs w:val="16"/>
          <w:color w:val="auto"/>
        </w:rPr>
        <w:t>As of September 30, 2026 and December 31, 2025, accrued interest payable, which is recorded within other accrued expenses in the consolidated balance sheets, totaled $21.8 million and $16.0 million, respectively. For additional information pertaining to the Company’s debt instruments, see Note 8 – Debt in the Company’s 2025 Form 10-K.</w:t>
      </w:r>
    </w:p>
    <w:p>
      <w:pPr>
        <w:spacing w:after="0" w:line="5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Loss on Extinguishment of Debt</w:t>
      </w:r>
    </w:p>
    <w:p>
      <w:pPr>
        <w:spacing w:after="0" w:line="13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6"/>
          <w:szCs w:val="16"/>
          <w:color w:val="auto"/>
        </w:rPr>
        <w:t>For the three months ended September 30, 2026, the Company recognized a pre-tax debt extinguishment loss of $3.2 million, including the write-off of unamortized debt discount associated with the redemption of the $74.9 million 6.625% Senior Notes and unamortized deferred financing costs associated with the repayment of $450 million of the $600 million outstanding under the 2025 Term Loan Facility, which is separately presented within the Company’s consolidated statements of operations.</w:t>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9 – Lease Obligations</w:t>
      </w:r>
    </w:p>
    <w:p>
      <w:pPr>
        <w:spacing w:after="0" w:line="115"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6"/>
          <w:szCs w:val="16"/>
          <w:color w:val="auto"/>
        </w:rPr>
        <w:t>In the ordinary course of business, the Company enters into agreements that provide financing primarily for machinery, equipment, and vehicles, including certain related party leases. As of September 30, 2026, the Company’s leases have remaining lease terms of up to 13 years. Lease agreements may contain renewal clauses, which, if elected, generally extend the term of the lease for 1 to 5 years for both equipment and facility leases. Certain lease agreements may also contain options to purchase the leased property and/or options to terminate the lease. In addition, lease agreements may include periodic adjustments to payment amounts for inflation or other variables, or may require payments for taxes, insurance, maintenance or other expenses, which are generally referred to as non-lease components. The Company’s lease agreements do not contain significant residual value guarantees or material restrictive covenants.</w:t>
      </w:r>
    </w:p>
    <w:p>
      <w:pPr>
        <w:spacing w:after="0" w:line="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Finance Leases</w:t>
      </w:r>
    </w:p>
    <w:p>
      <w:pPr>
        <w:spacing w:after="0" w:line="117"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The gross amount of assets held under finance leases as of September 30, 2026 and December 31, 2025 totaled $865.6 million and $798.8 million, respectively. Assets held under finance leases, net of accumulated depreciation, totaled $638.8 million and $560.1 million as of September 30, 2026 and December 31, 2025, respectively. Depreciation expense associated with finance leases totaled $19.0 million and $16.9 million for the three months ended September 30, 2026 and 2025, respectively, and totaled $53.9 million and $53.8 million for the nine months ended September 30, 2026 and 2025, respectively.</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21" w:name="page22"/>
    <w:bookmarkEnd w:id="21"/>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Operating Leases</w:t>
      </w:r>
    </w:p>
    <w:p>
      <w:pPr>
        <w:spacing w:after="0" w:line="117"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6"/>
          <w:szCs w:val="16"/>
          <w:color w:val="auto"/>
        </w:rPr>
        <w:t>Operating lease additions for the three months ended September 30, 2026 and 2025 totaled $104.6 million and $42.3 million, respectively, and for the nine months ended September 30, 2026 and 2025, totaled $224.4 million and $138.8 million, respectively. Acquisition-related additions for the nine months ended September 30, 2026 were immaterial. For the three months ended September 30, 2026 and 2025, operating lease costs for leases that have terms in excess of one year totaled approximately $67.6 million and $57.3 million, respectively, of which $6.0 million and $5.4 million, respectively, represented variable lease costs. For the nine months ended September 30, 2026 and 2025, rent expense for such leases totaled approximately $198.4 million and $162.4 million, respectively, of which $17.0 million and $15.5 million, respectively, represented variable lease costs. The Company also incurred rent expense for leases with terms of one year or less totaling approximately $263.0 million and $186.0 million for the three months ended September 30, 2026 and 2025, respectively, and totaling approximately $708.9 million and $468.6 million for the nine months ended September 30, 2026 and 2025, respectively. Rent expense for operating leases is generally consistent with the amount of the related payments, which payments are included within operating activities in the consolidated statements of cash flows.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220" w:type="dxa"/>
            <w:vAlign w:val="bottom"/>
          </w:tcPr>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Additional Lease Information</w:t>
            </w:r>
          </w:p>
        </w:tc>
        <w:tc>
          <w:tcPr>
            <w:tcW w:w="10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97"/>
        </w:trPr>
        <w:tc>
          <w:tcPr>
            <w:tcW w:w="822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Future minimum lease commitments as of September 30, 2026 were as follows (in millions):</w:t>
            </w:r>
          </w:p>
        </w:tc>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03"/>
        </w:trPr>
        <w:tc>
          <w:tcPr>
            <w:tcW w:w="8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Finance</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Operating</w:t>
            </w:r>
          </w:p>
        </w:tc>
      </w:tr>
      <w:tr>
        <w:trPr>
          <w:trHeight w:val="214"/>
        </w:trPr>
        <w:tc>
          <w:tcPr>
            <w:tcW w:w="822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Leases</w:t>
            </w:r>
          </w:p>
        </w:tc>
        <w:tc>
          <w:tcPr>
            <w:tcW w:w="4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Leases</w:t>
            </w:r>
          </w:p>
        </w:tc>
      </w:tr>
      <w:tr>
        <w:trPr>
          <w:trHeight w:val="211"/>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2026, remaining three months</w:t>
            </w:r>
          </w:p>
        </w:tc>
        <w:tc>
          <w:tcPr>
            <w:tcW w:w="1020" w:type="dxa"/>
            <w:vAlign w:val="bottom"/>
            <w:shd w:val="clear" w:color="auto" w:fill="CCEEFF"/>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60.2</w:t>
            </w:r>
          </w:p>
        </w:tc>
      </w:tr>
      <w:tr>
        <w:trPr>
          <w:trHeight w:val="213"/>
        </w:trPr>
        <w:tc>
          <w:tcPr>
            <w:tcW w:w="8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10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4"/>
              </w:rPr>
              <w:t>162.2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212.1</w:t>
            </w:r>
          </w:p>
        </w:tc>
      </w:tr>
      <w:tr>
        <w:trPr>
          <w:trHeight w:val="219"/>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10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4"/>
              </w:rPr>
              <w:t>135.0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155.2</w:t>
            </w:r>
          </w:p>
        </w:tc>
      </w:tr>
      <w:tr>
        <w:trPr>
          <w:trHeight w:val="213"/>
        </w:trPr>
        <w:tc>
          <w:tcPr>
            <w:tcW w:w="8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2029</w:t>
            </w:r>
          </w:p>
        </w:tc>
        <w:tc>
          <w:tcPr>
            <w:tcW w:w="10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79.7</w:t>
            </w:r>
          </w:p>
        </w:tc>
      </w:tr>
      <w:tr>
        <w:trPr>
          <w:trHeight w:val="219"/>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2030</w:t>
            </w:r>
          </w:p>
        </w:tc>
        <w:tc>
          <w:tcPr>
            <w:tcW w:w="10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w:t>
            </w:r>
          </w:p>
        </w:tc>
      </w:tr>
      <w:tr>
        <w:trPr>
          <w:trHeight w:val="213"/>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10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45.1</w:t>
            </w:r>
          </w:p>
        </w:tc>
      </w:tr>
      <w:tr>
        <w:trPr>
          <w:trHeight w:val="212"/>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minimum lease payments</w:t>
            </w:r>
          </w:p>
        </w:tc>
        <w:tc>
          <w:tcPr>
            <w:tcW w:w="1020" w:type="dxa"/>
            <w:vAlign w:val="bottom"/>
            <w:tcBorders>
              <w:bottom w:val="single" w:sz="8" w:color="auto"/>
            </w:tcBorders>
            <w:shd w:val="clear" w:color="auto" w:fill="CCEEFF"/>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4"/>
              </w:rPr>
              <w:t>469.5</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589.1</w:t>
            </w:r>
          </w:p>
        </w:tc>
      </w:tr>
      <w:tr>
        <w:trPr>
          <w:trHeight w:val="207"/>
        </w:trPr>
        <w:tc>
          <w:tcPr>
            <w:tcW w:w="82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Less amounts representing interest</w:t>
            </w:r>
          </w:p>
        </w:tc>
        <w:tc>
          <w:tcPr>
            <w:tcW w:w="10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8"/>
              </w:rPr>
              <w:t>(32.9)</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(53.0)</w:t>
            </w:r>
          </w:p>
        </w:tc>
      </w:tr>
      <w:tr>
        <w:trPr>
          <w:trHeight w:val="212"/>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lease obligations, net of interest</w:t>
            </w:r>
          </w:p>
        </w:tc>
        <w:tc>
          <w:tcPr>
            <w:tcW w:w="1020" w:type="dxa"/>
            <w:vAlign w:val="bottom"/>
            <w:shd w:val="clear" w:color="auto" w:fill="CCEEFF"/>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4"/>
              </w:rPr>
              <w:t>436.6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536.1</w:t>
            </w:r>
          </w:p>
        </w:tc>
      </w:tr>
      <w:tr>
        <w:trPr>
          <w:trHeight w:val="213"/>
        </w:trPr>
        <w:tc>
          <w:tcPr>
            <w:tcW w:w="82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Less current portion</w:t>
            </w:r>
          </w:p>
        </w:tc>
        <w:tc>
          <w:tcPr>
            <w:tcW w:w="10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4"/>
              </w:rPr>
              <w:t>154.2</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200.5</w:t>
            </w:r>
          </w:p>
        </w:tc>
      </w:tr>
      <w:tr>
        <w:trPr>
          <w:trHeight w:val="209"/>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Long-term portion of lease obligations, net of interest</w:t>
            </w:r>
          </w:p>
        </w:tc>
        <w:tc>
          <w:tcPr>
            <w:tcW w:w="1020" w:type="dxa"/>
            <w:vAlign w:val="bottom"/>
            <w:tcBorders>
              <w:bottom w:val="single" w:sz="8" w:color="auto"/>
            </w:tcBorders>
            <w:shd w:val="clear" w:color="auto" w:fill="CCEEFF"/>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4"/>
              </w:rPr>
              <w:t>282.4</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335.6</w:t>
            </w:r>
          </w:p>
        </w:tc>
      </w:tr>
    </w:tbl>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The following table presents weighted average remaining lease terms and discount rates for finance and non-cancelable operating leases as of the dates indicated:</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980" w:type="dxa"/>
            <w:vAlign w:val="bottom"/>
          </w:tcPr>
          <w:p>
            <w:pPr>
              <w:spacing w:after="0"/>
              <w:rPr>
                <w:sz w:val="16"/>
                <w:szCs w:val="16"/>
                <w:color w:val="auto"/>
              </w:rPr>
            </w:pPr>
          </w:p>
        </w:tc>
        <w:tc>
          <w:tcPr>
            <w:tcW w:w="1680" w:type="dxa"/>
            <w:vAlign w:val="bottom"/>
            <w:gridSpan w:val="2"/>
          </w:tcPr>
          <w:p>
            <w:pPr>
              <w:ind w:left="28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58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2"/>
        </w:trPr>
        <w:tc>
          <w:tcPr>
            <w:tcW w:w="7980" w:type="dxa"/>
            <w:vAlign w:val="bottom"/>
          </w:tcPr>
          <w:p>
            <w:pPr>
              <w:spacing w:after="0"/>
              <w:rPr>
                <w:sz w:val="18"/>
                <w:szCs w:val="18"/>
                <w:color w:val="auto"/>
              </w:rPr>
            </w:pPr>
          </w:p>
        </w:tc>
        <w:tc>
          <w:tcPr>
            <w:tcW w:w="158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Pr>
          <w:p>
            <w:pPr>
              <w:spacing w:after="0"/>
              <w:rPr>
                <w:sz w:val="18"/>
                <w:szCs w:val="18"/>
                <w:color w:val="auto"/>
              </w:rPr>
            </w:pPr>
          </w:p>
        </w:tc>
        <w:tc>
          <w:tcPr>
            <w:tcW w:w="158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197"/>
        </w:trPr>
        <w:tc>
          <w:tcPr>
            <w:tcW w:w="79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Weighted average remaining lease term (in years):</w:t>
            </w: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19"/>
        </w:trPr>
        <w:tc>
          <w:tcPr>
            <w:tcW w:w="7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Finance leases</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r>
      <w:tr>
        <w:trPr>
          <w:trHeight w:val="213"/>
        </w:trPr>
        <w:tc>
          <w:tcPr>
            <w:tcW w:w="7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Operating leases</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r>
      <w:tr>
        <w:trPr>
          <w:trHeight w:val="219"/>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Weighted average discount rate:</w:t>
            </w: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r>
      <w:tr>
        <w:trPr>
          <w:trHeight w:val="213"/>
        </w:trPr>
        <w:tc>
          <w:tcPr>
            <w:tcW w:w="7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Finance leases</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4.9 %</w:t>
            </w:r>
          </w:p>
        </w:tc>
        <w:tc>
          <w:tcPr>
            <w:tcW w:w="1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4.9 %</w:t>
            </w:r>
          </w:p>
        </w:tc>
      </w:tr>
      <w:tr>
        <w:trPr>
          <w:trHeight w:val="219"/>
        </w:trPr>
        <w:tc>
          <w:tcPr>
            <w:tcW w:w="7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Operating leases</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5.3 %</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5.2 %</w:t>
            </w:r>
          </w:p>
        </w:tc>
      </w:tr>
    </w:tbl>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10 – Stockholders' Equity</w:t>
      </w:r>
    </w:p>
    <w:p>
      <w:pPr>
        <w:spacing w:after="0" w:line="1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Share Activity</w:t>
      </w:r>
    </w:p>
    <w:p>
      <w:pPr>
        <w:spacing w:after="0" w:line="117"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The Company’s share repurchase program provides for the repurchase, from time to time, of MasTec common shares in open market transactions or in privately negotiated transactions in accordance with applicable securities laws. There were no share repurchases under the Company’s share repurchase program for the nine months ended September 30, 2026. For the nine months ended September 30, 2025, the Company repurchased 0.7 million shares of its common stock for an aggregate purchase price totaling $77.3 million, which completed the Company’s $150 million March 2020 share repurchase program. As of September 30, 2026, the full amount under the Company’s May 2025 $250 million share repurchase program remains available for future repurchases. The Company’s share repurchase program does not have an expiration date and may be modified or suspended at any time at the Company’s discretion.</w:t>
      </w:r>
    </w:p>
    <w:p>
      <w:pPr>
        <w:spacing w:after="0" w:line="73"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On July 20, 2026, the Company reissued 1,219,498 shares held in treasury as part of the consideration transferred in the acquisition of Superior. The shares had a cost basis of $43.8 million. During the second quarter of 2026, the Company reissued 67,592 shares of its treasury stock with a cost basis of $2.4 million in settlement of certain Additional Payments in connection with the HMG acquisition. For additional information related to shares issued for acquisitions, see Note 3 – Acquisitions, Goodwill and Other Intangible Assets, Net.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22" w:name="page23"/>
    <w:bookmarkEnd w:id="22"/>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Stock-Based Compensation</w:t>
      </w:r>
    </w:p>
    <w:p>
      <w:pPr>
        <w:spacing w:after="0" w:line="11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6"/>
          <w:szCs w:val="16"/>
          <w:color w:val="auto"/>
        </w:rPr>
        <w:t>The Company has stock-based compensation plans, under which shares of the Company’s common stock are reserved for issuance. Under all stock-based compensation plans in effect as of September 30, 2026, there were approximately 3,836,000 shares available for future grants. Non-cash stock-based compensation expense under all plans totaled approximately $11.3 million and $9.3 million for the three months ended September 30, 2026 and 2025, respectively, and totaled approximately $31.0 million and $25.6 million for the nine months ended September 30, 2026 and 2025, respectively. Income tax benefits associated with stock-based compensation arrangements totaled $2.0 million and $2.5 million for the three months ended September 30, 2026 and 2025, respectively. For the nine months ended September 30, 2026 and 2025, income tax benefits totaled $8.5 million and $5.8 million, respectively, including net tax benefits related to the vesting of share-based payment awards totaling $2.6 million and $1.3 million for the respective periods.</w:t>
      </w:r>
    </w:p>
    <w:p>
      <w:pPr>
        <w:spacing w:after="0" w:line="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Restricted Shares</w:t>
      </w:r>
    </w:p>
    <w:p>
      <w:pPr>
        <w:spacing w:after="0" w:line="13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6"/>
          <w:szCs w:val="16"/>
          <w:color w:val="auto"/>
        </w:rPr>
        <w:t>MasTec grants restricted stock awards and restricted stock units (together, “restricted shares”) to eligible participants, which are valued based on the closing market share price of MasTec common stock on the date of grant. During the restriction period, holders of restricted stock awards are entitled to vote the shares. As of September 30, 2026, total unearned compensation related to restricted shares was approximately $73.0 million, which amount is expected to be recognized over a weighted average period of approximately 2.1 years. The fair value of restricted shares that vested totaled approximately $0.5 million and $6.4 million for the three months ended September 30, 2026 and 2025, respectively, and totaled approximately $59.3 million and $27.7 million for the nine months ended September 30, 2026 and 2025, respectively.</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20" w:type="dxa"/>
            <w:vAlign w:val="bottom"/>
          </w:tcPr>
          <w:p>
            <w:pPr>
              <w:spacing w:after="0"/>
              <w:rPr>
                <w:sz w:val="16"/>
                <w:szCs w:val="16"/>
                <w:color w:val="auto"/>
              </w:rPr>
            </w:pPr>
          </w:p>
        </w:tc>
        <w:tc>
          <w:tcPr>
            <w:tcW w:w="15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Restricted</w:t>
            </w:r>
          </w:p>
        </w:tc>
        <w:tc>
          <w:tcPr>
            <w:tcW w:w="14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Per Share Weighted</w:t>
            </w:r>
          </w:p>
        </w:tc>
        <w:tc>
          <w:tcPr>
            <w:tcW w:w="0" w:type="dxa"/>
            <w:vAlign w:val="bottom"/>
          </w:tcPr>
          <w:p>
            <w:pPr>
              <w:spacing w:after="0"/>
              <w:rPr>
                <w:sz w:val="1"/>
                <w:szCs w:val="1"/>
                <w:color w:val="auto"/>
              </w:rPr>
            </w:pPr>
          </w:p>
        </w:tc>
      </w:tr>
      <w:tr>
        <w:trPr>
          <w:trHeight w:val="162"/>
        </w:trPr>
        <w:tc>
          <w:tcPr>
            <w:tcW w:w="822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 xml:space="preserve">Activity, restricted shares: </w:t>
            </w:r>
            <w:r>
              <w:rPr>
                <w:rFonts w:ascii="Times New Roman" w:cs="Times New Roman" w:eastAsia="Times New Roman" w:hAnsi="Times New Roman"/>
                <w:sz w:val="21"/>
                <w:szCs w:val="21"/>
                <w:b w:val="1"/>
                <w:bCs w:val="1"/>
                <w:color w:val="auto"/>
                <w:vertAlign w:val="superscript"/>
              </w:rPr>
              <w:t>(a)</w:t>
            </w:r>
          </w:p>
        </w:tc>
        <w:tc>
          <w:tcPr>
            <w:tcW w:w="1560" w:type="dxa"/>
            <w:vAlign w:val="bottom"/>
            <w:gridSpan w:val="2"/>
            <w:vMerge w:val="continue"/>
          </w:tcPr>
          <w:p>
            <w:pPr>
              <w:spacing w:after="0"/>
              <w:rPr>
                <w:sz w:val="14"/>
                <w:szCs w:val="14"/>
                <w:color w:val="auto"/>
              </w:rPr>
            </w:pPr>
          </w:p>
        </w:tc>
        <w:tc>
          <w:tcPr>
            <w:tcW w:w="1460" w:type="dxa"/>
            <w:vAlign w:val="bottom"/>
            <w:gridSpan w:val="2"/>
          </w:tcPr>
          <w:p>
            <w:pPr>
              <w:ind w:left="40"/>
              <w:spacing w:after="0" w:line="162" w:lineRule="exact"/>
              <w:rPr>
                <w:sz w:val="20"/>
                <w:szCs w:val="20"/>
                <w:color w:val="auto"/>
              </w:rPr>
            </w:pPr>
            <w:r>
              <w:rPr>
                <w:rFonts w:ascii="Times New Roman" w:cs="Times New Roman" w:eastAsia="Times New Roman" w:hAnsi="Times New Roman"/>
                <w:sz w:val="16"/>
                <w:szCs w:val="16"/>
                <w:b w:val="1"/>
                <w:bCs w:val="1"/>
                <w:color w:val="auto"/>
              </w:rPr>
              <w:t>Average Grant Date</w:t>
            </w:r>
          </w:p>
        </w:tc>
        <w:tc>
          <w:tcPr>
            <w:tcW w:w="0" w:type="dxa"/>
            <w:vAlign w:val="bottom"/>
          </w:tcPr>
          <w:p>
            <w:pPr>
              <w:spacing w:after="0"/>
              <w:rPr>
                <w:sz w:val="1"/>
                <w:szCs w:val="1"/>
                <w:color w:val="auto"/>
              </w:rPr>
            </w:pPr>
          </w:p>
        </w:tc>
      </w:tr>
      <w:tr>
        <w:trPr>
          <w:trHeight w:val="216"/>
        </w:trPr>
        <w:tc>
          <w:tcPr>
            <w:tcW w:w="8220" w:type="dxa"/>
            <w:vAlign w:val="bottom"/>
            <w:vMerge w:val="continue"/>
          </w:tcPr>
          <w:p>
            <w:pPr>
              <w:spacing w:after="0"/>
              <w:rPr>
                <w:sz w:val="18"/>
                <w:szCs w:val="18"/>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240" w:type="dxa"/>
            <w:vAlign w:val="bottom"/>
          </w:tcPr>
          <w:p>
            <w:pPr>
              <w:spacing w:after="0"/>
              <w:rPr>
                <w:sz w:val="18"/>
                <w:szCs w:val="18"/>
                <w:color w:val="auto"/>
              </w:rPr>
            </w:pPr>
          </w:p>
        </w:tc>
        <w:tc>
          <w:tcPr>
            <w:tcW w:w="122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0" w:type="dxa"/>
            <w:vAlign w:val="bottom"/>
          </w:tcPr>
          <w:p>
            <w:pPr>
              <w:spacing w:after="0"/>
              <w:rPr>
                <w:sz w:val="1"/>
                <w:szCs w:val="1"/>
                <w:color w:val="auto"/>
              </w:rPr>
            </w:pPr>
          </w:p>
        </w:tc>
      </w:tr>
      <w:tr>
        <w:trPr>
          <w:trHeight w:val="210"/>
        </w:trPr>
        <w:tc>
          <w:tcPr>
            <w:tcW w:w="8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Non-vested restricted shares, as of December 31, 2025</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1,038,778</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92.26</w:t>
            </w:r>
          </w:p>
        </w:tc>
        <w:tc>
          <w:tcPr>
            <w:tcW w:w="0" w:type="dxa"/>
            <w:vAlign w:val="bottom"/>
          </w:tcPr>
          <w:p>
            <w:pPr>
              <w:spacing w:after="0"/>
              <w:rPr>
                <w:sz w:val="1"/>
                <w:szCs w:val="1"/>
                <w:color w:val="auto"/>
              </w:rPr>
            </w:pPr>
          </w:p>
        </w:tc>
      </w:tr>
      <w:tr>
        <w:trPr>
          <w:trHeight w:val="207"/>
        </w:trPr>
        <w:tc>
          <w:tcPr>
            <w:tcW w:w="82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Granted</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199,194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303.78</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Vested</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(198,302)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99.53</w:t>
            </w:r>
          </w:p>
        </w:tc>
        <w:tc>
          <w:tcPr>
            <w:tcW w:w="0" w:type="dxa"/>
            <w:vAlign w:val="bottom"/>
          </w:tcPr>
          <w:p>
            <w:pPr>
              <w:spacing w:after="0"/>
              <w:rPr>
                <w:sz w:val="1"/>
                <w:szCs w:val="1"/>
                <w:color w:val="auto"/>
              </w:rPr>
            </w:pPr>
          </w:p>
        </w:tc>
      </w:tr>
      <w:tr>
        <w:trPr>
          <w:trHeight w:val="213"/>
        </w:trPr>
        <w:tc>
          <w:tcPr>
            <w:tcW w:w="82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Canceled/forfeited</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(20,972)</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115.10</w:t>
            </w:r>
          </w:p>
        </w:tc>
        <w:tc>
          <w:tcPr>
            <w:tcW w:w="0" w:type="dxa"/>
            <w:vAlign w:val="bottom"/>
          </w:tcPr>
          <w:p>
            <w:pPr>
              <w:spacing w:after="0"/>
              <w:rPr>
                <w:sz w:val="1"/>
                <w:szCs w:val="1"/>
                <w:color w:val="auto"/>
              </w:rPr>
            </w:pPr>
          </w:p>
        </w:tc>
      </w:tr>
      <w:tr>
        <w:trPr>
          <w:trHeight w:val="210"/>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Non-vested restricted shares, as of September 30, 2026</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1,018,698</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131.73</w:t>
            </w: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320" w:hanging="312"/>
        <w:spacing w:after="0"/>
        <w:tabs>
          <w:tab w:leader="none" w:pos="3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131 restricted stock units as of September 30, 2026; none were outstanding as of December 31, 2025.</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11 – Income Taxes</w:t>
      </w:r>
    </w:p>
    <w:p>
      <w:pPr>
        <w:spacing w:after="0" w:line="11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6"/>
          <w:szCs w:val="16"/>
          <w:color w:val="auto"/>
        </w:rPr>
        <w:t>In determining the quarterly provision for income taxes, management uses an estimated annual effective tax rate based on forecasted annual pre-tax income, permanent tax differences, statutory tax rates and tax planning opportunities in the various jurisdictions in which the Company operates. The effect of significant discrete items is separately recognized in the quarter(s) in which they occur. The Company’s consolidated effective tax rates were 23.8% and 21.3% for the three months ended September 30, 2026 and 2025, respectively, and 24.2% and 21.2% for the nine months ended September 30, 2026 and 2025, respectively. The Company’s effective tax rate for the nine months ended September 30, 2026 included income tax benefits primarily due to the vesting of share-based payment awards and return-to-provision adjustments resulting from the finalization of the Company’s 2025 federal tax return, offset, in part, by the effects of a higher state income tax rate. For the nine months ended September 30, 2025, the Company’s effective tax rate included income tax benefits primarily due to the reversal of uncertain tax position liabilities related to a state audit and the release of valuation allowances on certain deferred tax assets that were no longer necessary, offset, in part, by an increase in income tax expense due to higher pre-tax income.</w:t>
      </w:r>
    </w:p>
    <w:p>
      <w:pPr>
        <w:spacing w:after="0" w:line="287"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16"/>
          <w:szCs w:val="16"/>
          <w:color w:val="auto"/>
        </w:rPr>
        <w:t>On July 4, 2025, new tax legislation was signed into law, known as the One Big Beautiful Bill Act (the “OBBBA”), which makes changes to certain U.S. corporate tax provisions, many of which become effective later in 2026 and thereafter. The Company has undertaken efforts to reasonably estimate the impact of the provisions of the new law and expects that there will be no material impact on the consolidated financial statements.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12 – Segments and Related Information</w:t>
      </w:r>
    </w:p>
    <w:p>
      <w:pPr>
        <w:spacing w:after="0" w:line="11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Segment Discussion</w:t>
      </w:r>
    </w:p>
    <w:p>
      <w:pPr>
        <w:spacing w:after="0" w:line="13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6"/>
          <w:szCs w:val="16"/>
          <w:color w:val="auto"/>
        </w:rPr>
        <w:t>The Company manages its operations under five operating segments, which represent its five reportable segments: (1) Communications; (2) Clean Energy and Infrastructure; (3) Power Delivery; (4) Pipeline Infrastructure and (5) Other. The reportable segments comprise the structure used by the Company’s Chief Executive Officer who is determined to be the Chief Operating Decision Maker (“CODM”) to make key operating decisions and assess performance. This structure is generally focused on broad end-user markets for the Company’s labor-based construction services. All five reportable segments derive their revenue primarily from the engineering, installation and maintenance of infrastructure, primarily in North America.</w:t>
      </w:r>
    </w:p>
    <w:p>
      <w:pPr>
        <w:spacing w:after="0" w:line="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color w:val="auto"/>
        </w:rPr>
        <w:t>The Communications segment performs engineering, construction, maintenance and customer fulfillment activities related to communications and digital infrastructure, primarily for wireless and wireline/fiber networks, data center buildout and interconnection, wireless integration and optimization and install-to-the-home services, as well as select utility infrastructure, among others. The Clean Energy and Infrastructure segment primarily serves energy, utility, government and other end-markets through the installation and construction of power generation facilities, primarily from clean energy and renewable sources, such as wind, solar, biomass, natural gas and hydrogen, as well as battery storage systems for renewable energy; various types of heavy civil and industrial infrastructure services, including the construction and maintenance of buildings, roads, bridges, rail, water/sewer systems and other civil infrastructure, including data center infrastructure; and environmental remediation services. The Power Delivery segment primarily serves the energy, utility and data center infrastructure industries through the</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23" w:name="page24"/>
    <w:bookmarkEnd w:id="23"/>
    <w:p>
      <w:pPr>
        <w:jc w:val="both"/>
        <w:spacing w:after="0" w:line="258" w:lineRule="auto"/>
        <w:rPr>
          <w:sz w:val="20"/>
          <w:szCs w:val="20"/>
          <w:color w:val="auto"/>
        </w:rPr>
      </w:pPr>
      <w:r>
        <w:rPr>
          <w:rFonts w:ascii="Times New Roman" w:cs="Times New Roman" w:eastAsia="Times New Roman" w:hAnsi="Times New Roman"/>
          <w:sz w:val="16"/>
          <w:szCs w:val="16"/>
          <w:color w:val="auto"/>
        </w:rPr>
        <w:t>engineering, large load electrical contracting, construction and maintenance of power transmission and distribution infrastructure, including electrical and gas lines, power reserve and battery infrastructure, and distribution network systems, substations and grid modernization; emergency restoration services following natural disasters and accidents; and environmental planning and compliance services. The Pipeline Infrastructure segment performs engineering, construction, maintenance and other services for pipeline infrastructure, including natural gas, water and carbon capture sequestration pipelines, as well as pipeline integrity, including the repair of pipeline infrastructure and facilitating their safe use throughout their lifecycle, and other services for the energy and utilities industries. The Other segment includes certain equity investees, the services of which may vary from those provided by the Company’s primary segments, as well as other small business units with activities in certain international end-markets.</w:t>
      </w:r>
    </w:p>
    <w:p>
      <w:pPr>
        <w:spacing w:after="0" w:line="28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6"/>
          <w:szCs w:val="16"/>
          <w:color w:val="auto"/>
        </w:rPr>
        <w:t>EBITDA is the measure of profitability used by the Company’s CODM to manage its segments and for segment reporting purposes. The Company uses EBITDA to evaluate its performance, both internally and as compared with its peers, because it excludes certain items that may not be indicative of the Company’s core operating results for its reportable segments, as well as items that can vary widely across different industries or among companies within the same industry. Segment EBITDA is used to allocate resources, such as employees, financial and capital resources, for each segment and management monitors segment results compared to prior period, forecasted results and the annual plan. Segment EBITDA is calculated in a manner consistent with consolidated EBITDA.</w:t>
      </w:r>
    </w:p>
    <w:p>
      <w:pPr>
        <w:spacing w:after="0" w:line="87"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6"/>
          <w:szCs w:val="16"/>
          <w:color w:val="auto"/>
        </w:rPr>
        <w:t>In the normal course of business, the Company’s reportable segments enter into transactions with one another. Intersegment transactions are reflected in the results of the respective segments and are included in the measure of segment performance reviewed by the Company’s CODM to evaluate performance and profitability and to allocate resources for each of the Company’s reportable segments; accordingly, eliminations and adjustments related to intersegment transactions are separately presented as “Eliminations” in the tables below. Intersegment revenues and expenses are accounted for as if the transactions were with third parties, as they are based on negotiated fees between the segments involved. All intersegment revenues and expenses are eliminated in consolidation and do not affect consolidated results.</w:t>
      </w:r>
    </w:p>
    <w:p>
      <w:pPr>
        <w:spacing w:after="0" w:line="87"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6"/>
          <w:szCs w:val="16"/>
          <w:color w:val="auto"/>
        </w:rPr>
        <w:t>The Company incurred restructuring charges of $7.1 million during the three months ended September 30, 2026, which were primarily recorded within general and administrative expenses. These charges consisted primarily of employee separation costs, lease termination and related charges, consulting fees, and other direct costs incurred as a result of restructuring activities. The charges were incurred by the Communications segment as part of initiatives to rightsize the operational support model and rationalize select markets that do not align with the Company’s longer-term growth and margin objectives. As of September 30, 2026, a restructuring liability of $2.1 million was included within other accrued expenses.</w:t>
      </w:r>
    </w:p>
    <w:p>
      <w:pPr>
        <w:spacing w:after="0" w:line="87"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Summarized financial information for MasTec’s reportable segments is presented and reconciled to consolidated financial information for total MasTec in the following tables, including a reconciliation of segment EBITDA to consolidated income before income taxes, all of which are presented in millions. The tables below, which may contain slight summation differences due to rounding, reflect certain financial data for each reportable segment.</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Clean Energy</w:t>
            </w:r>
          </w:p>
        </w:tc>
        <w:tc>
          <w:tcPr>
            <w:tcW w:w="120" w:type="dxa"/>
            <w:vAlign w:val="bottom"/>
          </w:tcPr>
          <w:p>
            <w:pPr>
              <w:spacing w:after="0"/>
              <w:rPr>
                <w:sz w:val="16"/>
                <w:szCs w:val="16"/>
                <w:color w:val="auto"/>
              </w:rPr>
            </w:pPr>
          </w:p>
        </w:tc>
        <w:tc>
          <w:tcPr>
            <w:tcW w:w="8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Power</w:t>
            </w:r>
          </w:p>
        </w:tc>
        <w:tc>
          <w:tcPr>
            <w:tcW w:w="120" w:type="dxa"/>
            <w:vAlign w:val="bottom"/>
          </w:tcPr>
          <w:p>
            <w:pPr>
              <w:spacing w:after="0"/>
              <w:rPr>
                <w:sz w:val="16"/>
                <w:szCs w:val="16"/>
                <w:color w:val="auto"/>
              </w:rPr>
            </w:pPr>
          </w:p>
        </w:tc>
        <w:tc>
          <w:tcPr>
            <w:tcW w:w="12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Pipeline</w:t>
            </w: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162"/>
        </w:trPr>
        <w:tc>
          <w:tcPr>
            <w:tcW w:w="290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20" w:type="dxa"/>
            <w:vAlign w:val="bottom"/>
          </w:tcPr>
          <w:p>
            <w:pPr>
              <w:spacing w:after="0"/>
              <w:rPr>
                <w:sz w:val="14"/>
                <w:szCs w:val="14"/>
                <w:color w:val="auto"/>
              </w:rPr>
            </w:pPr>
          </w:p>
        </w:tc>
        <w:tc>
          <w:tcPr>
            <w:tcW w:w="14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Communications</w:t>
            </w:r>
          </w:p>
        </w:tc>
        <w:tc>
          <w:tcPr>
            <w:tcW w:w="120" w:type="dxa"/>
            <w:vAlign w:val="bottom"/>
          </w:tcPr>
          <w:p>
            <w:pPr>
              <w:spacing w:after="0"/>
              <w:rPr>
                <w:sz w:val="14"/>
                <w:szCs w:val="14"/>
                <w:color w:val="auto"/>
              </w:rPr>
            </w:pPr>
          </w:p>
        </w:tc>
        <w:tc>
          <w:tcPr>
            <w:tcW w:w="1240" w:type="dxa"/>
            <w:vAlign w:val="bottom"/>
            <w:gridSpan w:val="2"/>
          </w:tcPr>
          <w:p>
            <w:pPr>
              <w:jc w:val="center"/>
              <w:ind w:right="180"/>
              <w:spacing w:after="0" w:line="162" w:lineRule="exact"/>
              <w:rPr>
                <w:sz w:val="20"/>
                <w:szCs w:val="20"/>
                <w:color w:val="auto"/>
              </w:rPr>
            </w:pPr>
            <w:r>
              <w:rPr>
                <w:rFonts w:ascii="Times New Roman" w:cs="Times New Roman" w:eastAsia="Times New Roman" w:hAnsi="Times New Roman"/>
                <w:sz w:val="16"/>
                <w:szCs w:val="16"/>
                <w:b w:val="1"/>
                <w:bCs w:val="1"/>
                <w:color w:val="auto"/>
              </w:rPr>
              <w:t>and</w:t>
            </w:r>
          </w:p>
        </w:tc>
        <w:tc>
          <w:tcPr>
            <w:tcW w:w="12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00" w:type="dxa"/>
            <w:vAlign w:val="bottom"/>
          </w:tcPr>
          <w:p>
            <w:pPr>
              <w:spacing w:after="0"/>
              <w:rPr>
                <w:sz w:val="14"/>
                <w:szCs w:val="14"/>
                <w:color w:val="auto"/>
              </w:rPr>
            </w:pPr>
          </w:p>
        </w:tc>
        <w:tc>
          <w:tcPr>
            <w:tcW w:w="1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Eliminations</w:t>
            </w:r>
          </w:p>
        </w:tc>
        <w:tc>
          <w:tcPr>
            <w:tcW w:w="100" w:type="dxa"/>
            <w:vAlign w:val="bottom"/>
          </w:tcPr>
          <w:p>
            <w:pPr>
              <w:spacing w:after="0"/>
              <w:rPr>
                <w:sz w:val="14"/>
                <w:szCs w:val="14"/>
                <w:color w:val="auto"/>
              </w:rPr>
            </w:pPr>
          </w:p>
        </w:tc>
        <w:tc>
          <w:tcPr>
            <w:tcW w:w="920" w:type="dxa"/>
            <w:vAlign w:val="bottom"/>
          </w:tcPr>
          <w:p>
            <w:pPr>
              <w:jc w:val="center"/>
              <w:ind w:right="19"/>
              <w:spacing w:after="0" w:line="162" w:lineRule="exact"/>
              <w:rPr>
                <w:sz w:val="20"/>
                <w:szCs w:val="20"/>
                <w:color w:val="auto"/>
              </w:rPr>
            </w:pPr>
            <w:r>
              <w:rPr>
                <w:rFonts w:ascii="Times New Roman" w:cs="Times New Roman" w:eastAsia="Times New Roman" w:hAnsi="Times New Roman"/>
                <w:sz w:val="16"/>
                <w:szCs w:val="16"/>
                <w:b w:val="1"/>
                <w:bCs w:val="1"/>
                <w:color w:val="auto"/>
              </w:rPr>
              <w:t>Reportable</w:t>
            </w:r>
          </w:p>
        </w:tc>
        <w:tc>
          <w:tcPr>
            <w:tcW w:w="0" w:type="dxa"/>
            <w:vAlign w:val="bottom"/>
          </w:tcPr>
          <w:p>
            <w:pPr>
              <w:spacing w:after="0"/>
              <w:rPr>
                <w:sz w:val="1"/>
                <w:szCs w:val="1"/>
                <w:color w:val="auto"/>
              </w:rPr>
            </w:pPr>
          </w:p>
        </w:tc>
      </w:tr>
      <w:tr>
        <w:trPr>
          <w:trHeight w:val="214"/>
        </w:trPr>
        <w:tc>
          <w:tcPr>
            <w:tcW w:w="29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Infrastructure</w:t>
            </w:r>
          </w:p>
        </w:tc>
        <w:tc>
          <w:tcPr>
            <w:tcW w:w="120" w:type="dxa"/>
            <w:vAlign w:val="bottom"/>
          </w:tcPr>
          <w:p>
            <w:pPr>
              <w:spacing w:after="0"/>
              <w:rPr>
                <w:sz w:val="18"/>
                <w:szCs w:val="18"/>
                <w:color w:val="auto"/>
              </w:rPr>
            </w:pPr>
          </w:p>
        </w:tc>
        <w:tc>
          <w:tcPr>
            <w:tcW w:w="8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Delivery</w:t>
            </w:r>
          </w:p>
        </w:tc>
        <w:tc>
          <w:tcPr>
            <w:tcW w:w="120" w:type="dxa"/>
            <w:vAlign w:val="bottom"/>
          </w:tcPr>
          <w:p>
            <w:pPr>
              <w:spacing w:after="0"/>
              <w:rPr>
                <w:sz w:val="18"/>
                <w:szCs w:val="18"/>
                <w:color w:val="auto"/>
              </w:rPr>
            </w:pP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Infrastructure</w:t>
            </w:r>
          </w:p>
        </w:tc>
        <w:tc>
          <w:tcPr>
            <w:tcW w:w="140" w:type="dxa"/>
            <w:vAlign w:val="bottom"/>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Segments</w:t>
            </w:r>
          </w:p>
        </w:tc>
        <w:tc>
          <w:tcPr>
            <w:tcW w:w="0" w:type="dxa"/>
            <w:vAlign w:val="bottom"/>
          </w:tcPr>
          <w:p>
            <w:pPr>
              <w:spacing w:after="0"/>
              <w:rPr>
                <w:sz w:val="1"/>
                <w:szCs w:val="1"/>
                <w:color w:val="auto"/>
              </w:rPr>
            </w:pPr>
          </w:p>
        </w:tc>
      </w:tr>
      <w:tr>
        <w:trPr>
          <w:trHeight w:val="198"/>
        </w:trPr>
        <w:tc>
          <w:tcPr>
            <w:tcW w:w="2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90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Revenue </w:t>
            </w:r>
            <w:r>
              <w:rPr>
                <w:rFonts w:ascii="Times New Roman" w:cs="Times New Roman" w:eastAsia="Times New Roman" w:hAnsi="Times New Roman"/>
                <w:sz w:val="21"/>
                <w:szCs w:val="21"/>
                <w:color w:val="auto"/>
                <w:vertAlign w:val="superscript"/>
              </w:rPr>
              <w:t>(a)</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806.9</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1,825.9</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1,835.2</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724.1</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(39.8)</w:t>
            </w: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5,152.3</w:t>
            </w:r>
          </w:p>
        </w:tc>
        <w:tc>
          <w:tcPr>
            <w:tcW w:w="0" w:type="dxa"/>
            <w:vAlign w:val="bottom"/>
          </w:tcPr>
          <w:p>
            <w:pPr>
              <w:spacing w:after="0"/>
              <w:rPr>
                <w:sz w:val="1"/>
                <w:szCs w:val="1"/>
                <w:color w:val="auto"/>
              </w:rPr>
            </w:pPr>
          </w:p>
        </w:tc>
      </w:tr>
      <w:tr>
        <w:trPr>
          <w:trHeight w:val="162"/>
        </w:trPr>
        <w:tc>
          <w:tcPr>
            <w:tcW w:w="290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Costs of revenue, excluding depreciation</w:t>
            </w:r>
          </w:p>
        </w:tc>
        <w:tc>
          <w:tcPr>
            <w:tcW w:w="120" w:type="dxa"/>
            <w:vAlign w:val="bottom"/>
            <w:shd w:val="clear" w:color="auto" w:fill="CCEEFF"/>
          </w:tcPr>
          <w:p>
            <w:pPr>
              <w:spacing w:after="0"/>
              <w:rPr>
                <w:sz w:val="14"/>
                <w:szCs w:val="14"/>
                <w:color w:val="auto"/>
              </w:rPr>
            </w:pP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729.6</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1,603.4</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1,566.5</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633.9</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4,490.9</w:t>
            </w:r>
          </w:p>
        </w:tc>
        <w:tc>
          <w:tcPr>
            <w:tcW w:w="0" w:type="dxa"/>
            <w:vAlign w:val="bottom"/>
          </w:tcPr>
          <w:p>
            <w:pPr>
              <w:spacing w:after="0"/>
              <w:rPr>
                <w:sz w:val="1"/>
                <w:szCs w:val="1"/>
                <w:color w:val="auto"/>
              </w:rPr>
            </w:pPr>
          </w:p>
        </w:tc>
      </w:tr>
      <w:tr>
        <w:trPr>
          <w:trHeight w:val="216"/>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and amortization</w:t>
            </w:r>
          </w:p>
        </w:tc>
        <w:tc>
          <w:tcPr>
            <w:tcW w:w="120" w:type="dxa"/>
            <w:vAlign w:val="bottom"/>
            <w:shd w:val="clear" w:color="auto" w:fill="CCEEFF"/>
          </w:tcPr>
          <w:p>
            <w:pPr>
              <w:spacing w:after="0"/>
              <w:rPr>
                <w:sz w:val="18"/>
                <w:szCs w:val="18"/>
                <w:color w:val="auto"/>
              </w:rPr>
            </w:pPr>
          </w:p>
        </w:tc>
        <w:tc>
          <w:tcPr>
            <w:tcW w:w="13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Other segment items </w:t>
            </w:r>
            <w:r>
              <w:rPr>
                <w:rFonts w:ascii="Times New Roman" w:cs="Times New Roman" w:eastAsia="Times New Roman" w:hAnsi="Times New Roman"/>
                <w:sz w:val="21"/>
                <w:szCs w:val="21"/>
                <w:color w:val="auto"/>
                <w:vertAlign w:val="superscript"/>
              </w:rPr>
              <w:t>(b)</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128.8</w:t>
            </w:r>
          </w:p>
        </w:tc>
        <w:tc>
          <w:tcPr>
            <w:tcW w:w="0" w:type="dxa"/>
            <w:vAlign w:val="bottom"/>
          </w:tcPr>
          <w:p>
            <w:pPr>
              <w:spacing w:after="0"/>
              <w:rPr>
                <w:sz w:val="1"/>
                <w:szCs w:val="1"/>
                <w:color w:val="auto"/>
              </w:rPr>
            </w:pPr>
          </w:p>
        </w:tc>
      </w:tr>
      <w:tr>
        <w:trPr>
          <w:trHeight w:val="207"/>
        </w:trPr>
        <w:tc>
          <w:tcPr>
            <w:tcW w:w="290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EBITDA</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54.0</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149.3</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241.5</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75.1</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532.6</w:t>
            </w:r>
          </w:p>
        </w:tc>
        <w:tc>
          <w:tcPr>
            <w:tcW w:w="0" w:type="dxa"/>
            <w:vAlign w:val="bottom"/>
          </w:tcPr>
          <w:p>
            <w:pPr>
              <w:spacing w:after="0"/>
              <w:rPr>
                <w:sz w:val="1"/>
                <w:szCs w:val="1"/>
                <w:color w:val="auto"/>
              </w:rPr>
            </w:pPr>
          </w:p>
        </w:tc>
      </w:tr>
      <w:tr>
        <w:trPr>
          <w:trHeight w:val="239"/>
        </w:trPr>
        <w:tc>
          <w:tcPr>
            <w:tcW w:w="2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Revenue </w:t>
            </w:r>
            <w:r>
              <w:rPr>
                <w:rFonts w:ascii="Times New Roman" w:cs="Times New Roman" w:eastAsia="Times New Roman" w:hAnsi="Times New Roman"/>
                <w:sz w:val="21"/>
                <w:szCs w:val="21"/>
                <w:color w:val="auto"/>
                <w:vertAlign w:val="superscript"/>
              </w:rPr>
              <w:t>(a)</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914.6</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1,364.1</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1,110.7</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597.8</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w:t>
            </w: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3,966.9</w:t>
            </w:r>
          </w:p>
        </w:tc>
        <w:tc>
          <w:tcPr>
            <w:tcW w:w="0" w:type="dxa"/>
            <w:vAlign w:val="bottom"/>
          </w:tcPr>
          <w:p>
            <w:pPr>
              <w:spacing w:after="0"/>
              <w:rPr>
                <w:sz w:val="1"/>
                <w:szCs w:val="1"/>
                <w:color w:val="auto"/>
              </w:rPr>
            </w:pPr>
          </w:p>
        </w:tc>
      </w:tr>
      <w:tr>
        <w:trPr>
          <w:trHeight w:val="162"/>
        </w:trPr>
        <w:tc>
          <w:tcPr>
            <w:tcW w:w="290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Costs of revenue, excluding depreciation</w:t>
            </w:r>
          </w:p>
        </w:tc>
        <w:tc>
          <w:tcPr>
            <w:tcW w:w="120" w:type="dxa"/>
            <w:vAlign w:val="bottom"/>
            <w:shd w:val="clear" w:color="auto" w:fill="CCEEFF"/>
          </w:tcPr>
          <w:p>
            <w:pPr>
              <w:spacing w:after="0"/>
              <w:rPr>
                <w:sz w:val="14"/>
                <w:szCs w:val="14"/>
                <w:color w:val="auto"/>
              </w:rPr>
            </w:pP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794.3</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1,197.9</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966.2</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490.6</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3,428.7</w:t>
            </w:r>
          </w:p>
        </w:tc>
        <w:tc>
          <w:tcPr>
            <w:tcW w:w="0" w:type="dxa"/>
            <w:vAlign w:val="bottom"/>
          </w:tcPr>
          <w:p>
            <w:pPr>
              <w:spacing w:after="0"/>
              <w:rPr>
                <w:sz w:val="1"/>
                <w:szCs w:val="1"/>
                <w:color w:val="auto"/>
              </w:rPr>
            </w:pPr>
          </w:p>
        </w:tc>
      </w:tr>
      <w:tr>
        <w:trPr>
          <w:trHeight w:val="216"/>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and amortization</w:t>
            </w:r>
          </w:p>
        </w:tc>
        <w:tc>
          <w:tcPr>
            <w:tcW w:w="120" w:type="dxa"/>
            <w:vAlign w:val="bottom"/>
            <w:shd w:val="clear" w:color="auto" w:fill="CCEEFF"/>
          </w:tcPr>
          <w:p>
            <w:pPr>
              <w:spacing w:after="0"/>
              <w:rPr>
                <w:sz w:val="18"/>
                <w:szCs w:val="18"/>
                <w:color w:val="auto"/>
              </w:rPr>
            </w:pPr>
          </w:p>
        </w:tc>
        <w:tc>
          <w:tcPr>
            <w:tcW w:w="13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Other segment items </w:t>
            </w:r>
            <w:r>
              <w:rPr>
                <w:rFonts w:ascii="Times New Roman" w:cs="Times New Roman" w:eastAsia="Times New Roman" w:hAnsi="Times New Roman"/>
                <w:sz w:val="21"/>
                <w:szCs w:val="21"/>
                <w:color w:val="auto"/>
                <w:vertAlign w:val="superscript"/>
              </w:rPr>
              <w:t>(b)</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116.4</w:t>
            </w:r>
          </w:p>
        </w:tc>
        <w:tc>
          <w:tcPr>
            <w:tcW w:w="0" w:type="dxa"/>
            <w:vAlign w:val="bottom"/>
          </w:tcPr>
          <w:p>
            <w:pPr>
              <w:spacing w:after="0"/>
              <w:rPr>
                <w:sz w:val="1"/>
                <w:szCs w:val="1"/>
                <w:color w:val="auto"/>
              </w:rPr>
            </w:pPr>
          </w:p>
        </w:tc>
      </w:tr>
      <w:tr>
        <w:trPr>
          <w:trHeight w:val="207"/>
        </w:trPr>
        <w:tc>
          <w:tcPr>
            <w:tcW w:w="290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EBITDA</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103.0</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115.4</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104.3</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92.0</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421.8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184"/>
        </w:trPr>
        <w:tc>
          <w:tcPr>
            <w:tcW w:w="2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Clean Energy</w:t>
            </w:r>
          </w:p>
        </w:tc>
        <w:tc>
          <w:tcPr>
            <w:tcW w:w="120" w:type="dxa"/>
            <w:vAlign w:val="bottom"/>
          </w:tcPr>
          <w:p>
            <w:pPr>
              <w:spacing w:after="0"/>
              <w:rPr>
                <w:sz w:val="16"/>
                <w:szCs w:val="16"/>
                <w:color w:val="auto"/>
              </w:rPr>
            </w:pPr>
          </w:p>
        </w:tc>
        <w:tc>
          <w:tcPr>
            <w:tcW w:w="8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Power</w:t>
            </w:r>
          </w:p>
        </w:tc>
        <w:tc>
          <w:tcPr>
            <w:tcW w:w="120" w:type="dxa"/>
            <w:vAlign w:val="bottom"/>
          </w:tcPr>
          <w:p>
            <w:pPr>
              <w:spacing w:after="0"/>
              <w:rPr>
                <w:sz w:val="16"/>
                <w:szCs w:val="16"/>
                <w:color w:val="auto"/>
              </w:rPr>
            </w:pPr>
          </w:p>
        </w:tc>
        <w:tc>
          <w:tcPr>
            <w:tcW w:w="12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Pipeline</w:t>
            </w: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162"/>
        </w:trPr>
        <w:tc>
          <w:tcPr>
            <w:tcW w:w="290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120" w:type="dxa"/>
            <w:vAlign w:val="bottom"/>
          </w:tcPr>
          <w:p>
            <w:pPr>
              <w:spacing w:after="0"/>
              <w:rPr>
                <w:sz w:val="14"/>
                <w:szCs w:val="14"/>
                <w:color w:val="auto"/>
              </w:rPr>
            </w:pPr>
          </w:p>
        </w:tc>
        <w:tc>
          <w:tcPr>
            <w:tcW w:w="14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Communications</w:t>
            </w:r>
          </w:p>
        </w:tc>
        <w:tc>
          <w:tcPr>
            <w:tcW w:w="120" w:type="dxa"/>
            <w:vAlign w:val="bottom"/>
          </w:tcPr>
          <w:p>
            <w:pPr>
              <w:spacing w:after="0"/>
              <w:rPr>
                <w:sz w:val="14"/>
                <w:szCs w:val="14"/>
                <w:color w:val="auto"/>
              </w:rPr>
            </w:pPr>
          </w:p>
        </w:tc>
        <w:tc>
          <w:tcPr>
            <w:tcW w:w="1240" w:type="dxa"/>
            <w:vAlign w:val="bottom"/>
            <w:gridSpan w:val="2"/>
          </w:tcPr>
          <w:p>
            <w:pPr>
              <w:jc w:val="center"/>
              <w:ind w:right="180"/>
              <w:spacing w:after="0" w:line="162" w:lineRule="exact"/>
              <w:rPr>
                <w:sz w:val="20"/>
                <w:szCs w:val="20"/>
                <w:color w:val="auto"/>
              </w:rPr>
            </w:pPr>
            <w:r>
              <w:rPr>
                <w:rFonts w:ascii="Times New Roman" w:cs="Times New Roman" w:eastAsia="Times New Roman" w:hAnsi="Times New Roman"/>
                <w:sz w:val="16"/>
                <w:szCs w:val="16"/>
                <w:b w:val="1"/>
                <w:bCs w:val="1"/>
                <w:color w:val="auto"/>
              </w:rPr>
              <w:t>and</w:t>
            </w:r>
          </w:p>
        </w:tc>
        <w:tc>
          <w:tcPr>
            <w:tcW w:w="12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00" w:type="dxa"/>
            <w:vAlign w:val="bottom"/>
          </w:tcPr>
          <w:p>
            <w:pPr>
              <w:spacing w:after="0"/>
              <w:rPr>
                <w:sz w:val="14"/>
                <w:szCs w:val="14"/>
                <w:color w:val="auto"/>
              </w:rPr>
            </w:pPr>
          </w:p>
        </w:tc>
        <w:tc>
          <w:tcPr>
            <w:tcW w:w="1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Eliminations</w:t>
            </w:r>
          </w:p>
        </w:tc>
        <w:tc>
          <w:tcPr>
            <w:tcW w:w="100" w:type="dxa"/>
            <w:vAlign w:val="bottom"/>
          </w:tcPr>
          <w:p>
            <w:pPr>
              <w:spacing w:after="0"/>
              <w:rPr>
                <w:sz w:val="14"/>
                <w:szCs w:val="14"/>
                <w:color w:val="auto"/>
              </w:rPr>
            </w:pPr>
          </w:p>
        </w:tc>
        <w:tc>
          <w:tcPr>
            <w:tcW w:w="920" w:type="dxa"/>
            <w:vAlign w:val="bottom"/>
          </w:tcPr>
          <w:p>
            <w:pPr>
              <w:jc w:val="center"/>
              <w:ind w:right="19"/>
              <w:spacing w:after="0" w:line="162" w:lineRule="exact"/>
              <w:rPr>
                <w:sz w:val="20"/>
                <w:szCs w:val="20"/>
                <w:color w:val="auto"/>
              </w:rPr>
            </w:pPr>
            <w:r>
              <w:rPr>
                <w:rFonts w:ascii="Times New Roman" w:cs="Times New Roman" w:eastAsia="Times New Roman" w:hAnsi="Times New Roman"/>
                <w:sz w:val="16"/>
                <w:szCs w:val="16"/>
                <w:b w:val="1"/>
                <w:bCs w:val="1"/>
                <w:color w:val="auto"/>
              </w:rPr>
              <w:t>Reportable</w:t>
            </w:r>
          </w:p>
        </w:tc>
        <w:tc>
          <w:tcPr>
            <w:tcW w:w="0" w:type="dxa"/>
            <w:vAlign w:val="bottom"/>
          </w:tcPr>
          <w:p>
            <w:pPr>
              <w:spacing w:after="0"/>
              <w:rPr>
                <w:sz w:val="1"/>
                <w:szCs w:val="1"/>
                <w:color w:val="auto"/>
              </w:rPr>
            </w:pPr>
          </w:p>
        </w:tc>
      </w:tr>
      <w:tr>
        <w:trPr>
          <w:trHeight w:val="214"/>
        </w:trPr>
        <w:tc>
          <w:tcPr>
            <w:tcW w:w="29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Infrastructure</w:t>
            </w:r>
          </w:p>
        </w:tc>
        <w:tc>
          <w:tcPr>
            <w:tcW w:w="120" w:type="dxa"/>
            <w:vAlign w:val="bottom"/>
          </w:tcPr>
          <w:p>
            <w:pPr>
              <w:spacing w:after="0"/>
              <w:rPr>
                <w:sz w:val="18"/>
                <w:szCs w:val="18"/>
                <w:color w:val="auto"/>
              </w:rPr>
            </w:pPr>
          </w:p>
        </w:tc>
        <w:tc>
          <w:tcPr>
            <w:tcW w:w="8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Delivery</w:t>
            </w:r>
          </w:p>
        </w:tc>
        <w:tc>
          <w:tcPr>
            <w:tcW w:w="120" w:type="dxa"/>
            <w:vAlign w:val="bottom"/>
          </w:tcPr>
          <w:p>
            <w:pPr>
              <w:spacing w:after="0"/>
              <w:rPr>
                <w:sz w:val="18"/>
                <w:szCs w:val="18"/>
                <w:color w:val="auto"/>
              </w:rPr>
            </w:pP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Infrastructure</w:t>
            </w:r>
          </w:p>
        </w:tc>
        <w:tc>
          <w:tcPr>
            <w:tcW w:w="140" w:type="dxa"/>
            <w:vAlign w:val="bottom"/>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Segments</w:t>
            </w:r>
          </w:p>
        </w:tc>
        <w:tc>
          <w:tcPr>
            <w:tcW w:w="0" w:type="dxa"/>
            <w:vAlign w:val="bottom"/>
          </w:tcPr>
          <w:p>
            <w:pPr>
              <w:spacing w:after="0"/>
              <w:rPr>
                <w:sz w:val="1"/>
                <w:szCs w:val="1"/>
                <w:color w:val="auto"/>
              </w:rPr>
            </w:pPr>
          </w:p>
        </w:tc>
      </w:tr>
      <w:tr>
        <w:trPr>
          <w:trHeight w:val="198"/>
        </w:trPr>
        <w:tc>
          <w:tcPr>
            <w:tcW w:w="2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90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Revenue </w:t>
            </w:r>
            <w:r>
              <w:rPr>
                <w:rFonts w:ascii="Times New Roman" w:cs="Times New Roman" w:eastAsia="Times New Roman" w:hAnsi="Times New Roman"/>
                <w:sz w:val="21"/>
                <w:szCs w:val="21"/>
                <w:color w:val="auto"/>
                <w:vertAlign w:val="superscript"/>
              </w:rPr>
              <w:t>(a)</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2,497.9</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4,777.5</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4,127.1</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2,049.4</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(97.2)</w:t>
            </w: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13,354.7</w:t>
            </w:r>
          </w:p>
        </w:tc>
        <w:tc>
          <w:tcPr>
            <w:tcW w:w="0" w:type="dxa"/>
            <w:vAlign w:val="bottom"/>
          </w:tcPr>
          <w:p>
            <w:pPr>
              <w:spacing w:after="0"/>
              <w:rPr>
                <w:sz w:val="1"/>
                <w:szCs w:val="1"/>
                <w:color w:val="auto"/>
              </w:rPr>
            </w:pPr>
          </w:p>
        </w:tc>
      </w:tr>
      <w:tr>
        <w:trPr>
          <w:trHeight w:val="162"/>
        </w:trPr>
        <w:tc>
          <w:tcPr>
            <w:tcW w:w="290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Costs of revenue, excluding depreciation</w:t>
            </w:r>
          </w:p>
        </w:tc>
        <w:tc>
          <w:tcPr>
            <w:tcW w:w="120" w:type="dxa"/>
            <w:vAlign w:val="bottom"/>
            <w:shd w:val="clear" w:color="auto" w:fill="CCEEFF"/>
          </w:tcPr>
          <w:p>
            <w:pPr>
              <w:spacing w:after="0"/>
              <w:rPr>
                <w:sz w:val="14"/>
                <w:szCs w:val="14"/>
                <w:color w:val="auto"/>
              </w:rPr>
            </w:pP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2,263.7</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4,222.4</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3,591.8</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1,659.9</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(90.5)</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11,647.3</w:t>
            </w:r>
          </w:p>
        </w:tc>
        <w:tc>
          <w:tcPr>
            <w:tcW w:w="0" w:type="dxa"/>
            <w:vAlign w:val="bottom"/>
          </w:tcPr>
          <w:p>
            <w:pPr>
              <w:spacing w:after="0"/>
              <w:rPr>
                <w:sz w:val="1"/>
                <w:szCs w:val="1"/>
                <w:color w:val="auto"/>
              </w:rPr>
            </w:pPr>
          </w:p>
        </w:tc>
      </w:tr>
      <w:tr>
        <w:trPr>
          <w:trHeight w:val="216"/>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and amortization</w:t>
            </w:r>
          </w:p>
        </w:tc>
        <w:tc>
          <w:tcPr>
            <w:tcW w:w="120" w:type="dxa"/>
            <w:vAlign w:val="bottom"/>
            <w:shd w:val="clear" w:color="auto" w:fill="CCEEFF"/>
          </w:tcPr>
          <w:p>
            <w:pPr>
              <w:spacing w:after="0"/>
              <w:rPr>
                <w:sz w:val="18"/>
                <w:szCs w:val="18"/>
                <w:color w:val="auto"/>
              </w:rPr>
            </w:pPr>
          </w:p>
        </w:tc>
        <w:tc>
          <w:tcPr>
            <w:tcW w:w="13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Other segment items </w:t>
            </w:r>
            <w:r>
              <w:rPr>
                <w:rFonts w:ascii="Times New Roman" w:cs="Times New Roman" w:eastAsia="Times New Roman" w:hAnsi="Times New Roman"/>
                <w:sz w:val="21"/>
                <w:szCs w:val="21"/>
                <w:color w:val="auto"/>
                <w:vertAlign w:val="superscript"/>
              </w:rPr>
              <w:t>(b)</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395.6</w:t>
            </w:r>
          </w:p>
        </w:tc>
        <w:tc>
          <w:tcPr>
            <w:tcW w:w="0" w:type="dxa"/>
            <w:vAlign w:val="bottom"/>
          </w:tcPr>
          <w:p>
            <w:pPr>
              <w:spacing w:after="0"/>
              <w:rPr>
                <w:sz w:val="1"/>
                <w:szCs w:val="1"/>
                <w:color w:val="auto"/>
              </w:rPr>
            </w:pPr>
          </w:p>
        </w:tc>
      </w:tr>
      <w:tr>
        <w:trPr>
          <w:trHeight w:val="207"/>
        </w:trPr>
        <w:tc>
          <w:tcPr>
            <w:tcW w:w="290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EBITDA</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173.9</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366.4</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426.5</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338.5</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1,311.8</w:t>
            </w:r>
          </w:p>
        </w:tc>
        <w:tc>
          <w:tcPr>
            <w:tcW w:w="0" w:type="dxa"/>
            <w:vAlign w:val="bottom"/>
          </w:tcPr>
          <w:p>
            <w:pPr>
              <w:spacing w:after="0"/>
              <w:rPr>
                <w:sz w:val="1"/>
                <w:szCs w:val="1"/>
                <w:color w:val="auto"/>
              </w:rPr>
            </w:pPr>
          </w:p>
        </w:tc>
      </w:tr>
      <w:tr>
        <w:trPr>
          <w:trHeight w:val="239"/>
        </w:trPr>
        <w:tc>
          <w:tcPr>
            <w:tcW w:w="2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Revenue </w:t>
            </w:r>
            <w:r>
              <w:rPr>
                <w:rFonts w:ascii="Times New Roman" w:cs="Times New Roman" w:eastAsia="Times New Roman" w:hAnsi="Times New Roman"/>
                <w:sz w:val="21"/>
                <w:szCs w:val="21"/>
                <w:color w:val="auto"/>
                <w:vertAlign w:val="superscript"/>
              </w:rPr>
              <w:t>(a)</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2,432.3</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3,411.3</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3,056.0</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1,493.9</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(34.1)</w:t>
            </w: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10,359.4</w:t>
            </w:r>
          </w:p>
        </w:tc>
        <w:tc>
          <w:tcPr>
            <w:tcW w:w="0" w:type="dxa"/>
            <w:vAlign w:val="bottom"/>
          </w:tcPr>
          <w:p>
            <w:pPr>
              <w:spacing w:after="0"/>
              <w:rPr>
                <w:sz w:val="1"/>
                <w:szCs w:val="1"/>
                <w:color w:val="auto"/>
              </w:rPr>
            </w:pPr>
          </w:p>
        </w:tc>
      </w:tr>
      <w:tr>
        <w:trPr>
          <w:trHeight w:val="162"/>
        </w:trPr>
        <w:tc>
          <w:tcPr>
            <w:tcW w:w="290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Costs of revenue, excluding depreciation</w:t>
            </w:r>
          </w:p>
        </w:tc>
        <w:tc>
          <w:tcPr>
            <w:tcW w:w="120" w:type="dxa"/>
            <w:vAlign w:val="bottom"/>
            <w:shd w:val="clear" w:color="auto" w:fill="CCEEFF"/>
          </w:tcPr>
          <w:p>
            <w:pPr>
              <w:spacing w:after="0"/>
              <w:rPr>
                <w:sz w:val="14"/>
                <w:szCs w:val="14"/>
                <w:color w:val="auto"/>
              </w:rPr>
            </w:pP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2,143.5</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3,008.3</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2,702.9</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1,253.1</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9,073.7</w:t>
            </w:r>
          </w:p>
        </w:tc>
        <w:tc>
          <w:tcPr>
            <w:tcW w:w="0" w:type="dxa"/>
            <w:vAlign w:val="bottom"/>
          </w:tcPr>
          <w:p>
            <w:pPr>
              <w:spacing w:after="0"/>
              <w:rPr>
                <w:sz w:val="1"/>
                <w:szCs w:val="1"/>
                <w:color w:val="auto"/>
              </w:rPr>
            </w:pPr>
          </w:p>
        </w:tc>
      </w:tr>
      <w:tr>
        <w:trPr>
          <w:trHeight w:val="216"/>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and amortization</w:t>
            </w:r>
          </w:p>
        </w:tc>
        <w:tc>
          <w:tcPr>
            <w:tcW w:w="120" w:type="dxa"/>
            <w:vAlign w:val="bottom"/>
            <w:shd w:val="clear" w:color="auto" w:fill="CCEEFF"/>
          </w:tcPr>
          <w:p>
            <w:pPr>
              <w:spacing w:after="0"/>
              <w:rPr>
                <w:sz w:val="18"/>
                <w:szCs w:val="18"/>
                <w:color w:val="auto"/>
              </w:rPr>
            </w:pPr>
          </w:p>
        </w:tc>
        <w:tc>
          <w:tcPr>
            <w:tcW w:w="13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Other segment items </w:t>
            </w:r>
            <w:r>
              <w:rPr>
                <w:rFonts w:ascii="Times New Roman" w:cs="Times New Roman" w:eastAsia="Times New Roman" w:hAnsi="Times New Roman"/>
                <w:sz w:val="21"/>
                <w:szCs w:val="21"/>
                <w:color w:val="auto"/>
                <w:vertAlign w:val="superscript"/>
              </w:rPr>
              <w:t>(b)</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329.7</w:t>
            </w:r>
          </w:p>
        </w:tc>
        <w:tc>
          <w:tcPr>
            <w:tcW w:w="0" w:type="dxa"/>
            <w:vAlign w:val="bottom"/>
          </w:tcPr>
          <w:p>
            <w:pPr>
              <w:spacing w:after="0"/>
              <w:rPr>
                <w:sz w:val="1"/>
                <w:szCs w:val="1"/>
                <w:color w:val="auto"/>
              </w:rPr>
            </w:pPr>
          </w:p>
        </w:tc>
      </w:tr>
      <w:tr>
        <w:trPr>
          <w:trHeight w:val="207"/>
        </w:trPr>
        <w:tc>
          <w:tcPr>
            <w:tcW w:w="290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EBITDA</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232.4</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255.8</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246.9</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198.6</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956.1</w:t>
            </w: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340" w:right="20" w:hanging="332"/>
        <w:spacing w:after="0" w:line="301" w:lineRule="auto"/>
        <w:tabs>
          <w:tab w:leader="none" w:pos="358"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consolidated revenue equals total reportable segment revenue of $5,152.3 million and $3,966.9 million for the three months ended September 30, 2026 and 2025, respectively, and $13,354.7 million and $10,359.4 million for the nine months ended September 30, 2026 and 2025, respectively, as there is no revenue recorded within Corporate results.</w:t>
      </w:r>
    </w:p>
    <w:p>
      <w:pPr>
        <w:spacing w:after="0" w:line="1" w:lineRule="exact"/>
        <w:rPr>
          <w:rFonts w:ascii="Times New Roman" w:cs="Times New Roman" w:eastAsia="Times New Roman" w:hAnsi="Times New Roman"/>
          <w:sz w:val="14"/>
          <w:szCs w:val="14"/>
          <w:color w:val="auto"/>
        </w:rPr>
      </w:pPr>
    </w:p>
    <w:p>
      <w:pPr>
        <w:ind w:left="340" w:hanging="332"/>
        <w:spacing w:after="0" w:line="302" w:lineRule="auto"/>
        <w:tabs>
          <w:tab w:leader="none" w:pos="382"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segment items for each reportable segment include general and administrative expenses, equity in earnings from the Company’s equity method investments, and other income or expense, net.</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40" w:type="dxa"/>
            <w:vAlign w:val="bottom"/>
            <w:gridSpan w:val="5"/>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40" w:type="dxa"/>
            <w:vAlign w:val="bottom"/>
          </w:tcPr>
          <w:p>
            <w:pPr>
              <w:spacing w:after="0"/>
              <w:rPr>
                <w:sz w:val="16"/>
                <w:szCs w:val="16"/>
                <w:color w:val="auto"/>
              </w:rPr>
            </w:pPr>
          </w:p>
        </w:tc>
        <w:tc>
          <w:tcPr>
            <w:tcW w:w="1940" w:type="dxa"/>
            <w:vAlign w:val="bottom"/>
            <w:gridSpan w:val="4"/>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2"/>
        </w:trPr>
        <w:tc>
          <w:tcPr>
            <w:tcW w:w="6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40" w:type="dxa"/>
            <w:vAlign w:val="bottom"/>
            <w:gridSpan w:val="5"/>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40" w:type="dxa"/>
            <w:vAlign w:val="bottom"/>
          </w:tcPr>
          <w:p>
            <w:pPr>
              <w:spacing w:after="0"/>
              <w:rPr>
                <w:sz w:val="18"/>
                <w:szCs w:val="18"/>
                <w:color w:val="auto"/>
              </w:rPr>
            </w:pPr>
          </w:p>
        </w:tc>
        <w:tc>
          <w:tcPr>
            <w:tcW w:w="1940" w:type="dxa"/>
            <w:vAlign w:val="bottom"/>
            <w:gridSpan w:val="4"/>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11"/>
        </w:trPr>
        <w:tc>
          <w:tcPr>
            <w:tcW w:w="6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Reconciliation of Segment EBITDA to Income Before Income Taxes:</w:t>
            </w:r>
          </w:p>
        </w:tc>
        <w:tc>
          <w:tcPr>
            <w:tcW w:w="2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2026</w:t>
            </w:r>
          </w:p>
        </w:tc>
        <w:tc>
          <w:tcPr>
            <w:tcW w:w="8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11"/>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Segment EBITDA</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532.6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421.8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1,311.8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956.1</w:t>
            </w:r>
          </w:p>
        </w:tc>
      </w:tr>
      <w:tr>
        <w:trPr>
          <w:trHeight w:val="213"/>
        </w:trPr>
        <w:tc>
          <w:tcPr>
            <w:tcW w:w="6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9"/>
        </w:trPr>
        <w:tc>
          <w:tcPr>
            <w:tcW w:w="6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expense, net</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61.8</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128.3</w:t>
            </w:r>
          </w:p>
        </w:tc>
      </w:tr>
      <w:tr>
        <w:trPr>
          <w:trHeight w:val="213"/>
        </w:trPr>
        <w:tc>
          <w:tcPr>
            <w:tcW w:w="64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Depreciation</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218.0</w:t>
            </w:r>
          </w:p>
        </w:tc>
      </w:tr>
      <w:tr>
        <w:trPr>
          <w:trHeight w:val="219"/>
        </w:trPr>
        <w:tc>
          <w:tcPr>
            <w:tcW w:w="6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Amortization</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75.3</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98.0</w:t>
            </w:r>
          </w:p>
        </w:tc>
      </w:tr>
      <w:tr>
        <w:trPr>
          <w:trHeight w:val="213"/>
        </w:trPr>
        <w:tc>
          <w:tcPr>
            <w:tcW w:w="64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Corporate</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81.6</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60.2</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239.5</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170.4</w:t>
            </w:r>
          </w:p>
        </w:tc>
      </w:tr>
      <w:tr>
        <w:trPr>
          <w:trHeight w:val="210"/>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220.2</w:t>
            </w: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211.6</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505.3</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341.4</w:t>
            </w:r>
          </w:p>
        </w:tc>
      </w:tr>
    </w:tbl>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20" w:type="dxa"/>
            <w:vAlign w:val="bottom"/>
            <w:gridSpan w:val="5"/>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40" w:type="dxa"/>
            <w:vAlign w:val="bottom"/>
          </w:tcPr>
          <w:p>
            <w:pPr>
              <w:spacing w:after="0"/>
              <w:rPr>
                <w:sz w:val="16"/>
                <w:szCs w:val="16"/>
                <w:color w:val="auto"/>
              </w:rPr>
            </w:pPr>
          </w:p>
        </w:tc>
        <w:tc>
          <w:tcPr>
            <w:tcW w:w="2000" w:type="dxa"/>
            <w:vAlign w:val="bottom"/>
            <w:gridSpan w:val="4"/>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2"/>
        </w:trPr>
        <w:tc>
          <w:tcPr>
            <w:tcW w:w="6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20" w:type="dxa"/>
            <w:vAlign w:val="bottom"/>
            <w:gridSpan w:val="5"/>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40" w:type="dxa"/>
            <w:vAlign w:val="bottom"/>
          </w:tcPr>
          <w:p>
            <w:pPr>
              <w:spacing w:after="0"/>
              <w:rPr>
                <w:sz w:val="18"/>
                <w:szCs w:val="18"/>
                <w:color w:val="auto"/>
              </w:rPr>
            </w:pPr>
          </w:p>
        </w:tc>
        <w:tc>
          <w:tcPr>
            <w:tcW w:w="2000" w:type="dxa"/>
            <w:vAlign w:val="bottom"/>
            <w:gridSpan w:val="4"/>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11"/>
        </w:trPr>
        <w:tc>
          <w:tcPr>
            <w:tcW w:w="6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Depreciation and Amortization:</w:t>
            </w:r>
          </w:p>
        </w:tc>
        <w:tc>
          <w:tcPr>
            <w:tcW w:w="2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Borders>
              <w:top w:val="single" w:sz="8" w:color="auto"/>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306"/>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Communications</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49.6</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w:t>
            </w:r>
          </w:p>
        </w:tc>
      </w:tr>
      <w:tr>
        <w:trPr>
          <w:trHeight w:val="213"/>
        </w:trPr>
        <w:tc>
          <w:tcPr>
            <w:tcW w:w="6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Clean Energy and Infrastructure</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81.1</w:t>
            </w:r>
          </w:p>
        </w:tc>
      </w:tr>
      <w:tr>
        <w:trPr>
          <w:trHeight w:val="219"/>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Power Delivery</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106.3</w:t>
            </w:r>
          </w:p>
        </w:tc>
      </w:tr>
      <w:tr>
        <w:trPr>
          <w:trHeight w:val="213"/>
        </w:trPr>
        <w:tc>
          <w:tcPr>
            <w:tcW w:w="6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Pipeline Infrastructure</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76.6</w:t>
            </w:r>
          </w:p>
        </w:tc>
      </w:tr>
      <w:tr>
        <w:trPr>
          <w:trHeight w:val="219"/>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2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6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Corporate</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w:t>
            </w:r>
          </w:p>
        </w:tc>
      </w:tr>
      <w:tr>
        <w:trPr>
          <w:trHeight w:val="210"/>
        </w:trPr>
        <w:tc>
          <w:tcPr>
            <w:tcW w:w="6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Consolidated depreciation and amortization</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169.1</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104.6</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414.6</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316.0</w:t>
            </w:r>
          </w:p>
        </w:tc>
      </w:tr>
    </w:tbl>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7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September 30, 2026</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307"/>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Communications</w:t>
            </w:r>
          </w:p>
        </w:tc>
        <w:tc>
          <w:tcPr>
            <w:tcW w:w="302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2,074.4</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1,962.3</w:t>
            </w:r>
          </w:p>
        </w:tc>
      </w:tr>
      <w:tr>
        <w:trPr>
          <w:trHeight w:val="213"/>
        </w:trPr>
        <w:tc>
          <w:tcPr>
            <w:tcW w:w="3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Clean Energy and Infrastructure</w:t>
            </w:r>
          </w:p>
        </w:tc>
        <w:tc>
          <w:tcPr>
            <w:tcW w:w="2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3,650.8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2,816.6</w:t>
            </w:r>
          </w:p>
        </w:tc>
      </w:tr>
      <w:tr>
        <w:trPr>
          <w:trHeight w:val="219"/>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Power Delivery</w:t>
            </w:r>
          </w:p>
        </w:tc>
        <w:tc>
          <w:tcPr>
            <w:tcW w:w="27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5,192.1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2,621.6</w:t>
            </w:r>
          </w:p>
        </w:tc>
      </w:tr>
      <w:tr>
        <w:trPr>
          <w:trHeight w:val="213"/>
        </w:trPr>
        <w:tc>
          <w:tcPr>
            <w:tcW w:w="3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Pipeline Infrastructure</w:t>
            </w:r>
          </w:p>
        </w:tc>
        <w:tc>
          <w:tcPr>
            <w:tcW w:w="2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2,620.8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1,928.7</w:t>
            </w:r>
          </w:p>
        </w:tc>
      </w:tr>
      <w:tr>
        <w:trPr>
          <w:trHeight w:val="219"/>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27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378.6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364.0</w:t>
            </w:r>
          </w:p>
        </w:tc>
      </w:tr>
      <w:tr>
        <w:trPr>
          <w:trHeight w:val="213"/>
        </w:trPr>
        <w:tc>
          <w:tcPr>
            <w:tcW w:w="3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Corporate</w:t>
            </w:r>
          </w:p>
        </w:tc>
        <w:tc>
          <w:tcPr>
            <w:tcW w:w="27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220.4</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230.3</w:t>
            </w:r>
          </w:p>
        </w:tc>
      </w:tr>
      <w:tr>
        <w:trPr>
          <w:trHeight w:val="212"/>
        </w:trPr>
        <w:tc>
          <w:tcPr>
            <w:tcW w:w="3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Consolidated assets</w:t>
            </w:r>
          </w:p>
        </w:tc>
        <w:tc>
          <w:tcPr>
            <w:tcW w:w="27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14,137.1</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9,923.5</w:t>
            </w:r>
          </w:p>
        </w:tc>
      </w:tr>
      <w:tr>
        <w:trPr>
          <w:trHeight w:val="905"/>
        </w:trPr>
        <w:tc>
          <w:tcPr>
            <w:tcW w:w="3980" w:type="dxa"/>
            <w:vAlign w:val="bottom"/>
          </w:tcPr>
          <w:p>
            <w:pPr>
              <w:spacing w:after="0"/>
              <w:rPr>
                <w:sz w:val="24"/>
                <w:szCs w:val="24"/>
                <w:color w:val="auto"/>
              </w:rPr>
            </w:pPr>
          </w:p>
        </w:tc>
        <w:tc>
          <w:tcPr>
            <w:tcW w:w="2760" w:type="dxa"/>
            <w:vAlign w:val="bottom"/>
          </w:tcPr>
          <w:p>
            <w:pPr>
              <w:jc w:val="right"/>
              <w:ind w:right="639"/>
              <w:spacing w:after="0"/>
              <w:rPr>
                <w:sz w:val="20"/>
                <w:szCs w:val="20"/>
                <w:color w:val="auto"/>
              </w:rPr>
            </w:pPr>
            <w:r>
              <w:rPr>
                <w:rFonts w:ascii="Times New Roman" w:cs="Times New Roman" w:eastAsia="Times New Roman" w:hAnsi="Times New Roman"/>
                <w:sz w:val="16"/>
                <w:szCs w:val="16"/>
                <w:color w:val="auto"/>
              </w:rPr>
              <w:t>25</w:t>
            </w:r>
          </w:p>
        </w:tc>
        <w:tc>
          <w:tcPr>
            <w:tcW w:w="2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121"/>
        </w:trPr>
        <w:tc>
          <w:tcPr>
            <w:tcW w:w="3980" w:type="dxa"/>
            <w:vAlign w:val="bottom"/>
            <w:tcBorders>
              <w:bottom w:val="single" w:sz="8" w:color="9A9A9A"/>
            </w:tcBorders>
          </w:tcPr>
          <w:p>
            <w:pPr>
              <w:spacing w:after="0"/>
              <w:rPr>
                <w:sz w:val="10"/>
                <w:szCs w:val="10"/>
                <w:color w:val="auto"/>
              </w:rPr>
            </w:pPr>
          </w:p>
        </w:tc>
        <w:tc>
          <w:tcPr>
            <w:tcW w:w="27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9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184"/>
        </w:trPr>
        <w:tc>
          <w:tcPr>
            <w:tcW w:w="6640" w:type="dxa"/>
            <w:vAlign w:val="bottom"/>
          </w:tcPr>
          <w:p>
            <w:pPr>
              <w:spacing w:after="0"/>
              <w:rPr>
                <w:sz w:val="16"/>
                <w:szCs w:val="16"/>
                <w:color w:val="auto"/>
              </w:rPr>
            </w:pPr>
          </w:p>
        </w:tc>
        <w:tc>
          <w:tcPr>
            <w:tcW w:w="1880" w:type="dxa"/>
            <w:vAlign w:val="bottom"/>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0" w:type="dxa"/>
            <w:vAlign w:val="bottom"/>
            <w:gridSpan w:val="4"/>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2"/>
        </w:trPr>
        <w:tc>
          <w:tcPr>
            <w:tcW w:w="6640" w:type="dxa"/>
            <w:vAlign w:val="bottom"/>
          </w:tcPr>
          <w:p>
            <w:pPr>
              <w:spacing w:after="0"/>
              <w:rPr>
                <w:sz w:val="18"/>
                <w:szCs w:val="18"/>
                <w:color w:val="auto"/>
              </w:rPr>
            </w:pPr>
          </w:p>
        </w:tc>
        <w:tc>
          <w:tcPr>
            <w:tcW w:w="1880" w:type="dxa"/>
            <w:vAlign w:val="bottom"/>
            <w:tcBorders>
              <w:bottom w:val="single" w:sz="8" w:color="auto"/>
            </w:tcBorders>
            <w:gridSpan w:val="4"/>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3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4"/>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11"/>
        </w:trPr>
        <w:tc>
          <w:tcPr>
            <w:tcW w:w="6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Capital Expenditures:</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3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3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306"/>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Communications</w:t>
            </w:r>
          </w:p>
        </w:tc>
        <w:tc>
          <w:tcPr>
            <w:tcW w:w="720" w:type="dxa"/>
            <w:vAlign w:val="bottom"/>
            <w:shd w:val="clear" w:color="auto" w:fill="CCEEFF"/>
          </w:tcPr>
          <w:p>
            <w:pPr>
              <w:jc w:val="right"/>
              <w:ind w:right="539"/>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2"/>
              </w:rPr>
              <w:t>10.4</w:t>
            </w: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519"/>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w:t>
            </w:r>
          </w:p>
        </w:tc>
      </w:tr>
      <w:tr>
        <w:trPr>
          <w:trHeight w:val="213"/>
        </w:trPr>
        <w:tc>
          <w:tcPr>
            <w:tcW w:w="6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Clean Energy and Infrastructure</w:t>
            </w:r>
          </w:p>
        </w:tc>
        <w:tc>
          <w:tcPr>
            <w:tcW w:w="7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2"/>
              </w:rPr>
              <w:t>13.5</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w:t>
            </w:r>
          </w:p>
        </w:tc>
      </w:tr>
      <w:tr>
        <w:trPr>
          <w:trHeight w:val="219"/>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Power Delivery</w:t>
            </w:r>
          </w:p>
        </w:tc>
        <w:tc>
          <w:tcPr>
            <w:tcW w:w="72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2"/>
              </w:rPr>
              <w:t>19.0</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15.5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56.4</w:t>
            </w:r>
          </w:p>
        </w:tc>
      </w:tr>
      <w:tr>
        <w:trPr>
          <w:trHeight w:val="213"/>
        </w:trPr>
        <w:tc>
          <w:tcPr>
            <w:tcW w:w="6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Pipeline Infrastructure</w:t>
            </w:r>
          </w:p>
        </w:tc>
        <w:tc>
          <w:tcPr>
            <w:tcW w:w="7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2"/>
              </w:rPr>
              <w:t>32.7</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27.6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59.2</w:t>
            </w:r>
          </w:p>
        </w:tc>
      </w:tr>
      <w:tr>
        <w:trPr>
          <w:trHeight w:val="219"/>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72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6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Corporate</w:t>
            </w:r>
          </w:p>
        </w:tc>
        <w:tc>
          <w:tcPr>
            <w:tcW w:w="7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2"/>
              </w:rPr>
              <w:t>11.8</w:t>
            </w:r>
          </w:p>
        </w:tc>
        <w:tc>
          <w:tcPr>
            <w:tcW w:w="10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14.0</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32.3</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17.1</w:t>
            </w:r>
          </w:p>
        </w:tc>
      </w:tr>
      <w:tr>
        <w:trPr>
          <w:trHeight w:val="209"/>
        </w:trPr>
        <w:tc>
          <w:tcPr>
            <w:tcW w:w="6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Consolidated capital expenditures</w:t>
            </w:r>
          </w:p>
        </w:tc>
        <w:tc>
          <w:tcPr>
            <w:tcW w:w="720" w:type="dxa"/>
            <w:vAlign w:val="bottom"/>
            <w:tcBorders>
              <w:bottom w:val="single" w:sz="8" w:color="auto"/>
            </w:tcBorders>
            <w:shd w:val="clear" w:color="auto" w:fill="CCEEFF"/>
          </w:tcPr>
          <w:p>
            <w:pPr>
              <w:jc w:val="right"/>
              <w:ind w:right="539"/>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2"/>
              </w:rPr>
              <w:t>87.4</w:t>
            </w:r>
          </w:p>
        </w:tc>
        <w:tc>
          <w:tcPr>
            <w:tcW w:w="10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519"/>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68.7</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275.7</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179.8</w:t>
            </w:r>
          </w:p>
        </w:tc>
      </w:tr>
    </w:tbl>
    <w:p>
      <w:pPr>
        <w:spacing w:after="0" w:line="29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6"/>
          <w:szCs w:val="16"/>
          <w:b w:val="1"/>
          <w:bCs w:val="1"/>
          <w:i w:val="1"/>
          <w:iCs w:val="1"/>
          <w:color w:val="auto"/>
        </w:rPr>
        <w:t xml:space="preserve">Foreign Operations. </w:t>
      </w:r>
      <w:r>
        <w:rPr>
          <w:rFonts w:ascii="Times New Roman" w:cs="Times New Roman" w:eastAsia="Times New Roman" w:hAnsi="Times New Roman"/>
          <w:sz w:val="16"/>
          <w:szCs w:val="16"/>
          <w:color w:val="auto"/>
        </w:rPr>
        <w:t>MasTec operates primarily in the United States and has foreign operations in Canada. Revenue derived from foreign operations totaled $89.6</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million and $39.0 million for the three months ended September 30, 2026 and 2025, respectively, and totaled $210.2 million and $132.7 million for the nine months ended September 30, 2026 and 2025, respectively. Revenue from foreign operations was derived primarily from the Company’s Canadian operations in its Pipeline Infrastructure segment. As of September 30, 2026 and December 31, 2025, long-lived assets held by the Company’s businesses in foreign countries included property and equipment, net, of $20.7 million and $23.0 million, respectively, and intangible assets and goodwill, net, of $105.6 million and $108.8 million, respectively. The Company’s long-lived and intangible assets and goodwill in foreign countries primarily relate to its Canadian operations.</w:t>
      </w:r>
    </w:p>
    <w:p>
      <w:pPr>
        <w:spacing w:after="0" w:line="6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6"/>
          <w:szCs w:val="16"/>
          <w:b w:val="1"/>
          <w:bCs w:val="1"/>
          <w:i w:val="1"/>
          <w:iCs w:val="1"/>
          <w:color w:val="auto"/>
        </w:rPr>
        <w:t xml:space="preserve">Significant Customers. </w:t>
      </w:r>
      <w:r>
        <w:rPr>
          <w:rFonts w:ascii="Times New Roman" w:cs="Times New Roman" w:eastAsia="Times New Roman" w:hAnsi="Times New Roman"/>
          <w:sz w:val="16"/>
          <w:szCs w:val="16"/>
          <w:color w:val="auto"/>
        </w:rPr>
        <w:t>No customer represented greater than 10% of the Company’s total consolidated revenue in either of the three or nine months ended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September 30, 2026. For both the three and nine months ended September 30, 2025, AT&amp;T represented approximately 10% of the Company’s total consolidated revenue. The Company’s relationship with AT&amp;T is based upon multiple separate master service and other service agreements, including for maintenance services and construction/installation contracts for wireless and wireline, and for which the related revenue is included primarily within the Communications segment. Revenue from governmental entities for both the three and nine months ended September 30, 2026 totaled approximately 14% of total revenue, and for both the three and nine months ended September 30, 2025, totaled approximately 13%, all of which was derived from its U.S. operations.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13 – Commitments and Contingencies</w:t>
      </w:r>
    </w:p>
    <w:p>
      <w:pPr>
        <w:spacing w:after="0" w:line="129"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6"/>
          <w:szCs w:val="16"/>
          <w:color w:val="auto"/>
        </w:rPr>
        <w:t>MasTec is subject to a variety of legal cases, claims and other disputes that arise from time to time in the ordinary course of its business, including project contract price and other project disputes, other project-related liabilities and acquisition purchase price disputes. MasTec cannot provide assurance that it will be successful in recovering all or any of the potential damages it has claimed or in defending claims against the Company. The outcome of such cases, claims and disputes cannot be predicted with certainty and an unfavorable resolution of one or more of them could have a material adverse effect on the Company’s business, financial condition, results of operations and cash flows.</w:t>
      </w:r>
    </w:p>
    <w:p>
      <w:pPr>
        <w:spacing w:after="0" w:line="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Other Commitments and Contingencies</w:t>
      </w:r>
    </w:p>
    <w:p>
      <w:pPr>
        <w:spacing w:after="0" w:line="113"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Leases</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In the ordinary course of business, the Company enters into non-cancelable operating leases for certain of its facility, vehicle and equipment needs,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including certain related party leases. See Note 9 – Lease Obligations and Note 14 – Related Party Transactions.</w:t>
      </w:r>
    </w:p>
    <w:p>
      <w:pPr>
        <w:spacing w:after="0" w:line="6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6"/>
          <w:szCs w:val="16"/>
          <w:b w:val="1"/>
          <w:bCs w:val="1"/>
          <w:i w:val="1"/>
          <w:iCs w:val="1"/>
          <w:color w:val="auto"/>
        </w:rPr>
        <w:t xml:space="preserve">Letters of Credit. </w:t>
      </w:r>
      <w:r>
        <w:rPr>
          <w:rFonts w:ascii="Times New Roman" w:cs="Times New Roman" w:eastAsia="Times New Roman" w:hAnsi="Times New Roman"/>
          <w:sz w:val="16"/>
          <w:szCs w:val="16"/>
          <w:color w:val="auto"/>
        </w:rPr>
        <w:t>In the ordinary course of business, the Company is required to post letters of credit for its insurance carriers and surety bond providers and in</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support of performance under certain contracts as well as certain obligations associated with the Company’s equity investments and other strategic arrangements, including its VIEs. In addition, from time to time, certain customers require the Company to post letters of credit to ensure payment of subcontractors and vendors, and guarantee performance under contracts. Such letters of credit are generally issued by a bank or similar financial institution. The letter of credit commits the issuer to pay specified amounts to the holder of the letter of credit under certain conditions. If this were to occur, the Company would be required to reimburse the issuer of the letter of credit, which, depending upon the circumstances, could result in a charge to earnings. As of September 30, 2026 and December 31, 2025, there were $98.0 million and $90.5 million, respectively, of letters of credit issued under the Company’s credit facilities. Letter of credit claims have historically not been material. The Company is not aware of any material claims relating to its outstanding letters of credit as of September 30, 2026 or December 31, 2025.</w:t>
      </w:r>
    </w:p>
    <w:p>
      <w:pPr>
        <w:spacing w:after="0" w:line="72"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6"/>
          <w:szCs w:val="16"/>
          <w:b w:val="1"/>
          <w:bCs w:val="1"/>
          <w:i w:val="1"/>
          <w:iCs w:val="1"/>
          <w:color w:val="auto"/>
        </w:rPr>
        <w:t xml:space="preserve">Performance and Payment Bonds. </w:t>
      </w:r>
      <w:r>
        <w:rPr>
          <w:rFonts w:ascii="Times New Roman" w:cs="Times New Roman" w:eastAsia="Times New Roman" w:hAnsi="Times New Roman"/>
          <w:sz w:val="16"/>
          <w:szCs w:val="16"/>
          <w:color w:val="auto"/>
        </w:rPr>
        <w:t>In the ordinary course of business, MasTec is required by certain customers to provide performance and payment bonds for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contractual commitments related to its projects. These bonds provide a guarantee to the customer that the Company will perform under the terms of a contract and that the Company will pay its subcontractors and vendors. If the Company fails to perform under a contract or to pay its subcontractors and vendors, the customer may demand that the surety make payments or provide services under the bond. The Company must reimburse the surety for expenses or outlays it incurs. As of September 30, 2026 and December 31, 2025, outstanding performance and payment bonds approximated $13.4 billion and $10.9 billion, respectively, and estimated costs to complete projects secured by these bonds totaled $5.0 billion and $4.6 billion, respectively. Included in these balances as of September 30, 2026 and December 31, 2025 are $1.3 billion and $1.1 billion, respectively, of outstanding performance and payment bonds issued on behalf of the Company’s proportionately consolidated non-controlled contractual joint ventures, representing the Company’s proportionate share of the total bond obligation for the related projects.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8" w:right="339" w:bottom="1440" w:gutter="0" w:footer="0" w:header="0"/>
        </w:sectPr>
      </w:pPr>
    </w:p>
    <w:bookmarkStart w:id="26" w:name="page27"/>
    <w:bookmarkEnd w:id="26"/>
    <w:p>
      <w:pPr>
        <w:jc w:val="both"/>
        <w:ind w:firstLine="648"/>
        <w:spacing w:after="0" w:line="259" w:lineRule="auto"/>
        <w:rPr>
          <w:sz w:val="20"/>
          <w:szCs w:val="20"/>
          <w:color w:val="auto"/>
        </w:rPr>
      </w:pPr>
      <w:r>
        <w:rPr>
          <w:rFonts w:ascii="Times New Roman" w:cs="Times New Roman" w:eastAsia="Times New Roman" w:hAnsi="Times New Roman"/>
          <w:sz w:val="16"/>
          <w:szCs w:val="16"/>
          <w:b w:val="1"/>
          <w:bCs w:val="1"/>
          <w:i w:val="1"/>
          <w:iCs w:val="1"/>
          <w:color w:val="auto"/>
        </w:rPr>
        <w:t xml:space="preserve">Investment and Strategic Arrangements. </w:t>
      </w:r>
      <w:r>
        <w:rPr>
          <w:rFonts w:ascii="Times New Roman" w:cs="Times New Roman" w:eastAsia="Times New Roman" w:hAnsi="Times New Roman"/>
          <w:sz w:val="16"/>
          <w:szCs w:val="16"/>
          <w:color w:val="auto"/>
        </w:rPr>
        <w:t>The Company holds undivided interests, ranging from 85% to 90%, in multiple proportionately consolidated non-controlled contractual joint ventures that provide infrastructure construction services for electrical transmission projects, as well as undivided interests, ranging from 25% to 50%, in each of twelve civil and infrastructure construction projects. Income and/or loss incurred by these joint ventures is generally shared proportionally by the respective joint venture members, with the members of the joint ventures jointly and severally liable for all of the obligations of the joint venture. The respective joint venture agreements provide that each joint venture partner indemnify the other party for any liabilities incurred by such joint venture in excess of its ratable portion of such liabilities. Thus, it is possible that the Company could be required to pay or perform obligations in excess of its share if the other joint venture partners fail or refuse to pay or perform their respective share of the obligations. As of September 30, 2026, the Company was not aware of material claims against it in connection with these arrangements. Included in the Company’s cash balances as of September 30, 2026 and December 31, 2025 are amounts held by entities that are proportionately consolidated totaling $49.2 million and $45.0 million, respectively. These amounts are available to support the operations of those entities, but are not available for the Company’s other operations.</w:t>
      </w:r>
    </w:p>
    <w:p>
      <w:pPr>
        <w:spacing w:after="0" w:line="269"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16"/>
          <w:szCs w:val="16"/>
          <w:color w:val="auto"/>
        </w:rPr>
        <w:t>The Company has other investment and strategic arrangements, under which it may incur costs or provide financing, performance, financial and/or other guarantees. See Note 4 – Fair Value of Financial Instruments and Note 14 – Related Party Transactions for additional information pertaining to the Company’s investment and strategic arrangements.</w:t>
      </w:r>
    </w:p>
    <w:p>
      <w:pPr>
        <w:spacing w:after="0" w:line="59"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16"/>
          <w:szCs w:val="16"/>
          <w:b w:val="1"/>
          <w:bCs w:val="1"/>
          <w:i w:val="1"/>
          <w:iCs w:val="1"/>
          <w:color w:val="auto"/>
        </w:rPr>
        <w:t>Self-Insurance</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MasTec maintains insurance policies for workers’ compensation, general liability and automobile liability, which are subject to per claim</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deductibles. The Company is self-insured up to the amount of the deductible. The Company also maintains excess umbrella coverage. The Company manages certain of its insurance liabilities indirectly through its wholly-owned captive insurance company, which reimburses claims up to the applicable insurance limits. Captive insurance-related cash balances totaled approximately $4.6 million and $3.3 million as of September 30, 2026 and December 31, 2025, respectively, which amounts are generally not available for use in the Company’s other operations.</w:t>
      </w:r>
    </w:p>
    <w:p>
      <w:pPr>
        <w:spacing w:after="0" w:line="68"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As of September 30, 2026 and December 31, 2025, MasTec’s estimated gross liability for unpaid claims and associated expenses, including incurred but not reported losses related to these policies, totaled $373.7 million and $306.8 million, respectively, of which $271.3 million and $224.9 million were reflected within other long-term liabilities, with the remainder reflected within other accrued expenses, in the consolidated balance sheets as of the respective periods. Related insurance recoveries/receivables totaled $27.7 million and $25.2 million as of September 30, 2026 and December 31, 2025, respectively, of which $24.4 million and $22.4 million were reflected within other long-term assets, with the remainder reflected within other current assets, in the consolidated balance sheets as of the respective periods.</w:t>
      </w:r>
    </w:p>
    <w:p>
      <w:pPr>
        <w:spacing w:after="0" w:line="72" w:lineRule="exact"/>
        <w:rPr>
          <w:sz w:val="20"/>
          <w:szCs w:val="20"/>
          <w:color w:val="auto"/>
        </w:rPr>
      </w:pPr>
    </w:p>
    <w:p>
      <w:pPr>
        <w:jc w:val="both"/>
        <w:ind w:firstLine="648"/>
        <w:spacing w:after="0" w:line="280" w:lineRule="auto"/>
        <w:rPr>
          <w:sz w:val="20"/>
          <w:szCs w:val="20"/>
          <w:color w:val="auto"/>
        </w:rPr>
      </w:pPr>
      <w:r>
        <w:rPr>
          <w:rFonts w:ascii="Times New Roman" w:cs="Times New Roman" w:eastAsia="Times New Roman" w:hAnsi="Times New Roman"/>
          <w:sz w:val="16"/>
          <w:szCs w:val="16"/>
          <w:color w:val="auto"/>
        </w:rPr>
        <w:t>MasTec also maintains an insurance policy with respect to employee group medical claims, which is subject to annual per employee maximum losses. MasTec’s estimated liability for employee group medical claims totaled $7.8 million and $2.3 million as of September 30, 2026 and December 31, 2025, respectively.</w:t>
      </w:r>
    </w:p>
    <w:p>
      <w:pPr>
        <w:spacing w:after="0" w:line="7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The Company is required to post collateral, generally in the form of letters of credit, surety bonds and cash to certain of its insurance carriers. Insurance-related letters of credit for the Company’s workers’ compensation, general liability and automobile liability policies amounted to $3.4 million and $7.4 million as of September 30, 2026 and December 31, 2025, respectively. Outstanding surety bonds related to self-insurance programs amounted to $235.4 million and $198.6 million as of September 30, 2026 and December 31, 2025, respectively.</w:t>
      </w:r>
    </w:p>
    <w:p>
      <w:pPr>
        <w:spacing w:after="0" w:line="67"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16"/>
          <w:szCs w:val="16"/>
          <w:b w:val="1"/>
          <w:bCs w:val="1"/>
          <w:i w:val="1"/>
          <w:iCs w:val="1"/>
          <w:color w:val="auto"/>
        </w:rPr>
        <w:t xml:space="preserve">Indemnities. </w:t>
      </w:r>
      <w:r>
        <w:rPr>
          <w:rFonts w:ascii="Times New Roman" w:cs="Times New Roman" w:eastAsia="Times New Roman" w:hAnsi="Times New Roman"/>
          <w:sz w:val="16"/>
          <w:szCs w:val="16"/>
          <w:color w:val="auto"/>
        </w:rPr>
        <w:t>The Company generally indemnifies its customers for the services it provides under its contracts, as well as other specified liabilities, which may</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subject the Company to indemnity claims, liabilities and related litigation. As of both September 30, 2026 and December 31, 2025, the Company had accrued project close-out liabilities of approximately $5 million. The Company is not aware of any other material asserted or unasserted claims in connection with its potential indemnity obligations.</w:t>
      </w:r>
    </w:p>
    <w:p>
      <w:pPr>
        <w:spacing w:after="0" w:line="2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6"/>
          <w:szCs w:val="16"/>
          <w:b w:val="1"/>
          <w:bCs w:val="1"/>
          <w:i w:val="1"/>
          <w:iCs w:val="1"/>
          <w:color w:val="auto"/>
        </w:rPr>
        <w:t xml:space="preserve">Other Guarantees. </w:t>
      </w:r>
      <w:r>
        <w:rPr>
          <w:rFonts w:ascii="Times New Roman" w:cs="Times New Roman" w:eastAsia="Times New Roman" w:hAnsi="Times New Roman"/>
          <w:sz w:val="16"/>
          <w:szCs w:val="16"/>
          <w:color w:val="auto"/>
        </w:rPr>
        <w:t>From time to time in the ordinary course of its business, MasTec guarantees the obligations of its subsidiaries, including obligations under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certain contracts with customers, certain lease obligations, and in some states, obligations in connection with obtaining contractors’ licenses. MasTec has also issued performance and other guarantees in connection with certain of its equity investments. MasTec also generally warrants the work it performs following substantial completion of a project. Much of the work performed by the Company is evaluated for defects shortly after the work is completed. If warranty claims occur, the Company could be required to repair or replace warrantied items, or, if customers elect to repair or replace the warrantied item using the services of another provider, the Company could be required to pay for the cost of the repair or replacement. Warranty claims have historically not been material.</w:t>
      </w:r>
    </w:p>
    <w:p>
      <w:pPr>
        <w:spacing w:after="0" w:line="68"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16"/>
          <w:szCs w:val="16"/>
          <w:b w:val="1"/>
          <w:bCs w:val="1"/>
          <w:i w:val="1"/>
          <w:iCs w:val="1"/>
          <w:color w:val="auto"/>
        </w:rPr>
        <w:t xml:space="preserve">Concentrations of Risk. </w:t>
      </w:r>
      <w:r>
        <w:rPr>
          <w:rFonts w:ascii="Times New Roman" w:cs="Times New Roman" w:eastAsia="Times New Roman" w:hAnsi="Times New Roman"/>
          <w:sz w:val="16"/>
          <w:szCs w:val="16"/>
          <w:color w:val="auto"/>
        </w:rPr>
        <w:t>The Company had approximately 1,685 customers for the nine months ended September 30, 2026. As of September 30, 2026, no</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customer represented greater than 10% of the Company’s consolidated net accounts receivable position, which is calculated as accounts receivable, net, less deferred revenue. As of December 31, 2025, one customer accounted for approximately 10% of the Company’s consolidated net accounts receivable position. The Company derived approximately 30% and 35% of its revenue from its top ten customers for the three months ended September 30, 2026 and 2025, respectively, and approximately 32% and 34% for the nine months ended September 30, 2026 and 2025, respectively.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14 – Related Party Transactions</w:t>
      </w:r>
    </w:p>
    <w:p>
      <w:pPr>
        <w:spacing w:after="0" w:line="1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color w:val="auto"/>
        </w:rPr>
        <w:t>The Company rents and leases equipment and purchases certain supplies and servicing from CCI. Prior to and through a portion of the first quarter of 2026, CCI was an entity in which Juan Carlos Mas, an immediate family member of the Company’s CEO and its Chairman of the Board, served as the chairman. Additionally, a member of management of a MasTec subsidiary and an entity owned by the Mas family were minority owners of CCI until such ownership interests were sold during the first quarter of 2026, at which time the related-party relationship ended. MasTec paid CCI approximately $1.8 million for the three months ended September 30, 2025, and $2.3 million and $4.5 million for the nine months ended September 30, 2026 and 2025, respectively, for such services. Amounts payable to CCI totaled approximately $0.8 million as of December 31, 2025. The Company also rented equipment to CCI and revenue from such rentals totaled approximately $0.3 million for the nine months ended September 30, 2025.</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27" w:name="page28"/>
    <w:bookmarkEnd w:id="27"/>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MasTec has a subcontracting arrangement with an entity for the performance of construction services, the minority owners of which include an entity controlled by Jorge Mas and José R. Mas, along with two members of management of a MasTec subsidiary. MasTec incurred subcontracting expenses in connection with this arrangement of approximately $4.9 million and $2.0 million for the three months ended September 30, 2026 and 2025, respectively, and $6.7 million and $3.4 million for the nine months ended September 30, 2026 and 2025, respectively. Related amounts payable totaled approximately $4.0 million as of September 30, 2026, and were immaterial as of December 31, 2025.</w:t>
      </w:r>
    </w:p>
    <w:p>
      <w:pPr>
        <w:spacing w:after="0" w:line="72" w:lineRule="exact"/>
        <w:rPr>
          <w:sz w:val="20"/>
          <w:szCs w:val="20"/>
          <w:color w:val="auto"/>
        </w:rPr>
      </w:pPr>
    </w:p>
    <w:p>
      <w:pPr>
        <w:jc w:val="both"/>
        <w:ind w:right="20" w:firstLine="648"/>
        <w:spacing w:after="0" w:line="272" w:lineRule="auto"/>
        <w:rPr>
          <w:sz w:val="20"/>
          <w:szCs w:val="20"/>
          <w:color w:val="auto"/>
        </w:rPr>
      </w:pPr>
      <w:r>
        <w:rPr>
          <w:rFonts w:ascii="Times New Roman" w:cs="Times New Roman" w:eastAsia="Times New Roman" w:hAnsi="Times New Roman"/>
          <w:sz w:val="16"/>
          <w:szCs w:val="16"/>
          <w:color w:val="auto"/>
        </w:rPr>
        <w:t>MasTec has an aircraft leasing arrangement with an entity that is owned by Jorge Mas. Payments related to this leasing arrangement totaled approximately $1.4 million for both the three months ended September 30, 2026 and 2025, and $4.3 million and $4.2 million for the nine months ended September 30, 2026 and 2025, respectively.</w:t>
      </w:r>
    </w:p>
    <w:p>
      <w:pPr>
        <w:spacing w:after="0" w:line="63"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6"/>
          <w:szCs w:val="16"/>
          <w:color w:val="auto"/>
        </w:rPr>
        <w:t>MasTec performs construction services on behalf of a professional Miami soccer franchise (the “Franchise”) in which Jorge Mas and José R. Mas are majority owners. Construction services include, and have included, the construction of a soccer facility and stadium, as well as utility and wireless infrastructure services. Construction services related to site preparation for this new soccer complex began in 2023 and stadium construction is expected to be completed by the end of 2026. Revenue under these arrangements totaled approximately $6.5 million and $16.5 million for the three months ended September 30, 2026 and 2025, respectively, and $50.9 million and $46.1 million for the nine months ended September 30, 2026 and 2025, respectively. As of September 30, 2026 and December 31, 2025, amounts receivable related to these arrangements totaled approximately $20.5 million and $37.5 million, respectively. Payments for other expenses related to the Franchise totaled approximately $0.3 million and $0.2 million for the three months ended September 30, 2026 and 2025, respectively, and $1.4 million and $0.8 million for the nine months ended September 30, 2026 and 2025, respectively.</w:t>
      </w:r>
    </w:p>
    <w:p>
      <w:pPr>
        <w:spacing w:after="0" w:line="72" w:lineRule="exact"/>
        <w:rPr>
          <w:sz w:val="20"/>
          <w:szCs w:val="20"/>
          <w:color w:val="auto"/>
        </w:rPr>
      </w:pPr>
    </w:p>
    <w:p>
      <w:pPr>
        <w:jc w:val="both"/>
        <w:ind w:firstLine="648"/>
        <w:spacing w:after="0" w:line="298" w:lineRule="auto"/>
        <w:rPr>
          <w:sz w:val="20"/>
          <w:szCs w:val="20"/>
          <w:color w:val="auto"/>
        </w:rPr>
      </w:pPr>
      <w:r>
        <w:rPr>
          <w:rFonts w:ascii="Times New Roman" w:cs="Times New Roman" w:eastAsia="Times New Roman" w:hAnsi="Times New Roman"/>
          <w:sz w:val="16"/>
          <w:szCs w:val="16"/>
          <w:color w:val="auto"/>
        </w:rPr>
        <w:t>MasTec has split dollar life insurance agreements with trusts, for one of which Jorge Mas is a trustee, and for the other of which José R. Mas is a trustee. As of both September 30, 2026 and December 31, 2025, life insurance assets associated with these agreements totaled approximately $27.5 million.</w:t>
      </w:r>
    </w:p>
    <w:p>
      <w:pPr>
        <w:spacing w:after="0" w:line="43"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16"/>
          <w:szCs w:val="16"/>
          <w:color w:val="auto"/>
        </w:rPr>
        <w:t>In any given year, the Company may engage in certain transactions on behalf of or to former owners of acquired businesses (“former owners”) and/or entities in which members of subsidiary management have ownership or commercial interests (“related entities or entity”). A summary of these related party transactions for the periods indicated is noted below.</w:t>
      </w:r>
    </w:p>
    <w:p>
      <w:pPr>
        <w:spacing w:after="0" w:line="6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6"/>
          <w:szCs w:val="16"/>
          <w:color w:val="auto"/>
        </w:rPr>
        <w:t>MasTec purchases, rents and leases equipment and purchases various types of supplies and services used in its business, and from time to time, rents equipment to, sells certain supplies, or performs construction services on behalf of, related entities. Payments to these related entities totaled approximately $9.9 million and $10.6 million for the three months ended September 30, 2026 and 2025, respectively, and $37.3 million and $27.3 million for the nine months ended September 30, 2026 and 2025, respectively. Revenue from such arrangements totaled approximately $4.1 million and $3.6 million for the three months ended September 30, 2026 and 2025, respectively, and $11.3 million and $8.6 million for the nine months ended September 30, 2026 and 2025, respectively. Payables associated with such arrangements totaled approximately $3.7 million and $4.2 million as of September 30, 2026 and December 31, 2025, respectively. As of September 30, 2026 and December 31, 2025, accounts receivable, net, less deferred revenue related to these arrangements totaled approximately $2.9 million and $3.9 million, respectively.</w:t>
      </w:r>
    </w:p>
    <w:p>
      <w:pPr>
        <w:spacing w:after="0" w:line="71"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Non-controlling interests in entities consolidated by the Company represent ownership interests held by members of management of certain of the Company’s subsidiaries. The Company sold certain minority interests in these entities to members of management of a MasTec subsidiary for $7.1 million of notes receivable in a prior year, which accrued interest at a rate of 5.0% per annum. As of December 31, 2025, these notes receivable had an outstanding balance of approximately $0.4 million, which was repaid in 2026.</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6"/>
          <w:szCs w:val="16"/>
          <w:b w:val="1"/>
          <w:bCs w:val="1"/>
          <w:color w:val="auto"/>
        </w:rPr>
        <w:t>CAUTIONARY STATEMENT REGARDING FORWARD-LOOKING STATEMENTS</w:t>
      </w:r>
    </w:p>
    <w:p>
      <w:pPr>
        <w:spacing w:after="0" w:line="11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color w:val="auto"/>
        </w:rPr>
        <w:t>This report contains forward-looking statements within the meaning of the Private Securities Litigation Reform Act of 1995. These forward-looking statements are not historical facts but are the intent, belief, or current expectations of our business and industry and the assumptions upon which these statements are based. While management believes that these forward-looking statements are reasonable as and when made, there can be no assurance that future developments affecting us will be those that we anticipate. All comments concerning our expectations for future revenue and operating results are based on our forecasts for our existing operations and do not include the potential impact of any future acquisitions, dispositions or other strategic arrangements. Words such as “anticipates,” “expects,” “intends,” “will,” “could,” “would,” “should,” “may,” “plans,” “believes,” “seeks,” “estimates,” “forecasts,” “continue,” “targets,” “project,” “predict” and variations of these words and negatives thereof and similar expressions are intended to identify forward-looking statements. These statements are not guarantees of future performance and are subject to risks, uncertainties, assumptions and other factors, some of which are beyond our control, are difficult to predict, and could cause actual results to differ materially from those expressed or forecasted in the forward-looking statements. Additionally, many of these risks and uncertainties could be amplified by the potential effects of general economic and market conditions, including levels of inflation and market interest rates, geopolitical events, market uncertainty and/or volatility.</w:t>
      </w:r>
    </w:p>
    <w:p>
      <w:pPr>
        <w:spacing w:after="0" w:line="74"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6"/>
          <w:szCs w:val="16"/>
          <w:color w:val="auto"/>
        </w:rPr>
        <w:t xml:space="preserve">These risks and uncertainties include those described in “Management’s Discussion and Analysis of Financial Condition and Results of Operations,” and elsewhere in this report and in our 2025 Annual Report on Form 10-K (“2025 Form 10-K”), including those described under “Cautionary Statement Regarding Forward-Looking Statements” and “Risk Factors,” as updated by </w:t>
      </w:r>
      <w:r>
        <w:rPr>
          <w:rFonts w:ascii="Times New Roman" w:cs="Times New Roman" w:eastAsia="Times New Roman" w:hAnsi="Times New Roman"/>
          <w:sz w:val="16"/>
          <w:szCs w:val="16"/>
          <w:u w:val="single" w:color="auto"/>
          <w:color w:val="0000FF"/>
        </w:rPr>
        <w:t>Item 1A</w:t>
      </w:r>
      <w:r>
        <w:rPr>
          <w:rFonts w:ascii="Times New Roman" w:cs="Times New Roman" w:eastAsia="Times New Roman" w:hAnsi="Times New Roman"/>
          <w:sz w:val="16"/>
          <w:szCs w:val="16"/>
          <w:color w:val="auto"/>
        </w:rPr>
        <w:t>, “Risk Factors” in this report and other filings we make with the Securities and Exchange Commission (the “SEC”). Forward-looking statements that were true at the time made may ultimately prove to be incorrect or false. Readers are cautioned to not place undue reliance on forward-looking statements, which reflect management’s view only as of the date of this report. We undertake no obligation to update or revise forward-looking statements to reflect changed assumptions, the occurrence of unanticipated events or changes to future operating results.</w:t>
      </w:r>
    </w:p>
    <w:p>
      <w:pPr>
        <w:spacing w:after="0" w:line="193"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6"/>
          <w:szCs w:val="16"/>
          <w:b w:val="1"/>
          <w:bCs w:val="1"/>
          <w:color w:val="auto"/>
        </w:rPr>
        <w:t>ITEM 2.</w:t>
        <w:tab/>
        <w:t>MANAGEMENT’S DISCUSSION AND ANALYSIS OF FINANCIAL CONDITION AND RESULTS OF OPERATIONS</w:t>
      </w:r>
    </w:p>
    <w:p>
      <w:pPr>
        <w:spacing w:after="0" w:line="11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 xml:space="preserve">The following is a discussion and analysis of our business, financial condition and results of operations for the quarterly period ended September 30, 2026 and relevant prior periods. This discussion and analysis should be read in conjunction with our consolidated financial statements and notes thereto in </w:t>
      </w:r>
      <w:r>
        <w:rPr>
          <w:rFonts w:ascii="Times New Roman" w:cs="Times New Roman" w:eastAsia="Times New Roman" w:hAnsi="Times New Roman"/>
          <w:sz w:val="16"/>
          <w:szCs w:val="16"/>
          <w:u w:val="single" w:color="auto"/>
          <w:color w:val="0000FF"/>
        </w:rPr>
        <w:t>Item 1</w:t>
      </w:r>
      <w:r>
        <w:rPr>
          <w:rFonts w:ascii="Times New Roman" w:cs="Times New Roman" w:eastAsia="Times New Roman" w:hAnsi="Times New Roman"/>
          <w:sz w:val="16"/>
          <w:szCs w:val="16"/>
          <w:color w:val="auto"/>
        </w:rPr>
        <w:t xml:space="preserve"> of this Quarterly Report on Form 10-Q (this “Form 10-Q”), and the audited consolidated financial statements, accompanying notes and Management’s Discussion and Analysis of Financial Condition and Results of Operations (“MD&amp;A”) contained in our 2025 Form 10-K. In this MD&amp;A, “$” means U.S. dollars unless specified otherwise.</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Recent Transactions</w:t>
      </w:r>
    </w:p>
    <w:p>
      <w:pPr>
        <w:spacing w:after="0" w:line="11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6"/>
          <w:szCs w:val="16"/>
          <w:b w:val="1"/>
          <w:bCs w:val="1"/>
          <w:i w:val="1"/>
          <w:iCs w:val="1"/>
          <w:color w:val="auto"/>
        </w:rPr>
        <w:t xml:space="preserve">Superior Acquisition. </w:t>
      </w:r>
      <w:r>
        <w:rPr>
          <w:rFonts w:ascii="Times New Roman" w:cs="Times New Roman" w:eastAsia="Times New Roman" w:hAnsi="Times New Roman"/>
          <w:sz w:val="16"/>
          <w:szCs w:val="16"/>
          <w:color w:val="auto"/>
        </w:rPr>
        <w:t>On July 20, 2026, we completed the acquisition of Electrical Specialists, Inc., d/b/a The Superior Group (“Superior”), a premier full-service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electrical contractor focused on critical infrastructure with approximately 3,000 employees, which is included within our Power Delivery segment. Superior is a recognized leader in large load electrical infrastructure while serving a diverse range of end markets, including technology, healthcare, entertainment and industrial. The aggregate purchase price consisted of $1.2 billion in cash, net of cash acquired, subject to certain working capital and other contractually agreed-upon adjustments; 1,219,498 shares of MasTec common stock issued from our treasury shares, which had a fair value of $410.5 million as of the acquisition date; and a three-year earn-out liability, with no maximum payment amount, valued at approximately $179.4 million. The cash portion of the acquisition was funded with a combination of cash on hand, borrowings under our amended Credit Facility and the 2026 Term Loan Facility. See Note 8 – Debt in the notes to the consolidated financial statements, which is incorporated by reference, for additional information regarding the amended Credit Facility and the 2026 Term Loan Facility.</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General Economic, Market and Regulatory Conditions</w:t>
      </w:r>
    </w:p>
    <w:p>
      <w:pPr>
        <w:spacing w:after="0" w:line="129"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6"/>
          <w:szCs w:val="16"/>
          <w:color w:val="auto"/>
        </w:rPr>
        <w:t>As disclosed within our “Risk Factors” in our 2025 Form 10-K, we are subject to risks related to, among other factors, tariffs and trade actions and geopolitical events that may affect macroeconomic conditions, supply chains, costs and customer demand. Sustained geopolitical tensions, including ongoing conflicts in the Middle East, have contributed to increased volatility and uncertainty in the energy and capital markets, including higher fuel prices used to operate our fleet of vehicles, machinery and equipment, and such volatility could persist if these events are further prolonged or escalate. At the same time, a heightened focus on domestic energy security and independence may incentivize oil and gas development and increase demand for renewable alternatives.</w:t>
      </w:r>
    </w:p>
    <w:p>
      <w:pPr>
        <w:spacing w:after="0" w:line="74"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6"/>
          <w:szCs w:val="16"/>
          <w:color w:val="auto"/>
        </w:rPr>
        <w:t>During 2025 and continuing into 2026, the U.S. government announced or imposed a variety of tariff or other trade actions, prompting retaliatory measures by many countries, including tariffs on U.S. exports and restrictions on certain foreign exports. These actions, including modifications to tariff regimes affecting steel, aluminum, copper, and other imported materials, have increased the cost of importing certain construction materials into the U.S. and have contributed to disruption, uncertainty, and volatility in international trade and supply chains. Significant uncertainty remains regarding the status of existing and newly announced tariffs, potential changes or pauses to such tariffs, tariff levels, and whether further additional tariffs or other retaliatory actions may be imposed, modified, or suspended. We continue to monitor these developments and to evaluate potential impacts and mitigating strategies that we or our customers may implement; however, although these trade actions and ongoing geopolitical events have not had a material impact on our results of operations to date, the related uncertainty and potential changes in trade policy or geopolitical conditions could affect our customers’ capital spending plans, supply chains and operating costs, which could, in turn, adversely affect demand for our services in future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9" w:right="339" w:bottom="1440" w:gutter="0" w:footer="0" w:header="0"/>
        </w:sectPr>
      </w:pPr>
    </w:p>
    <w:bookmarkStart w:id="29" w:name="page30"/>
    <w:bookmarkEnd w:id="29"/>
    <w:p>
      <w:pPr>
        <w:jc w:val="both"/>
        <w:ind w:firstLine="648"/>
        <w:spacing w:after="0" w:line="260" w:lineRule="auto"/>
        <w:rPr>
          <w:sz w:val="20"/>
          <w:szCs w:val="20"/>
          <w:color w:val="auto"/>
        </w:rPr>
      </w:pPr>
      <w:r>
        <w:rPr>
          <w:rFonts w:ascii="Times New Roman" w:cs="Times New Roman" w:eastAsia="Times New Roman" w:hAnsi="Times New Roman"/>
          <w:sz w:val="16"/>
          <w:szCs w:val="16"/>
          <w:color w:val="auto"/>
        </w:rPr>
        <w:t>Additionally, on July 4, 2025, the One Big Beautiful Bill Act (the “OBBBA”) was enacted in the United States increasing federal support for oil and gas production while reducing support for renewable energy and infrastructure. In particular, the acceleration of the phaseout of certain clean energy tax credits established under the Inflation Reduction Act may affect the timing and long-term demand for certain renewable energy projects, while other provisions incentivize oil and gas development and support energy infrastructure such as carbon capture and energy storage. The OBBBA, along with other evolving trade and immigration policies, may have both positive and negative effects on our business, including, but not limited to, shifts in the timing, type and scope of customer projects, fluctuations in demand for our services, and changes in capital and labor costs, including availability.</w:t>
      </w:r>
    </w:p>
    <w:p>
      <w:pPr>
        <w:spacing w:after="0" w:line="73"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We will continue to monitor the market and economic conditions. The extent to which general economic, market, political and regulatory conditions could affect our business, operations and financial results is uncertain as it will depend upon numerous evolving factors that we may not be able to accurately predict, and, therefore, any future impacts on our business, financial condition and/or results of operations cannot be quantified or predicted with specificity. For additional information regarding the effects of general economic, market and regulatory conditions, see Management’s Discussion and Analysis of Financial Condition and Results of Operations contained in our 2025 Form 10-K.</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Business Overview</w:t>
      </w:r>
    </w:p>
    <w:p>
      <w:pPr>
        <w:spacing w:after="0" w:line="129"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6"/>
          <w:szCs w:val="16"/>
          <w:color w:val="auto"/>
        </w:rPr>
        <w:t>We are a leading North American infrastructure engineering and construction company focused primarily on engineering, building, installation, maintenance and upgrade of communications, energy and utility and other infrastructure, such as: wireless, wireline/fiber; power delivery infrastructure, including transmission, distribution, large load electrical infrastructure, grid hardening and modernization, environmental planning and compliance; power generation infrastructure, primarily from clean energy and renewable sources; pipeline infrastructure, including for natural gas, water and carbon capture sequestration pipelines and pipeline integrity services; heavy civil and industrial infrastructure, including the construction and maintenance of buildings, roads, bridges, rail, water/sewer systems and other civil infrastructure, including data center infrastructure; and environmental remediation services. Our customers are primarily in these industries. Including our predecessor companies, we have been in business for over 95 years. As of September 30, 2026, we had approximately 42,000 employees and 800 locations. We offer our services under the MasTec</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6"/>
          <w:szCs w:val="16"/>
          <w:color w:val="auto"/>
        </w:rPr>
        <w:t xml:space="preserve"> and other service marks and we have been consistently ranked among the top specialty contractors within Engineering News-Record’s Top 400 Contractors.</w:t>
      </w:r>
    </w:p>
    <w:p>
      <w:pPr>
        <w:spacing w:after="0" w:line="99"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16"/>
          <w:szCs w:val="16"/>
          <w:color w:val="auto"/>
        </w:rPr>
        <w:t>We provide integrated, solutions-based services to a diversified base of customers and a significant portion of our services are provided under master service and other service agreements, which are generally multi-year agreements. The remainder of our work is generated pursuant to contracts for specific projects or jobs that require the construction or installation of an entire infrastructure system or specified units within an infrastructure system.</w:t>
      </w:r>
    </w:p>
    <w:p>
      <w:pPr>
        <w:spacing w:after="0" w:line="63"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16"/>
          <w:szCs w:val="16"/>
          <w:color w:val="auto"/>
        </w:rPr>
        <w:t>We manage our operations under five operating segments, which represent our five reportable segments: (1) Communications; (2) Clean Energy and Infrastructure; (3) Power Delivery; (4) Pipeline Infrastructure and (5) Other. This structure is generally focused on broad end-user markets for our labor-based construction services.</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Backlog</w:t>
      </w:r>
    </w:p>
    <w:p>
      <w:pPr>
        <w:spacing w:after="0" w:line="1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6"/>
          <w:szCs w:val="16"/>
          <w:color w:val="auto"/>
        </w:rPr>
        <w:t>Estimated backlog represents the amount of revenue we expect to realize over the next 18 months from future work on uncompleted construction contracts, including new contracts under which work has not begun, as well as revenue from change orders and renewal options. Our estimated backlog also includes amounts under master service and other service agreements and our proportionate share of estimated revenue from proportionately consolidated non-controlled contractual joint ventures. Estimated backlog for work under master service and other service agreements is determined based on historical trends, anticipated seasonal impacts, experience from similar projects and estimates of customer demand based on communications with our customers. For contracts with not-to-exceed maximum amounts, we include in estimated backlog only the portion of the remaining maximum contractual amounts that, based on our estimates, we expect to realize. Based on current expectations of our customers’ requirements, we anticipate that we will realize approximately 23% of our estimated September 30, 2026 backlog in 2026. The following table presents 18-month estimated backlog by reportable segment as of the dates indicated:</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3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Reportable Segment (in millions):</w:t>
            </w:r>
          </w:p>
        </w:tc>
        <w:tc>
          <w:tcPr>
            <w:tcW w:w="200" w:type="dxa"/>
            <w:vAlign w:val="bottom"/>
          </w:tcPr>
          <w:p>
            <w:pPr>
              <w:spacing w:after="0"/>
              <w:rPr>
                <w:sz w:val="18"/>
                <w:szCs w:val="18"/>
                <w:color w:val="auto"/>
              </w:rPr>
            </w:pPr>
          </w:p>
        </w:tc>
        <w:tc>
          <w:tcPr>
            <w:tcW w:w="18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September 30, 2026</w:t>
            </w:r>
          </w:p>
        </w:tc>
        <w:tc>
          <w:tcPr>
            <w:tcW w:w="280" w:type="dxa"/>
            <w:vAlign w:val="bottom"/>
          </w:tcPr>
          <w:p>
            <w:pPr>
              <w:spacing w:after="0"/>
              <w:rPr>
                <w:sz w:val="18"/>
                <w:szCs w:val="18"/>
                <w:color w:val="auto"/>
              </w:rPr>
            </w:pPr>
          </w:p>
        </w:tc>
        <w:tc>
          <w:tcPr>
            <w:tcW w:w="170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June 30, 2026</w:t>
            </w:r>
          </w:p>
        </w:tc>
        <w:tc>
          <w:tcPr>
            <w:tcW w:w="200" w:type="dxa"/>
            <w:vAlign w:val="bottom"/>
          </w:tcPr>
          <w:p>
            <w:pPr>
              <w:spacing w:after="0"/>
              <w:rPr>
                <w:sz w:val="18"/>
                <w:szCs w:val="18"/>
                <w:color w:val="auto"/>
              </w:rPr>
            </w:pPr>
          </w:p>
        </w:tc>
        <w:tc>
          <w:tcPr>
            <w:tcW w:w="170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September 30, 2025</w:t>
            </w:r>
          </w:p>
        </w:tc>
      </w:tr>
      <w:tr>
        <w:trPr>
          <w:trHeight w:val="307"/>
        </w:trPr>
        <w:tc>
          <w:tcPr>
            <w:tcW w:w="5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Communications</w:t>
            </w: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5,053</w:t>
            </w:r>
          </w:p>
        </w:tc>
        <w:tc>
          <w:tcPr>
            <w:tcW w:w="100" w:type="dxa"/>
            <w:vAlign w:val="bottom"/>
            <w:tcBorders>
              <w:top w:val="single" w:sz="8" w:color="CCEEFF"/>
            </w:tcBorders>
            <w:shd w:val="clear" w:color="auto" w:fill="CCEEFF"/>
          </w:tcPr>
          <w:p>
            <w:pPr>
              <w:spacing w:after="0"/>
              <w:rPr>
                <w:sz w:val="24"/>
                <w:szCs w:val="24"/>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5,461</w:t>
            </w:r>
          </w:p>
        </w:tc>
        <w:tc>
          <w:tcPr>
            <w:tcW w:w="100" w:type="dxa"/>
            <w:vAlign w:val="bottom"/>
            <w:tcBorders>
              <w:top w:val="single" w:sz="8" w:color="CCEEFF"/>
            </w:tcBorders>
            <w:shd w:val="clear" w:color="auto" w:fill="CCEEFF"/>
          </w:tcPr>
          <w:p>
            <w:pPr>
              <w:spacing w:after="0"/>
              <w:rPr>
                <w:sz w:val="24"/>
                <w:szCs w:val="24"/>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5,055</w:t>
            </w:r>
          </w:p>
        </w:tc>
      </w:tr>
      <w:tr>
        <w:trPr>
          <w:trHeight w:val="321"/>
        </w:trPr>
        <w:tc>
          <w:tcPr>
            <w:tcW w:w="5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Clean Energy and Infrastructure</w:t>
            </w:r>
          </w:p>
        </w:tc>
        <w:tc>
          <w:tcPr>
            <w:tcW w:w="20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8,315</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7,791</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5,026</w:t>
            </w:r>
          </w:p>
        </w:tc>
      </w:tr>
      <w:tr>
        <w:trPr>
          <w:trHeight w:val="327"/>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Power Delivery</w:t>
            </w:r>
          </w:p>
        </w:tc>
        <w:tc>
          <w:tcPr>
            <w:tcW w:w="200" w:type="dxa"/>
            <w:vAlign w:val="bottom"/>
            <w:shd w:val="clear" w:color="auto" w:fill="CCEEFF"/>
          </w:tcPr>
          <w:p>
            <w:pPr>
              <w:spacing w:after="0"/>
              <w:rPr>
                <w:sz w:val="24"/>
                <w:szCs w:val="24"/>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8,913</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6,347</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5,128</w:t>
            </w:r>
          </w:p>
        </w:tc>
      </w:tr>
      <w:tr>
        <w:trPr>
          <w:trHeight w:val="321"/>
        </w:trPr>
        <w:tc>
          <w:tcPr>
            <w:tcW w:w="5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Pipeline Infrastructure</w:t>
            </w:r>
          </w:p>
        </w:tc>
        <w:tc>
          <w:tcPr>
            <w:tcW w:w="20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2,265</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1,792</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1,571</w:t>
            </w:r>
          </w:p>
        </w:tc>
      </w:tr>
      <w:tr>
        <w:trPr>
          <w:trHeight w:val="327"/>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200" w:type="dxa"/>
            <w:vAlign w:val="bottom"/>
            <w:shd w:val="clear" w:color="auto" w:fill="CCEEFF"/>
          </w:tcPr>
          <w:p>
            <w:pPr>
              <w:spacing w:after="0"/>
              <w:rPr>
                <w:sz w:val="24"/>
                <w:szCs w:val="24"/>
                <w:color w:val="auto"/>
              </w:rPr>
            </w:pPr>
          </w:p>
        </w:tc>
        <w:tc>
          <w:tcPr>
            <w:tcW w:w="1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24"/>
                <w:szCs w:val="24"/>
                <w:color w:val="auto"/>
              </w:rPr>
            </w:pPr>
          </w:p>
        </w:tc>
        <w:tc>
          <w:tcPr>
            <w:tcW w:w="1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4"/>
                <w:szCs w:val="24"/>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53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Estimated 18-month backlog</w:t>
            </w: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24,546</w:t>
            </w:r>
          </w:p>
        </w:tc>
        <w:tc>
          <w:tcPr>
            <w:tcW w:w="10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21,391</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16,780</w:t>
            </w:r>
          </w:p>
        </w:tc>
      </w:tr>
    </w:tbl>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6"/>
          <w:szCs w:val="16"/>
          <w:color w:val="auto"/>
        </w:rPr>
        <w:t>As of September 30, 2026, 34% of our backlog is estimated to be attributable to amounts under master service or other service agreements, pursuant to which our customers are not contractually committed to purchase a minimum amount of services. Most of these agreements can be canceled on short or no advance notice. Timing of revenue for construction and installation projects included in our backlog can be subject to change as a result of customer, regulatory or other delays or cancellations, including from factors relative to “General Economic, Market and Regulatory Conditions” mentioned above. These effects, among others, could cause estimated revenue to be realized in periods later than originally expected, or not at all. We occasionally experience postponements, cancellations and reductions in expected future work due to these effects and/or other factors. There can be no assurance as to our customers’ requirements or that actual results will be consistent with the estimates included in our forecasts. As a result, our backlog as of any particular date is an uncertain indicator of future revenue and earnings.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30" w:name="page31"/>
    <w:bookmarkEnd w:id="30"/>
    <w:p>
      <w:pPr>
        <w:jc w:val="both"/>
        <w:ind w:firstLine="648"/>
        <w:spacing w:after="0" w:line="257" w:lineRule="auto"/>
        <w:rPr>
          <w:sz w:val="20"/>
          <w:szCs w:val="20"/>
          <w:color w:val="auto"/>
        </w:rPr>
      </w:pPr>
      <w:r>
        <w:rPr>
          <w:rFonts w:ascii="Times New Roman" w:cs="Times New Roman" w:eastAsia="Times New Roman" w:hAnsi="Times New Roman"/>
          <w:sz w:val="16"/>
          <w:szCs w:val="16"/>
          <w:color w:val="auto"/>
        </w:rPr>
        <w:t>Backlog is a common measurement used in our industry. Our methodology for determining backlog may not, however, be comparable to the methodologies used by others. Backlog differs from the amount of our remaining performance obligations, which are described in Note 1 – Business, Basis of Presentation and Significant Accounting Policies in the notes to the consolidated financial statements, which is incorporated by reference. As of September 30, 2026, total 18-month backlog differed from the amount of our remaining performance obligations due primarily to the inclusion of $9.0 billion of estimated future revenue under master service and other service agreements and estimated amounts under certain not-to-exceed contracts within our backlog estimates, as described above, and the exclusion of approximately $3.6 billion of remaining performance obligations and estimated future revenue under master service and other service agreements in excess of 18 months, which amount is not included in the backlog estimates above. Backlog expected to be realized in 2026 differs from the amount of remaining performance obligations expected to be recognized for the same period due primarily to the inclusion of approximately $1.4 billion of estimated future revenue under master service and other service agreements included within our backlog estimate, which is not included within our remaining performance obligations for the same period.</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Economic, Industry and Market Factors</w:t>
      </w:r>
    </w:p>
    <w:p>
      <w:pPr>
        <w:spacing w:after="0" w:line="115"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6"/>
          <w:szCs w:val="16"/>
          <w:color w:val="auto"/>
        </w:rPr>
        <w:t>We closely monitor the effects of changes in economic, industry and market conditions on our customers, including the potential effects of the factors discussed above in “General Economic, Market and Regulatory Conditions,” which can affect demand for our customers’ products and services and can increase or decrease our customers’ planned capital and maintenance budgets in certain end-markets. Any of these factors and effects, as well as mergers and acquisitions or other business transactions among the customers we serve, could affect demand for our services, or the cost to provide such services and our profitability. For additional information regarding the potential effects of economic, industry and market factors on our business, see Management’s Discussion and Analysis of Financial Condition and Results of Operations contained in our 2025 Form 10-K.</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Effect of Seasonality and Cyclical Nature of Business</w:t>
      </w:r>
    </w:p>
    <w:p>
      <w:pPr>
        <w:spacing w:after="0" w:line="129"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6"/>
          <w:szCs w:val="16"/>
          <w:color w:val="auto"/>
        </w:rPr>
        <w:t>Our revenue and results of operations are cyclical and can be subject to seasonal and other variations. For additional information regarding the effects of seasonality and the cyclical nature of our business, see Management’s Discussion and Analysis of Financial Condition and Results of Operations contained in our 2025 Form 10-K.</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Critical Accounting Policies and Estimates</w:t>
      </w:r>
    </w:p>
    <w:p>
      <w:pPr>
        <w:spacing w:after="0" w:line="11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color w:val="auto"/>
        </w:rPr>
        <w:t>This discussion and analysis of our financial condition and results of operations is based upon our consolidated financial statements, which have been prepared in accordance with U.S. GAAP. The preparation of our consolidated financial statements requires the use of estimates and assumptions that affect the amounts reported in our consolidated financial statements and accompanying notes. A summary of our critical accounting estimates is included in the Management’s Discussion and Analysis of Financial Condition and Results of Operations contained in our 2025 Form 10-K. We are required to make estimates and judgments in the preparation of our financial statements that affect the reported amounts of assets and liabilities, revenues and expenses and related disclosures. We continually review these estimates and their underlying assumptions to ensure they are appropriate for the circumstances. Changes in the estimates and assumptions we use could have a material impact on our financial results. During the nine months ended September 30, 2026, there were no material changes in our critical accounting estimates or policies previously disclosed in our 2025 Form 10-K.</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6"/>
          <w:szCs w:val="16"/>
          <w:b w:val="1"/>
          <w:bCs w:val="1"/>
          <w:color w:val="auto"/>
        </w:rPr>
        <w:t>Results of Operations</w:t>
      </w:r>
    </w:p>
    <w:p>
      <w:pPr>
        <w:spacing w:after="0" w:line="11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Comparison of Consolidated Results</w:t>
      </w:r>
    </w:p>
    <w:p>
      <w:pPr>
        <w:spacing w:after="0" w:line="13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6"/>
          <w:szCs w:val="16"/>
          <w:color w:val="auto"/>
        </w:rPr>
        <w:t>The following tables, which may contain slight summation differences due to rounding, reflect our consolidated results of operations in dollar and percentage of revenue terms for the periods indicated (dollar amounts in millions). Our consolidated results of operations are not necessarily comparable from period to period due to the effect of recent acquisitions and certain other items, as appropriate, which are described in the comparison of results section below. In our discussions, “acquisition” results are defined as results from acquired businesses for the first twelve months following the dates of the respective acquisitions, with the balance of results for a particular item attributed to “organic” activity. Unless otherwise stated, comparisons are for the quarters ended September 30, 2026 and 2025.</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300" w:type="dxa"/>
            <w:vAlign w:val="bottom"/>
            <w:gridSpan w:val="7"/>
          </w:tcPr>
          <w:p>
            <w:pPr>
              <w:spacing w:after="0"/>
              <w:rPr>
                <w:sz w:val="20"/>
                <w:szCs w:val="20"/>
                <w:color w:val="auto"/>
              </w:rPr>
            </w:pPr>
            <w:r>
              <w:rPr>
                <w:rFonts w:ascii="Times New Roman" w:cs="Times New Roman" w:eastAsia="Times New Roman" w:hAnsi="Times New Roman"/>
                <w:sz w:val="16"/>
                <w:szCs w:val="16"/>
                <w:b w:val="1"/>
                <w:bCs w:val="1"/>
                <w:color w:val="auto"/>
              </w:rPr>
              <w:t>Three Months Ended September 30, 2026 Compared to Three Months Ended September 30, 2025</w:t>
            </w: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340"/>
        </w:trPr>
        <w:tc>
          <w:tcPr>
            <w:tcW w:w="52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gridSpan w:val="9"/>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6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3"/>
          </w:tcPr>
          <w:p>
            <w:pPr>
              <w:ind w:left="5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620" w:type="dxa"/>
            <w:vAlign w:val="bottom"/>
            <w:tcBorders>
              <w:bottom w:val="single" w:sz="8" w:color="auto"/>
            </w:tcBorders>
          </w:tcPr>
          <w:p>
            <w:pPr>
              <w:spacing w:after="0"/>
              <w:rPr>
                <w:sz w:val="24"/>
                <w:szCs w:val="24"/>
                <w:color w:val="auto"/>
              </w:rPr>
            </w:pPr>
          </w:p>
        </w:tc>
      </w:tr>
      <w:tr>
        <w:trPr>
          <w:trHeight w:val="211"/>
        </w:trPr>
        <w:tc>
          <w:tcPr>
            <w:tcW w:w="52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2026</w:t>
            </w:r>
          </w:p>
        </w:tc>
        <w:tc>
          <w:tcPr>
            <w:tcW w:w="6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2025</w:t>
            </w:r>
          </w:p>
        </w:tc>
        <w:tc>
          <w:tcPr>
            <w:tcW w:w="6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11"/>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5,152.3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3,966.9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1,185.4</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29.9 %</w:t>
            </w:r>
          </w:p>
        </w:tc>
      </w:tr>
      <w:tr>
        <w:trPr>
          <w:trHeight w:val="213"/>
        </w:trPr>
        <w:tc>
          <w:tcPr>
            <w:tcW w:w="5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Costs of revenue, excluding depreciation and amortization</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4,491.5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87.2 %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3,429.2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86.4 %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1,062.3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31.0 %</w:t>
            </w:r>
          </w:p>
        </w:tc>
      </w:tr>
      <w:tr>
        <w:trPr>
          <w:trHeight w:val="219"/>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w:t>
            </w: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30.5 %</w:t>
            </w:r>
          </w:p>
        </w:tc>
      </w:tr>
      <w:tr>
        <w:trPr>
          <w:trHeight w:val="213"/>
        </w:trPr>
        <w:tc>
          <w:tcPr>
            <w:tcW w:w="5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130.1 %</w:t>
            </w:r>
          </w:p>
        </w:tc>
      </w:tr>
      <w:tr>
        <w:trPr>
          <w:trHeight w:val="219"/>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24.5 %</w:t>
            </w:r>
          </w:p>
        </w:tc>
      </w:tr>
      <w:tr>
        <w:trPr>
          <w:trHeight w:val="213"/>
        </w:trPr>
        <w:tc>
          <w:tcPr>
            <w:tcW w:w="5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Equity in earnings of integral unconsolidated affiliates, net</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3"/>
          </w:tcPr>
          <w:p>
            <w:pPr>
              <w:jc w:val="right"/>
              <w:ind w:right="48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239"/>
        </w:trPr>
        <w:tc>
          <w:tcPr>
            <w:tcW w:w="528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Operating income</w:t>
            </w: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275.4</w:t>
            </w:r>
          </w:p>
        </w:tc>
        <w:tc>
          <w:tcPr>
            <w:tcW w:w="10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spacing w:after="0"/>
              <w:rPr>
                <w:sz w:val="20"/>
                <w:szCs w:val="20"/>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5.3 %</w:t>
            </w:r>
          </w:p>
        </w:tc>
        <w:tc>
          <w:tcPr>
            <w:tcW w:w="12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249.6</w:t>
            </w:r>
          </w:p>
        </w:tc>
        <w:tc>
          <w:tcPr>
            <w:tcW w:w="10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auto"/>
            </w:tcBorders>
            <w:shd w:val="clear" w:color="auto" w:fill="CCEEFF"/>
          </w:tcPr>
          <w:p>
            <w:pPr>
              <w:spacing w:after="0"/>
              <w:rPr>
                <w:sz w:val="20"/>
                <w:szCs w:val="20"/>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6.3 %</w:t>
            </w:r>
          </w:p>
        </w:tc>
        <w:tc>
          <w:tcPr>
            <w:tcW w:w="10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w:t>
            </w:r>
          </w:p>
        </w:tc>
        <w:tc>
          <w:tcPr>
            <w:tcW w:w="12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auto"/>
            </w:tcBorders>
            <w:shd w:val="clear" w:color="auto" w:fill="CCEEFF"/>
          </w:tcPr>
          <w:p>
            <w:pPr>
              <w:spacing w:after="0"/>
              <w:rPr>
                <w:sz w:val="20"/>
                <w:szCs w:val="20"/>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10.4 %</w:t>
            </w:r>
          </w:p>
        </w:tc>
      </w:tr>
      <w:tr>
        <w:trPr>
          <w:trHeight w:val="213"/>
        </w:trPr>
        <w:tc>
          <w:tcPr>
            <w:tcW w:w="5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 net</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36.0 %</w:t>
            </w:r>
          </w:p>
        </w:tc>
      </w:tr>
      <w:tr>
        <w:trPr>
          <w:trHeight w:val="219"/>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Equity in earnings of unconsolidated affiliates, net</w:t>
            </w: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22.7 %</w:t>
            </w:r>
          </w:p>
        </w:tc>
      </w:tr>
      <w:tr>
        <w:trPr>
          <w:trHeight w:val="213"/>
        </w:trPr>
        <w:tc>
          <w:tcPr>
            <w:tcW w:w="5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on extinguishment of debt</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3"/>
          </w:tcPr>
          <w:p>
            <w:pPr>
              <w:jc w:val="right"/>
              <w:ind w:right="48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0.0 %</w:t>
            </w:r>
          </w:p>
        </w:tc>
      </w:tr>
      <w:tr>
        <w:trPr>
          <w:trHeight w:val="216"/>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net</w:t>
            </w:r>
          </w:p>
        </w:tc>
        <w:tc>
          <w:tcPr>
            <w:tcW w:w="2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87.9 %</w:t>
            </w:r>
          </w:p>
        </w:tc>
      </w:tr>
      <w:tr>
        <w:trPr>
          <w:trHeight w:val="236"/>
        </w:trPr>
        <w:tc>
          <w:tcPr>
            <w:tcW w:w="5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4.3 %</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5.3 %</w:t>
            </w:r>
          </w:p>
        </w:tc>
        <w:tc>
          <w:tcPr>
            <w:tcW w:w="10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4.0 %</w:t>
            </w:r>
          </w:p>
        </w:tc>
      </w:tr>
      <w:tr>
        <w:trPr>
          <w:trHeight w:val="219"/>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16.2 %</w:t>
            </w:r>
          </w:p>
        </w:tc>
      </w:tr>
      <w:tr>
        <w:trPr>
          <w:trHeight w:val="207"/>
        </w:trPr>
        <w:tc>
          <w:tcPr>
            <w:tcW w:w="52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income</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167.7</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3.3 %</w:t>
            </w:r>
          </w:p>
        </w:tc>
        <w:tc>
          <w:tcPr>
            <w:tcW w:w="120" w:type="dxa"/>
            <w:vAlign w:val="bottom"/>
          </w:tcPr>
          <w:p>
            <w:pPr>
              <w:spacing w:after="0"/>
              <w:rPr>
                <w:sz w:val="17"/>
                <w:szCs w:val="17"/>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166.5</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4.2 %</w:t>
            </w:r>
          </w:p>
        </w:tc>
        <w:tc>
          <w:tcPr>
            <w:tcW w:w="100" w:type="dxa"/>
            <w:vAlign w:val="bottom"/>
          </w:tcPr>
          <w:p>
            <w:pPr>
              <w:spacing w:after="0"/>
              <w:rPr>
                <w:sz w:val="17"/>
                <w:szCs w:val="17"/>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0.7 %</w:t>
            </w:r>
          </w:p>
        </w:tc>
      </w:tr>
      <w:tr>
        <w:trPr>
          <w:trHeight w:val="219"/>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attributable to non-controlling interests</w:t>
            </w: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0.3 %</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0.1 %</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193.9 %</w:t>
            </w:r>
          </w:p>
        </w:tc>
      </w:tr>
      <w:tr>
        <w:trPr>
          <w:trHeight w:val="207"/>
        </w:trPr>
        <w:tc>
          <w:tcPr>
            <w:tcW w:w="5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income attributable to MasTec, Inc.</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150.6</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2.9 %</w:t>
            </w:r>
          </w:p>
        </w:tc>
        <w:tc>
          <w:tcPr>
            <w:tcW w:w="120" w:type="dxa"/>
            <w:vAlign w:val="bottom"/>
          </w:tcPr>
          <w:p>
            <w:pPr>
              <w:spacing w:after="0"/>
              <w:rPr>
                <w:sz w:val="17"/>
                <w:szCs w:val="17"/>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160.7</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4.0 %</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w:t>
            </w:r>
          </w:p>
        </w:tc>
      </w:tr>
    </w:tbl>
    <w:p>
      <w:pPr>
        <w:spacing w:after="0" w:line="239" w:lineRule="exact"/>
        <w:rPr>
          <w:sz w:val="20"/>
          <w:szCs w:val="20"/>
          <w:color w:val="auto"/>
        </w:rPr>
      </w:pPr>
    </w:p>
    <w:p>
      <w:pPr>
        <w:jc w:val="both"/>
        <w:ind w:firstLine="324"/>
        <w:spacing w:after="0" w:line="275" w:lineRule="auto"/>
        <w:rPr>
          <w:sz w:val="20"/>
          <w:szCs w:val="20"/>
          <w:color w:val="auto"/>
        </w:rPr>
      </w:pPr>
      <w:r>
        <w:rPr>
          <w:rFonts w:ascii="Times New Roman" w:cs="Times New Roman" w:eastAsia="Times New Roman" w:hAnsi="Times New Roman"/>
          <w:sz w:val="16"/>
          <w:szCs w:val="16"/>
          <w:b w:val="1"/>
          <w:bCs w:val="1"/>
          <w:i w:val="1"/>
          <w:iCs w:val="1"/>
          <w:color w:val="auto"/>
        </w:rPr>
        <w:t>Revenue</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On a consolidated basis, revenue increased by $1,185 million, or 30%, driven by our segment results. See Analysis of Revenue and EBITDA by Segment for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further details. Organic revenue increased by approximately $469 million, or 12%, as compared with the same period in 2025, and acquisitions contributed $716 million of revenue for the three months ended September 30, 2026.</w:t>
      </w:r>
    </w:p>
    <w:p>
      <w:pPr>
        <w:spacing w:after="0" w:line="5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6"/>
          <w:szCs w:val="16"/>
          <w:b w:val="1"/>
          <w:bCs w:val="1"/>
          <w:i w:val="1"/>
          <w:iCs w:val="1"/>
          <w:color w:val="auto"/>
        </w:rPr>
        <w:t xml:space="preserve">Costs of revenue, excluding depreciation and amortization. </w:t>
      </w:r>
      <w:r>
        <w:rPr>
          <w:rFonts w:ascii="Times New Roman" w:cs="Times New Roman" w:eastAsia="Times New Roman" w:hAnsi="Times New Roman"/>
          <w:sz w:val="16"/>
          <w:szCs w:val="16"/>
          <w:color w:val="auto"/>
        </w:rPr>
        <w:t>Higher levels of revenue contributed an increase of $1,025 million in costs of revenue, excluding</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depreciation and amortization, and reduced productivity contributed an increase of approximately $38 million. Costs of revenue, excluding depreciation and amortization, as a percentage of revenue, increased by approximately 70 basis points to 87.2% of revenue for the three months ended September 30, 2026 from 86.4% of revenue for the same period in 2025. The basis point increase was due to a combination of project mix and reduced project efficiencies, primarily within our Pipeline Infrastructure and Communications segments, as well as certain overhead costs incurred within our Pipeline Infrastructure segment to maintain operating capacity in support of expected future project work.</w:t>
      </w:r>
    </w:p>
    <w:p>
      <w:pPr>
        <w:spacing w:after="0" w:line="68" w:lineRule="exact"/>
        <w:rPr>
          <w:sz w:val="20"/>
          <w:szCs w:val="20"/>
          <w:color w:val="auto"/>
        </w:rPr>
      </w:pPr>
    </w:p>
    <w:p>
      <w:pPr>
        <w:jc w:val="both"/>
        <w:ind w:firstLine="324"/>
        <w:spacing w:after="0" w:line="275" w:lineRule="auto"/>
        <w:rPr>
          <w:sz w:val="20"/>
          <w:szCs w:val="20"/>
          <w:color w:val="auto"/>
        </w:rPr>
      </w:pPr>
      <w:r>
        <w:rPr>
          <w:rFonts w:ascii="Times New Roman" w:cs="Times New Roman" w:eastAsia="Times New Roman" w:hAnsi="Times New Roman"/>
          <w:sz w:val="16"/>
          <w:szCs w:val="16"/>
          <w:b w:val="1"/>
          <w:bCs w:val="1"/>
          <w:i w:val="1"/>
          <w:iCs w:val="1"/>
          <w:color w:val="auto"/>
        </w:rPr>
        <w:t xml:space="preserve">Depreciation. </w:t>
      </w:r>
      <w:r>
        <w:rPr>
          <w:rFonts w:ascii="Times New Roman" w:cs="Times New Roman" w:eastAsia="Times New Roman" w:hAnsi="Times New Roman"/>
          <w:sz w:val="16"/>
          <w:szCs w:val="16"/>
          <w:color w:val="auto"/>
        </w:rPr>
        <w:t>Organic depreciation expense increased by approximately $17 million, or 24%, driven primarily by higher capital expenditures to support operational</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growth and the replacement of older machinery and equipment. Acquisitions contributed approximately $5 million of depreciation expense for the three months ended September 30, 2026. As a percentage of revenue, depreciation was generally flat, as compared with the same period in 2025.</w:t>
      </w:r>
    </w:p>
    <w:p>
      <w:pPr>
        <w:spacing w:after="0" w:line="56" w:lineRule="exact"/>
        <w:rPr>
          <w:sz w:val="20"/>
          <w:szCs w:val="20"/>
          <w:color w:val="auto"/>
        </w:rPr>
      </w:pPr>
    </w:p>
    <w:p>
      <w:pPr>
        <w:jc w:val="both"/>
        <w:ind w:firstLine="324"/>
        <w:spacing w:after="0" w:line="271" w:lineRule="auto"/>
        <w:rPr>
          <w:sz w:val="20"/>
          <w:szCs w:val="20"/>
          <w:color w:val="auto"/>
        </w:rPr>
      </w:pPr>
      <w:r>
        <w:rPr>
          <w:rFonts w:ascii="Times New Roman" w:cs="Times New Roman" w:eastAsia="Times New Roman" w:hAnsi="Times New Roman"/>
          <w:sz w:val="16"/>
          <w:szCs w:val="16"/>
          <w:b w:val="1"/>
          <w:bCs w:val="1"/>
          <w:i w:val="1"/>
          <w:iCs w:val="1"/>
          <w:color w:val="auto"/>
        </w:rPr>
        <w:t xml:space="preserve">Amortization of intangible assets. </w:t>
      </w:r>
      <w:r>
        <w:rPr>
          <w:rFonts w:ascii="Times New Roman" w:cs="Times New Roman" w:eastAsia="Times New Roman" w:hAnsi="Times New Roman"/>
          <w:sz w:val="16"/>
          <w:szCs w:val="16"/>
          <w:color w:val="auto"/>
        </w:rPr>
        <w:t>Amortization expense increased for the three months ended September 30, 2026, primarily due to approximately $45 million of</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additional amortization associated with acquisitions, offset, in part, by a decrease of $3 million resulting from the timing of amortization and the completion of amortization for certain intangible assets associated with prior year acquisitions. As a percentage of revenue, amortization of intangible assets increased by approximately 60 basis points as compared with the same period in 2025, primarily due to additional amortization associated with acquisitions.</w:t>
      </w:r>
    </w:p>
    <w:p>
      <w:pPr>
        <w:spacing w:after="0" w:line="60"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6"/>
          <w:szCs w:val="16"/>
          <w:b w:val="1"/>
          <w:bCs w:val="1"/>
          <w:i w:val="1"/>
          <w:iCs w:val="1"/>
          <w:color w:val="auto"/>
        </w:rPr>
        <w:t>General and administrative expenses</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Organic general and administrative expenses increased by approximately $25 million, or 14%, primarily due to an increase in</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compensation expense, including stock-based compensation, and increased insurance costs to support business growth, as well as a $5 million increase in expense from fair value adjustments, primarily related to changes in estimated Earn-out accruals, $7 million of restructuring charges and $6 million of acquisition and integration costs incurred during the third quarter of 2026. These increases were partially offset by an increase in net gains on asset sales and reductions in the effects of timing of ordinary course legal matters. Acquisitions contributed an additional $20 million of general and administrative expenses for the three months ended September 30, 2026. Overall, general and administrative expenses decreased by approximately 20 basis points as a percentage of revenue for the three months ended September 30, 2026 as compared with the same period in 2025 due, in part, to higher levels of revenue.</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5" w:right="339" w:bottom="1440" w:gutter="0" w:footer="0" w:header="0"/>
        </w:sectPr>
      </w:pPr>
    </w:p>
    <w:bookmarkStart w:id="32" w:name="page33"/>
    <w:bookmarkEnd w:id="32"/>
    <w:p>
      <w:pPr>
        <w:jc w:val="both"/>
        <w:ind w:firstLine="324"/>
        <w:spacing w:after="0" w:line="275" w:lineRule="auto"/>
        <w:rPr>
          <w:sz w:val="20"/>
          <w:szCs w:val="20"/>
          <w:color w:val="auto"/>
        </w:rPr>
      </w:pPr>
      <w:r>
        <w:rPr>
          <w:rFonts w:ascii="Times New Roman" w:cs="Times New Roman" w:eastAsia="Times New Roman" w:hAnsi="Times New Roman"/>
          <w:sz w:val="16"/>
          <w:szCs w:val="16"/>
          <w:b w:val="1"/>
          <w:bCs w:val="1"/>
          <w:i w:val="1"/>
          <w:iCs w:val="1"/>
          <w:color w:val="auto"/>
        </w:rPr>
        <w:t xml:space="preserve">Equity in earnings of integral unconsolidated affiliates, net. </w:t>
      </w:r>
      <w:r>
        <w:rPr>
          <w:rFonts w:ascii="Times New Roman" w:cs="Times New Roman" w:eastAsia="Times New Roman" w:hAnsi="Times New Roman"/>
          <w:sz w:val="16"/>
          <w:szCs w:val="16"/>
          <w:color w:val="auto"/>
        </w:rPr>
        <w:t>For the three months ended September 30, 2026, equity in earnings from unconsolidated affiliates that are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operationally integral to the Company’s business (the “Integral Investments”) totaled approximately $12 million, and related to equity interests acquired as part of the Superior acquisition.</w:t>
      </w:r>
    </w:p>
    <w:p>
      <w:pPr>
        <w:spacing w:after="0" w:line="56" w:lineRule="exact"/>
        <w:rPr>
          <w:sz w:val="20"/>
          <w:szCs w:val="20"/>
          <w:color w:val="auto"/>
        </w:rPr>
      </w:pPr>
    </w:p>
    <w:p>
      <w:pPr>
        <w:jc w:val="both"/>
        <w:ind w:firstLine="324"/>
        <w:spacing w:after="0" w:line="303" w:lineRule="auto"/>
        <w:rPr>
          <w:sz w:val="20"/>
          <w:szCs w:val="20"/>
          <w:color w:val="auto"/>
        </w:rPr>
      </w:pPr>
      <w:r>
        <w:rPr>
          <w:rFonts w:ascii="Times New Roman" w:cs="Times New Roman" w:eastAsia="Times New Roman" w:hAnsi="Times New Roman"/>
          <w:sz w:val="16"/>
          <w:szCs w:val="16"/>
          <w:b w:val="1"/>
          <w:bCs w:val="1"/>
          <w:i w:val="1"/>
          <w:iCs w:val="1"/>
          <w:color w:val="auto"/>
        </w:rPr>
        <w:t xml:space="preserve">Interest expense, net. </w:t>
      </w:r>
      <w:r>
        <w:rPr>
          <w:rFonts w:ascii="Times New Roman" w:cs="Times New Roman" w:eastAsia="Times New Roman" w:hAnsi="Times New Roman"/>
          <w:sz w:val="16"/>
          <w:szCs w:val="16"/>
          <w:color w:val="auto"/>
        </w:rPr>
        <w:t>The increase in interest expense, net, resulted primarily from higher average balances on our variable rate debt, which accounted for an increase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of approximately $14 million, primarily driven by indebtedness incurred in connection with the Superior acquisition.</w:t>
      </w:r>
    </w:p>
    <w:p>
      <w:pPr>
        <w:spacing w:after="0" w:line="35" w:lineRule="exact"/>
        <w:rPr>
          <w:sz w:val="20"/>
          <w:szCs w:val="20"/>
          <w:color w:val="auto"/>
        </w:rPr>
      </w:pPr>
    </w:p>
    <w:p>
      <w:pPr>
        <w:jc w:val="both"/>
        <w:ind w:right="20" w:firstLine="324"/>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 xml:space="preserve">Equity in earnings of unconsolidated affiliates, net. </w:t>
      </w:r>
      <w:r>
        <w:rPr>
          <w:rFonts w:ascii="Times New Roman" w:cs="Times New Roman" w:eastAsia="Times New Roman" w:hAnsi="Times New Roman"/>
          <w:sz w:val="16"/>
          <w:szCs w:val="16"/>
          <w:color w:val="auto"/>
        </w:rPr>
        <w:t>For the three months ended September 30, 2026 and 2025, equity in earnings from unconsolidated affiliates, net,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totaled approximately $8 million and $7 million, respectively, and related primarily to our investment in the Waha JVs.</w:t>
      </w:r>
    </w:p>
    <w:p>
      <w:pPr>
        <w:spacing w:after="0" w:line="61"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 xml:space="preserve">Loss on extinguishment of debt. </w:t>
      </w:r>
      <w:r>
        <w:rPr>
          <w:rFonts w:ascii="Times New Roman" w:cs="Times New Roman" w:eastAsia="Times New Roman" w:hAnsi="Times New Roman"/>
          <w:sz w:val="16"/>
          <w:szCs w:val="16"/>
          <w:color w:val="auto"/>
        </w:rPr>
        <w:t>During the third quarter of 2026, we incurred a loss on debt extinguishment of approximately $3 million in connection with the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redemption of our 6.625% Senior Notes and the repayment of $450 million of the $600 million outstanding under our 2025 Term Loan Facility.</w:t>
      </w:r>
    </w:p>
    <w:p>
      <w:pPr>
        <w:spacing w:after="0" w:line="6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 xml:space="preserve">Other income, net. </w:t>
      </w:r>
      <w:r>
        <w:rPr>
          <w:rFonts w:ascii="Times New Roman" w:cs="Times New Roman" w:eastAsia="Times New Roman" w:hAnsi="Times New Roman"/>
          <w:sz w:val="16"/>
          <w:szCs w:val="16"/>
          <w:color w:val="auto"/>
        </w:rPr>
        <w:t>For the three months ended September 30, 2026, other income, net, consisted primarily of other miscellaneous income.</w:t>
      </w:r>
    </w:p>
    <w:p>
      <w:pPr>
        <w:spacing w:after="0" w:line="113"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6"/>
          <w:szCs w:val="16"/>
          <w:b w:val="1"/>
          <w:bCs w:val="1"/>
          <w:i w:val="1"/>
          <w:iCs w:val="1"/>
          <w:color w:val="auto"/>
        </w:rPr>
        <w:t xml:space="preserve">Provision for income taxes. </w:t>
      </w:r>
      <w:r>
        <w:rPr>
          <w:rFonts w:ascii="Times New Roman" w:cs="Times New Roman" w:eastAsia="Times New Roman" w:hAnsi="Times New Roman"/>
          <w:sz w:val="16"/>
          <w:szCs w:val="16"/>
          <w:color w:val="auto"/>
        </w:rPr>
        <w:t>For the three months ended September 30, 2026, our effective tax rate was 23.8% as compared with 21.3% for the same period in 2025.</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Our effective tax rate for the three months ended September 30, 2026 included income tax benefits primarily due to benefits related to return-to-provision adjustments resulting from the finalization of the Company’s 2025 federal income tax return, offset, in part, by the effects of a higher state income tax rate, whereas for the three months ended September 30, 2025, our effective tax rate included an income tax benefit primarily due to the reversal of uncertain tax position liabilities related to a state audit and the release of valuation allowances on certain deferred tax assets that were no longer necessary, offset, in part, by an increase in income tax expense due to higher pre-tax income.</w:t>
      </w:r>
    </w:p>
    <w:p>
      <w:pPr>
        <w:spacing w:after="0" w:line="265"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6"/>
          <w:szCs w:val="16"/>
          <w:b w:val="1"/>
          <w:bCs w:val="1"/>
          <w:i w:val="1"/>
          <w:iCs w:val="1"/>
          <w:color w:val="auto"/>
        </w:rPr>
        <w:t xml:space="preserve">Net income attributable to non-controlling interests. </w:t>
      </w:r>
      <w:r>
        <w:rPr>
          <w:rFonts w:ascii="Times New Roman" w:cs="Times New Roman" w:eastAsia="Times New Roman" w:hAnsi="Times New Roman"/>
          <w:sz w:val="16"/>
          <w:szCs w:val="16"/>
          <w:color w:val="auto"/>
        </w:rPr>
        <w:t>Net income attributable to non-controlling interests was $17 million for the three months ended September 30,</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2026, as compared with $6 million for the same period in 2025. The increase was primarily attributable to the results of certain entities with minority interest holders acquired as part of the Superior acquisition and, to a lesser extent, increased activity at certain entities within the Pipeline Infrastructure segment with minority interest holders.</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58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color w:val="auto"/>
              </w:rPr>
              <w:t>Nine Months Ended September 30, 2026 Compared to Nine Months Ended September 30, 2025</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340"/>
        </w:trPr>
        <w:tc>
          <w:tcPr>
            <w:tcW w:w="52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gridSpan w:val="9"/>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6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3"/>
          </w:tcPr>
          <w:p>
            <w:pPr>
              <w:ind w:left="5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620" w:type="dxa"/>
            <w:vAlign w:val="bottom"/>
            <w:tcBorders>
              <w:bottom w:val="single" w:sz="8" w:color="auto"/>
            </w:tcBorders>
          </w:tcPr>
          <w:p>
            <w:pPr>
              <w:spacing w:after="0"/>
              <w:rPr>
                <w:sz w:val="24"/>
                <w:szCs w:val="24"/>
                <w:color w:val="auto"/>
              </w:rPr>
            </w:pPr>
          </w:p>
        </w:tc>
      </w:tr>
      <w:tr>
        <w:trPr>
          <w:trHeight w:val="211"/>
        </w:trPr>
        <w:tc>
          <w:tcPr>
            <w:tcW w:w="52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2026</w:t>
            </w:r>
          </w:p>
        </w:tc>
        <w:tc>
          <w:tcPr>
            <w:tcW w:w="6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2025</w:t>
            </w:r>
          </w:p>
        </w:tc>
        <w:tc>
          <w:tcPr>
            <w:tcW w:w="6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11"/>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13,354.7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10,359.4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2,995.3</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28.9 %</w:t>
            </w:r>
          </w:p>
        </w:tc>
      </w:tr>
      <w:tr>
        <w:trPr>
          <w:trHeight w:val="213"/>
        </w:trPr>
        <w:tc>
          <w:tcPr>
            <w:tcW w:w="5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Costs of revenue, excluding depreciation and amortization</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11,659.6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87.3 %</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9,075.0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87.6 %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2,584.7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28.5 %</w:t>
            </w:r>
          </w:p>
        </w:tc>
      </w:tr>
      <w:tr>
        <w:trPr>
          <w:trHeight w:val="219"/>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w:t>
            </w: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2.0 %</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20.7 %</w:t>
            </w:r>
          </w:p>
        </w:tc>
      </w:tr>
      <w:tr>
        <w:trPr>
          <w:trHeight w:val="213"/>
        </w:trPr>
        <w:tc>
          <w:tcPr>
            <w:tcW w:w="5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1.1 %</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54.4 %</w:t>
            </w:r>
          </w:p>
        </w:tc>
      </w:tr>
      <w:tr>
        <w:trPr>
          <w:trHeight w:val="219"/>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649.2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4.9 %</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524.4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23.8 %</w:t>
            </w:r>
          </w:p>
        </w:tc>
      </w:tr>
      <w:tr>
        <w:trPr>
          <w:trHeight w:val="213"/>
        </w:trPr>
        <w:tc>
          <w:tcPr>
            <w:tcW w:w="5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Equity in earnings of integral unconsolidated affiliates, net</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3"/>
          </w:tcPr>
          <w:p>
            <w:pPr>
              <w:jc w:val="right"/>
              <w:ind w:right="46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0.0 %</w:t>
            </w:r>
          </w:p>
        </w:tc>
      </w:tr>
      <w:tr>
        <w:trPr>
          <w:trHeight w:val="239"/>
        </w:trPr>
        <w:tc>
          <w:tcPr>
            <w:tcW w:w="528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Operating income</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643.5</w:t>
            </w:r>
          </w:p>
        </w:tc>
        <w:tc>
          <w:tcPr>
            <w:tcW w:w="100" w:type="dxa"/>
            <w:vAlign w:val="bottom"/>
            <w:tcBorders>
              <w:top w:val="single" w:sz="8" w:color="CCEEFF"/>
            </w:tcBorders>
            <w:shd w:val="clear" w:color="auto" w:fill="CCEEFF"/>
          </w:tcPr>
          <w:p>
            <w:pPr>
              <w:spacing w:after="0"/>
              <w:rPr>
                <w:sz w:val="20"/>
                <w:szCs w:val="20"/>
                <w:color w:val="auto"/>
              </w:rPr>
            </w:pPr>
          </w:p>
        </w:tc>
        <w:tc>
          <w:tcPr>
            <w:tcW w:w="340" w:type="dxa"/>
            <w:vAlign w:val="bottom"/>
            <w:tcBorders>
              <w:top w:val="single" w:sz="8" w:color="auto"/>
            </w:tcBorders>
            <w:shd w:val="clear" w:color="auto" w:fill="CCEEFF"/>
          </w:tcPr>
          <w:p>
            <w:pPr>
              <w:spacing w:after="0"/>
              <w:rPr>
                <w:sz w:val="20"/>
                <w:szCs w:val="20"/>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4.8 %</w:t>
            </w:r>
          </w:p>
        </w:tc>
        <w:tc>
          <w:tcPr>
            <w:tcW w:w="12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443.9</w:t>
            </w:r>
          </w:p>
        </w:tc>
        <w:tc>
          <w:tcPr>
            <w:tcW w:w="100" w:type="dxa"/>
            <w:vAlign w:val="bottom"/>
            <w:tcBorders>
              <w:top w:val="single" w:sz="8" w:color="CCEEFF"/>
            </w:tcBorders>
            <w:shd w:val="clear" w:color="auto" w:fill="CCEEFF"/>
          </w:tcPr>
          <w:p>
            <w:pPr>
              <w:spacing w:after="0"/>
              <w:rPr>
                <w:sz w:val="20"/>
                <w:szCs w:val="20"/>
                <w:color w:val="auto"/>
              </w:rPr>
            </w:pPr>
          </w:p>
        </w:tc>
        <w:tc>
          <w:tcPr>
            <w:tcW w:w="300" w:type="dxa"/>
            <w:vAlign w:val="bottom"/>
            <w:tcBorders>
              <w:top w:val="single" w:sz="8" w:color="auto"/>
            </w:tcBorders>
            <w:shd w:val="clear" w:color="auto" w:fill="CCEEFF"/>
          </w:tcPr>
          <w:p>
            <w:pPr>
              <w:spacing w:after="0"/>
              <w:rPr>
                <w:sz w:val="20"/>
                <w:szCs w:val="20"/>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4.3 %</w:t>
            </w:r>
          </w:p>
        </w:tc>
        <w:tc>
          <w:tcPr>
            <w:tcW w:w="10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199.5</w:t>
            </w:r>
          </w:p>
        </w:tc>
        <w:tc>
          <w:tcPr>
            <w:tcW w:w="12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auto"/>
            </w:tcBorders>
            <w:shd w:val="clear" w:color="auto" w:fill="CCEEFF"/>
          </w:tcPr>
          <w:p>
            <w:pPr>
              <w:spacing w:after="0"/>
              <w:rPr>
                <w:sz w:val="20"/>
                <w:szCs w:val="20"/>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45.0 %</w:t>
            </w:r>
          </w:p>
        </w:tc>
      </w:tr>
      <w:tr>
        <w:trPr>
          <w:trHeight w:val="213"/>
        </w:trPr>
        <w:tc>
          <w:tcPr>
            <w:tcW w:w="5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 net</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1.1 %</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18.8 %</w:t>
            </w:r>
          </w:p>
        </w:tc>
      </w:tr>
      <w:tr>
        <w:trPr>
          <w:trHeight w:val="219"/>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Equity in earnings of unconsolidated affiliates, net</w:t>
            </w: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w:t>
            </w:r>
          </w:p>
        </w:tc>
      </w:tr>
      <w:tr>
        <w:trPr>
          <w:trHeight w:val="213"/>
        </w:trPr>
        <w:tc>
          <w:tcPr>
            <w:tcW w:w="5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on extinguishment of debt</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0.0 %</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3"/>
          </w:tcPr>
          <w:p>
            <w:pPr>
              <w:jc w:val="right"/>
              <w:ind w:right="46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0.0 %</w:t>
            </w:r>
          </w:p>
        </w:tc>
      </w:tr>
      <w:tr>
        <w:trPr>
          <w:trHeight w:val="216"/>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net</w:t>
            </w: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48.5 %</w:t>
            </w:r>
          </w:p>
        </w:tc>
      </w:tr>
      <w:tr>
        <w:trPr>
          <w:trHeight w:val="236"/>
        </w:trPr>
        <w:tc>
          <w:tcPr>
            <w:tcW w:w="5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505.3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3.8 %</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341.4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3.3 %</w:t>
            </w:r>
          </w:p>
        </w:tc>
        <w:tc>
          <w:tcPr>
            <w:tcW w:w="10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48.0 %</w:t>
            </w:r>
          </w:p>
        </w:tc>
      </w:tr>
      <w:tr>
        <w:trPr>
          <w:trHeight w:val="219"/>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1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(49.8)</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68.8 %</w:t>
            </w:r>
          </w:p>
        </w:tc>
      </w:tr>
      <w:tr>
        <w:trPr>
          <w:trHeight w:val="207"/>
        </w:trPr>
        <w:tc>
          <w:tcPr>
            <w:tcW w:w="52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income</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383.1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2.9 %</w:t>
            </w:r>
          </w:p>
        </w:tc>
        <w:tc>
          <w:tcPr>
            <w:tcW w:w="1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2.6 %</w:t>
            </w:r>
          </w:p>
        </w:tc>
        <w:tc>
          <w:tcPr>
            <w:tcW w:w="100" w:type="dxa"/>
            <w:vAlign w:val="bottom"/>
          </w:tcPr>
          <w:p>
            <w:pPr>
              <w:spacing w:after="0"/>
              <w:rPr>
                <w:sz w:val="17"/>
                <w:szCs w:val="17"/>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114.2</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42.4 %</w:t>
            </w:r>
          </w:p>
        </w:tc>
      </w:tr>
      <w:tr>
        <w:trPr>
          <w:trHeight w:val="219"/>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attributable to non-controlling interests</w:t>
            </w:r>
          </w:p>
        </w:tc>
        <w:tc>
          <w:tcPr>
            <w:tcW w:w="1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0.3 %</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0.1 %</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229.4 %</w:t>
            </w:r>
          </w:p>
        </w:tc>
      </w:tr>
      <w:tr>
        <w:trPr>
          <w:trHeight w:val="207"/>
        </w:trPr>
        <w:tc>
          <w:tcPr>
            <w:tcW w:w="5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income attributable to MasTec, Inc.</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341.5</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2.6 %</w:t>
            </w:r>
          </w:p>
        </w:tc>
        <w:tc>
          <w:tcPr>
            <w:tcW w:w="12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256.3</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2.5 %</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85.2</w:t>
            </w: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33.2 %</w:t>
            </w:r>
          </w:p>
        </w:tc>
      </w:tr>
    </w:tbl>
    <w:p>
      <w:pPr>
        <w:spacing w:after="0" w:line="239" w:lineRule="exact"/>
        <w:rPr>
          <w:sz w:val="20"/>
          <w:szCs w:val="20"/>
          <w:color w:val="auto"/>
        </w:rPr>
      </w:pPr>
    </w:p>
    <w:p>
      <w:pPr>
        <w:jc w:val="both"/>
        <w:ind w:firstLine="324"/>
        <w:spacing w:after="0" w:line="275" w:lineRule="auto"/>
        <w:rPr>
          <w:sz w:val="20"/>
          <w:szCs w:val="20"/>
          <w:color w:val="auto"/>
        </w:rPr>
      </w:pPr>
      <w:r>
        <w:rPr>
          <w:rFonts w:ascii="Times New Roman" w:cs="Times New Roman" w:eastAsia="Times New Roman" w:hAnsi="Times New Roman"/>
          <w:sz w:val="16"/>
          <w:szCs w:val="16"/>
          <w:b w:val="1"/>
          <w:bCs w:val="1"/>
          <w:i w:val="1"/>
          <w:iCs w:val="1"/>
          <w:color w:val="auto"/>
        </w:rPr>
        <w:t>Revenue</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On a consolidated basis, revenue increased by $2,995 million, or 29%, driven by our segment results. See Analysis of Revenue and EBITDA by Segment for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further details. Organic revenue increased by approximately $1,916 million, or 18%, as compared with the same period in 2025, and acquisitions contributed $1,080 million of revenue for the nine months ended September 30, 2026.</w:t>
      </w:r>
    </w:p>
    <w:p>
      <w:pPr>
        <w:spacing w:after="0" w:line="56"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6"/>
          <w:szCs w:val="16"/>
          <w:b w:val="1"/>
          <w:bCs w:val="1"/>
          <w:i w:val="1"/>
          <w:iCs w:val="1"/>
          <w:color w:val="auto"/>
        </w:rPr>
        <w:t xml:space="preserve">Costs of revenue, excluding depreciation and amortization. </w:t>
      </w:r>
      <w:r>
        <w:rPr>
          <w:rFonts w:ascii="Times New Roman" w:cs="Times New Roman" w:eastAsia="Times New Roman" w:hAnsi="Times New Roman"/>
          <w:sz w:val="16"/>
          <w:szCs w:val="16"/>
          <w:color w:val="auto"/>
        </w:rPr>
        <w:t>Higher levels of revenue contributed an increase of $2,624 million in costs of revenue, excluding</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depreciation and amortization, and improved productivity contributed a decrease of approximately $39 million. Costs of revenue, excluding depreciation and amortization, as a percentage of revenue decreased by approximately 30 basis points to 87.3% of revenue for the nine months ended September 30, 2026 from 87.6% of revenue for the same period in 2025. The basis point decrease was due to a combination of project mix and improved project efficiencies, primarily within our Pipeline Infrastructure and Power Delivery segments, offset, in part, by reduced productivity and efficiencies within our Communications segment.</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33" w:name="page34"/>
    <w:bookmarkEnd w:id="33"/>
    <w:p>
      <w:pPr>
        <w:jc w:val="both"/>
        <w:ind w:firstLine="324"/>
        <w:spacing w:after="0" w:line="265" w:lineRule="auto"/>
        <w:rPr>
          <w:sz w:val="20"/>
          <w:szCs w:val="20"/>
          <w:color w:val="auto"/>
        </w:rPr>
      </w:pPr>
      <w:r>
        <w:rPr>
          <w:rFonts w:ascii="Times New Roman" w:cs="Times New Roman" w:eastAsia="Times New Roman" w:hAnsi="Times New Roman"/>
          <w:sz w:val="16"/>
          <w:szCs w:val="16"/>
          <w:b w:val="1"/>
          <w:bCs w:val="1"/>
          <w:i w:val="1"/>
          <w:iCs w:val="1"/>
          <w:color w:val="auto"/>
        </w:rPr>
        <w:t xml:space="preserve">Depreciation. </w:t>
      </w:r>
      <w:r>
        <w:rPr>
          <w:rFonts w:ascii="Times New Roman" w:cs="Times New Roman" w:eastAsia="Times New Roman" w:hAnsi="Times New Roman"/>
          <w:sz w:val="16"/>
          <w:szCs w:val="16"/>
          <w:color w:val="auto"/>
        </w:rPr>
        <w:t>Organic depreciation expense increased by approximately $36 million, or 16%, driven primarily by higher capital expenditures to support operational</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growth and the replacement of older machinery and equipment. Acquisitions contributed approximately $10 million of depreciation expense for the nine months ended September 30, 2026. As a percentage of revenue, depreciation decreased by approximately 10 basis points, as compared with the same period in 2025, due primarily to higher levels of revenue.</w:t>
      </w:r>
    </w:p>
    <w:p>
      <w:pPr>
        <w:spacing w:after="0" w:line="78" w:lineRule="exact"/>
        <w:rPr>
          <w:sz w:val="20"/>
          <w:szCs w:val="20"/>
          <w:color w:val="auto"/>
        </w:rPr>
      </w:pPr>
    </w:p>
    <w:p>
      <w:pPr>
        <w:jc w:val="both"/>
        <w:ind w:right="20" w:firstLine="324"/>
        <w:spacing w:after="0" w:line="265" w:lineRule="auto"/>
        <w:rPr>
          <w:sz w:val="20"/>
          <w:szCs w:val="20"/>
          <w:color w:val="auto"/>
        </w:rPr>
      </w:pPr>
      <w:r>
        <w:rPr>
          <w:rFonts w:ascii="Times New Roman" w:cs="Times New Roman" w:eastAsia="Times New Roman" w:hAnsi="Times New Roman"/>
          <w:sz w:val="16"/>
          <w:szCs w:val="16"/>
          <w:b w:val="1"/>
          <w:bCs w:val="1"/>
          <w:i w:val="1"/>
          <w:iCs w:val="1"/>
          <w:color w:val="auto"/>
        </w:rPr>
        <w:t xml:space="preserve">Amortization of intangible assets. </w:t>
      </w:r>
      <w:r>
        <w:rPr>
          <w:rFonts w:ascii="Times New Roman" w:cs="Times New Roman" w:eastAsia="Times New Roman" w:hAnsi="Times New Roman"/>
          <w:sz w:val="16"/>
          <w:szCs w:val="16"/>
          <w:color w:val="auto"/>
        </w:rPr>
        <w:t>Amortization expense increased for the nine months ended September 30, 2026, primarily due to approximately $63 million of</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additional amortization associated with acquisitions, offset, in part, by a decrease of approximately $9 million resulting from the timing of amortization and the completion of amortization for certain intangible assets associated with prior year acquisitions. As a percentage of revenue, amortization of intangible assets increased by approximately 20 basis points as compared with the same period in 2025, primarily due to additional amortization associated with acquisitions.</w:t>
      </w:r>
    </w:p>
    <w:p>
      <w:pPr>
        <w:spacing w:after="0" w:line="65"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6"/>
          <w:szCs w:val="16"/>
          <w:b w:val="1"/>
          <w:bCs w:val="1"/>
          <w:i w:val="1"/>
          <w:iCs w:val="1"/>
          <w:color w:val="auto"/>
        </w:rPr>
        <w:t>General and administrative expenses</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Organic general and administrative expenses increased by approximately $89 million, or 17%, primarily due to an increase in</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compensation expense, including stock-based compensation, and increased insurance costs to support business growth, as well as an approximately $10 million increase in expense from changes in the fair value of contingent consideration payable to former owners of an acquired business, an approximately $16 million increase in expense from changes to estimated Earn-out accruals, $7 million of restructuring charges and $6 million of acquisition and integration costs incurred during the third quarter of 2026. These increases were offset, in part, by reductions in the effects of timing of ordinary course legal matters and an increase in net gains on asset sales. Acquisitions contributed an additional $36 million of general and administrative expenses for the nine months ended September 30, 2026. Overall, general and administrative expenses decreased by approximately 20 basis points as a percentage of revenue for the nine months ended September 30, 2026 as compared with the same period in 2025 due, in part, to higher levels of revenue.</w:t>
      </w:r>
    </w:p>
    <w:p>
      <w:pPr>
        <w:spacing w:after="0" w:line="72" w:lineRule="exact"/>
        <w:rPr>
          <w:sz w:val="20"/>
          <w:szCs w:val="20"/>
          <w:color w:val="auto"/>
        </w:rPr>
      </w:pPr>
    </w:p>
    <w:p>
      <w:pPr>
        <w:jc w:val="both"/>
        <w:ind w:firstLine="324"/>
        <w:spacing w:after="0" w:line="303" w:lineRule="auto"/>
        <w:rPr>
          <w:sz w:val="20"/>
          <w:szCs w:val="20"/>
          <w:color w:val="auto"/>
        </w:rPr>
      </w:pPr>
      <w:r>
        <w:rPr>
          <w:rFonts w:ascii="Times New Roman" w:cs="Times New Roman" w:eastAsia="Times New Roman" w:hAnsi="Times New Roman"/>
          <w:sz w:val="16"/>
          <w:szCs w:val="16"/>
          <w:b w:val="1"/>
          <w:bCs w:val="1"/>
          <w:i w:val="1"/>
          <w:iCs w:val="1"/>
          <w:color w:val="auto"/>
        </w:rPr>
        <w:t xml:space="preserve">Equity in earnings of integral unconsolidated affiliates, net. </w:t>
      </w:r>
      <w:r>
        <w:rPr>
          <w:rFonts w:ascii="Times New Roman" w:cs="Times New Roman" w:eastAsia="Times New Roman" w:hAnsi="Times New Roman"/>
          <w:sz w:val="16"/>
          <w:szCs w:val="16"/>
          <w:color w:val="auto"/>
        </w:rPr>
        <w:t>For the nine months ended September 30, 2026, equity in earnings from the Integral Investments totaled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approximately $12 million, and related to equity interests acquired as part of the Superior acquisition.</w:t>
      </w:r>
    </w:p>
    <w:p>
      <w:pPr>
        <w:spacing w:after="0" w:line="35"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 xml:space="preserve">Interest expense, net. </w:t>
      </w:r>
      <w:r>
        <w:rPr>
          <w:rFonts w:ascii="Times New Roman" w:cs="Times New Roman" w:eastAsia="Times New Roman" w:hAnsi="Times New Roman"/>
          <w:sz w:val="16"/>
          <w:szCs w:val="16"/>
          <w:color w:val="auto"/>
        </w:rPr>
        <w:t>The increase in interest expense, net, resulted primarily from higher average balances on our variable rate debt, which accounted for an increase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of approximately $21 million.</w:t>
      </w:r>
    </w:p>
    <w:p>
      <w:pPr>
        <w:spacing w:after="0" w:line="61" w:lineRule="exact"/>
        <w:rPr>
          <w:sz w:val="20"/>
          <w:szCs w:val="20"/>
          <w:color w:val="auto"/>
        </w:rPr>
      </w:pPr>
    </w:p>
    <w:p>
      <w:pPr>
        <w:jc w:val="both"/>
        <w:ind w:firstLine="324"/>
        <w:spacing w:after="0" w:line="275" w:lineRule="auto"/>
        <w:rPr>
          <w:sz w:val="20"/>
          <w:szCs w:val="20"/>
          <w:color w:val="auto"/>
        </w:rPr>
      </w:pPr>
      <w:r>
        <w:rPr>
          <w:rFonts w:ascii="Times New Roman" w:cs="Times New Roman" w:eastAsia="Times New Roman" w:hAnsi="Times New Roman"/>
          <w:sz w:val="16"/>
          <w:szCs w:val="16"/>
          <w:b w:val="1"/>
          <w:bCs w:val="1"/>
          <w:i w:val="1"/>
          <w:iCs w:val="1"/>
          <w:color w:val="auto"/>
        </w:rPr>
        <w:t xml:space="preserve">Equity in earnings of unconsolidated affiliates, net. </w:t>
      </w:r>
      <w:r>
        <w:rPr>
          <w:rFonts w:ascii="Times New Roman" w:cs="Times New Roman" w:eastAsia="Times New Roman" w:hAnsi="Times New Roman"/>
          <w:sz w:val="16"/>
          <w:szCs w:val="16"/>
          <w:color w:val="auto"/>
        </w:rPr>
        <w:t>For the nine months ended September 30, 2026 and 2025, equity in earnings from unconsolidated affiliates, net,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totaled approximately $15 million and $24 million, respectively, related primarily to our investment in the Waha JVs. The decrease was driven primarily by an other-than-temporary impairment of $8 million on a separate equity method investment.</w:t>
      </w:r>
    </w:p>
    <w:p>
      <w:pPr>
        <w:spacing w:after="0" w:line="56" w:lineRule="exact"/>
        <w:rPr>
          <w:sz w:val="20"/>
          <w:szCs w:val="20"/>
          <w:color w:val="auto"/>
        </w:rPr>
      </w:pPr>
    </w:p>
    <w:p>
      <w:pPr>
        <w:jc w:val="both"/>
        <w:ind w:firstLine="324"/>
        <w:spacing w:after="0" w:line="275" w:lineRule="auto"/>
        <w:rPr>
          <w:sz w:val="20"/>
          <w:szCs w:val="20"/>
          <w:color w:val="auto"/>
        </w:rPr>
      </w:pPr>
      <w:r>
        <w:rPr>
          <w:rFonts w:ascii="Times New Roman" w:cs="Times New Roman" w:eastAsia="Times New Roman" w:hAnsi="Times New Roman"/>
          <w:sz w:val="16"/>
          <w:szCs w:val="16"/>
          <w:b w:val="1"/>
          <w:bCs w:val="1"/>
          <w:i w:val="1"/>
          <w:iCs w:val="1"/>
          <w:color w:val="auto"/>
        </w:rPr>
        <w:t xml:space="preserve">Loss on extinguishment of debt. </w:t>
      </w:r>
      <w:r>
        <w:rPr>
          <w:rFonts w:ascii="Times New Roman" w:cs="Times New Roman" w:eastAsia="Times New Roman" w:hAnsi="Times New Roman"/>
          <w:sz w:val="16"/>
          <w:szCs w:val="16"/>
          <w:color w:val="auto"/>
        </w:rPr>
        <w:t>During the nine month period ended September 30, 2026, we incurred a loss on debt extinguishment of approximately $3 million in</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connection with the redemption of our 6.625% Senior Notes and the repayment of $450 million of the $600 million outstanding under our 2025 Term Loan Facility which occurred during the third quarter of 2026.</w:t>
      </w:r>
    </w:p>
    <w:p>
      <w:pPr>
        <w:spacing w:after="0" w:line="56" w:lineRule="exact"/>
        <w:rPr>
          <w:sz w:val="20"/>
          <w:szCs w:val="20"/>
          <w:color w:val="auto"/>
        </w:rPr>
      </w:pPr>
    </w:p>
    <w:p>
      <w:pPr>
        <w:jc w:val="both"/>
        <w:ind w:firstLine="324"/>
        <w:spacing w:after="0" w:line="303" w:lineRule="auto"/>
        <w:rPr>
          <w:sz w:val="20"/>
          <w:szCs w:val="20"/>
          <w:color w:val="auto"/>
        </w:rPr>
      </w:pPr>
      <w:r>
        <w:rPr>
          <w:rFonts w:ascii="Times New Roman" w:cs="Times New Roman" w:eastAsia="Times New Roman" w:hAnsi="Times New Roman"/>
          <w:sz w:val="16"/>
          <w:szCs w:val="16"/>
          <w:b w:val="1"/>
          <w:bCs w:val="1"/>
          <w:i w:val="1"/>
          <w:iCs w:val="1"/>
          <w:color w:val="auto"/>
        </w:rPr>
        <w:t xml:space="preserve">Other income, net. </w:t>
      </w:r>
      <w:r>
        <w:rPr>
          <w:rFonts w:ascii="Times New Roman" w:cs="Times New Roman" w:eastAsia="Times New Roman" w:hAnsi="Times New Roman"/>
          <w:sz w:val="16"/>
          <w:szCs w:val="16"/>
          <w:color w:val="auto"/>
        </w:rPr>
        <w:t>For the nine months ended September 30, 2026, other income, net, consisted primarily of a gain on the sale of our 15% equity interest in CCI and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other miscellaneous income, offset, in part, by certain exit costs and other charges.</w:t>
      </w:r>
    </w:p>
    <w:p>
      <w:pPr>
        <w:spacing w:after="0" w:line="3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6"/>
          <w:szCs w:val="16"/>
          <w:b w:val="1"/>
          <w:bCs w:val="1"/>
          <w:i w:val="1"/>
          <w:iCs w:val="1"/>
          <w:color w:val="auto"/>
        </w:rPr>
        <w:t xml:space="preserve">Provision for income taxes. </w:t>
      </w:r>
      <w:r>
        <w:rPr>
          <w:rFonts w:ascii="Times New Roman" w:cs="Times New Roman" w:eastAsia="Times New Roman" w:hAnsi="Times New Roman"/>
          <w:sz w:val="16"/>
          <w:szCs w:val="16"/>
          <w:color w:val="auto"/>
        </w:rPr>
        <w:t>For the nine months ended September 30, 2026, our effective tax rate was 24.2% as compared with 21.2% for the same period in 2025.</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Our effective tax rate for the nine months ended September 30, 2026 included income tax benefits primarily due to the vesting of share-based payment awards and return-to-provision adjustments resulting from the finalization of the Company’s 2025 federal income tax return, offset, in part, by the effects of a higher state income tax rate, whereas for the nine months ended September 30, 2025, our effective tax rate included an income tax benefit primarily due to the reversal of uncertain tax position liabilities related to a state audit and the release of valuation allowances on certain deferred tax assets that were no longer necessary, offset, in part, by an increase in income tax expense due to higher pre-tax income.</w:t>
      </w:r>
    </w:p>
    <w:p>
      <w:pPr>
        <w:spacing w:after="0" w:line="68"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6"/>
          <w:szCs w:val="16"/>
          <w:b w:val="1"/>
          <w:bCs w:val="1"/>
          <w:i w:val="1"/>
          <w:iCs w:val="1"/>
          <w:color w:val="auto"/>
        </w:rPr>
        <w:t xml:space="preserve">Net income attributable to non-controlling interests. </w:t>
      </w:r>
      <w:r>
        <w:rPr>
          <w:rFonts w:ascii="Times New Roman" w:cs="Times New Roman" w:eastAsia="Times New Roman" w:hAnsi="Times New Roman"/>
          <w:sz w:val="16"/>
          <w:szCs w:val="16"/>
          <w:color w:val="auto"/>
        </w:rPr>
        <w:t>Net income attributable to non-controlling interests was $42 million for the nine months ended September 30,</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2026, as compared with $13 million for the same period in 2025. The increase was primarily attributable to increased activity at certain entities within the Pipeline Infrastructure segment with minority interest holders and, to a lesser extent, the results of certain entities with minority interest holders acquired as part of the Superior acquisition.</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Analysis of Revenue and EBITDA by Segment</w:t>
      </w:r>
    </w:p>
    <w:p>
      <w:pPr>
        <w:spacing w:after="0" w:line="11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6"/>
          <w:szCs w:val="16"/>
          <w:color w:val="auto"/>
        </w:rPr>
        <w:t>We review our operating results by reportable segment. See Note 12 – Segments and Related Information in the notes to the consolidated financial statements, which is incorporated by reference. Our reportable segments are: (1) Communications; (2) Clean Energy and Infrastructure; (3) Power Delivery; (4) Pipeline Infrastructure and (5) Other. Management’s review of segment results includes analyses of trends in revenue, EBITDA and EBITDA margin. EBITDA for segment reporting purposes is calculated consistently with our consolidated EBITDA calculation. EBITDA margin is calculated by dividing EBITDA by revenue for the same period. See the discussion of our non-U.S. GAAP financial measures, including certain adjusted non-U.S. GAAP measures, as described below, following the comparison of results discussion. The following tables, which may contain slight summation differences due to rounding, present revenue, EBITDA and EBITDA margin by segment for the periods indicated (dollar amounts in millions).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12"/>
        </w:trPr>
        <w:tc>
          <w:tcPr>
            <w:tcW w:w="7060" w:type="dxa"/>
            <w:vAlign w:val="bottom"/>
            <w:gridSpan w:val="17"/>
          </w:tcPr>
          <w:p>
            <w:pPr>
              <w:spacing w:after="0"/>
              <w:rPr>
                <w:sz w:val="20"/>
                <w:szCs w:val="20"/>
                <w:color w:val="auto"/>
              </w:rPr>
            </w:pPr>
            <w:r>
              <w:rPr>
                <w:rFonts w:ascii="Times New Roman" w:cs="Times New Roman" w:eastAsia="Times New Roman" w:hAnsi="Times New Roman"/>
                <w:sz w:val="16"/>
                <w:szCs w:val="16"/>
                <w:b w:val="1"/>
                <w:bCs w:val="1"/>
                <w:color w:val="auto"/>
              </w:rPr>
              <w:t>Three Months Ended September 30, 2026 Compared to Three Months Ended September 30, 2025</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0"/>
        </w:trPr>
        <w:tc>
          <w:tcPr>
            <w:tcW w:w="22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5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9"/>
          </w:tcPr>
          <w:p>
            <w:pPr>
              <w:jc w:val="center"/>
              <w:ind w:left="259"/>
              <w:spacing w:after="0"/>
              <w:rPr>
                <w:sz w:val="20"/>
                <w:szCs w:val="20"/>
                <w:color w:val="auto"/>
              </w:rPr>
            </w:pPr>
            <w:r>
              <w:rPr>
                <w:rFonts w:ascii="Times New Roman" w:cs="Times New Roman" w:eastAsia="Times New Roman" w:hAnsi="Times New Roman"/>
                <w:sz w:val="16"/>
                <w:szCs w:val="16"/>
                <w:b w:val="1"/>
                <w:bCs w:val="1"/>
                <w:color w:val="auto"/>
              </w:rPr>
              <w:t>EBITDA and EBITDA Margin</w:t>
            </w:r>
          </w:p>
        </w:tc>
        <w:tc>
          <w:tcPr>
            <w:tcW w:w="5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2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40" w:type="dxa"/>
            <w:vAlign w:val="bottom"/>
            <w:gridSpan w:val="5"/>
          </w:tcPr>
          <w:p>
            <w:pPr>
              <w:jc w:val="center"/>
              <w:ind w:right="220"/>
              <w:spacing w:after="0" w:line="158" w:lineRule="exact"/>
              <w:rPr>
                <w:sz w:val="20"/>
                <w:szCs w:val="20"/>
                <w:color w:val="auto"/>
              </w:rPr>
            </w:pPr>
            <w:r>
              <w:rPr>
                <w:rFonts w:ascii="Times New Roman" w:cs="Times New Roman" w:eastAsia="Times New Roman" w:hAnsi="Times New Roman"/>
                <w:sz w:val="16"/>
                <w:szCs w:val="16"/>
                <w:b w:val="1"/>
                <w:bCs w:val="1"/>
                <w:color w:val="auto"/>
              </w:rPr>
              <w:t>Three Months Ended</w:t>
            </w:r>
          </w:p>
        </w:tc>
        <w:tc>
          <w:tcPr>
            <w:tcW w:w="240" w:type="dxa"/>
            <w:vAlign w:val="bottom"/>
          </w:tcPr>
          <w:p>
            <w:pPr>
              <w:spacing w:after="0"/>
              <w:rPr>
                <w:sz w:val="13"/>
                <w:szCs w:val="13"/>
                <w:color w:val="auto"/>
              </w:rPr>
            </w:pPr>
          </w:p>
        </w:tc>
        <w:tc>
          <w:tcPr>
            <w:tcW w:w="900" w:type="dxa"/>
            <w:vAlign w:val="bottom"/>
            <w:gridSpan w:val="3"/>
            <w:vMerge w:val="restart"/>
          </w:tcPr>
          <w:p>
            <w:pPr>
              <w:ind w:left="34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0" w:type="dxa"/>
            <w:vAlign w:val="bottom"/>
            <w:gridSpan w:val="7"/>
          </w:tcPr>
          <w:p>
            <w:pPr>
              <w:jc w:val="center"/>
              <w:ind w:right="280"/>
              <w:spacing w:after="0" w:line="158" w:lineRule="exact"/>
              <w:rPr>
                <w:sz w:val="20"/>
                <w:szCs w:val="20"/>
                <w:color w:val="auto"/>
              </w:rPr>
            </w:pPr>
            <w:r>
              <w:rPr>
                <w:rFonts w:ascii="Times New Roman" w:cs="Times New Roman" w:eastAsia="Times New Roman" w:hAnsi="Times New Roman"/>
                <w:sz w:val="16"/>
                <w:szCs w:val="16"/>
                <w:b w:val="1"/>
                <w:bCs w:val="1"/>
                <w:color w:val="auto"/>
              </w:rPr>
              <w:t>Three Months Ended</w:t>
            </w: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gridSpan w:val="3"/>
            <w:vMerge w:val="restart"/>
          </w:tcPr>
          <w:p>
            <w:pPr>
              <w:ind w:left="340"/>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2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gridSpan w:val="5"/>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40" w:type="dxa"/>
            <w:vAlign w:val="bottom"/>
          </w:tcPr>
          <w:p>
            <w:pPr>
              <w:spacing w:after="0"/>
              <w:rPr>
                <w:sz w:val="18"/>
                <w:szCs w:val="18"/>
                <w:color w:val="auto"/>
              </w:rPr>
            </w:pPr>
          </w:p>
        </w:tc>
        <w:tc>
          <w:tcPr>
            <w:tcW w:w="900" w:type="dxa"/>
            <w:vAlign w:val="bottom"/>
            <w:gridSpan w:val="3"/>
            <w:vMerge w:val="continue"/>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60" w:type="dxa"/>
            <w:vAlign w:val="bottom"/>
            <w:gridSpan w:val="6"/>
          </w:tcPr>
          <w:p>
            <w:pPr>
              <w:jc w:val="center"/>
              <w:ind w:right="52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gridSpan w:val="3"/>
            <w:vMerge w:val="continue"/>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Segment:</w:t>
            </w:r>
          </w:p>
        </w:tc>
        <w:tc>
          <w:tcPr>
            <w:tcW w:w="14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2026</w:t>
            </w:r>
          </w:p>
        </w:tc>
        <w:tc>
          <w:tcPr>
            <w:tcW w:w="80" w:type="dxa"/>
            <w:vAlign w:val="bottom"/>
            <w:tcBorders>
              <w:top w:val="single" w:sz="8" w:color="auto"/>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gridSpan w:val="3"/>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2026</w:t>
            </w:r>
          </w:p>
        </w:tc>
        <w:tc>
          <w:tcPr>
            <w:tcW w:w="58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2025</w:t>
            </w:r>
          </w:p>
        </w:tc>
        <w:tc>
          <w:tcPr>
            <w:tcW w:w="580" w:type="dxa"/>
            <w:vAlign w:val="bottom"/>
            <w:tcBorders>
              <w:top w:val="single" w:sz="8" w:color="auto"/>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11"/>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Communications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806.9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914.6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(11.8)%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6.7 %</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11.3 %</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(47.6)%</w:t>
            </w:r>
          </w:p>
        </w:tc>
        <w:tc>
          <w:tcPr>
            <w:tcW w:w="0" w:type="dxa"/>
            <w:vAlign w:val="bottom"/>
          </w:tcPr>
          <w:p>
            <w:pPr>
              <w:spacing w:after="0"/>
              <w:rPr>
                <w:sz w:val="1"/>
                <w:szCs w:val="1"/>
                <w:color w:val="auto"/>
              </w:rPr>
            </w:pPr>
          </w:p>
        </w:tc>
      </w:tr>
      <w:tr>
        <w:trPr>
          <w:trHeight w:val="213"/>
        </w:trPr>
        <w:tc>
          <w:tcPr>
            <w:tcW w:w="2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Clean Energy and Infrastructure</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1,825.9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1,364.1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461.8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33.9 %</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8.2 %</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8.5 %</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29.3 %</w:t>
            </w:r>
          </w:p>
        </w:tc>
        <w:tc>
          <w:tcPr>
            <w:tcW w:w="0" w:type="dxa"/>
            <w:vAlign w:val="bottom"/>
          </w:tcPr>
          <w:p>
            <w:pPr>
              <w:spacing w:after="0"/>
              <w:rPr>
                <w:sz w:val="1"/>
                <w:szCs w:val="1"/>
                <w:color w:val="auto"/>
              </w:rPr>
            </w:pPr>
          </w:p>
        </w:tc>
      </w:tr>
      <w:tr>
        <w:trPr>
          <w:trHeight w:val="219"/>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Power Delivery</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1,835.2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1,110.7</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724.5</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65.2 %</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241.5</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13.2 %</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104.3</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9.4 %</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131.6 %</w:t>
            </w:r>
          </w:p>
        </w:tc>
        <w:tc>
          <w:tcPr>
            <w:tcW w:w="0" w:type="dxa"/>
            <w:vAlign w:val="bottom"/>
          </w:tcPr>
          <w:p>
            <w:pPr>
              <w:spacing w:after="0"/>
              <w:rPr>
                <w:sz w:val="1"/>
                <w:szCs w:val="1"/>
                <w:color w:val="auto"/>
              </w:rPr>
            </w:pPr>
          </w:p>
        </w:tc>
      </w:tr>
      <w:tr>
        <w:trPr>
          <w:trHeight w:val="213"/>
        </w:trPr>
        <w:tc>
          <w:tcPr>
            <w:tcW w:w="2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Pipeline Infrastructure</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724.1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597.8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21.1 %</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10.4 %</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15.4 %</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w:t>
            </w:r>
          </w:p>
        </w:tc>
        <w:tc>
          <w:tcPr>
            <w:tcW w:w="0" w:type="dxa"/>
            <w:vAlign w:val="bottom"/>
          </w:tcPr>
          <w:p>
            <w:pPr>
              <w:spacing w:after="0"/>
              <w:rPr>
                <w:sz w:val="1"/>
                <w:szCs w:val="1"/>
                <w:color w:val="auto"/>
              </w:rPr>
            </w:pPr>
          </w:p>
        </w:tc>
      </w:tr>
      <w:tr>
        <w:trPr>
          <w:trHeight w:val="219"/>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90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 %</w:t>
            </w:r>
          </w:p>
        </w:tc>
        <w:tc>
          <w:tcPr>
            <w:tcW w:w="2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NM</w:t>
            </w:r>
          </w:p>
        </w:tc>
        <w:tc>
          <w:tcPr>
            <w:tcW w:w="2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NM</w:t>
            </w:r>
          </w:p>
        </w:tc>
        <w:tc>
          <w:tcPr>
            <w:tcW w:w="2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40.5 %</w:t>
            </w:r>
          </w:p>
        </w:tc>
        <w:tc>
          <w:tcPr>
            <w:tcW w:w="0" w:type="dxa"/>
            <w:vAlign w:val="bottom"/>
          </w:tcPr>
          <w:p>
            <w:pPr>
              <w:spacing w:after="0"/>
              <w:rPr>
                <w:sz w:val="1"/>
                <w:szCs w:val="1"/>
                <w:color w:val="auto"/>
              </w:rPr>
            </w:pPr>
          </w:p>
        </w:tc>
      </w:tr>
      <w:tr>
        <w:trPr>
          <w:trHeight w:val="216"/>
        </w:trPr>
        <w:tc>
          <w:tcPr>
            <w:tcW w:w="228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Eliminations </w:t>
            </w:r>
            <w:r>
              <w:rPr>
                <w:rFonts w:ascii="Times New Roman" w:cs="Times New Roman" w:eastAsia="Times New Roman" w:hAnsi="Times New Roman"/>
                <w:sz w:val="21"/>
                <w:szCs w:val="21"/>
                <w:color w:val="auto"/>
                <w:vertAlign w:val="superscript"/>
              </w:rPr>
              <w:t>(a)</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97.0 %</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NM</w:t>
            </w:r>
          </w:p>
        </w:tc>
        <w:tc>
          <w:tcPr>
            <w:tcW w:w="220" w:type="dxa"/>
            <w:vAlign w:val="bottom"/>
          </w:tcPr>
          <w:p>
            <w:pPr>
              <w:spacing w:after="0"/>
              <w:rPr>
                <w:sz w:val="18"/>
                <w:szCs w:val="18"/>
                <w:color w:val="auto"/>
              </w:rPr>
            </w:pPr>
          </w:p>
        </w:tc>
        <w:tc>
          <w:tcPr>
            <w:tcW w:w="88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 %</w:t>
            </w:r>
          </w:p>
        </w:tc>
        <w:tc>
          <w:tcPr>
            <w:tcW w:w="2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210"/>
        </w:trPr>
        <w:tc>
          <w:tcPr>
            <w:tcW w:w="228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Segment Total</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5,152.3</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3,966.9</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1,185.4</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29.9 %</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532.6</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10.3 %</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421.8</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10.6 %</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110.8</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26.3 %</w:t>
            </w:r>
          </w:p>
        </w:tc>
        <w:tc>
          <w:tcPr>
            <w:tcW w:w="0" w:type="dxa"/>
            <w:vAlign w:val="bottom"/>
          </w:tcPr>
          <w:p>
            <w:pPr>
              <w:spacing w:after="0"/>
              <w:rPr>
                <w:sz w:val="1"/>
                <w:szCs w:val="1"/>
                <w:color w:val="auto"/>
              </w:rPr>
            </w:pPr>
          </w:p>
        </w:tc>
      </w:tr>
      <w:tr>
        <w:trPr>
          <w:trHeight w:val="213"/>
        </w:trPr>
        <w:tc>
          <w:tcPr>
            <w:tcW w:w="2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Corporate</w:t>
            </w:r>
          </w:p>
        </w:tc>
        <w:tc>
          <w:tcPr>
            <w:tcW w:w="14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900" w:type="dxa"/>
            <w:vAlign w:val="bottom"/>
            <w:gridSpan w:val="3"/>
          </w:tcPr>
          <w:p>
            <w:pPr>
              <w:jc w:val="right"/>
              <w:ind w:right="40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 %</w:t>
            </w: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 %</w:t>
            </w: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 %</w:t>
            </w:r>
          </w:p>
        </w:tc>
        <w:tc>
          <w:tcPr>
            <w:tcW w:w="2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35.3 %</w:t>
            </w:r>
          </w:p>
        </w:tc>
        <w:tc>
          <w:tcPr>
            <w:tcW w:w="0" w:type="dxa"/>
            <w:vAlign w:val="bottom"/>
          </w:tcPr>
          <w:p>
            <w:pPr>
              <w:spacing w:after="0"/>
              <w:rPr>
                <w:sz w:val="1"/>
                <w:szCs w:val="1"/>
                <w:color w:val="auto"/>
              </w:rPr>
            </w:pPr>
          </w:p>
        </w:tc>
      </w:tr>
      <w:tr>
        <w:trPr>
          <w:trHeight w:val="209"/>
        </w:trPr>
        <w:tc>
          <w:tcPr>
            <w:tcW w:w="228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Consolidated 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5,152.3</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3,966.9</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1,185.4</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29.9 %</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451.0</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8.8 %</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361.6</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9.1 %</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89.4</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24.7 %</w:t>
            </w:r>
          </w:p>
        </w:tc>
        <w:tc>
          <w:tcPr>
            <w:tcW w:w="0" w:type="dxa"/>
            <w:vAlign w:val="bottom"/>
          </w:tcPr>
          <w:p>
            <w:pPr>
              <w:spacing w:after="0"/>
              <w:rPr>
                <w:sz w:val="1"/>
                <w:szCs w:val="1"/>
                <w:color w:val="auto"/>
              </w:rPr>
            </w:pPr>
          </w:p>
        </w:tc>
      </w:tr>
    </w:tbl>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NM - Percentage is not meaningful</w:t>
      </w:r>
    </w:p>
    <w:p>
      <w:pPr>
        <w:spacing w:after="0" w:line="42" w:lineRule="exact"/>
        <w:rPr>
          <w:sz w:val="20"/>
          <w:szCs w:val="20"/>
          <w:color w:val="auto"/>
        </w:rPr>
      </w:pPr>
    </w:p>
    <w:p>
      <w:pPr>
        <w:ind w:left="320" w:hanging="312"/>
        <w:spacing w:after="0"/>
        <w:tabs>
          <w:tab w:leader="none" w:pos="3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intersegment eliminations and adjustments related to transactions entered into in the normal course of business.</w:t>
      </w:r>
    </w:p>
    <w:p>
      <w:pPr>
        <w:spacing w:after="0" w:line="1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Communications Segment Results</w:t>
      </w:r>
    </w:p>
    <w:p>
      <w:pPr>
        <w:spacing w:after="0" w:line="11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b w:val="1"/>
          <w:bCs w:val="1"/>
          <w:i w:val="1"/>
          <w:iCs w:val="1"/>
          <w:color w:val="auto"/>
        </w:rPr>
        <w:t xml:space="preserve">Revenue. </w:t>
      </w:r>
      <w:r>
        <w:rPr>
          <w:rFonts w:ascii="Times New Roman" w:cs="Times New Roman" w:eastAsia="Times New Roman" w:hAnsi="Times New Roman"/>
          <w:sz w:val="16"/>
          <w:szCs w:val="16"/>
          <w:color w:val="auto"/>
        </w:rPr>
        <w:t>The decrease in revenue was driven primarily by lower levels of wireless project activity due, in part, to customer project timing.</w:t>
      </w:r>
    </w:p>
    <w:p>
      <w:pPr>
        <w:spacing w:after="0" w:line="127"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16"/>
          <w:szCs w:val="16"/>
          <w:b w:val="1"/>
          <w:bCs w:val="1"/>
          <w:i w:val="1"/>
          <w:iCs w:val="1"/>
          <w:color w:val="auto"/>
        </w:rPr>
        <w:t xml:space="preserve">EBITDA. </w:t>
      </w:r>
      <w:r>
        <w:rPr>
          <w:rFonts w:ascii="Times New Roman" w:cs="Times New Roman" w:eastAsia="Times New Roman" w:hAnsi="Times New Roman"/>
          <w:sz w:val="16"/>
          <w:szCs w:val="16"/>
          <w:color w:val="auto"/>
        </w:rPr>
        <w:t>As a percentage of revenue, EBITDA decreased by approximately 460 basis points, or $37 million, primarily due to the effects of project execution mix</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associated with higher levels of wireline project activity and, to a lesser extent, restructuring activities undertaken during the quarter. Lower levels of revenue resulted in a decrease in EBITDA of approximately $12 million.</w:t>
      </w:r>
    </w:p>
    <w:p>
      <w:pPr>
        <w:spacing w:after="0" w:line="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Clean Energy and Infrastructure Segment Results</w:t>
      </w:r>
    </w:p>
    <w:p>
      <w:pPr>
        <w:spacing w:after="0" w:line="113"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16"/>
          <w:szCs w:val="16"/>
          <w:b w:val="1"/>
          <w:bCs w:val="1"/>
          <w:i w:val="1"/>
          <w:iCs w:val="1"/>
          <w:color w:val="auto"/>
        </w:rPr>
        <w:t>Revenue</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The increase in revenue was due primarily to higher levels of project activity, supported by continued strong demand across general building, including</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data-center related projects, and water infrastructure projects. Organic revenue growth contributed approximately $321 million, or a 24% increase, as compared with the same period in 2025, while acquisitions contributed an additional $141 million of revenue.</w:t>
      </w:r>
    </w:p>
    <w:p>
      <w:pPr>
        <w:spacing w:after="0" w:line="56"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16"/>
          <w:szCs w:val="16"/>
          <w:b w:val="1"/>
          <w:bCs w:val="1"/>
          <w:i w:val="1"/>
          <w:iCs w:val="1"/>
          <w:color w:val="auto"/>
        </w:rPr>
        <w:t xml:space="preserve">EBITDA. </w:t>
      </w:r>
      <w:r>
        <w:rPr>
          <w:rFonts w:ascii="Times New Roman" w:cs="Times New Roman" w:eastAsia="Times New Roman" w:hAnsi="Times New Roman"/>
          <w:sz w:val="16"/>
          <w:szCs w:val="16"/>
          <w:color w:val="auto"/>
        </w:rPr>
        <w:t>As a percentage of revenue, EBITDA decreased by approximately 30 basis points, or $5 million, due primarily to project mix and reduced productivity</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and efficiencies on certain industrial project work, partially offset by improved productivity and efficiencies on certain infrastructure project work, including contributions from certain acquired entities. Higher levels of revenue resulted in an increase in EBITDA of approximately $39 million.</w:t>
      </w:r>
    </w:p>
    <w:p>
      <w:pPr>
        <w:spacing w:after="0" w:line="7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Power Delivery Segment Results</w:t>
      </w:r>
    </w:p>
    <w:p>
      <w:pPr>
        <w:spacing w:after="0" w:line="113"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16"/>
          <w:szCs w:val="16"/>
          <w:b w:val="1"/>
          <w:bCs w:val="1"/>
          <w:i w:val="1"/>
          <w:iCs w:val="1"/>
          <w:color w:val="auto"/>
        </w:rPr>
        <w:t>Revenue</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The increase in revenue was due primarily to higher levels of project activity, supported by continued strong demand, including increases in transmission</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and distribution-related project work. The revenue increase also reflects higher levels of data-center related electrical infrastructure project work, including contributions from the recently acquired Superior business. Organic revenue growth contributed approximately $244 million, or a 22% increase, as compared with the same period in 2025, while acquisitions contributed an additional $480 million of revenue.</w:t>
      </w:r>
    </w:p>
    <w:p>
      <w:pPr>
        <w:spacing w:after="0" w:line="78"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 xml:space="preserve">EBITDA. </w:t>
      </w:r>
      <w:r>
        <w:rPr>
          <w:rFonts w:ascii="Times New Roman" w:cs="Times New Roman" w:eastAsia="Times New Roman" w:hAnsi="Times New Roman"/>
          <w:sz w:val="16"/>
          <w:szCs w:val="16"/>
          <w:color w:val="auto"/>
        </w:rPr>
        <w:t>As a percentage of revenue, EBITDA increased by approximately 380 basis points, or $69 million, primarily due to improved efficiencies and project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mix, including contributions from the recently acquired Superior business. Higher levels of revenue resulted in an increase in EBITDA of approximately $68 million.</w:t>
      </w:r>
    </w:p>
    <w:p>
      <w:pPr>
        <w:spacing w:after="0" w:line="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Pipeline Infrastructure Segment Results</w:t>
      </w:r>
    </w:p>
    <w:p>
      <w:pPr>
        <w:spacing w:after="0" w:line="127"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16"/>
          <w:szCs w:val="16"/>
          <w:b w:val="1"/>
          <w:bCs w:val="1"/>
          <w:i w:val="1"/>
          <w:iCs w:val="1"/>
          <w:color w:val="auto"/>
        </w:rPr>
        <w:t>Revenue</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The increase in revenue was due primarily to higher levels of project activity, including midstream pipeline project activity and other infrastructure-related work. Organic revenue growth contributed approximately $85 million, or a 14% increase, as compared with the same period in 2025, while acquisitions contributed an additional $41 million of revenue.</w:t>
      </w:r>
    </w:p>
    <w:p>
      <w:pPr>
        <w:spacing w:after="0" w:line="56"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16"/>
          <w:szCs w:val="16"/>
          <w:b w:val="1"/>
          <w:bCs w:val="1"/>
          <w:i w:val="1"/>
          <w:iCs w:val="1"/>
          <w:color w:val="auto"/>
        </w:rPr>
        <w:t xml:space="preserve">EBITDA. </w:t>
      </w:r>
      <w:r>
        <w:rPr>
          <w:rFonts w:ascii="Times New Roman" w:cs="Times New Roman" w:eastAsia="Times New Roman" w:hAnsi="Times New Roman"/>
          <w:sz w:val="16"/>
          <w:szCs w:val="16"/>
          <w:color w:val="auto"/>
        </w:rPr>
        <w:t>As a percentage of revenue, EBITDA decreased by approximately 500 basis points, or $36 million, due primarily to the timing and mix of project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activity, as well as the effects of overhead costs incurred to maintain operating capacity in support of expected future project work. Higher levels of revenue contributed an increase in EBITDA of approximately $19 million.</w:t>
      </w:r>
    </w:p>
    <w:p>
      <w:pPr>
        <w:spacing w:after="0" w:line="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Other Segment Results</w:t>
      </w:r>
    </w:p>
    <w:p>
      <w:pPr>
        <w:spacing w:after="0" w:line="127"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 xml:space="preserve">EBITDA. </w:t>
      </w:r>
      <w:r>
        <w:rPr>
          <w:rFonts w:ascii="Times New Roman" w:cs="Times New Roman" w:eastAsia="Times New Roman" w:hAnsi="Times New Roman"/>
          <w:sz w:val="16"/>
          <w:szCs w:val="16"/>
          <w:color w:val="auto"/>
        </w:rPr>
        <w:t>The EBITDA from Other businesses relates primarily to equity in earnings from our investments in the Waha JVs and, to a lesser extent, income from</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other businesses and investments.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5" w:right="339" w:bottom="1440" w:gutter="0" w:footer="0" w:header="0"/>
        </w:sectPr>
      </w:pPr>
    </w:p>
    <w:bookmarkStart w:id="35" w:name="page36"/>
    <w:bookmarkEnd w:id="35"/>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Corporate Results</w:t>
      </w:r>
    </w:p>
    <w:p>
      <w:pPr>
        <w:spacing w:after="0" w:line="113"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16"/>
          <w:szCs w:val="16"/>
          <w:b w:val="1"/>
          <w:bCs w:val="1"/>
          <w:i w:val="1"/>
          <w:iCs w:val="1"/>
          <w:color w:val="auto"/>
        </w:rPr>
        <w:t xml:space="preserve">EBITDA. </w:t>
      </w:r>
      <w:r>
        <w:rPr>
          <w:rFonts w:ascii="Times New Roman" w:cs="Times New Roman" w:eastAsia="Times New Roman" w:hAnsi="Times New Roman"/>
          <w:sz w:val="16"/>
          <w:szCs w:val="16"/>
          <w:color w:val="auto"/>
        </w:rPr>
        <w:t>For the three months ended September 30, 2026, Corporate EBITDA included approximately $6 million of acquisition and integration costs, $7 million</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of expense, net, from changes to estimated Earn-out accruals and approximately $3 million of a loss on debt extinguishment. For the three months ended September 30, 2025, Corporate EBITDA included approximately $2 million of expense, net, from the changes in the fair value of contingent consideration payable to former owners of an acquired business. Corporate expenses for the three months ended September 30, 2026 not related to the above-described items increased by approximately $7 million as compared with the same period in 2025, due primarily to increases in insurance and compensation, including stock-based compensation.</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Nine Months Ended September 30, 2026 Compared to Nine Months Ended September 30, 2025</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2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5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9"/>
          </w:tcPr>
          <w:p>
            <w:pPr>
              <w:jc w:val="center"/>
              <w:ind w:left="219"/>
              <w:spacing w:after="0"/>
              <w:rPr>
                <w:sz w:val="20"/>
                <w:szCs w:val="20"/>
                <w:color w:val="auto"/>
              </w:rPr>
            </w:pPr>
            <w:r>
              <w:rPr>
                <w:rFonts w:ascii="Times New Roman" w:cs="Times New Roman" w:eastAsia="Times New Roman" w:hAnsi="Times New Roman"/>
                <w:sz w:val="16"/>
                <w:szCs w:val="16"/>
                <w:b w:val="1"/>
                <w:bCs w:val="1"/>
                <w:color w:val="auto"/>
              </w:rPr>
              <w:t>EBITDA and EBITDA Margin</w:t>
            </w:r>
          </w:p>
        </w:tc>
        <w:tc>
          <w:tcPr>
            <w:tcW w:w="5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20" w:type="dxa"/>
            <w:vAlign w:val="bottom"/>
            <w:gridSpan w:val="5"/>
          </w:tcPr>
          <w:p>
            <w:pPr>
              <w:jc w:val="center"/>
              <w:ind w:right="240"/>
              <w:spacing w:after="0" w:line="158" w:lineRule="exact"/>
              <w:rPr>
                <w:sz w:val="20"/>
                <w:szCs w:val="20"/>
                <w:color w:val="auto"/>
              </w:rPr>
            </w:pPr>
            <w:r>
              <w:rPr>
                <w:rFonts w:ascii="Times New Roman" w:cs="Times New Roman" w:eastAsia="Times New Roman" w:hAnsi="Times New Roman"/>
                <w:sz w:val="16"/>
                <w:szCs w:val="16"/>
                <w:b w:val="1"/>
                <w:bCs w:val="1"/>
                <w:color w:val="auto"/>
              </w:rPr>
              <w:t>Nine Months Ended</w:t>
            </w:r>
          </w:p>
        </w:tc>
        <w:tc>
          <w:tcPr>
            <w:tcW w:w="240" w:type="dxa"/>
            <w:vAlign w:val="bottom"/>
          </w:tcPr>
          <w:p>
            <w:pPr>
              <w:spacing w:after="0"/>
              <w:rPr>
                <w:sz w:val="13"/>
                <w:szCs w:val="13"/>
                <w:color w:val="auto"/>
              </w:rPr>
            </w:pPr>
          </w:p>
        </w:tc>
        <w:tc>
          <w:tcPr>
            <w:tcW w:w="900" w:type="dxa"/>
            <w:vAlign w:val="bottom"/>
            <w:gridSpan w:val="3"/>
            <w:vMerge w:val="restart"/>
          </w:tcPr>
          <w:p>
            <w:pPr>
              <w:ind w:left="360"/>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60" w:type="dxa"/>
            <w:vAlign w:val="bottom"/>
            <w:gridSpan w:val="7"/>
          </w:tcPr>
          <w:p>
            <w:pPr>
              <w:jc w:val="center"/>
              <w:ind w:right="340"/>
              <w:spacing w:after="0" w:line="158" w:lineRule="exact"/>
              <w:rPr>
                <w:sz w:val="20"/>
                <w:szCs w:val="20"/>
                <w:color w:val="auto"/>
              </w:rPr>
            </w:pPr>
            <w:r>
              <w:rPr>
                <w:rFonts w:ascii="Times New Roman" w:cs="Times New Roman" w:eastAsia="Times New Roman" w:hAnsi="Times New Roman"/>
                <w:sz w:val="16"/>
                <w:szCs w:val="16"/>
                <w:b w:val="1"/>
                <w:bCs w:val="1"/>
                <w:color w:val="auto"/>
              </w:rPr>
              <w:t>Nine Months Ended</w:t>
            </w: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gridSpan w:val="3"/>
            <w:vMerge w:val="restart"/>
          </w:tcPr>
          <w:p>
            <w:pPr>
              <w:ind w:left="340"/>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2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5"/>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40" w:type="dxa"/>
            <w:vAlign w:val="bottom"/>
          </w:tcPr>
          <w:p>
            <w:pPr>
              <w:spacing w:after="0"/>
              <w:rPr>
                <w:sz w:val="18"/>
                <w:szCs w:val="18"/>
                <w:color w:val="auto"/>
              </w:rPr>
            </w:pPr>
          </w:p>
        </w:tc>
        <w:tc>
          <w:tcPr>
            <w:tcW w:w="900" w:type="dxa"/>
            <w:vAlign w:val="bottom"/>
            <w:gridSpan w:val="3"/>
            <w:vMerge w:val="continue"/>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gridSpan w:val="6"/>
          </w:tcPr>
          <w:p>
            <w:pPr>
              <w:jc w:val="center"/>
              <w:ind w:right="5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gridSpan w:val="3"/>
            <w:vMerge w:val="continue"/>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Segment:</w:t>
            </w:r>
          </w:p>
        </w:tc>
        <w:tc>
          <w:tcPr>
            <w:tcW w:w="16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2026</w:t>
            </w:r>
          </w:p>
        </w:tc>
        <w:tc>
          <w:tcPr>
            <w:tcW w:w="80" w:type="dxa"/>
            <w:vAlign w:val="bottom"/>
            <w:tcBorders>
              <w:top w:val="single" w:sz="8" w:color="auto"/>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gridSpan w:val="3"/>
          </w:tcPr>
          <w:p>
            <w:pPr>
              <w:ind w:left="420"/>
              <w:spacing w:after="0" w:line="213" w:lineRule="exact"/>
              <w:rPr>
                <w:sz w:val="20"/>
                <w:szCs w:val="20"/>
                <w:color w:val="auto"/>
              </w:rPr>
            </w:pPr>
            <w:r>
              <w:rPr>
                <w:rFonts w:ascii="Times New Roman" w:cs="Times New Roman" w:eastAsia="Times New Roman" w:hAnsi="Times New Roman"/>
                <w:sz w:val="16"/>
                <w:szCs w:val="16"/>
                <w:b w:val="1"/>
                <w:bCs w:val="1"/>
                <w:color w:val="auto"/>
                <w:w w:val="97"/>
              </w:rPr>
              <w:t xml:space="preserve">2026 </w:t>
            </w:r>
            <w:r>
              <w:rPr>
                <w:rFonts w:ascii="Times New Roman" w:cs="Times New Roman" w:eastAsia="Times New Roman" w:hAnsi="Times New Roman"/>
                <w:sz w:val="21"/>
                <w:szCs w:val="21"/>
                <w:b w:val="1"/>
                <w:bCs w:val="1"/>
                <w:color w:val="auto"/>
                <w:w w:val="97"/>
                <w:vertAlign w:val="superscript"/>
              </w:rPr>
              <w:t>(b)</w:t>
            </w:r>
          </w:p>
        </w:tc>
        <w:tc>
          <w:tcPr>
            <w:tcW w:w="54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2025</w:t>
            </w:r>
          </w:p>
        </w:tc>
        <w:tc>
          <w:tcPr>
            <w:tcW w:w="580" w:type="dxa"/>
            <w:vAlign w:val="bottom"/>
            <w:tcBorders>
              <w:top w:val="single" w:sz="8" w:color="auto"/>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10"/>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Communications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2,497.9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2,432.3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2.7 %</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7.0 %</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232.4</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9.6 %</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w:t>
            </w:r>
          </w:p>
        </w:tc>
        <w:tc>
          <w:tcPr>
            <w:tcW w:w="0" w:type="dxa"/>
            <w:vAlign w:val="bottom"/>
          </w:tcPr>
          <w:p>
            <w:pPr>
              <w:spacing w:after="0"/>
              <w:rPr>
                <w:sz w:val="1"/>
                <w:szCs w:val="1"/>
                <w:color w:val="auto"/>
              </w:rPr>
            </w:pPr>
          </w:p>
        </w:tc>
      </w:tr>
      <w:tr>
        <w:trPr>
          <w:trHeight w:val="213"/>
        </w:trPr>
        <w:tc>
          <w:tcPr>
            <w:tcW w:w="2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Clean Energy and Infrastructure</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4,777.5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3,411.3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1,366.1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40.0 %</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366.4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7.7 %</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7.5 %</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110.6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43.3 %</w:t>
            </w:r>
          </w:p>
        </w:tc>
        <w:tc>
          <w:tcPr>
            <w:tcW w:w="0" w:type="dxa"/>
            <w:vAlign w:val="bottom"/>
          </w:tcPr>
          <w:p>
            <w:pPr>
              <w:spacing w:after="0"/>
              <w:rPr>
                <w:sz w:val="1"/>
                <w:szCs w:val="1"/>
                <w:color w:val="auto"/>
              </w:rPr>
            </w:pPr>
          </w:p>
        </w:tc>
      </w:tr>
      <w:tr>
        <w:trPr>
          <w:trHeight w:val="219"/>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Power Delivery</w:t>
            </w: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4,127.1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3,056.0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1,071.2</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35.1 %</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426.5</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10.3 %</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8.1 %</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179.5</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72.7 %</w:t>
            </w:r>
          </w:p>
        </w:tc>
        <w:tc>
          <w:tcPr>
            <w:tcW w:w="0" w:type="dxa"/>
            <w:vAlign w:val="bottom"/>
          </w:tcPr>
          <w:p>
            <w:pPr>
              <w:spacing w:after="0"/>
              <w:rPr>
                <w:sz w:val="1"/>
                <w:szCs w:val="1"/>
                <w:color w:val="auto"/>
              </w:rPr>
            </w:pPr>
          </w:p>
        </w:tc>
      </w:tr>
      <w:tr>
        <w:trPr>
          <w:trHeight w:val="213"/>
        </w:trPr>
        <w:tc>
          <w:tcPr>
            <w:tcW w:w="2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Pipeline Infrastructure</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2,049.4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1,493.9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555.5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37.2 %</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16.5 %</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13.3 %</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139.9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70.4 %</w:t>
            </w:r>
          </w:p>
        </w:tc>
        <w:tc>
          <w:tcPr>
            <w:tcW w:w="0" w:type="dxa"/>
            <w:vAlign w:val="bottom"/>
          </w:tcPr>
          <w:p>
            <w:pPr>
              <w:spacing w:after="0"/>
              <w:rPr>
                <w:sz w:val="1"/>
                <w:szCs w:val="1"/>
                <w:color w:val="auto"/>
              </w:rPr>
            </w:pPr>
          </w:p>
        </w:tc>
      </w:tr>
      <w:tr>
        <w:trPr>
          <w:trHeight w:val="219"/>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6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90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 %</w:t>
            </w: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NM</w:t>
            </w: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NM</w:t>
            </w:r>
          </w:p>
        </w:tc>
        <w:tc>
          <w:tcPr>
            <w:tcW w:w="2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(41.1)%</w:t>
            </w:r>
          </w:p>
        </w:tc>
        <w:tc>
          <w:tcPr>
            <w:tcW w:w="0" w:type="dxa"/>
            <w:vAlign w:val="bottom"/>
          </w:tcPr>
          <w:p>
            <w:pPr>
              <w:spacing w:after="0"/>
              <w:rPr>
                <w:sz w:val="1"/>
                <w:szCs w:val="1"/>
                <w:color w:val="auto"/>
              </w:rPr>
            </w:pPr>
          </w:p>
        </w:tc>
      </w:tr>
      <w:tr>
        <w:trPr>
          <w:trHeight w:val="216"/>
        </w:trPr>
        <w:tc>
          <w:tcPr>
            <w:tcW w:w="228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Eliminations </w:t>
            </w:r>
            <w:r>
              <w:rPr>
                <w:rFonts w:ascii="Times New Roman" w:cs="Times New Roman" w:eastAsia="Times New Roman" w:hAnsi="Times New Roman"/>
                <w:sz w:val="21"/>
                <w:szCs w:val="21"/>
                <w:color w:val="auto"/>
                <w:vertAlign w:val="superscript"/>
              </w:rPr>
              <w:t>(a)</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7"/>
              </w:rPr>
              <w:t>184.3 %</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NM</w:t>
            </w:r>
          </w:p>
        </w:tc>
        <w:tc>
          <w:tcPr>
            <w:tcW w:w="200" w:type="dxa"/>
            <w:vAlign w:val="bottom"/>
          </w:tcPr>
          <w:p>
            <w:pPr>
              <w:spacing w:after="0"/>
              <w:rPr>
                <w:sz w:val="18"/>
                <w:szCs w:val="18"/>
                <w:color w:val="auto"/>
              </w:rPr>
            </w:pPr>
          </w:p>
        </w:tc>
        <w:tc>
          <w:tcPr>
            <w:tcW w:w="900" w:type="dxa"/>
            <w:vAlign w:val="bottom"/>
            <w:gridSpan w:val="3"/>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 %</w:t>
            </w:r>
          </w:p>
        </w:tc>
        <w:tc>
          <w:tcPr>
            <w:tcW w:w="2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209"/>
        </w:trPr>
        <w:tc>
          <w:tcPr>
            <w:tcW w:w="228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Segment Total</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13,354.7</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10,359.4</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2,995.3</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28.9 %</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1,311.8</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9.8 %</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956.1</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9.2 %</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355.7</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37.2 %</w:t>
            </w:r>
          </w:p>
        </w:tc>
        <w:tc>
          <w:tcPr>
            <w:tcW w:w="0" w:type="dxa"/>
            <w:vAlign w:val="bottom"/>
          </w:tcPr>
          <w:p>
            <w:pPr>
              <w:spacing w:after="0"/>
              <w:rPr>
                <w:sz w:val="1"/>
                <w:szCs w:val="1"/>
                <w:color w:val="auto"/>
              </w:rPr>
            </w:pPr>
          </w:p>
        </w:tc>
      </w:tr>
      <w:tr>
        <w:trPr>
          <w:trHeight w:val="213"/>
        </w:trPr>
        <w:tc>
          <w:tcPr>
            <w:tcW w:w="2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Corporate</w:t>
            </w:r>
          </w:p>
        </w:tc>
        <w:tc>
          <w:tcPr>
            <w:tcW w:w="16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900" w:type="dxa"/>
            <w:vAlign w:val="bottom"/>
            <w:gridSpan w:val="3"/>
          </w:tcPr>
          <w:p>
            <w:pPr>
              <w:jc w:val="right"/>
              <w:ind w:right="40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 %</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 %</w:t>
            </w: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 %</w:t>
            </w:r>
          </w:p>
        </w:tc>
        <w:tc>
          <w:tcPr>
            <w:tcW w:w="2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40.5 %</w:t>
            </w:r>
          </w:p>
        </w:tc>
        <w:tc>
          <w:tcPr>
            <w:tcW w:w="0" w:type="dxa"/>
            <w:vAlign w:val="bottom"/>
          </w:tcPr>
          <w:p>
            <w:pPr>
              <w:spacing w:after="0"/>
              <w:rPr>
                <w:sz w:val="1"/>
                <w:szCs w:val="1"/>
                <w:color w:val="auto"/>
              </w:rPr>
            </w:pPr>
          </w:p>
        </w:tc>
      </w:tr>
      <w:tr>
        <w:trPr>
          <w:trHeight w:val="210"/>
        </w:trPr>
        <w:tc>
          <w:tcPr>
            <w:tcW w:w="228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Consolidated 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13,354.7</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10,359.4</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2,995.3</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28.9 %</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1,072.3</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8.0 %</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785.7</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7.6 %</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286.6</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36.5 %</w:t>
            </w:r>
          </w:p>
        </w:tc>
        <w:tc>
          <w:tcPr>
            <w:tcW w:w="0" w:type="dxa"/>
            <w:vAlign w:val="bottom"/>
          </w:tcPr>
          <w:p>
            <w:pPr>
              <w:spacing w:after="0"/>
              <w:rPr>
                <w:sz w:val="1"/>
                <w:szCs w:val="1"/>
                <w:color w:val="auto"/>
              </w:rPr>
            </w:pPr>
          </w:p>
        </w:tc>
      </w:tr>
    </w:tbl>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NM - Percentage is not meaningful</w:t>
      </w:r>
    </w:p>
    <w:p>
      <w:pPr>
        <w:spacing w:after="0" w:line="69" w:lineRule="exact"/>
        <w:rPr>
          <w:sz w:val="20"/>
          <w:szCs w:val="20"/>
          <w:color w:val="auto"/>
        </w:rPr>
      </w:pPr>
    </w:p>
    <w:p>
      <w:pPr>
        <w:ind w:left="320" w:hanging="312"/>
        <w:spacing w:after="0"/>
        <w:tabs>
          <w:tab w:leader="none" w:pos="3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intersegment eliminations and adjustments related to transactions entered into in the normal course of business.</w:t>
      </w:r>
    </w:p>
    <w:p>
      <w:pPr>
        <w:spacing w:after="0" w:line="68" w:lineRule="exact"/>
        <w:rPr>
          <w:rFonts w:ascii="Times New Roman" w:cs="Times New Roman" w:eastAsia="Times New Roman" w:hAnsi="Times New Roman"/>
          <w:sz w:val="14"/>
          <w:szCs w:val="14"/>
          <w:color w:val="auto"/>
        </w:rPr>
      </w:pPr>
    </w:p>
    <w:p>
      <w:pPr>
        <w:ind w:left="340" w:hanging="332"/>
        <w:spacing w:after="0" w:line="261" w:lineRule="auto"/>
        <w:tabs>
          <w:tab w:leader="none" w:pos="332"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nine months ended September 30, 2026, the Other segment EBITDA included approximately $8 million of an other-than-temporary impairment related to an equity method investment.</w:t>
      </w:r>
    </w:p>
    <w:p>
      <w:pPr>
        <w:spacing w:after="0" w:line="275" w:lineRule="exact"/>
        <w:rPr>
          <w:rFonts w:ascii="Times New Roman" w:cs="Times New Roman" w:eastAsia="Times New Roman" w:hAnsi="Times New Roman"/>
          <w:sz w:val="14"/>
          <w:szCs w:val="14"/>
          <w:color w:val="auto"/>
        </w:rPr>
      </w:pPr>
    </w:p>
    <w:p>
      <w:pPr>
        <w:ind w:left="34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b w:val="1"/>
          <w:bCs w:val="1"/>
          <w:i w:val="1"/>
          <w:iCs w:val="1"/>
          <w:color w:val="auto"/>
        </w:rPr>
        <w:t>Communications Segment Results</w:t>
      </w:r>
    </w:p>
    <w:p>
      <w:pPr>
        <w:spacing w:after="0" w:line="127"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 xml:space="preserve">Revenue. </w:t>
      </w:r>
      <w:r>
        <w:rPr>
          <w:rFonts w:ascii="Times New Roman" w:cs="Times New Roman" w:eastAsia="Times New Roman" w:hAnsi="Times New Roman"/>
          <w:sz w:val="16"/>
          <w:szCs w:val="16"/>
          <w:color w:val="auto"/>
        </w:rPr>
        <w:t>The increase in revenue was driven primarily by higher levels of wireline project activity and, to a lesser extent, higher install-to-the-home project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volumes, partially offset by lower wireless project activity due, in part, to customer project timing.</w:t>
      </w:r>
    </w:p>
    <w:p>
      <w:pPr>
        <w:spacing w:after="0" w:line="48"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16"/>
          <w:szCs w:val="16"/>
          <w:b w:val="1"/>
          <w:bCs w:val="1"/>
          <w:i w:val="1"/>
          <w:iCs w:val="1"/>
          <w:color w:val="auto"/>
        </w:rPr>
        <w:t xml:space="preserve">EBITDA. </w:t>
      </w:r>
      <w:r>
        <w:rPr>
          <w:rFonts w:ascii="Times New Roman" w:cs="Times New Roman" w:eastAsia="Times New Roman" w:hAnsi="Times New Roman"/>
          <w:sz w:val="16"/>
          <w:szCs w:val="16"/>
          <w:color w:val="auto"/>
        </w:rPr>
        <w:t>As a percentage of revenue, EBITDA decreased by approximately 260 basis points, or $65 million, primarily due to costs to exit certain markets in our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install-to-the-home business, as well as the effects of certain project close-outs and project execution mix associated with higher levels of wireline project activity, and, to a lesser extent, restructuring activities undertaken during the third quarter of 2026. Higher levels of revenue resulted in an increase in EBITDA of approximately $6 million.</w:t>
      </w:r>
    </w:p>
    <w:p>
      <w:pPr>
        <w:spacing w:after="0" w:line="7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Clean Energy and Infrastructure Segment Results</w:t>
      </w:r>
    </w:p>
    <w:p>
      <w:pPr>
        <w:spacing w:after="0" w:line="113"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16"/>
          <w:szCs w:val="16"/>
          <w:b w:val="1"/>
          <w:bCs w:val="1"/>
          <w:i w:val="1"/>
          <w:iCs w:val="1"/>
          <w:color w:val="auto"/>
        </w:rPr>
        <w:t>Revenue</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The increase in revenue was due primarily to higher levels of project activity across renewables, general building, including data-center related projects,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and water infrastructure projects, supported by continued strong demand in these end markets. Organic revenue growth contributed approximately $963 million, or a 28% increase, as compared with the same period in 2025, while acquisitions contributed an additional $404 million of revenue.</w:t>
      </w:r>
    </w:p>
    <w:p>
      <w:pPr>
        <w:spacing w:after="0" w:line="56"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16"/>
          <w:szCs w:val="16"/>
          <w:b w:val="1"/>
          <w:bCs w:val="1"/>
          <w:i w:val="1"/>
          <w:iCs w:val="1"/>
          <w:color w:val="auto"/>
        </w:rPr>
        <w:t xml:space="preserve">EBITDA. </w:t>
      </w:r>
      <w:r>
        <w:rPr>
          <w:rFonts w:ascii="Times New Roman" w:cs="Times New Roman" w:eastAsia="Times New Roman" w:hAnsi="Times New Roman"/>
          <w:sz w:val="16"/>
          <w:szCs w:val="16"/>
          <w:color w:val="auto"/>
        </w:rPr>
        <w:t>As a percentage of revenue, EBITDA increased by approximately 20 basis points, or $8 million, due primarily to project mix and improved productivity</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and efficiencies on certain infrastructure project work, including contributions from certain acquired entities. Higher levels of revenue resulted in an increase in EBITDA of approximately $102 million.</w:t>
      </w:r>
    </w:p>
    <w:p>
      <w:pPr>
        <w:spacing w:after="0" w:line="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Power Delivery Segment Results</w:t>
      </w:r>
    </w:p>
    <w:p>
      <w:pPr>
        <w:spacing w:after="0" w:line="127"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16"/>
          <w:szCs w:val="16"/>
          <w:b w:val="1"/>
          <w:bCs w:val="1"/>
          <w:i w:val="1"/>
          <w:iCs w:val="1"/>
          <w:color w:val="auto"/>
        </w:rPr>
        <w:t>Revenue</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The increase in revenue was due primarily to higher levels of project activity, supported by continued strong demand, including timing-related increases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in transmission and distribution-related project work, as well as higher levels of data-center related electrical infrastructure project work. The increase also included contributions from the recently acquired Superior business beginning in the third quarter of 2026. Organic revenue growth contributed approximately $591 million, or a 19% increase, as compared with the same period in 2025, while acquisitions contributed an additional $480 million of revenue.</w:t>
      </w:r>
    </w:p>
    <w:p>
      <w:pPr>
        <w:spacing w:after="0" w:line="65"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16"/>
          <w:szCs w:val="16"/>
          <w:b w:val="1"/>
          <w:bCs w:val="1"/>
          <w:i w:val="1"/>
          <w:iCs w:val="1"/>
          <w:color w:val="auto"/>
        </w:rPr>
        <w:t xml:space="preserve">EBITDA. </w:t>
      </w:r>
      <w:r>
        <w:rPr>
          <w:rFonts w:ascii="Times New Roman" w:cs="Times New Roman" w:eastAsia="Times New Roman" w:hAnsi="Times New Roman"/>
          <w:sz w:val="16"/>
          <w:szCs w:val="16"/>
          <w:color w:val="auto"/>
        </w:rPr>
        <w:t>As a percentage of revenue, EBITDA increased by approximately 230 basis points, or $93 million, primarily due to improved efficiencies and project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mix, including contributions from the recently acquired Superior business, as well as the non-recurrence of reduced efficiencies at certain project sites in the prior year period. Higher levels of revenue resulted in an increase in EBITDA of approximately $87 million.</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36" w:name="page37"/>
    <w:bookmarkEnd w:id="36"/>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Pipeline Infrastructure Segment Results</w:t>
      </w:r>
    </w:p>
    <w:p>
      <w:pPr>
        <w:spacing w:after="0" w:line="113"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16"/>
          <w:szCs w:val="16"/>
          <w:b w:val="1"/>
          <w:bCs w:val="1"/>
          <w:i w:val="1"/>
          <w:iCs w:val="1"/>
          <w:color w:val="auto"/>
        </w:rPr>
        <w:t>Revenue</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The increase in revenue was due primarily to higher levels of project activity, including midstream pipeline project activity and other infrastructure-related work. Organic revenue growth contributed approximately $511 million, or a 34% increase, as compared with the same period in 2025, while acquisitions contributed an additional $45 million of revenue.</w:t>
      </w:r>
    </w:p>
    <w:p>
      <w:pPr>
        <w:spacing w:after="0" w:line="70"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 xml:space="preserve">EBITDA. </w:t>
      </w:r>
      <w:r>
        <w:rPr>
          <w:rFonts w:ascii="Times New Roman" w:cs="Times New Roman" w:eastAsia="Times New Roman" w:hAnsi="Times New Roman"/>
          <w:sz w:val="16"/>
          <w:szCs w:val="16"/>
          <w:color w:val="auto"/>
        </w:rPr>
        <w:t>As a percentage of revenue, EBITDA increased by approximately 320 basis points, or $66 million, due primarily to improved efficiencies, as well as the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effects of project mix. Higher levels of revenue contributed an increase in EBITDA of approximately $74 million.</w:t>
      </w:r>
    </w:p>
    <w:p>
      <w:pPr>
        <w:spacing w:after="0" w:line="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Other Segment Results</w:t>
      </w:r>
    </w:p>
    <w:p>
      <w:pPr>
        <w:spacing w:after="0" w:line="127"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 xml:space="preserve">EBITDA. </w:t>
      </w:r>
      <w:r>
        <w:rPr>
          <w:rFonts w:ascii="Times New Roman" w:cs="Times New Roman" w:eastAsia="Times New Roman" w:hAnsi="Times New Roman"/>
          <w:sz w:val="16"/>
          <w:szCs w:val="16"/>
          <w:color w:val="auto"/>
        </w:rPr>
        <w:t>The EBITDA from Other businesses relates primarily to equity in earnings from our investments in the Waha JVs, and, to a lesser extent, income from</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other businesses and investments, offset, in part, by an other-than-temporary impairment related to an equity method investment.</w:t>
      </w:r>
    </w:p>
    <w:p>
      <w:pPr>
        <w:spacing w:after="0" w:line="6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Corporate Results</w:t>
      </w:r>
    </w:p>
    <w:p>
      <w:pPr>
        <w:spacing w:after="0" w:line="113"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6"/>
          <w:szCs w:val="16"/>
          <w:b w:val="1"/>
          <w:bCs w:val="1"/>
          <w:i w:val="1"/>
          <w:iCs w:val="1"/>
          <w:color w:val="auto"/>
        </w:rPr>
        <w:t xml:space="preserve">EBITDA. </w:t>
      </w:r>
      <w:r>
        <w:rPr>
          <w:rFonts w:ascii="Times New Roman" w:cs="Times New Roman" w:eastAsia="Times New Roman" w:hAnsi="Times New Roman"/>
          <w:sz w:val="16"/>
          <w:szCs w:val="16"/>
          <w:color w:val="auto"/>
        </w:rPr>
        <w:t>For the nine months ended September 30, 2026, Corporate EBITDA included approximately $6 million of acquisition and integration costs, $13 million</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of expense, net, from changes to estimated Earn-out accruals, approximately $13 million of expense, net, from changes in the fair value of contingent consideration to former owners of an acquired business, and approximately $3 million of a loss on debt extinguishment. For the nine months ended September 30, 2025, Corporate EBITDA included approximately $3 million of income, net, from changes to estimated Earn-out accruals and approximately $4 million of expense, net, from the changes in the fair value of additional contingent payments to former owners of an acquired business. Corporate expenses for the nine months ended September 30, 2026 not related to the above-described items increased by approximately $34 million as compared with the same period in 2025 due primarily to increases in insurance, compensation, including stock-based compensation, and the effects of timing of ordinary course legal and other settlement matters.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Non-U.S. GAAP Financial Measures</w:t>
      </w:r>
    </w:p>
    <w:p>
      <w:pPr>
        <w:spacing w:after="0" w:line="11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6"/>
          <w:szCs w:val="16"/>
          <w:color w:val="auto"/>
        </w:rPr>
        <w:t>As appropriate, we supplement our reported U.S. GAAP financial information with certain non-U.S. GAAP financial measures, including earnings before interest, income taxes, depreciation and amortization (“EBITDA”), adjusted EBITDA (“Adjusted EBITDA”), adjusted net income (“Adjusted Net Income”), adjusted net income attributable to MasTec, Inc. (“Adjusted Net Income Attributable to MasTec, Inc.”) and adjusted diluted earnings per share (“Adjusted Diluted Earnings Per Share”). These “adjusted” non-U.S. GAAP measures exclude, as applicable to the respective periods, non-cash stock-based compensation expense, changes in fair value of acquisition-related contingent items, acquisition and integration costs, impairments of equity method investments, loss on extinguishment of debt, and restructuring charges; and, for Adjusted Net Income, Adjusted Net Income Attributable to MasTec, Inc. and Adjusted Diluted Earnings Per Share, amortization of intangible assets and the tax effects of the adjusted items. These definitions of EBITDA and Adjusted EBITDA are not the same as in our Credit Facility or in the indenture governing our senior notes; therefore, EBITDA and Adjusted EBITDA as presented in this discussion should not be used for purposes of determining our compliance with the covenants contained in our debt instruments.</w:t>
      </w:r>
    </w:p>
    <w:p>
      <w:pPr>
        <w:spacing w:after="0" w:line="287"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We use EBITDA and Adjusted EBITDA, as well as Adjusted Net Income, Adjusted Net Income Attributable to MasTec, Inc. and Adjusted Diluted Earnings Per Share, to evaluate our performance, both internally and as compared with our peers, because these measures exclude certain items that may not be indicative of our core, or underlying, operating results, as well as items that can vary widely across different industries or among companies within the same industry. We believe that these adjusted measures provide a baseline for analyzing trends in our underlying business.</w:t>
      </w:r>
    </w:p>
    <w:p>
      <w:pPr>
        <w:spacing w:after="0" w:line="7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6"/>
          <w:szCs w:val="16"/>
          <w:color w:val="auto"/>
        </w:rPr>
        <w:t>Non-cash stock-based compensation expense can be subject to volatility from changes in the market price per share of our common stock or variations in the value and number of shares granted. We also exclude intangible asset amortization and the effects of changes in fair value of acquisition-related contingent items from our non-U.S. GAAP financial measures due to their non-operational nature and inherent volatility, as activity, including from acquisitions, varies from period to period. Note that while intangible asset amortization related to the assets of acquired entities is excluded from our non-U.S. GAAP financial measures, the revenue and all other expenses of the acquired entities are included within our non-U.S. GAAP financial measures, unless otherwise stated. Acquisition-related contingent items consist of (i) changes in fair value of acquisition-related contingent consideration, which is composed of earn-outs, that are contingent upon the achievement of reaching certain post-acquisition levels of earnings and (ii) changes in fair value of additional payments in connection with the 2021 acquisition of Henkels &amp; McCoy Holdings, Inc. based on the fluctuation of our share price and contingent upon the post-acquisition collections of certain receivables, and which were fully settled during the second quarter of 2026. We exclude impairments of equity method investments, as these charges do not reflect the ordinary course of the Company’s business and are not incurred on a predictable basis. Our computation of non-U.S. GAAP financial measures also excludes acquisition and integration costs, consisting of legal, professional, and other expenses incurred in connection with acquisition activities, as well as costs incurred to integrate acquired businesses, due to their non-operational nature and inherent volatility, as acquisition activity varies from period to period. Restructuring charges consist of employee separation costs, lease termination and related charges, consulting fees, and other direct costs incurred as a result of restructuring activities. We believe that this presentation is common practice within our industry and improves comparability of our results with those of our peers. Our non-U.S. GAAP financial measures for prior periods presented have not been recast to exclude acquisition and integration costs, as the impact of such adjustments would have been immaterial.</w:t>
      </w:r>
    </w:p>
    <w:p>
      <w:pPr>
        <w:spacing w:after="0" w:line="80"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6"/>
          <w:szCs w:val="16"/>
          <w:color w:val="auto"/>
        </w:rPr>
        <w:t>We believe that these non-U.S. GAAP financial measures provide meaningful information and help investors understand our financial results and assess our prospects for future performance. Because non-U.S. GAAP financial measures are not standardized, it may not be possible to compare these financial measures with other companies’ non-U.S. GAAP financial measures having the same or similar names. Each company’s definitions of these adjusted measures may vary as they are not standardized and should be used together with the provided reconciliations. These financial measures should not be considered in isolation from, as substitutes for, or alternative measures of, reported net income or diluted earnings per share, and should be viewed in conjunction with the most comparable U.S. GAAP financial measures and the provided reconciliations thereto.</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37" w:name="page38"/>
    <w:bookmarkEnd w:id="37"/>
    <w:p>
      <w:pPr>
        <w:jc w:val="both"/>
        <w:spacing w:after="0" w:line="272" w:lineRule="auto"/>
        <w:rPr>
          <w:sz w:val="20"/>
          <w:szCs w:val="20"/>
          <w:color w:val="auto"/>
        </w:rPr>
      </w:pPr>
      <w:r>
        <w:rPr>
          <w:rFonts w:ascii="Times New Roman" w:cs="Times New Roman" w:eastAsia="Times New Roman" w:hAnsi="Times New Roman"/>
          <w:sz w:val="16"/>
          <w:szCs w:val="16"/>
          <w:color w:val="auto"/>
        </w:rPr>
        <w:t>We believe these non-U.S. GAAP financial measures, when viewed together with our U.S. GAAP results and related reconciliations, provide a more complete understanding of our business. We strongly encourage investors to review our consolidated financial statements and publicly filed reports in their entirety and not rely on any single financial measure.</w:t>
      </w:r>
    </w:p>
    <w:p>
      <w:pPr>
        <w:spacing w:after="0" w:line="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The following table presents a reconciliation of net income to EBITDA and Adjusted EBITDA in dollar and percentage of revenue terms for the periods indicated.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tables below (dollar amounts in millions) may contain slight summation differences due to rounding.</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0" w:type="dxa"/>
            <w:vAlign w:val="bottom"/>
            <w:gridSpan w:val="11"/>
          </w:tcPr>
          <w:p>
            <w:pPr>
              <w:ind w:left="20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60" w:type="dxa"/>
            <w:vAlign w:val="bottom"/>
          </w:tcPr>
          <w:p>
            <w:pPr>
              <w:spacing w:after="0"/>
              <w:rPr>
                <w:sz w:val="18"/>
                <w:szCs w:val="18"/>
                <w:color w:val="auto"/>
              </w:rPr>
            </w:pPr>
          </w:p>
        </w:tc>
        <w:tc>
          <w:tcPr>
            <w:tcW w:w="2740" w:type="dxa"/>
            <w:vAlign w:val="bottom"/>
            <w:gridSpan w:val="9"/>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440" w:type="dxa"/>
            <w:vAlign w:val="bottom"/>
          </w:tcPr>
          <w:p>
            <w:pPr>
              <w:spacing w:after="0"/>
              <w:rPr>
                <w:sz w:val="18"/>
                <w:szCs w:val="18"/>
                <w:color w:val="auto"/>
              </w:rPr>
            </w:pPr>
          </w:p>
        </w:tc>
      </w:tr>
      <w:tr>
        <w:trPr>
          <w:trHeight w:val="214"/>
        </w:trPr>
        <w:tc>
          <w:tcPr>
            <w:tcW w:w="4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EBITDA Reconciliation:</w:t>
            </w:r>
          </w:p>
        </w:tc>
        <w:tc>
          <w:tcPr>
            <w:tcW w:w="2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2026</w:t>
            </w:r>
          </w:p>
        </w:tc>
        <w:tc>
          <w:tcPr>
            <w:tcW w:w="5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2025</w:t>
            </w:r>
          </w:p>
        </w:tc>
        <w:tc>
          <w:tcPr>
            <w:tcW w:w="520" w:type="dxa"/>
            <w:vAlign w:val="bottom"/>
            <w:tcBorders>
              <w:top w:val="single" w:sz="8" w:color="auto"/>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2026</w:t>
            </w:r>
          </w:p>
        </w:tc>
        <w:tc>
          <w:tcPr>
            <w:tcW w:w="5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2025</w:t>
            </w:r>
          </w:p>
        </w:tc>
        <w:tc>
          <w:tcPr>
            <w:tcW w:w="440" w:type="dxa"/>
            <w:vAlign w:val="bottom"/>
            <w:tcBorders>
              <w:top w:val="single" w:sz="8" w:color="auto"/>
              <w:bottom w:val="single" w:sz="8" w:color="auto"/>
            </w:tcBorders>
          </w:tcPr>
          <w:p>
            <w:pPr>
              <w:spacing w:after="0"/>
              <w:rPr>
                <w:sz w:val="18"/>
                <w:szCs w:val="18"/>
                <w:color w:val="auto"/>
              </w:rPr>
            </w:pPr>
          </w:p>
        </w:tc>
      </w:tr>
      <w:tr>
        <w:trPr>
          <w:trHeight w:val="211"/>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3.3 %</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4.2 %</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2.9 %</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2.6 %</w:t>
            </w:r>
          </w:p>
        </w:tc>
      </w:tr>
      <w:tr>
        <w:trPr>
          <w:trHeight w:val="213"/>
        </w:trPr>
        <w:tc>
          <w:tcPr>
            <w:tcW w:w="44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Interest expense, net</w:t>
            </w: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1.2 %</w:t>
            </w:r>
          </w:p>
        </w:tc>
      </w:tr>
      <w:tr>
        <w:trPr>
          <w:trHeight w:val="219"/>
        </w:trPr>
        <w:tc>
          <w:tcPr>
            <w:tcW w:w="4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2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0.7 %</w:t>
            </w:r>
          </w:p>
        </w:tc>
      </w:tr>
      <w:tr>
        <w:trPr>
          <w:trHeight w:val="213"/>
        </w:trPr>
        <w:tc>
          <w:tcPr>
            <w:tcW w:w="44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Depreciation</w:t>
            </w: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2.1 %</w:t>
            </w:r>
          </w:p>
        </w:tc>
      </w:tr>
      <w:tr>
        <w:trPr>
          <w:trHeight w:val="219"/>
        </w:trPr>
        <w:tc>
          <w:tcPr>
            <w:tcW w:w="4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2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75.3</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1.5 %</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0.8 %</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1.1 %</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98.0</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0.9 %</w:t>
            </w:r>
          </w:p>
        </w:tc>
      </w:tr>
      <w:tr>
        <w:trPr>
          <w:trHeight w:val="207"/>
        </w:trPr>
        <w:tc>
          <w:tcPr>
            <w:tcW w:w="4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EBITDA</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451.0</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8.8 %</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361.6</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9.1 %</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1,072.3</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8.0 %</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785.7</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7.6 %</w:t>
            </w:r>
          </w:p>
        </w:tc>
      </w:tr>
      <w:tr>
        <w:trPr>
          <w:trHeight w:val="212"/>
        </w:trPr>
        <w:tc>
          <w:tcPr>
            <w:tcW w:w="4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Non-cash stock-based compensation expense</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0.2 %</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0.2 %</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0.2 %</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0.2 %</w:t>
            </w:r>
          </w:p>
        </w:tc>
      </w:tr>
      <w:tr>
        <w:trPr>
          <w:trHeight w:val="213"/>
        </w:trPr>
        <w:tc>
          <w:tcPr>
            <w:tcW w:w="44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Changes in fair value of acquisition-related contingent items</w:t>
            </w: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0.0 %</w:t>
            </w:r>
          </w:p>
        </w:tc>
      </w:tr>
      <w:tr>
        <w:trPr>
          <w:trHeight w:val="219"/>
        </w:trPr>
        <w:tc>
          <w:tcPr>
            <w:tcW w:w="4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Acquisition and integration costs</w:t>
            </w:r>
          </w:p>
        </w:tc>
        <w:tc>
          <w:tcPr>
            <w:tcW w:w="2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213"/>
        </w:trPr>
        <w:tc>
          <w:tcPr>
            <w:tcW w:w="44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Impairments of equity method investments</w:t>
            </w:r>
          </w:p>
        </w:tc>
        <w:tc>
          <w:tcPr>
            <w:tcW w:w="220" w:type="dxa"/>
            <w:vAlign w:val="bottom"/>
          </w:tcPr>
          <w:p>
            <w:pPr>
              <w:spacing w:after="0"/>
              <w:rPr>
                <w:sz w:val="18"/>
                <w:szCs w:val="18"/>
                <w:color w:val="auto"/>
              </w:rPr>
            </w:pPr>
          </w:p>
        </w:tc>
        <w:tc>
          <w:tcPr>
            <w:tcW w:w="86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 %</w:t>
            </w:r>
          </w:p>
        </w:tc>
        <w:tc>
          <w:tcPr>
            <w:tcW w:w="200" w:type="dxa"/>
            <w:vAlign w:val="bottom"/>
          </w:tcPr>
          <w:p>
            <w:pPr>
              <w:spacing w:after="0"/>
              <w:rPr>
                <w:sz w:val="18"/>
                <w:szCs w:val="18"/>
                <w:color w:val="auto"/>
              </w:rPr>
            </w:pPr>
          </w:p>
        </w:tc>
        <w:tc>
          <w:tcPr>
            <w:tcW w:w="880" w:type="dxa"/>
            <w:vAlign w:val="bottom"/>
            <w:gridSpan w:val="3"/>
          </w:tcPr>
          <w:p>
            <w:pPr>
              <w:jc w:val="right"/>
              <w:ind w:right="40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3"/>
          </w:tcPr>
          <w:p>
            <w:pPr>
              <w:jc w:val="right"/>
              <w:ind w:right="4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219"/>
        </w:trPr>
        <w:tc>
          <w:tcPr>
            <w:tcW w:w="4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Loss on extinguishment of debt</w:t>
            </w:r>
          </w:p>
        </w:tc>
        <w:tc>
          <w:tcPr>
            <w:tcW w:w="2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213"/>
        </w:trPr>
        <w:tc>
          <w:tcPr>
            <w:tcW w:w="44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Restructuring charges</w:t>
            </w: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3"/>
          </w:tcPr>
          <w:p>
            <w:pPr>
              <w:jc w:val="right"/>
              <w:ind w:right="40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3"/>
          </w:tcPr>
          <w:p>
            <w:pPr>
              <w:jc w:val="right"/>
              <w:ind w:right="4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210"/>
        </w:trPr>
        <w:tc>
          <w:tcPr>
            <w:tcW w:w="4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EBITDA</w:t>
            </w: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486.4</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9.4 %</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373.5</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9.4 %</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1,154.3</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8.6 %</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811.9</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7.8 %</w:t>
            </w:r>
          </w:p>
        </w:tc>
      </w:tr>
    </w:tbl>
    <w:p>
      <w:pPr>
        <w:spacing w:after="0" w:line="2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A reconciliation of EBITDA and EBITDA margin to Adjusted EBITDA and Adjusted EBITDA margin by segment for the periods indicated is as follows:</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20" w:type="dxa"/>
            <w:vAlign w:val="bottom"/>
            <w:gridSpan w:val="11"/>
          </w:tcPr>
          <w:p>
            <w:pPr>
              <w:ind w:left="20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60" w:type="dxa"/>
            <w:vAlign w:val="bottom"/>
          </w:tcPr>
          <w:p>
            <w:pPr>
              <w:spacing w:after="0"/>
              <w:rPr>
                <w:sz w:val="18"/>
                <w:szCs w:val="18"/>
                <w:color w:val="auto"/>
              </w:rPr>
            </w:pPr>
          </w:p>
        </w:tc>
        <w:tc>
          <w:tcPr>
            <w:tcW w:w="3180" w:type="dxa"/>
            <w:vAlign w:val="bottom"/>
            <w:gridSpan w:val="10"/>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1"/>
        </w:trPr>
        <w:tc>
          <w:tcPr>
            <w:tcW w:w="44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2026</w:t>
            </w:r>
          </w:p>
        </w:tc>
        <w:tc>
          <w:tcPr>
            <w:tcW w:w="56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2025</w:t>
            </w:r>
          </w:p>
        </w:tc>
        <w:tc>
          <w:tcPr>
            <w:tcW w:w="560" w:type="dxa"/>
            <w:vAlign w:val="bottom"/>
            <w:tcBorders>
              <w:top w:val="single" w:sz="8" w:color="auto"/>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2026</w:t>
            </w:r>
          </w:p>
        </w:tc>
        <w:tc>
          <w:tcPr>
            <w:tcW w:w="56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2025</w:t>
            </w:r>
          </w:p>
        </w:tc>
        <w:tc>
          <w:tcPr>
            <w:tcW w:w="560" w:type="dxa"/>
            <w:vAlign w:val="bottom"/>
            <w:tcBorders>
              <w:top w:val="single" w:sz="8" w:color="auto"/>
              <w:bottom w:val="single" w:sz="8" w:color="auto"/>
            </w:tcBorders>
          </w:tcPr>
          <w:p>
            <w:pPr>
              <w:spacing w:after="0"/>
              <w:rPr>
                <w:sz w:val="18"/>
                <w:szCs w:val="18"/>
                <w:color w:val="auto"/>
              </w:rPr>
            </w:pPr>
          </w:p>
        </w:tc>
      </w:tr>
      <w:tr>
        <w:trPr>
          <w:trHeight w:val="211"/>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EBITDA</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451.0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8.8 %</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9.1 %</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1,072.3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8.0 %</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785.7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7.6 %</w:t>
            </w:r>
          </w:p>
        </w:tc>
      </w:tr>
      <w:tr>
        <w:trPr>
          <w:trHeight w:val="216"/>
        </w:trPr>
        <w:tc>
          <w:tcPr>
            <w:tcW w:w="4480" w:type="dxa"/>
            <w:vAlign w:val="bottom"/>
          </w:tcPr>
          <w:p>
            <w:pPr>
              <w:ind w:left="140"/>
              <w:spacing w:after="0" w:line="216" w:lineRule="exact"/>
              <w:rPr>
                <w:sz w:val="20"/>
                <w:szCs w:val="20"/>
                <w:color w:val="auto"/>
              </w:rPr>
            </w:pPr>
            <w:r>
              <w:rPr>
                <w:rFonts w:ascii="Times New Roman" w:cs="Times New Roman" w:eastAsia="Times New Roman" w:hAnsi="Times New Roman"/>
                <w:sz w:val="16"/>
                <w:szCs w:val="16"/>
                <w:color w:val="auto"/>
              </w:rPr>
              <w:t xml:space="preserve">Non-cash stock-based compensation expense </w:t>
            </w:r>
            <w:r>
              <w:rPr>
                <w:rFonts w:ascii="Times New Roman" w:cs="Times New Roman" w:eastAsia="Times New Roman" w:hAnsi="Times New Roman"/>
                <w:sz w:val="21"/>
                <w:szCs w:val="21"/>
                <w:color w:val="auto"/>
                <w:vertAlign w:val="superscript"/>
              </w:rPr>
              <w:t>(a)</w:t>
            </w: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0.2 %</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0.2 %</w:t>
            </w:r>
          </w:p>
        </w:tc>
      </w:tr>
      <w:tr>
        <w:trPr>
          <w:trHeight w:val="216"/>
        </w:trPr>
        <w:tc>
          <w:tcPr>
            <w:tcW w:w="4480" w:type="dxa"/>
            <w:vAlign w:val="bottom"/>
            <w:shd w:val="clear" w:color="auto" w:fill="CCEEFF"/>
          </w:tcPr>
          <w:p>
            <w:pPr>
              <w:ind w:left="140"/>
              <w:spacing w:after="0" w:line="216" w:lineRule="exact"/>
              <w:rPr>
                <w:sz w:val="20"/>
                <w:szCs w:val="20"/>
                <w:color w:val="auto"/>
              </w:rPr>
            </w:pPr>
            <w:r>
              <w:rPr>
                <w:rFonts w:ascii="Times New Roman" w:cs="Times New Roman" w:eastAsia="Times New Roman" w:hAnsi="Times New Roman"/>
                <w:sz w:val="16"/>
                <w:szCs w:val="16"/>
                <w:color w:val="auto"/>
              </w:rPr>
              <w:t xml:space="preserve">Changes in fair value of acquisition-related contingent items </w:t>
            </w:r>
            <w:r>
              <w:rPr>
                <w:rFonts w:ascii="Times New Roman" w:cs="Times New Roman" w:eastAsia="Times New Roman" w:hAnsi="Times New Roman"/>
                <w:sz w:val="21"/>
                <w:szCs w:val="21"/>
                <w:color w:val="auto"/>
                <w:vertAlign w:val="superscript"/>
              </w:rPr>
              <w:t>(a)</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0.1 %</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0.1 %</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0.2 %</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0.0 %</w:t>
            </w:r>
          </w:p>
        </w:tc>
      </w:tr>
      <w:tr>
        <w:trPr>
          <w:trHeight w:val="216"/>
        </w:trPr>
        <w:tc>
          <w:tcPr>
            <w:tcW w:w="4480" w:type="dxa"/>
            <w:vAlign w:val="bottom"/>
          </w:tcPr>
          <w:p>
            <w:pPr>
              <w:ind w:left="140"/>
              <w:spacing w:after="0" w:line="216" w:lineRule="exact"/>
              <w:rPr>
                <w:sz w:val="20"/>
                <w:szCs w:val="20"/>
                <w:color w:val="auto"/>
              </w:rPr>
            </w:pPr>
            <w:r>
              <w:rPr>
                <w:rFonts w:ascii="Times New Roman" w:cs="Times New Roman" w:eastAsia="Times New Roman" w:hAnsi="Times New Roman"/>
                <w:sz w:val="16"/>
                <w:szCs w:val="16"/>
                <w:color w:val="auto"/>
              </w:rPr>
              <w:t xml:space="preserve">Acquisition and integration costs </w:t>
            </w:r>
            <w:r>
              <w:rPr>
                <w:rFonts w:ascii="Times New Roman" w:cs="Times New Roman" w:eastAsia="Times New Roman" w:hAnsi="Times New Roman"/>
                <w:sz w:val="21"/>
                <w:szCs w:val="21"/>
                <w:color w:val="auto"/>
                <w:vertAlign w:val="superscript"/>
              </w:rPr>
              <w:t>(a)</w:t>
            </w: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3"/>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0.0 %</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3"/>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216"/>
        </w:trPr>
        <w:tc>
          <w:tcPr>
            <w:tcW w:w="4480" w:type="dxa"/>
            <w:vAlign w:val="bottom"/>
            <w:shd w:val="clear" w:color="auto" w:fill="CCEEFF"/>
          </w:tcPr>
          <w:p>
            <w:pPr>
              <w:ind w:left="140"/>
              <w:spacing w:after="0" w:line="216" w:lineRule="exact"/>
              <w:rPr>
                <w:sz w:val="20"/>
                <w:szCs w:val="20"/>
                <w:color w:val="auto"/>
              </w:rPr>
            </w:pPr>
            <w:r>
              <w:rPr>
                <w:rFonts w:ascii="Times New Roman" w:cs="Times New Roman" w:eastAsia="Times New Roman" w:hAnsi="Times New Roman"/>
                <w:sz w:val="16"/>
                <w:szCs w:val="16"/>
                <w:color w:val="auto"/>
              </w:rPr>
              <w:t xml:space="preserve">Impairments of equity method investments </w:t>
            </w:r>
            <w:r>
              <w:rPr>
                <w:rFonts w:ascii="Times New Roman" w:cs="Times New Roman" w:eastAsia="Times New Roman" w:hAnsi="Times New Roman"/>
                <w:sz w:val="21"/>
                <w:szCs w:val="21"/>
                <w:color w:val="auto"/>
                <w:vertAlign w:val="superscript"/>
              </w:rPr>
              <w:t>(a)</w:t>
            </w:r>
          </w:p>
        </w:tc>
        <w:tc>
          <w:tcPr>
            <w:tcW w:w="2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 %</w:t>
            </w:r>
          </w:p>
        </w:tc>
        <w:tc>
          <w:tcPr>
            <w:tcW w:w="2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0.1 %</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216"/>
        </w:trPr>
        <w:tc>
          <w:tcPr>
            <w:tcW w:w="4480" w:type="dxa"/>
            <w:vAlign w:val="bottom"/>
          </w:tcPr>
          <w:p>
            <w:pPr>
              <w:ind w:left="140"/>
              <w:spacing w:after="0" w:line="216" w:lineRule="exact"/>
              <w:rPr>
                <w:sz w:val="20"/>
                <w:szCs w:val="20"/>
                <w:color w:val="auto"/>
              </w:rPr>
            </w:pPr>
            <w:r>
              <w:rPr>
                <w:rFonts w:ascii="Times New Roman" w:cs="Times New Roman" w:eastAsia="Times New Roman" w:hAnsi="Times New Roman"/>
                <w:sz w:val="16"/>
                <w:szCs w:val="16"/>
                <w:color w:val="auto"/>
              </w:rPr>
              <w:t xml:space="preserve">Loss on extinguishment of debt </w:t>
            </w:r>
            <w:r>
              <w:rPr>
                <w:rFonts w:ascii="Times New Roman" w:cs="Times New Roman" w:eastAsia="Times New Roman" w:hAnsi="Times New Roman"/>
                <w:sz w:val="21"/>
                <w:szCs w:val="21"/>
                <w:color w:val="auto"/>
                <w:vertAlign w:val="superscript"/>
              </w:rPr>
              <w:t>(a)</w:t>
            </w: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3"/>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0.0 %</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3"/>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216"/>
        </w:trPr>
        <w:tc>
          <w:tcPr>
            <w:tcW w:w="4480" w:type="dxa"/>
            <w:vAlign w:val="bottom"/>
            <w:shd w:val="clear" w:color="auto" w:fill="CCEEFF"/>
          </w:tcPr>
          <w:p>
            <w:pPr>
              <w:ind w:left="140"/>
              <w:spacing w:after="0" w:line="216" w:lineRule="exact"/>
              <w:rPr>
                <w:sz w:val="20"/>
                <w:szCs w:val="20"/>
                <w:color w:val="auto"/>
              </w:rPr>
            </w:pPr>
            <w:r>
              <w:rPr>
                <w:rFonts w:ascii="Times New Roman" w:cs="Times New Roman" w:eastAsia="Times New Roman" w:hAnsi="Times New Roman"/>
                <w:sz w:val="16"/>
                <w:szCs w:val="16"/>
                <w:color w:val="auto"/>
              </w:rPr>
              <w:t xml:space="preserve">Restructuring charges </w:t>
            </w:r>
            <w:r>
              <w:rPr>
                <w:rFonts w:ascii="Times New Roman" w:cs="Times New Roman" w:eastAsia="Times New Roman" w:hAnsi="Times New Roman"/>
                <w:sz w:val="21"/>
                <w:szCs w:val="21"/>
                <w:color w:val="auto"/>
                <w:vertAlign w:val="superscript"/>
              </w:rPr>
              <w:t>(a)</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0.1 %</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0.1 %</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207"/>
        </w:trPr>
        <w:tc>
          <w:tcPr>
            <w:tcW w:w="4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Adjusted EBITDA</w:t>
            </w: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486.4</w:t>
            </w:r>
          </w:p>
        </w:tc>
        <w:tc>
          <w:tcPr>
            <w:tcW w:w="10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9.4 %</w:t>
            </w:r>
          </w:p>
        </w:tc>
        <w:tc>
          <w:tcPr>
            <w:tcW w:w="12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373.5</w:t>
            </w:r>
          </w:p>
        </w:tc>
        <w:tc>
          <w:tcPr>
            <w:tcW w:w="12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9.4 %</w:t>
            </w:r>
          </w:p>
        </w:tc>
        <w:tc>
          <w:tcPr>
            <w:tcW w:w="10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1,154.3</w:t>
            </w:r>
          </w:p>
        </w:tc>
        <w:tc>
          <w:tcPr>
            <w:tcW w:w="10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8.6 %</w:t>
            </w:r>
          </w:p>
        </w:tc>
        <w:tc>
          <w:tcPr>
            <w:tcW w:w="12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811.9</w:t>
            </w:r>
          </w:p>
        </w:tc>
        <w:tc>
          <w:tcPr>
            <w:tcW w:w="12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7.8 %</w:t>
            </w:r>
          </w:p>
        </w:tc>
      </w:tr>
      <w:tr>
        <w:trPr>
          <w:trHeight w:val="199"/>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Segment:</w:t>
            </w: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r>
      <w:tr>
        <w:trPr>
          <w:trHeight w:val="213"/>
        </w:trPr>
        <w:tc>
          <w:tcPr>
            <w:tcW w:w="44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Communications</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7.6 %</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11.3 %</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7.2 %</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9.6 %</w:t>
            </w:r>
          </w:p>
        </w:tc>
      </w:tr>
      <w:tr>
        <w:trPr>
          <w:trHeight w:val="219"/>
        </w:trPr>
        <w:tc>
          <w:tcPr>
            <w:tcW w:w="4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Clean Energy and Infrastructure</w:t>
            </w:r>
          </w:p>
        </w:tc>
        <w:tc>
          <w:tcPr>
            <w:tcW w:w="2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7.7 %</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7.5 %</w:t>
            </w:r>
          </w:p>
        </w:tc>
      </w:tr>
      <w:tr>
        <w:trPr>
          <w:trHeight w:val="213"/>
        </w:trPr>
        <w:tc>
          <w:tcPr>
            <w:tcW w:w="44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Power Delivery</w:t>
            </w: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426.5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10.3 %</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8.1 %</w:t>
            </w:r>
          </w:p>
        </w:tc>
      </w:tr>
      <w:tr>
        <w:trPr>
          <w:trHeight w:val="219"/>
        </w:trPr>
        <w:tc>
          <w:tcPr>
            <w:tcW w:w="4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Pipeline Infrastructure</w:t>
            </w:r>
          </w:p>
        </w:tc>
        <w:tc>
          <w:tcPr>
            <w:tcW w:w="2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16.5 %</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13.3 %</w:t>
            </w:r>
          </w:p>
        </w:tc>
      </w:tr>
      <w:tr>
        <w:trPr>
          <w:trHeight w:val="213"/>
        </w:trPr>
        <w:tc>
          <w:tcPr>
            <w:tcW w:w="44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NM</w:t>
            </w: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NM</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NM</w:t>
            </w: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NM</w:t>
            </w:r>
          </w:p>
        </w:tc>
      </w:tr>
      <w:tr>
        <w:trPr>
          <w:trHeight w:val="219"/>
        </w:trPr>
        <w:tc>
          <w:tcPr>
            <w:tcW w:w="4480" w:type="dxa"/>
            <w:vAlign w:val="bottom"/>
            <w:shd w:val="clear" w:color="auto" w:fill="CCEEFF"/>
          </w:tcPr>
          <w:p>
            <w:pPr>
              <w:ind w:left="140"/>
              <w:spacing w:after="0" w:line="219" w:lineRule="exact"/>
              <w:rPr>
                <w:sz w:val="20"/>
                <w:szCs w:val="20"/>
                <w:color w:val="auto"/>
              </w:rPr>
            </w:pPr>
            <w:r>
              <w:rPr>
                <w:rFonts w:ascii="Times New Roman" w:cs="Times New Roman" w:eastAsia="Times New Roman" w:hAnsi="Times New Roman"/>
                <w:sz w:val="16"/>
                <w:szCs w:val="16"/>
                <w:color w:val="auto"/>
              </w:rPr>
              <w:t xml:space="preserve">Eliminations </w:t>
            </w:r>
            <w:r>
              <w:rPr>
                <w:rFonts w:ascii="Times New Roman" w:cs="Times New Roman" w:eastAsia="Times New Roman" w:hAnsi="Times New Roman"/>
                <w:sz w:val="21"/>
                <w:szCs w:val="21"/>
                <w:color w:val="auto"/>
                <w:vertAlign w:val="superscript"/>
              </w:rPr>
              <w:t>(b)</w:t>
            </w:r>
          </w:p>
        </w:tc>
        <w:tc>
          <w:tcPr>
            <w:tcW w:w="2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NM</w:t>
            </w:r>
          </w:p>
        </w:tc>
        <w:tc>
          <w:tcPr>
            <w:tcW w:w="200" w:type="dxa"/>
            <w:vAlign w:val="bottom"/>
            <w:shd w:val="clear" w:color="auto" w:fill="CCEEFF"/>
          </w:tcPr>
          <w:p>
            <w:pPr>
              <w:spacing w:after="0"/>
              <w:rPr>
                <w:sz w:val="19"/>
                <w:szCs w:val="19"/>
                <w:color w:val="auto"/>
              </w:rPr>
            </w:pPr>
          </w:p>
        </w:tc>
        <w:tc>
          <w:tcPr>
            <w:tcW w:w="84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NM</w:t>
            </w: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NM</w:t>
            </w:r>
          </w:p>
        </w:tc>
        <w:tc>
          <w:tcPr>
            <w:tcW w:w="180" w:type="dxa"/>
            <w:vAlign w:val="bottom"/>
            <w:shd w:val="clear" w:color="auto" w:fill="CCEEFF"/>
          </w:tcPr>
          <w:p>
            <w:pPr>
              <w:spacing w:after="0"/>
              <w:rPr>
                <w:sz w:val="19"/>
                <w:szCs w:val="19"/>
                <w:color w:val="auto"/>
              </w:rPr>
            </w:pPr>
          </w:p>
        </w:tc>
        <w:tc>
          <w:tcPr>
            <w:tcW w:w="86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NM</w:t>
            </w:r>
          </w:p>
        </w:tc>
      </w:tr>
      <w:tr>
        <w:trPr>
          <w:trHeight w:val="207"/>
        </w:trPr>
        <w:tc>
          <w:tcPr>
            <w:tcW w:w="4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Segment Total</w:t>
            </w:r>
          </w:p>
        </w:tc>
        <w:tc>
          <w:tcPr>
            <w:tcW w:w="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539.6</w:t>
            </w: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10.5 %</w:t>
            </w:r>
          </w:p>
        </w:tc>
        <w:tc>
          <w:tcPr>
            <w:tcW w:w="120" w:type="dxa"/>
            <w:vAlign w:val="bottom"/>
          </w:tcPr>
          <w:p>
            <w:pPr>
              <w:spacing w:after="0"/>
              <w:rPr>
                <w:sz w:val="17"/>
                <w:szCs w:val="17"/>
                <w:color w:val="auto"/>
              </w:rPr>
            </w:pPr>
          </w:p>
        </w:tc>
        <w:tc>
          <w:tcPr>
            <w:tcW w:w="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421.8</w:t>
            </w: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10.6 %</w:t>
            </w:r>
          </w:p>
        </w:tc>
        <w:tc>
          <w:tcPr>
            <w:tcW w:w="100" w:type="dxa"/>
            <w:vAlign w:val="bottom"/>
          </w:tcPr>
          <w:p>
            <w:pPr>
              <w:spacing w:after="0"/>
              <w:rPr>
                <w:sz w:val="17"/>
                <w:szCs w:val="17"/>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1,326.7</w:t>
            </w: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9.9 %</w:t>
            </w:r>
          </w:p>
        </w:tc>
        <w:tc>
          <w:tcPr>
            <w:tcW w:w="120" w:type="dxa"/>
            <w:vAlign w:val="bottom"/>
          </w:tcPr>
          <w:p>
            <w:pPr>
              <w:spacing w:after="0"/>
              <w:rPr>
                <w:sz w:val="17"/>
                <w:szCs w:val="17"/>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956.1</w:t>
            </w: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9.2 %</w:t>
            </w:r>
          </w:p>
        </w:tc>
      </w:tr>
      <w:tr>
        <w:trPr>
          <w:trHeight w:val="219"/>
        </w:trPr>
        <w:tc>
          <w:tcPr>
            <w:tcW w:w="4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Corporate</w:t>
            </w:r>
          </w:p>
        </w:tc>
        <w:tc>
          <w:tcPr>
            <w:tcW w:w="2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4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EBITDA</w:t>
            </w: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486.4</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9.4 %</w:t>
            </w:r>
          </w:p>
        </w:tc>
        <w:tc>
          <w:tcPr>
            <w:tcW w:w="12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373.5</w:t>
            </w:r>
          </w:p>
        </w:tc>
        <w:tc>
          <w:tcPr>
            <w:tcW w:w="12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9.4 %</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1,154.3</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8.6 %</w:t>
            </w:r>
          </w:p>
        </w:tc>
        <w:tc>
          <w:tcPr>
            <w:tcW w:w="12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811.9</w:t>
            </w:r>
          </w:p>
        </w:tc>
        <w:tc>
          <w:tcPr>
            <w:tcW w:w="12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7.8 %</w:t>
            </w: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NM - Percentage is not meaningful</w:t>
      </w:r>
    </w:p>
    <w:p>
      <w:pPr>
        <w:spacing w:after="0" w:line="42" w:lineRule="exact"/>
        <w:rPr>
          <w:sz w:val="20"/>
          <w:szCs w:val="20"/>
          <w:color w:val="auto"/>
        </w:rPr>
      </w:pPr>
    </w:p>
    <w:p>
      <w:pPr>
        <w:jc w:val="both"/>
        <w:ind w:left="340" w:hanging="332"/>
        <w:spacing w:after="0" w:line="275" w:lineRule="auto"/>
        <w:tabs>
          <w:tab w:leader="none" w:pos="328"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Non-cash stock-based compensation expense, changes in fair value of acquisition-related contingent items, acquisition and integration costs, and loss on extinguishment of debt are included within Corporate, while impairments of equity method investments are included within the Other segment EBITDA and restructuring charges are included within the Communications segment EBITDA.</w:t>
      </w:r>
    </w:p>
    <w:p>
      <w:pPr>
        <w:ind w:left="320" w:hanging="312"/>
        <w:spacing w:after="0"/>
        <w:tabs>
          <w:tab w:leader="none" w:pos="3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intersegment eliminations and adjustments related to transactions entered into in the normal course of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38" w:name="page39"/>
    <w:bookmarkEnd w:id="38"/>
    <w:p>
      <w:pPr>
        <w:ind w:firstLine="648"/>
        <w:spacing w:after="0" w:line="260" w:lineRule="auto"/>
        <w:rPr>
          <w:sz w:val="20"/>
          <w:szCs w:val="20"/>
          <w:color w:val="auto"/>
        </w:rPr>
      </w:pPr>
      <w:r>
        <w:rPr>
          <w:rFonts w:ascii="Times New Roman" w:cs="Times New Roman" w:eastAsia="Times New Roman" w:hAnsi="Times New Roman"/>
          <w:sz w:val="16"/>
          <w:szCs w:val="16"/>
          <w:color w:val="auto"/>
        </w:rPr>
        <w:t>The tables below (dollar amounts in millions, except per share amounts), which may contain slight summation differences due to rounding, reconcile reported net income and reported diluted earnings per share, the most directly comparable U.S. GAAP financial measures, to Adjusted Net Income, Adjusted Net Income Attributable to</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640" w:type="dxa"/>
            <w:vAlign w:val="bottom"/>
          </w:tcPr>
          <w:p>
            <w:pPr>
              <w:spacing w:after="0"/>
              <w:rPr>
                <w:sz w:val="20"/>
                <w:szCs w:val="20"/>
                <w:color w:val="auto"/>
              </w:rPr>
            </w:pPr>
            <w:r>
              <w:rPr>
                <w:rFonts w:ascii="Times New Roman" w:cs="Times New Roman" w:eastAsia="Times New Roman" w:hAnsi="Times New Roman"/>
                <w:sz w:val="16"/>
                <w:szCs w:val="16"/>
                <w:color w:val="auto"/>
              </w:rPr>
              <w:t>MasTec, Inc. and Adjusted Diluted Earnings Per Share.</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82"/>
        </w:trPr>
        <w:tc>
          <w:tcPr>
            <w:tcW w:w="6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20" w:type="dxa"/>
            <w:vAlign w:val="bottom"/>
            <w:gridSpan w:val="5"/>
          </w:tcPr>
          <w:p>
            <w:pPr>
              <w:ind w:left="1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40" w:type="dxa"/>
            <w:vAlign w:val="bottom"/>
          </w:tcPr>
          <w:p>
            <w:pPr>
              <w:spacing w:after="0"/>
              <w:rPr>
                <w:sz w:val="24"/>
                <w:szCs w:val="24"/>
                <w:color w:val="auto"/>
              </w:rPr>
            </w:pPr>
          </w:p>
        </w:tc>
        <w:tc>
          <w:tcPr>
            <w:tcW w:w="2000" w:type="dxa"/>
            <w:vAlign w:val="bottom"/>
            <w:gridSpan w:val="4"/>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4"/>
        </w:trPr>
        <w:tc>
          <w:tcPr>
            <w:tcW w:w="6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20" w:type="dxa"/>
            <w:vAlign w:val="bottom"/>
            <w:gridSpan w:val="5"/>
          </w:tcPr>
          <w:p>
            <w:pPr>
              <w:ind w:left="40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40" w:type="dxa"/>
            <w:vAlign w:val="bottom"/>
          </w:tcPr>
          <w:p>
            <w:pPr>
              <w:spacing w:after="0"/>
              <w:rPr>
                <w:sz w:val="18"/>
                <w:szCs w:val="18"/>
                <w:color w:val="auto"/>
              </w:rPr>
            </w:pPr>
          </w:p>
        </w:tc>
        <w:tc>
          <w:tcPr>
            <w:tcW w:w="2000" w:type="dxa"/>
            <w:vAlign w:val="bottom"/>
            <w:gridSpan w:val="4"/>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09"/>
        </w:trPr>
        <w:tc>
          <w:tcPr>
            <w:tcW w:w="664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Borders>
              <w:top w:val="single" w:sz="8" w:color="auto"/>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11"/>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269.0</w:t>
            </w:r>
          </w:p>
        </w:tc>
      </w:tr>
      <w:tr>
        <w:trPr>
          <w:trHeight w:val="213"/>
        </w:trPr>
        <w:tc>
          <w:tcPr>
            <w:tcW w:w="6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Adjustments:</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9"/>
        </w:trPr>
        <w:tc>
          <w:tcPr>
            <w:tcW w:w="6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98.0</w:t>
            </w:r>
          </w:p>
        </w:tc>
      </w:tr>
      <w:tr>
        <w:trPr>
          <w:trHeight w:val="213"/>
        </w:trPr>
        <w:tc>
          <w:tcPr>
            <w:tcW w:w="6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Non-cash stock-based compensation expense</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w:t>
            </w:r>
          </w:p>
        </w:tc>
      </w:tr>
      <w:tr>
        <w:trPr>
          <w:trHeight w:val="219"/>
        </w:trPr>
        <w:tc>
          <w:tcPr>
            <w:tcW w:w="6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Changes in fair value of acquisition-related contingent items</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w:t>
            </w:r>
          </w:p>
        </w:tc>
      </w:tr>
      <w:tr>
        <w:trPr>
          <w:trHeight w:val="213"/>
        </w:trPr>
        <w:tc>
          <w:tcPr>
            <w:tcW w:w="6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Acquisition and integration costs</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6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Impairments of equity method investments</w:t>
            </w:r>
          </w:p>
        </w:tc>
        <w:tc>
          <w:tcPr>
            <w:tcW w:w="2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6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Loss on extinguishment of debt</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6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Restructuring charges</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6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adjustments, pre-tax</w:t>
            </w:r>
          </w:p>
        </w:tc>
        <w:tc>
          <w:tcPr>
            <w:tcW w:w="24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110.7</w:t>
            </w:r>
          </w:p>
        </w:tc>
        <w:tc>
          <w:tcPr>
            <w:tcW w:w="100" w:type="dxa"/>
            <w:vAlign w:val="bottom"/>
          </w:tcPr>
          <w:p>
            <w:pPr>
              <w:spacing w:after="0"/>
              <w:rPr>
                <w:sz w:val="17"/>
                <w:szCs w:val="17"/>
                <w:color w:val="auto"/>
              </w:rPr>
            </w:pPr>
          </w:p>
        </w:tc>
        <w:tc>
          <w:tcPr>
            <w:tcW w:w="24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44.6</w:t>
            </w:r>
          </w:p>
        </w:tc>
        <w:tc>
          <w:tcPr>
            <w:tcW w:w="100" w:type="dxa"/>
            <w:vAlign w:val="bottom"/>
          </w:tcPr>
          <w:p>
            <w:pPr>
              <w:spacing w:after="0"/>
              <w:rPr>
                <w:sz w:val="17"/>
                <w:szCs w:val="17"/>
                <w:color w:val="auto"/>
              </w:rPr>
            </w:pPr>
          </w:p>
        </w:tc>
        <w:tc>
          <w:tcPr>
            <w:tcW w:w="24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233.4</w:t>
            </w:r>
          </w:p>
        </w:tc>
        <w:tc>
          <w:tcPr>
            <w:tcW w:w="120" w:type="dxa"/>
            <w:vAlign w:val="bottom"/>
          </w:tcPr>
          <w:p>
            <w:pPr>
              <w:spacing w:after="0"/>
              <w:rPr>
                <w:sz w:val="17"/>
                <w:szCs w:val="17"/>
                <w:color w:val="auto"/>
              </w:rPr>
            </w:pPr>
          </w:p>
        </w:tc>
        <w:tc>
          <w:tcPr>
            <w:tcW w:w="2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124.2</w:t>
            </w:r>
          </w:p>
        </w:tc>
      </w:tr>
      <w:tr>
        <w:trPr>
          <w:trHeight w:val="259"/>
        </w:trPr>
        <w:tc>
          <w:tcPr>
            <w:tcW w:w="6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 xml:space="preserve">Income tax effect of adjustments </w:t>
            </w:r>
            <w:r>
              <w:rPr>
                <w:rFonts w:ascii="Times New Roman" w:cs="Times New Roman" w:eastAsia="Times New Roman" w:hAnsi="Times New Roman"/>
                <w:sz w:val="21"/>
                <w:szCs w:val="21"/>
                <w:color w:val="auto"/>
                <w:vertAlign w:val="superscript"/>
              </w:rPr>
              <w:t>(a)</w:t>
            </w:r>
          </w:p>
        </w:tc>
        <w:tc>
          <w:tcPr>
            <w:tcW w:w="24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(54.6)</w:t>
            </w:r>
          </w:p>
        </w:tc>
        <w:tc>
          <w:tcPr>
            <w:tcW w:w="12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w:t>
            </w:r>
          </w:p>
        </w:tc>
      </w:tr>
      <w:tr>
        <w:trPr>
          <w:trHeight w:val="207"/>
        </w:trPr>
        <w:tc>
          <w:tcPr>
            <w:tcW w:w="6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net income</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253.2</w:t>
            </w:r>
          </w:p>
        </w:tc>
        <w:tc>
          <w:tcPr>
            <w:tcW w:w="100" w:type="dxa"/>
            <w:vAlign w:val="bottom"/>
          </w:tcPr>
          <w:p>
            <w:pPr>
              <w:spacing w:after="0"/>
              <w:rPr>
                <w:sz w:val="17"/>
                <w:szCs w:val="17"/>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200.9</w:t>
            </w:r>
          </w:p>
        </w:tc>
        <w:tc>
          <w:tcPr>
            <w:tcW w:w="100" w:type="dxa"/>
            <w:vAlign w:val="bottom"/>
          </w:tcPr>
          <w:p>
            <w:pPr>
              <w:spacing w:after="0"/>
              <w:rPr>
                <w:sz w:val="17"/>
                <w:szCs w:val="17"/>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561.9</w:t>
            </w:r>
          </w:p>
        </w:tc>
        <w:tc>
          <w:tcPr>
            <w:tcW w:w="120" w:type="dxa"/>
            <w:vAlign w:val="bottom"/>
          </w:tcPr>
          <w:p>
            <w:pPr>
              <w:spacing w:after="0"/>
              <w:rPr>
                <w:sz w:val="17"/>
                <w:szCs w:val="17"/>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364.8</w:t>
            </w:r>
          </w:p>
        </w:tc>
      </w:tr>
      <w:tr>
        <w:trPr>
          <w:trHeight w:val="219"/>
        </w:trPr>
        <w:tc>
          <w:tcPr>
            <w:tcW w:w="6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income attributable to non-controlling interests</w:t>
            </w: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w:t>
            </w:r>
          </w:p>
        </w:tc>
      </w:tr>
      <w:tr>
        <w:trPr>
          <w:trHeight w:val="207"/>
        </w:trPr>
        <w:tc>
          <w:tcPr>
            <w:tcW w:w="6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net income attributable to MasTec, Inc.</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236.1</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195.1</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520.3</w:t>
            </w:r>
          </w:p>
        </w:tc>
        <w:tc>
          <w:tcPr>
            <w:tcW w:w="120" w:type="dxa"/>
            <w:vAlign w:val="bottom"/>
          </w:tcPr>
          <w:p>
            <w:pPr>
              <w:spacing w:after="0"/>
              <w:rPr>
                <w:sz w:val="17"/>
                <w:szCs w:val="17"/>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352.1</w:t>
            </w:r>
          </w:p>
        </w:tc>
      </w:tr>
      <w:tr>
        <w:trPr>
          <w:trHeight w:val="496"/>
        </w:trPr>
        <w:tc>
          <w:tcPr>
            <w:tcW w:w="6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20" w:type="dxa"/>
            <w:vAlign w:val="bottom"/>
            <w:gridSpan w:val="5"/>
          </w:tcPr>
          <w:p>
            <w:pPr>
              <w:ind w:left="1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40" w:type="dxa"/>
            <w:vAlign w:val="bottom"/>
          </w:tcPr>
          <w:p>
            <w:pPr>
              <w:spacing w:after="0"/>
              <w:rPr>
                <w:sz w:val="24"/>
                <w:szCs w:val="24"/>
                <w:color w:val="auto"/>
              </w:rPr>
            </w:pPr>
          </w:p>
        </w:tc>
        <w:tc>
          <w:tcPr>
            <w:tcW w:w="2000" w:type="dxa"/>
            <w:vAlign w:val="bottom"/>
            <w:gridSpan w:val="4"/>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4"/>
        </w:trPr>
        <w:tc>
          <w:tcPr>
            <w:tcW w:w="6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20" w:type="dxa"/>
            <w:vAlign w:val="bottom"/>
            <w:gridSpan w:val="5"/>
          </w:tcPr>
          <w:p>
            <w:pPr>
              <w:ind w:left="40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40" w:type="dxa"/>
            <w:vAlign w:val="bottom"/>
          </w:tcPr>
          <w:p>
            <w:pPr>
              <w:spacing w:after="0"/>
              <w:rPr>
                <w:sz w:val="18"/>
                <w:szCs w:val="18"/>
                <w:color w:val="auto"/>
              </w:rPr>
            </w:pPr>
          </w:p>
        </w:tc>
        <w:tc>
          <w:tcPr>
            <w:tcW w:w="2000" w:type="dxa"/>
            <w:vAlign w:val="bottom"/>
            <w:gridSpan w:val="4"/>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09"/>
        </w:trPr>
        <w:tc>
          <w:tcPr>
            <w:tcW w:w="664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Borders>
              <w:top w:val="single" w:sz="8" w:color="auto"/>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11"/>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Diluted earnings per share</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w:t>
            </w:r>
          </w:p>
        </w:tc>
      </w:tr>
      <w:tr>
        <w:trPr>
          <w:trHeight w:val="213"/>
        </w:trPr>
        <w:tc>
          <w:tcPr>
            <w:tcW w:w="6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Adjustments:</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9"/>
        </w:trPr>
        <w:tc>
          <w:tcPr>
            <w:tcW w:w="6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w:t>
            </w:r>
          </w:p>
        </w:tc>
      </w:tr>
      <w:tr>
        <w:trPr>
          <w:trHeight w:val="213"/>
        </w:trPr>
        <w:tc>
          <w:tcPr>
            <w:tcW w:w="6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Non-cash stock-based compensation expense</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0.33</w:t>
            </w:r>
          </w:p>
        </w:tc>
      </w:tr>
      <w:tr>
        <w:trPr>
          <w:trHeight w:val="219"/>
        </w:trPr>
        <w:tc>
          <w:tcPr>
            <w:tcW w:w="6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Changes in fair value of acquisition-related contingent items</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0.01</w:t>
            </w:r>
          </w:p>
        </w:tc>
      </w:tr>
      <w:tr>
        <w:trPr>
          <w:trHeight w:val="213"/>
        </w:trPr>
        <w:tc>
          <w:tcPr>
            <w:tcW w:w="6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Acquisition and integration costs</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6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Impairments of equity method investments</w:t>
            </w:r>
          </w:p>
        </w:tc>
        <w:tc>
          <w:tcPr>
            <w:tcW w:w="2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6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Loss on extinguishment of debt</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6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Restructuring charges</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6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adjustments, pre-tax</w:t>
            </w:r>
          </w:p>
        </w:tc>
        <w:tc>
          <w:tcPr>
            <w:tcW w:w="24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100" w:type="dxa"/>
            <w:vAlign w:val="bottom"/>
          </w:tcPr>
          <w:p>
            <w:pPr>
              <w:spacing w:after="0"/>
              <w:rPr>
                <w:sz w:val="17"/>
                <w:szCs w:val="17"/>
                <w:color w:val="auto"/>
              </w:rPr>
            </w:pPr>
          </w:p>
        </w:tc>
        <w:tc>
          <w:tcPr>
            <w:tcW w:w="24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0.57</w:t>
            </w:r>
          </w:p>
        </w:tc>
        <w:tc>
          <w:tcPr>
            <w:tcW w:w="100" w:type="dxa"/>
            <w:vAlign w:val="bottom"/>
          </w:tcPr>
          <w:p>
            <w:pPr>
              <w:spacing w:after="0"/>
              <w:rPr>
                <w:sz w:val="17"/>
                <w:szCs w:val="17"/>
                <w:color w:val="auto"/>
              </w:rPr>
            </w:pPr>
          </w:p>
        </w:tc>
        <w:tc>
          <w:tcPr>
            <w:tcW w:w="24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2.95</w:t>
            </w:r>
          </w:p>
        </w:tc>
        <w:tc>
          <w:tcPr>
            <w:tcW w:w="120" w:type="dxa"/>
            <w:vAlign w:val="bottom"/>
          </w:tcPr>
          <w:p>
            <w:pPr>
              <w:spacing w:after="0"/>
              <w:rPr>
                <w:sz w:val="17"/>
                <w:szCs w:val="17"/>
                <w:color w:val="auto"/>
              </w:rPr>
            </w:pPr>
          </w:p>
        </w:tc>
        <w:tc>
          <w:tcPr>
            <w:tcW w:w="2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w:t>
            </w:r>
          </w:p>
        </w:tc>
      </w:tr>
      <w:tr>
        <w:trPr>
          <w:trHeight w:val="259"/>
        </w:trPr>
        <w:tc>
          <w:tcPr>
            <w:tcW w:w="6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 xml:space="preserve">Income tax effect of adjustments </w:t>
            </w:r>
            <w:r>
              <w:rPr>
                <w:rFonts w:ascii="Times New Roman" w:cs="Times New Roman" w:eastAsia="Times New Roman" w:hAnsi="Times New Roman"/>
                <w:sz w:val="21"/>
                <w:szCs w:val="21"/>
                <w:color w:val="auto"/>
                <w:vertAlign w:val="superscript"/>
              </w:rPr>
              <w:t>(a)</w:t>
            </w:r>
          </w:p>
        </w:tc>
        <w:tc>
          <w:tcPr>
            <w:tcW w:w="24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(0.32)</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(0.13)</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(0.69)</w:t>
            </w:r>
          </w:p>
        </w:tc>
        <w:tc>
          <w:tcPr>
            <w:tcW w:w="12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(0.36)</w:t>
            </w:r>
          </w:p>
        </w:tc>
      </w:tr>
      <w:tr>
        <w:trPr>
          <w:trHeight w:val="207"/>
        </w:trPr>
        <w:tc>
          <w:tcPr>
            <w:tcW w:w="6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diluted earnings per share</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2.96</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2.48</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6.57</w:t>
            </w:r>
          </w:p>
        </w:tc>
        <w:tc>
          <w:tcPr>
            <w:tcW w:w="120" w:type="dxa"/>
            <w:vAlign w:val="bottom"/>
          </w:tcPr>
          <w:p>
            <w:pPr>
              <w:spacing w:after="0"/>
              <w:rPr>
                <w:sz w:val="17"/>
                <w:szCs w:val="17"/>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4.48</w:t>
            </w:r>
          </w:p>
        </w:tc>
      </w:tr>
    </w:tbl>
    <w:p>
      <w:pPr>
        <w:spacing w:after="0" w:line="112" w:lineRule="exact"/>
        <w:rPr>
          <w:sz w:val="20"/>
          <w:szCs w:val="20"/>
          <w:color w:val="auto"/>
        </w:rPr>
      </w:pPr>
    </w:p>
    <w:p>
      <w:pPr>
        <w:jc w:val="both"/>
        <w:ind w:left="340" w:hanging="332"/>
        <w:spacing w:after="0" w:line="265" w:lineRule="auto"/>
        <w:tabs>
          <w:tab w:leader="none" w:pos="337" w:val="left"/>
        </w:tabs>
        <w:numPr>
          <w:ilvl w:val="0"/>
          <w:numId w:val="15"/>
        </w:numPr>
        <w:rPr>
          <w:rFonts w:ascii="Times New Roman" w:cs="Times New Roman" w:eastAsia="Times New Roman" w:hAnsi="Times New Roman"/>
          <w:sz w:val="14"/>
          <w:szCs w:val="14"/>
          <w:color w:val="26282A"/>
        </w:rPr>
      </w:pPr>
      <w:r>
        <w:rPr>
          <w:rFonts w:ascii="Times New Roman" w:cs="Times New Roman" w:eastAsia="Times New Roman" w:hAnsi="Times New Roman"/>
          <w:sz w:val="14"/>
          <w:szCs w:val="14"/>
          <w:color w:val="auto"/>
        </w:rPr>
        <w:t>Represents the tax effects of the adjusted items that are subject to tax, including the tax effects of non-cash stock-based compensation expense, including from share-based payment awards. Tax effects are determined based on the tax treatment of the related item, the incremental statutory tax rate of the jurisdictions pertaining to the adjustment, and their effects on pre-tax income. For the three months ended September 30, 2026 and 2025, our consolidated tax amounts were expenses, with effective tax rates, as reported, of 23.8% and 21.3%, respectively, and as adjusted, were expenses, with effective tax rates of 23.5% and 21.6%, respectively. For the nine months ended September 30, 2026 and 2025, our consolidated tax amounts were expenses, with effective tax rates, as reported, of 24.2% and 21.2%, respectively, and as adjusted, were expenses, with effective tax rates of 23.9% and 21.7%, respectively. See Note 11 – Income Taxes in the notes to the consolidated financial statements, which is incorporated by reference, for additional information regarding our consolidated tax amounts and effective tax rates for the respective periods.</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Financial Condition, Liquidity and Capital Resources</w:t>
      </w:r>
    </w:p>
    <w:p>
      <w:pPr>
        <w:spacing w:after="0" w:line="115"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6"/>
          <w:szCs w:val="16"/>
          <w:color w:val="auto"/>
        </w:rPr>
        <w:t>Our primary sources of liquidity are cash flows from operations, availability under our Credit Facility and our cash balances. Our primary liquidity needs are for working capital, capital expenditures, insurance and performance collateral in the form of cash and letters of credit, debt service, income taxes, earn-out obligations and equity and other investment funding requirements. We also evaluate opportunities for strategic acquisitions, investments and other arrangements from time to time, and we may consider opportunities to refinance, extend the terms of our existing indebtedness, retire outstanding debt, borrow additional funds, which may include borrowings under our Credit Facility or debt issuances, or repurchase additional shares of our outstanding common stock under share repurchase authorizations, any of which may require our use of cash.</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39" w:name="page40"/>
    <w:bookmarkEnd w:id="39"/>
    <w:p>
      <w:pPr>
        <w:jc w:val="both"/>
        <w:ind w:firstLine="648"/>
        <w:spacing w:after="0" w:line="261" w:lineRule="auto"/>
        <w:rPr>
          <w:sz w:val="20"/>
          <w:szCs w:val="20"/>
          <w:color w:val="auto"/>
        </w:rPr>
      </w:pPr>
      <w:r>
        <w:rPr>
          <w:rFonts w:ascii="Times New Roman" w:cs="Times New Roman" w:eastAsia="Times New Roman" w:hAnsi="Times New Roman"/>
          <w:sz w:val="16"/>
          <w:szCs w:val="16"/>
          <w:b w:val="1"/>
          <w:bCs w:val="1"/>
          <w:i w:val="1"/>
          <w:iCs w:val="1"/>
          <w:color w:val="auto"/>
        </w:rPr>
        <w:t>Capital Expenditures</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For the nine months ended September 30, 2026, we spent approximately $276 million on capital expenditures, or $229 million, net of asset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disposals, and incurred approximately $213 million of equipment purchases under finance leases and other financing arrangements. We estimate that we will spend approximately $320 million on capital expenditures, or approximately $250 million, net of asset disposals, in 2026, and we expect to incur approximately $255 million of equipment purchases under finance leases and other financing arrangements. Actual capital expenditures may increase or decrease in the future depending upon business activity levels, as well as ongoing assessments of equipment leases and other financing arrangements versus purchase decisions based on management’s evaluation of short and long-term equipment requirements.</w:t>
      </w:r>
    </w:p>
    <w:p>
      <w:pPr>
        <w:spacing w:after="0" w:line="68"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6"/>
          <w:szCs w:val="16"/>
          <w:b w:val="1"/>
          <w:bCs w:val="1"/>
          <w:i w:val="1"/>
          <w:iCs w:val="1"/>
          <w:color w:val="auto"/>
        </w:rPr>
        <w:t xml:space="preserve">Acquisitions and Earn-Out Liabilities. </w:t>
      </w:r>
      <w:r>
        <w:rPr>
          <w:rFonts w:ascii="Times New Roman" w:cs="Times New Roman" w:eastAsia="Times New Roman" w:hAnsi="Times New Roman"/>
          <w:sz w:val="16"/>
          <w:szCs w:val="16"/>
          <w:color w:val="auto"/>
        </w:rPr>
        <w:t>We typically utilize cash for business acquisitions and other strategic arrangements, and for the nine months ended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September 30, 2026, we used $1.6 billion, net of cash acquired, for this purpose. In addition, in most of our acquisitions, we have agreed to make future payments to the sellers that are contingent upon the future earnings performance of the acquired businesses, which we also refer to as “Earn-out” payments. From time to time, our acquisitions may contain certain additional payments if specified conditions are met. Earn-out payments may be paid in cash or, under specific circumstances, MasTec common stock, or a combination thereof, generally at our option. The estimated total value of future Earn-out liabilities as of September 30, 2026 was approximately $259 million. Of this amount, approximately $18 million represents the liability for earned amounts. The remainder is management’s estimate of Earn-out liabilities that are contingent upon future performance. For the nine months ended September 30, 2026 and 2025, payments related to our Earn-out liabilities totaled $21 million and $25 million, respectively.</w:t>
      </w:r>
    </w:p>
    <w:p>
      <w:pPr>
        <w:spacing w:after="0" w:line="265" w:lineRule="exact"/>
        <w:rPr>
          <w:sz w:val="20"/>
          <w:szCs w:val="20"/>
          <w:color w:val="auto"/>
        </w:rPr>
      </w:pPr>
    </w:p>
    <w:p>
      <w:pPr>
        <w:jc w:val="both"/>
        <w:ind w:firstLine="648"/>
        <w:spacing w:after="0" w:line="303" w:lineRule="auto"/>
        <w:rPr>
          <w:sz w:val="20"/>
          <w:szCs w:val="20"/>
          <w:color w:val="auto"/>
        </w:rPr>
      </w:pPr>
      <w:r>
        <w:rPr>
          <w:rFonts w:ascii="Times New Roman" w:cs="Times New Roman" w:eastAsia="Times New Roman" w:hAnsi="Times New Roman"/>
          <w:sz w:val="16"/>
          <w:szCs w:val="16"/>
          <w:b w:val="1"/>
          <w:bCs w:val="1"/>
          <w:i w:val="1"/>
          <w:iCs w:val="1"/>
          <w:color w:val="auto"/>
        </w:rPr>
        <w:t xml:space="preserve">Income Taxes. </w:t>
      </w:r>
      <w:r>
        <w:rPr>
          <w:rFonts w:ascii="Times New Roman" w:cs="Times New Roman" w:eastAsia="Times New Roman" w:hAnsi="Times New Roman"/>
          <w:sz w:val="16"/>
          <w:szCs w:val="16"/>
          <w:color w:val="auto"/>
        </w:rPr>
        <w:t>For the nine months ended September 30, 2026 and 2025, tax payments, net of tax refunds, totaled approximately $18 million and $37 million,</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respectively. Our tax payments vary with changes in taxable income and earnings based on estimates of full year taxable income activity and estimated tax rates.</w:t>
      </w:r>
    </w:p>
    <w:p>
      <w:pPr>
        <w:spacing w:after="0" w:line="35"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16"/>
          <w:szCs w:val="16"/>
          <w:b w:val="1"/>
          <w:bCs w:val="1"/>
          <w:i w:val="1"/>
          <w:iCs w:val="1"/>
          <w:color w:val="auto"/>
        </w:rPr>
        <w:t xml:space="preserve">Working Capital. </w:t>
      </w:r>
      <w:r>
        <w:rPr>
          <w:rFonts w:ascii="Times New Roman" w:cs="Times New Roman" w:eastAsia="Times New Roman" w:hAnsi="Times New Roman"/>
          <w:sz w:val="16"/>
          <w:szCs w:val="16"/>
          <w:color w:val="auto"/>
        </w:rPr>
        <w:t>We need working capital to support seasonal and other variations in our business, primarily related to the effects of weather conditions on</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outdoor construction and maintenance work and the spending patterns of our customers, both of which influence the timing of associated spending to support customer demand. Working capital needs are generally higher during the summer and fall months due to increased demand for our services when favorable weather conditions exist in many of the regions in which we operate. Conversely, working capital needs are typically converted to cash during the winter months. These seasonal trends, however, can be offset by changes in the timing of projects, which can be affected by project delays or accelerations and/or other factors that may affect customer spending.</w:t>
      </w:r>
    </w:p>
    <w:p>
      <w:pPr>
        <w:spacing w:after="0" w:line="6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6"/>
          <w:szCs w:val="16"/>
          <w:color w:val="auto"/>
        </w:rPr>
        <w:t>Working capital requirements also tend to increase when we commence multiple projects or particularly large projects because labor, including subcontractor costs, and certain other costs, including inventory and materials requirements, typically become payable before the receivables resulting from work performed are collected. The timing of billings and project close-outs can also contribute to changes in billed and unbilled revenue. As of September 30, 2026, we expect that substantially all of our unbilled receivables will be billed to customers in the normal course of business within the next twelve months. Total accounts receivable, which consists of contract billings, unbilled receivables and retainage, net of allowance, totaled approximately $5.3 billion as of September 30, 2026 as compared with $3.5 billion as of December 31, 2025, due primarily to higher levels of revenue, as well as the timing of project billings and collections. See below for discussion of our days sales outstanding, net of contract liabilities, which we refer to as days sales outstanding, or “DSO.”</w:t>
      </w:r>
    </w:p>
    <w:p>
      <w:pPr>
        <w:spacing w:after="0" w:line="7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color w:val="auto"/>
        </w:rPr>
        <w:t>Our payment billing terms are generally net 30 days, and some of our contracts allow our customers to retain a portion of the contract amount, generally from 5% to 10% of billings, until the job is completed, which amounts are referred to as “retainage.” As part of our ongoing working capital management practices, we evaluate opportunities to improve our working capital cycle time through contractual provisions and certain financing arrangements. For certain customers, we maintain inventory to meet the materials requirements of the contracts. Occasionally, certain of our customers pay us in advance for a portion of the materials we purchase for their projects or allow us to pre-bill them for the mobilization of assets and/or crew to project sites and/or for materials purchases up to specified amounts. Vendor terms are generally 30 to 60 days. Our agreements with subcontractors often contain a “pay-if-paid” provision, whereby our payments are contractually due to subcontractors only after we are paid by our customers.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6"/>
          <w:szCs w:val="16"/>
          <w:b w:val="1"/>
          <w:bCs w:val="1"/>
          <w:color w:val="auto"/>
        </w:rPr>
        <w:t>Summary of Financial Condition, Liquidity and Capital Resources</w:t>
      </w:r>
    </w:p>
    <w:p>
      <w:pPr>
        <w:spacing w:after="0" w:line="11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Including our current assessment of general economic and market conditions on our results of operations and capital resource requirements, we anticipate that funds generated from operations, borrowings under our credit facilities and our cash balances will be sufficient to meet our working capital requirements, anticipated capital expenditures, debt service obligations, insurance and performance collateral requirements, letter of credit needs, earn-out obligations, required income tax payments, as well as potential acquisition, strategic arrangement and investment funding requirements and/or share repurchase activity, including the recent acquisition of Superior, and other liquidity needs for the next twelve months and the foreseeable future.</w:t>
      </w:r>
    </w:p>
    <w:p>
      <w:pPr>
        <w:spacing w:after="0" w:line="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Sources and Uses of Cash</w:t>
      </w:r>
    </w:p>
    <w:p>
      <w:pPr>
        <w:spacing w:after="0" w:line="13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6"/>
          <w:szCs w:val="16"/>
          <w:color w:val="auto"/>
        </w:rPr>
        <w:t>As of September 30, 2026, we had approximately $1,727 million in working capital, defined as current assets less current liabilities, as compared with $1,058 million as of December 31, 2025, an increase of approximately $669 million. Cash and cash equivalents totaled approximately $482 million and $396 million as of September 30, 2026 and December 31, 2025, respectively, for an increase of $86 million. See discussion below for further details regarding our cash flows and related activity.</w:t>
      </w:r>
    </w:p>
    <w:p>
      <w:pPr>
        <w:spacing w:after="0" w:line="2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Sources and uses of cash are summarized below (in millions):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gridSpan w:val="4"/>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1"/>
        </w:trPr>
        <w:tc>
          <w:tcPr>
            <w:tcW w:w="8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11"/>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387.8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center"/>
              <w:ind w:left="539"/>
              <w:spacing w:after="0"/>
              <w:rPr>
                <w:sz w:val="20"/>
                <w:szCs w:val="20"/>
                <w:color w:val="auto"/>
              </w:rPr>
            </w:pPr>
            <w:r>
              <w:rPr>
                <w:rFonts w:ascii="Times New Roman" w:cs="Times New Roman" w:eastAsia="Times New Roman" w:hAnsi="Times New Roman"/>
                <w:sz w:val="16"/>
                <w:szCs w:val="16"/>
                <w:color w:val="auto"/>
              </w:rPr>
              <w:t>173.0</w:t>
            </w:r>
          </w:p>
        </w:tc>
      </w:tr>
      <w:tr>
        <w:trPr>
          <w:trHeight w:val="213"/>
        </w:trPr>
        <w:tc>
          <w:tcPr>
            <w:tcW w:w="8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(1,855.8)</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center"/>
              <w:ind w:left="519"/>
              <w:spacing w:after="0"/>
              <w:rPr>
                <w:sz w:val="20"/>
                <w:szCs w:val="20"/>
                <w:color w:val="auto"/>
              </w:rPr>
            </w:pPr>
            <w:r>
              <w:rPr>
                <w:rFonts w:ascii="Times New Roman" w:cs="Times New Roman" w:eastAsia="Times New Roman" w:hAnsi="Times New Roman"/>
                <w:sz w:val="16"/>
                <w:szCs w:val="16"/>
                <w:color w:val="auto"/>
              </w:rPr>
              <w:t>(155.3)</w:t>
            </w:r>
          </w:p>
        </w:tc>
      </w:tr>
      <w:tr>
        <w:trPr>
          <w:trHeight w:val="219"/>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(used in) financing activities</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1,554.2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center"/>
              <w:ind w:left="519"/>
              <w:spacing w:after="0"/>
              <w:rPr>
                <w:sz w:val="20"/>
                <w:szCs w:val="20"/>
                <w:color w:val="auto"/>
              </w:rPr>
            </w:pPr>
            <w:r>
              <w:rPr>
                <w:rFonts w:ascii="Times New Roman" w:cs="Times New Roman" w:eastAsia="Times New Roman" w:hAnsi="Times New Roman"/>
                <w:sz w:val="16"/>
                <w:szCs w:val="16"/>
                <w:color w:val="auto"/>
              </w:rPr>
              <w:t>(187.0)</w:t>
            </w:r>
          </w:p>
        </w:tc>
      </w:tr>
    </w:tbl>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b w:val="1"/>
          <w:bCs w:val="1"/>
          <w:i w:val="1"/>
          <w:iCs w:val="1"/>
          <w:color w:val="auto"/>
        </w:rPr>
        <w:t xml:space="preserve">Operating Activities. </w:t>
      </w:r>
      <w:r>
        <w:rPr>
          <w:rFonts w:ascii="Times New Roman" w:cs="Times New Roman" w:eastAsia="Times New Roman" w:hAnsi="Times New Roman"/>
          <w:sz w:val="16"/>
          <w:szCs w:val="16"/>
          <w:color w:val="auto"/>
        </w:rPr>
        <w:t>Cash flow from operations is primarily influenced by changes in the timing of demand for our services and operating margins, but can also</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be affected by working capital needs associated with the various types of services we provide. Working capital is affected by changes in total accounts receivable, net, prepaid expenses and other current assets, accounts payable and accrued expenses, and contract liabilities, all of which tend to be related. These working capital items are affected by changes in revenue resulting from the timing and volume of work performed, variability in the timing of customer billings and collections of receivables, as well as settlement of payables and other obligations. Net cash provided by operating activities was $388 million as compared to $173 million for the nine months ended September 30, 2026 and 2025, respectively, for an increase in net cash provided by operating activities of approximately $215 million. The increase was due primarily to (i) an increase in net income compared with the prior period; and (ii) changes in working capital compared with the prior period, including from the positive effect of timing-related changes in accounts payable and accrued expenses and increases in contract liabilities associated with ordinary course project starts, partially offset by the unfavorable effect of timing-related changes in accounts receivable, net, primarily driven by higher levels of revenue and an increase in DSO.</w:t>
      </w:r>
    </w:p>
    <w:p>
      <w:pPr>
        <w:spacing w:after="0" w:line="8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6"/>
          <w:szCs w:val="16"/>
          <w:color w:val="auto"/>
        </w:rPr>
        <w:t>DSO is calculated as total accounts receivable, net of allowance, less contract liabilities, divided by average daily revenue for the most recently completed quarter as of the balance sheet date. A decrease in DSO has a favorable impact on cash flow from operating activities, while an increase in DSO has a negative impact on cash flow from operating activities. Our DSO was 75 as of September 30, 2026 as compared with DSO of 65 as of December 31, 2025. Our DSOs can fluctuate from period to period due to timing of billings, billing terms, collections and settlements, timing of project close-outs and retainage collections, changes in project and customer mix and, to a lesser extent, the effect of working capital initiatives, including certain accounts receivable financing arrangements. The increase in DSO as of September 30, 2026 as compared with December 31, 2025 was due to timing of ordinary course billing and collection activities. Other than certain ordinary course matters subject to litigation, we do not anticipate material collection issues related to our outstanding accounts receivable balances, nor do we believe that we have material amounts due from customers experiencing financial difficulties. Based on current information, we expect to collect substantially all of our outstanding accounts receivable balances within the next twelve months.</w:t>
      </w:r>
    </w:p>
    <w:p>
      <w:pPr>
        <w:spacing w:after="0" w:line="269"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6"/>
          <w:szCs w:val="16"/>
          <w:b w:val="1"/>
          <w:bCs w:val="1"/>
          <w:i w:val="1"/>
          <w:iCs w:val="1"/>
          <w:color w:val="auto"/>
        </w:rPr>
        <w:t xml:space="preserve">Investing Activities. </w:t>
      </w:r>
      <w:r>
        <w:rPr>
          <w:rFonts w:ascii="Times New Roman" w:cs="Times New Roman" w:eastAsia="Times New Roman" w:hAnsi="Times New Roman"/>
          <w:sz w:val="16"/>
          <w:szCs w:val="16"/>
          <w:color w:val="auto"/>
        </w:rPr>
        <w:t>Net cash used in investing activities was $1,856 million as compared to $155 million for the nine months ended September 30, 2026 and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2025, respectively, for an increase of $1,701 million. We paid $1,634 million in cash, net of cash acquired, related to acquisition activity during the nine months ended September 30, 2026, as compared to $24 million for the same period in 2025, for an increase of $1,610 million. These acquisitions were funded with a combination of cash on hand, borrowings under our senior unsecured credit facility, and our 2026 Term Loan Facility. Capital expenditures totaled $276 million, or $229 million net of asset disposals, for the nine months ended September 30, 2026, as compared with $180 million, or $137 million net of asset disposals, for the same period in 2025, for an increase in cash used in investing activities of approximately $92 million, primarily to support operational growth and the replacement of older machinery and equipment. Proceeds from other investments of approximately $17 million for the nine months ended September 30, 2026 related to cash proceeds from the sale of our 15% equity interest in one of our investments.</w:t>
      </w:r>
    </w:p>
    <w:p>
      <w:pPr>
        <w:spacing w:after="0" w:line="8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6"/>
          <w:szCs w:val="16"/>
          <w:b w:val="1"/>
          <w:bCs w:val="1"/>
          <w:i w:val="1"/>
          <w:iCs w:val="1"/>
          <w:color w:val="auto"/>
        </w:rPr>
        <w:t xml:space="preserve">Financing Activities. </w:t>
      </w:r>
      <w:r>
        <w:rPr>
          <w:rFonts w:ascii="Times New Roman" w:cs="Times New Roman" w:eastAsia="Times New Roman" w:hAnsi="Times New Roman"/>
          <w:sz w:val="16"/>
          <w:szCs w:val="16"/>
          <w:color w:val="auto"/>
        </w:rPr>
        <w:t>Net cash provided by financing activities for the nine months ended September 30, 2026 was $1,554 million, as compared to $187 million of</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net cash used in financing activities for the same period in 2025, for an increase in cash provided by financing activities of approximately $1,741 million. The increase was primarily due to borrowings, net of repayments, under our credit facility and term loans, which increased by $1,095 million for the nine months ended September 30, 2026 as compared with the same period in 2025, mainly driven by $700 million of borrowings under our 2026 Term Loan Facility and additional borrowings under our Credit Facility to fund a portion of the Superior acquisition and related transaction and financing costs, as well as $650 million of proceeds from the issuance of our 5.850% Senior Notes. These borrowings were partially offset by the $450 million repayment of our $600 million 2025 Term Loan Facility and the redemption of the $75 million aggregate principal amount of our 6.625% Senior Notes during the third quarter of 2026. There were no share repurchases for the nine months ended September 30, 2026, compared to approximately $77 million of cash settled for share repurchases for the same period in 2025.</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1" w:right="339" w:bottom="1440" w:gutter="0" w:footer="0" w:header="0"/>
        </w:sectPr>
      </w:pPr>
    </w:p>
    <w:bookmarkStart w:id="41" w:name="page42"/>
    <w:bookmarkEnd w:id="41"/>
    <w:p>
      <w:pPr>
        <w:jc w:val="both"/>
        <w:ind w:firstLine="648"/>
        <w:spacing w:after="0" w:line="260" w:lineRule="auto"/>
        <w:rPr>
          <w:sz w:val="20"/>
          <w:szCs w:val="20"/>
          <w:color w:val="auto"/>
        </w:rPr>
      </w:pPr>
      <w:r>
        <w:rPr>
          <w:rFonts w:ascii="Times New Roman" w:cs="Times New Roman" w:eastAsia="Times New Roman" w:hAnsi="Times New Roman"/>
          <w:sz w:val="16"/>
          <w:szCs w:val="16"/>
          <w:color w:val="auto"/>
        </w:rPr>
        <w:t>The increase in cash provided by financing activities was offset, in part, by payments for tax withholdings on stock-based awards, net of proceeds, of $18 million, an increase of approximately $13 million compared with the same period in 2025, and approximately $9 million of cash payments in 2026 for acquisition-related contingent assets related to the 2021 acquisition of HMG, compared with no such payments in 2025. Total payments of acquisition-related contingent consideration, including payments in excess of acquisition-date liabilities, which are classified within operating activities, totaled $21 million for the nine months ended September 30, 2026, compared with $25 million for the same period in 2025. Additionally, payments to holders of our non-controlling interests increased by $13 million for the nine months ended September 30, 2026, as compared with the same period in 2025, primarily related to distributions to minority interest holders.</w:t>
      </w:r>
    </w:p>
    <w:p>
      <w:pPr>
        <w:spacing w:after="0" w:line="6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Senior Credit Facility</w:t>
      </w:r>
    </w:p>
    <w:p>
      <w:pPr>
        <w:spacing w:after="0" w:line="13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6"/>
          <w:szCs w:val="16"/>
          <w:color w:val="auto"/>
        </w:rPr>
        <w:t>We have a senior unsecured credit facility (the “Credit Facility”), which is composed of revolving commitments and matures on June 26, 2030. On July 7, 2026, the Credit Facility was amended to increase the aggregate revolving commitments from $1.9 billion to $2.25 billion. The other terms and conditions of the Credit Facility remain unchanged. As of September 30, 2026, outstanding revolving loans totaled approximately $1,042 million and availability for revolving loans totaled $1,126 million. Concurrent with the closing of the Superior acquisition, we borrowed $600 million under the Credit Facility, approximately $580 million of which was used to finance a portion of the cash consideration for the acquisition and related transactions and financing costs, with the remainder used for other working capital purposes.</w:t>
      </w:r>
    </w:p>
    <w:p>
      <w:pPr>
        <w:spacing w:after="0" w:line="87"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We are dependent upon borrowings and letters of credit under our Credit Facility to fund our operations. Should we be unable to comply with the terms and conditions of our Credit Facility, we would be required to obtain modifications to the Credit Facility or obtain an alternative source of financing to continue to operate, neither of which may be available to us on commercially reasonable terms, or at all.</w:t>
      </w:r>
    </w:p>
    <w:p>
      <w:pPr>
        <w:spacing w:after="0" w:line="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Senior Notes</w:t>
      </w:r>
    </w:p>
    <w:p>
      <w:pPr>
        <w:spacing w:after="0" w:line="11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b w:val="1"/>
          <w:bCs w:val="1"/>
          <w:i w:val="1"/>
          <w:iCs w:val="1"/>
          <w:color w:val="auto"/>
        </w:rPr>
        <w:t xml:space="preserve">4.500% Senior Notes. </w:t>
      </w:r>
      <w:r>
        <w:rPr>
          <w:rFonts w:ascii="Times New Roman" w:cs="Times New Roman" w:eastAsia="Times New Roman" w:hAnsi="Times New Roman"/>
          <w:sz w:val="16"/>
          <w:szCs w:val="16"/>
          <w:color w:val="auto"/>
        </w:rPr>
        <w:t>We have $600 million aggregate principal amount of 4.500% senior unsecured notes due August 15, 2028 (the “4.500% Senior Notes”).</w:t>
      </w:r>
    </w:p>
    <w:p>
      <w:pPr>
        <w:spacing w:after="0" w:line="1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b w:val="1"/>
          <w:bCs w:val="1"/>
          <w:i w:val="1"/>
          <w:iCs w:val="1"/>
          <w:color w:val="auto"/>
        </w:rPr>
        <w:t xml:space="preserve">5.900% Senior Notes. </w:t>
      </w:r>
      <w:r>
        <w:rPr>
          <w:rFonts w:ascii="Times New Roman" w:cs="Times New Roman" w:eastAsia="Times New Roman" w:hAnsi="Times New Roman"/>
          <w:sz w:val="16"/>
          <w:szCs w:val="16"/>
          <w:color w:val="auto"/>
        </w:rPr>
        <w:t>We have $550 million aggregate principal amount of 5.900% senior unsecured notes due June 15, 2029 (the “5.900% Senior Notes”).</w:t>
      </w:r>
    </w:p>
    <w:p>
      <w:pPr>
        <w:spacing w:after="0" w:line="113"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16"/>
          <w:szCs w:val="16"/>
          <w:b w:val="1"/>
          <w:bCs w:val="1"/>
          <w:i w:val="1"/>
          <w:iCs w:val="1"/>
          <w:color w:val="auto"/>
        </w:rPr>
        <w:t xml:space="preserve">5.850% Senior Notes. </w:t>
      </w:r>
      <w:r>
        <w:rPr>
          <w:rFonts w:ascii="Times New Roman" w:cs="Times New Roman" w:eastAsia="Times New Roman" w:hAnsi="Times New Roman"/>
          <w:sz w:val="16"/>
          <w:szCs w:val="16"/>
          <w:color w:val="auto"/>
        </w:rPr>
        <w:t>On August 17, 2026, we completed an offering of $650 million aggregate principal amount of 5.850% senior unsecured notes due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September 30, 2036 (the “5.850% Senior Notes”). We used a portion of the proceeds to repay $450 million of the outstanding $600 million under the senior unsecured term loan facility (the “2025 Term Loan Facility”) and to redeem the $75 million aggregate principal amount of our 6.625% Senior Notes.</w:t>
      </w:r>
    </w:p>
    <w:p>
      <w:pPr>
        <w:spacing w:after="0" w:line="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2025 Term Loan Facility</w:t>
      </w:r>
    </w:p>
    <w:p>
      <w:pPr>
        <w:spacing w:after="0" w:line="1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As of September 30, 2026, we had $150 million outstanding under our 2025 Term Loan Facility, which matures on June 26, 2028.</w:t>
      </w:r>
    </w:p>
    <w:p>
      <w:pPr>
        <w:spacing w:after="0" w:line="10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2026 Term Loan Facility</w:t>
      </w:r>
    </w:p>
    <w:p>
      <w:pPr>
        <w:spacing w:after="0" w:line="117"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16"/>
          <w:szCs w:val="16"/>
          <w:color w:val="auto"/>
        </w:rPr>
        <w:t>On July 7, 2026, we entered into a new senior unsecured delayed draw term loan agreement (the “2026 Term Loan Facility”) to finance a portion of the consideration for the acquisition of Superior. The 2026 Term Loan Facility provided for $700 million in delayed draw term loan commitments, consisting of $400 million of three-year commitments and $300 million of four-year commitments, which were fully drawn concurrent with the closing of the Superior acquisition.</w:t>
      </w:r>
    </w:p>
    <w:p>
      <w:pPr>
        <w:spacing w:after="0" w:line="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Debt Covenants</w:t>
      </w:r>
    </w:p>
    <w:p>
      <w:pPr>
        <w:spacing w:after="0" w:line="117" w:lineRule="exact"/>
        <w:rPr>
          <w:sz w:val="20"/>
          <w:szCs w:val="20"/>
          <w:color w:val="auto"/>
        </w:rPr>
      </w:pPr>
    </w:p>
    <w:p>
      <w:pPr>
        <w:jc w:val="both"/>
        <w:ind w:firstLine="648"/>
        <w:spacing w:after="0" w:line="280" w:lineRule="auto"/>
        <w:rPr>
          <w:sz w:val="20"/>
          <w:szCs w:val="20"/>
          <w:color w:val="auto"/>
        </w:rPr>
      </w:pPr>
      <w:r>
        <w:rPr>
          <w:rFonts w:ascii="Times New Roman" w:cs="Times New Roman" w:eastAsia="Times New Roman" w:hAnsi="Times New Roman"/>
          <w:sz w:val="16"/>
          <w:szCs w:val="16"/>
          <w:color w:val="auto"/>
        </w:rPr>
        <w:t>We were in compliance with the provisions and covenants contained in our outstanding debt instruments as of September 30, 2026, and we expect to be in compliance with these provisions and covenants for the next twelve months.</w:t>
      </w:r>
    </w:p>
    <w:p>
      <w:pPr>
        <w:spacing w:after="0" w:line="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Additional Information</w:t>
      </w:r>
    </w:p>
    <w:p>
      <w:pPr>
        <w:spacing w:after="0" w:line="117"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16"/>
          <w:szCs w:val="16"/>
          <w:color w:val="auto"/>
        </w:rPr>
        <w:t>For detailed discussion and additional information pertaining to our debt instruments, see Note 8 – Debt in the notes to the audited consolidated financial statements included in our 2025 Form 10-K. Also, see Note 8 – Debt in the notes to the consolidated financial statements in this Form 10-Q, which is incorporated by reference, for current period balances, rates of interest and related discussion.</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Off-Balance Sheet Arrangements</w:t>
      </w:r>
    </w:p>
    <w:p>
      <w:pPr>
        <w:spacing w:after="0" w:line="129"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6"/>
          <w:szCs w:val="16"/>
          <w:color w:val="auto"/>
        </w:rPr>
        <w:t>As is common in our industry, we have entered into certain off-balance sheet arrangements in the ordinary course of business. These off-balance sheet arrangements have not had, and are not reasonably likely to have, a material impact on our financial condition, revenue or expenses, results of operations, liquidity, cash requirements or capital resources in the next twelve months or in the foreseeable future. Refer to Note 4 – Fair Value of Financial Instruments, Note 13 – Commitments and Contingencies and Note 14 – Related Party Transactions in the notes to the consolidated financial statements in this Form 10-Q, which are incorporated by reference, and see Management’s Discussion and Analysis of Financial Condition and Results of Operations contained in our 2025 Form 10-K for additional information related to our off-balance sheet arrangements.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Impact of Inflation</w:t>
      </w:r>
    </w:p>
    <w:p>
      <w:pPr>
        <w:spacing w:after="0" w:line="115"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6"/>
          <w:szCs w:val="16"/>
          <w:color w:val="auto"/>
        </w:rPr>
        <w:t>The primary inflationary factors affecting our operations are labor, fuel and material costs. In times of low unemployment, our labor costs may increase due to shortages in the supply of skilled labor and increases in compensation rates generally. Immigration actions may also affect the availability of labor. Although most project materials are provided by our customers, increases in the cost of materials could negatively affect the economic viability of their projects, and accordingly, demand for our services. Material and commodity prices are subject to volatility due to events outside of our control, such as tariff and trade actions and geopolitical events, which have contributed to recent market fluctuations. Inflation rates in the United States increased significantly over the past several years and, while inflationary pressure had shown signs of moderating, it remains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42" w:name="page43"/>
    <w:bookmarkEnd w:id="42"/>
    <w:p>
      <w:pPr>
        <w:jc w:val="both"/>
        <w:spacing w:after="0" w:line="263" w:lineRule="auto"/>
        <w:rPr>
          <w:sz w:val="20"/>
          <w:szCs w:val="20"/>
          <w:color w:val="auto"/>
        </w:rPr>
      </w:pPr>
      <w:r>
        <w:rPr>
          <w:rFonts w:ascii="Times New Roman" w:cs="Times New Roman" w:eastAsia="Times New Roman" w:hAnsi="Times New Roman"/>
          <w:sz w:val="16"/>
          <w:szCs w:val="16"/>
          <w:color w:val="auto"/>
        </w:rPr>
        <w:t>elevated. We expect this high-cost and dynamic environment to continue for the remainder of 2026 due, in part, to trade actions and geopolitical events described above under “General Economic, Market and Regulatory Conditions.” Elevated levels of labor, fuel and material costs have in the past and could in the future negatively affect our project margins to the extent that we are unable to pass such cost increases along to our customers. In addition, there is uncertainty of what effect, if any, trade tariffs and recent geopolitical events will have on inflation in future periods. Such market and economic volatility and/or uncertainty can also affect our customers’ investment decisions and subject us to project cancellations, deferrals or unexpected changes in the timing, type and scope of project work.</w:t>
      </w:r>
    </w:p>
    <w:p>
      <w:pPr>
        <w:spacing w:after="0" w:line="72"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While inflationary factors have not had a material impact on our business operations, operating results and/or financial condition, we closely monitor such factors and any potential effects they may have on such items. While the impact of these factors cannot be fully eliminated, we take proactive steps to mitigate their effects. For additional information regarding the effects of inflation on our business, see Management’s Discussion and Analysis of Financial Condition and Results of Operations contained in our 2025 Form 10-K.</w:t>
      </w:r>
    </w:p>
    <w:p>
      <w:pPr>
        <w:spacing w:after="0" w:line="191" w:lineRule="exact"/>
        <w:rPr>
          <w:sz w:val="20"/>
          <w:szCs w:val="20"/>
          <w:color w:val="auto"/>
        </w:rPr>
      </w:pPr>
    </w:p>
    <w:p>
      <w:pPr>
        <w:ind w:right="4660"/>
        <w:spacing w:after="0" w:line="423" w:lineRule="auto"/>
        <w:rPr>
          <w:sz w:val="20"/>
          <w:szCs w:val="20"/>
          <w:color w:val="auto"/>
        </w:rPr>
      </w:pPr>
      <w:r>
        <w:rPr>
          <w:rFonts w:ascii="Times New Roman" w:cs="Times New Roman" w:eastAsia="Times New Roman" w:hAnsi="Times New Roman"/>
          <w:sz w:val="16"/>
          <w:szCs w:val="16"/>
          <w:b w:val="1"/>
          <w:bCs w:val="1"/>
          <w:color w:val="auto"/>
        </w:rPr>
        <w:t>ITEM 3. QUANTITATIVE AND QUALITATIVE DISCLOSURES ABOUT MARKET RISK Interest Rate Risk</w:t>
      </w:r>
    </w:p>
    <w:p>
      <w:pPr>
        <w:spacing w:after="0" w:line="1"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6"/>
          <w:szCs w:val="16"/>
          <w:color w:val="auto"/>
        </w:rPr>
        <w:t>Our interest expense is affected by the prevailing interest rate environment. While the cost of our variable-rate debt fluctuates with changes in market interest rates, interest on our fixed rate debt is unaffected by such changes. We manage interest rate risk by maintaining a mix of fixed and variable rate debt obligations. As of September 30, 2026, our variable interest rate debt was primarily related to our Credit Facility and our term loans. As of September 30, 2026, we had approximately $1,042 million of outstanding revolving loans under our Credit Facility, $150 million outstanding under our 2025 Term Loan Facility, and $700 million outstanding under our 2026 Term Loan Facility, with weighted average interest rates of 5.09%, 5.03%, and 5.20%, respectively. An additional 100 basis point increase in the applicable interest rates under our Credit Facility and term loans would have increased our interest expense by approximately $13 million for the nine months ended September 30, 2026.</w:t>
      </w:r>
    </w:p>
    <w:p>
      <w:pPr>
        <w:spacing w:after="0" w:line="87"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As of September 30, 2026, our fixed interest rate debt primarily included $600 million aggregate principal amount of 4.500% Senior Notes, $550 million aggregate principal amount of 5.900% Senior Notes, $650 million aggregate principal amount of 5.850% Senior Notes and $437 million of finance lease obligations, which accrued interest at a weighted average interest rate of approximately 4.90%. None of this debt subjects us to financial statement risk associated with changes in interest rates, but we may be subject to changes in interest rates if and when we refinance this debt at maturity or otherwise.</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Foreign Currency Risk</w:t>
      </w:r>
    </w:p>
    <w:p>
      <w:pPr>
        <w:spacing w:after="0" w:line="1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color w:val="auto"/>
        </w:rPr>
        <w:t>Certain of our consolidated revenue and operating expenses are in foreign currencies. Our foreign operations are primarily in Canada. Revenue generated from foreign operations represented approximately 2% of our total revenue for the nine months ended September 30, 2026. Revenue and expense related to our foreign operations are, for the most part, denominated in the functional currency of the foreign operation, which minimizes the impact that fluctuations in exchange rates would have on net income or loss. We are, however, subject to fluctuations in foreign currency exchange rates when transactions are denominated in currencies other than the functional currencies and for our foreign operations with a functional currency other than the local currency. Such activity was not material to our operations for the nine months ended September 30, 2026. Translation gains or losses, which are recorded in other comprehensive income or loss, result from translation of the assets and liabilities of our foreign subsidiaries into U.S. dollars. For the nine months ended September 30, 2026, foreign currency translation losses, net, totaled approximately $3 million.</w:t>
      </w:r>
    </w:p>
    <w:p>
      <w:pPr>
        <w:spacing w:after="0" w:line="74"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16"/>
          <w:szCs w:val="16"/>
          <w:color w:val="auto"/>
        </w:rPr>
        <w:t>Our exposure to fluctuations in foreign currency exchange rates could increase in the future if we continue to expand our operations outside of the United States. We seek to manage foreign currency exposure by minimizing our consolidated net asset and liability positions in currencies other than the functional currency, which exposure was not significant to our consolidated financial position as of September 30, 2026. We may enter into foreign currency derivative contracts in the future to manage such exposure.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Other Market Risk</w:t>
      </w:r>
    </w:p>
    <w:p>
      <w:pPr>
        <w:spacing w:after="0" w:line="115" w:lineRule="exact"/>
        <w:rPr>
          <w:sz w:val="20"/>
          <w:szCs w:val="20"/>
          <w:color w:val="auto"/>
        </w:rPr>
      </w:pPr>
    </w:p>
    <w:p>
      <w:pPr>
        <w:jc w:val="both"/>
        <w:ind w:firstLine="648"/>
        <w:spacing w:after="0" w:line="298" w:lineRule="auto"/>
        <w:rPr>
          <w:sz w:val="20"/>
          <w:szCs w:val="20"/>
          <w:color w:val="auto"/>
        </w:rPr>
      </w:pPr>
      <w:r>
        <w:rPr>
          <w:rFonts w:ascii="Times New Roman" w:cs="Times New Roman" w:eastAsia="Times New Roman" w:hAnsi="Times New Roman"/>
          <w:sz w:val="16"/>
          <w:szCs w:val="16"/>
          <w:color w:val="auto"/>
        </w:rPr>
        <w:t>As discussed in Note 4 – Fair Value of Financial Instruments in the notes to the consolidated financial statements, which is incorporated by reference, we have certain investments that may be subject to market risk and could be subject to volatility based on market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43" w:name="page44"/>
    <w:bookmarkEnd w:id="43"/>
    <w:p>
      <w:pPr>
        <w:spacing w:after="0"/>
        <w:tabs>
          <w:tab w:leader="none" w:pos="940" w:val="left"/>
        </w:tabs>
        <w:rPr>
          <w:sz w:val="20"/>
          <w:szCs w:val="20"/>
          <w:color w:val="auto"/>
        </w:rPr>
      </w:pPr>
      <w:r>
        <w:rPr>
          <w:rFonts w:ascii="Times New Roman" w:cs="Times New Roman" w:eastAsia="Times New Roman" w:hAnsi="Times New Roman"/>
          <w:sz w:val="16"/>
          <w:szCs w:val="16"/>
          <w:b w:val="1"/>
          <w:bCs w:val="1"/>
          <w:color w:val="auto"/>
        </w:rPr>
        <w:t>ITEM 4.</w:t>
      </w:r>
      <w:r>
        <w:rPr>
          <w:sz w:val="20"/>
          <w:szCs w:val="20"/>
          <w:color w:val="auto"/>
        </w:rPr>
        <w:tab/>
      </w:r>
      <w:r>
        <w:rPr>
          <w:rFonts w:ascii="Times New Roman" w:cs="Times New Roman" w:eastAsia="Times New Roman" w:hAnsi="Times New Roman"/>
          <w:sz w:val="16"/>
          <w:szCs w:val="16"/>
          <w:b w:val="1"/>
          <w:bCs w:val="1"/>
          <w:color w:val="auto"/>
        </w:rPr>
        <w:t>CONTROLS AND PROCEDURES</w:t>
      </w:r>
    </w:p>
    <w:p>
      <w:pPr>
        <w:spacing w:after="0" w:line="111"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16"/>
          <w:szCs w:val="16"/>
          <w:b w:val="1"/>
          <w:bCs w:val="1"/>
          <w:i w:val="1"/>
          <w:iCs w:val="1"/>
          <w:color w:val="auto"/>
        </w:rPr>
        <w:t xml:space="preserve">Evaluation of Disclosure Controls and Procedures. </w:t>
      </w:r>
      <w:r>
        <w:rPr>
          <w:rFonts w:ascii="Times New Roman" w:cs="Times New Roman" w:eastAsia="Times New Roman" w:hAnsi="Times New Roman"/>
          <w:sz w:val="16"/>
          <w:szCs w:val="16"/>
          <w:color w:val="auto"/>
        </w:rPr>
        <w:t>As of the end of the period covered by this Quarterly Report on Form 10-Q, our management, with the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participation of our Chief Executive Officer and Chief Financial Officer, evaluated the effectiveness of the design and operation of our disclosure controls and procedures (as defined in Rule 13a-15(e) under the Securities Exchange Act of 1934, as amended (the “Exchange Act”)). We maintain disclosure controls and procedures designed to ensure that information required to be disclosed in reports filed or submitted by us under the Exchange Act is recorded, processed, summarized and reported within time periods specified in the SEC’s rules and forms.</w:t>
      </w:r>
    </w:p>
    <w:p>
      <w:pPr>
        <w:spacing w:after="0" w:line="68"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16"/>
          <w:szCs w:val="16"/>
          <w:color w:val="auto"/>
        </w:rPr>
        <w:t>Disclosure controls and procedures include, without limitation, controls and procedures designed to ensure that information required to be disclosed by us in the reports that we file or submit under the Exchange Act is accumulated and communicated to management, including our Chief Executive Officer and Chief Financial Officer, or persons performing similar functions, as appropriate, to allow timely decisions regarding required disclosure.</w:t>
      </w:r>
    </w:p>
    <w:p>
      <w:pPr>
        <w:spacing w:after="0" w:line="76" w:lineRule="exact"/>
        <w:rPr>
          <w:sz w:val="20"/>
          <w:szCs w:val="20"/>
          <w:color w:val="auto"/>
        </w:rPr>
      </w:pPr>
    </w:p>
    <w:p>
      <w:pPr>
        <w:jc w:val="both"/>
        <w:ind w:firstLine="648"/>
        <w:spacing w:after="0" w:line="280" w:lineRule="auto"/>
        <w:rPr>
          <w:sz w:val="20"/>
          <w:szCs w:val="20"/>
          <w:color w:val="auto"/>
        </w:rPr>
      </w:pPr>
      <w:r>
        <w:rPr>
          <w:rFonts w:ascii="Times New Roman" w:cs="Times New Roman" w:eastAsia="Times New Roman" w:hAnsi="Times New Roman"/>
          <w:sz w:val="16"/>
          <w:szCs w:val="16"/>
          <w:color w:val="auto"/>
        </w:rPr>
        <w:t>Based on management’s evaluation, our Chief Executive Officer and Chief Financial Officer concluded that our disclosure controls and procedures were effective at the reasonable assurance level as of September 30, 2026.</w:t>
      </w:r>
    </w:p>
    <w:p>
      <w:pPr>
        <w:spacing w:after="0" w:line="53" w:lineRule="exact"/>
        <w:rPr>
          <w:sz w:val="20"/>
          <w:szCs w:val="20"/>
          <w:color w:val="auto"/>
        </w:rPr>
      </w:pPr>
    </w:p>
    <w:p>
      <w:pPr>
        <w:jc w:val="both"/>
        <w:ind w:firstLine="648"/>
        <w:spacing w:after="0" w:line="303" w:lineRule="auto"/>
        <w:rPr>
          <w:sz w:val="20"/>
          <w:szCs w:val="20"/>
          <w:color w:val="auto"/>
        </w:rPr>
      </w:pPr>
      <w:r>
        <w:rPr>
          <w:rFonts w:ascii="Times New Roman" w:cs="Times New Roman" w:eastAsia="Times New Roman" w:hAnsi="Times New Roman"/>
          <w:sz w:val="16"/>
          <w:szCs w:val="16"/>
          <w:b w:val="1"/>
          <w:bCs w:val="1"/>
          <w:i w:val="1"/>
          <w:iCs w:val="1"/>
          <w:color w:val="auto"/>
        </w:rPr>
        <w:t>Changes in Internal Control Over Financial Reporting</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We acquired 4 businesses during the nine months ended September 30, 2026, and are in the process of</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integrating the acquired businesses into our internal control over financial reporting.</w:t>
      </w:r>
    </w:p>
    <w:p>
      <w:pPr>
        <w:spacing w:after="0" w:line="39" w:lineRule="exact"/>
        <w:rPr>
          <w:sz w:val="20"/>
          <w:szCs w:val="20"/>
          <w:color w:val="auto"/>
        </w:rPr>
      </w:pPr>
    </w:p>
    <w:p>
      <w:pPr>
        <w:jc w:val="both"/>
        <w:ind w:right="20" w:firstLine="648"/>
        <w:spacing w:after="0" w:line="280" w:lineRule="auto"/>
        <w:rPr>
          <w:sz w:val="20"/>
          <w:szCs w:val="20"/>
          <w:color w:val="auto"/>
        </w:rPr>
      </w:pPr>
      <w:r>
        <w:rPr>
          <w:rFonts w:ascii="Times New Roman" w:cs="Times New Roman" w:eastAsia="Times New Roman" w:hAnsi="Times New Roman"/>
          <w:sz w:val="16"/>
          <w:szCs w:val="16"/>
          <w:color w:val="auto"/>
        </w:rPr>
        <w:t>Except as noted above, there have been no changes in the Company’s internal control over financial reporting during the quarter ended September 30, 2026 that have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9" w:right="339" w:bottom="1440" w:gutter="0" w:footer="0" w:header="0"/>
        </w:sectPr>
      </w:pPr>
    </w:p>
    <w:bookmarkStart w:id="44" w:name="page45"/>
    <w:bookmarkEnd w:id="44"/>
    <w:p>
      <w:pPr>
        <w:spacing w:after="0"/>
        <w:tabs>
          <w:tab w:leader="none" w:pos="820" w:val="left"/>
        </w:tabs>
        <w:rPr>
          <w:sz w:val="20"/>
          <w:szCs w:val="20"/>
          <w:color w:val="auto"/>
        </w:rPr>
      </w:pPr>
      <w:r>
        <w:rPr>
          <w:rFonts w:ascii="Times New Roman" w:cs="Times New Roman" w:eastAsia="Times New Roman" w:hAnsi="Times New Roman"/>
          <w:sz w:val="16"/>
          <w:szCs w:val="16"/>
          <w:b w:val="1"/>
          <w:bCs w:val="1"/>
          <w:color w:val="auto"/>
        </w:rPr>
        <w:t>PART II.</w:t>
        <w:tab/>
        <w:t>OTHER INFORMATION</w:t>
      </w:r>
    </w:p>
    <w:p>
      <w:pPr>
        <w:spacing w:after="0" w:line="221"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6"/>
          <w:szCs w:val="16"/>
          <w:b w:val="1"/>
          <w:bCs w:val="1"/>
          <w:color w:val="auto"/>
        </w:rPr>
        <w:t>ITEM 1.</w:t>
        <w:tab/>
        <w:t>LEGAL PROCEEDINGS</w:t>
      </w:r>
    </w:p>
    <w:p>
      <w:pPr>
        <w:spacing w:after="0" w:line="129" w:lineRule="exact"/>
        <w:rPr>
          <w:sz w:val="20"/>
          <w:szCs w:val="20"/>
          <w:color w:val="auto"/>
        </w:rPr>
      </w:pPr>
    </w:p>
    <w:p>
      <w:pPr>
        <w:jc w:val="both"/>
        <w:ind w:firstLine="648"/>
        <w:spacing w:after="0" w:line="280" w:lineRule="auto"/>
        <w:rPr>
          <w:sz w:val="20"/>
          <w:szCs w:val="20"/>
          <w:color w:val="auto"/>
        </w:rPr>
      </w:pPr>
      <w:r>
        <w:rPr>
          <w:rFonts w:ascii="Times New Roman" w:cs="Times New Roman" w:eastAsia="Times New Roman" w:hAnsi="Times New Roman"/>
          <w:sz w:val="16"/>
          <w:szCs w:val="16"/>
          <w:color w:val="auto"/>
        </w:rPr>
        <w:t xml:space="preserve">Refer to Note 13 – Commitments and Contingencies in the notes to our consolidated financial statements included in this Quarterly Report on Form 10-Q, which is incorporated by reference in this </w:t>
      </w:r>
      <w:r>
        <w:rPr>
          <w:rFonts w:ascii="Times New Roman" w:cs="Times New Roman" w:eastAsia="Times New Roman" w:hAnsi="Times New Roman"/>
          <w:sz w:val="16"/>
          <w:szCs w:val="16"/>
          <w:u w:val="single" w:color="auto"/>
          <w:color w:val="0000FF"/>
        </w:rPr>
        <w:t>Item 1</w:t>
      </w:r>
      <w:r>
        <w:rPr>
          <w:rFonts w:ascii="Times New Roman" w:cs="Times New Roman" w:eastAsia="Times New Roman" w:hAnsi="Times New Roman"/>
          <w:sz w:val="16"/>
          <w:szCs w:val="16"/>
          <w:color w:val="auto"/>
        </w:rPr>
        <w:t>, for a discussion of any recent material developments related to our legal proceedings since the filing of our 2025 Form 10-K.</w:t>
      </w:r>
    </w:p>
    <w:p>
      <w:pPr>
        <w:spacing w:after="0" w:line="7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MasTec has elected to use a $1 million threshold for disclosing proceedings arising under federal, state or local environmental laws, which proceedings involve potential monetary sanctions, and in which a governmental authority is a party. MasTec believes proceedings under this threshold are not material to its business and financial condition.</w:t>
      </w:r>
    </w:p>
    <w:p>
      <w:pPr>
        <w:spacing w:after="0" w:line="190"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6"/>
          <w:szCs w:val="16"/>
          <w:b w:val="1"/>
          <w:bCs w:val="1"/>
          <w:color w:val="auto"/>
        </w:rPr>
        <w:t>ITEM 1A.</w:t>
        <w:tab/>
        <w:t>RISK FACTORS</w:t>
      </w:r>
    </w:p>
    <w:p>
      <w:pPr>
        <w:spacing w:after="0" w:line="11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Our business is subject to a variety of risks and uncertainties, including risks related to our recent acquisition of Superior and the financing thereof. However, there have been no material changes to either the cautionary statement regarding forward-looking statements or to any of the risk factors disclosed in our 2025 Form 10-K, as updated by our Quarterly Reports on Form 10-Q and other filings we make with the SEC. Such risk factors do not identify all risks that we face because our business operations could also be affected by additional factors that are not presently known to us or that we currently consider to be immaterial to our operations.</w:t>
      </w:r>
    </w:p>
    <w:p>
      <w:pPr>
        <w:spacing w:after="0" w:line="191"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6"/>
          <w:szCs w:val="16"/>
          <w:b w:val="1"/>
          <w:bCs w:val="1"/>
          <w:color w:val="auto"/>
        </w:rPr>
        <w:t>ITEM 2.</w:t>
        <w:tab/>
        <w:t>UNREGISTERED SALES OF EQUITY SECURITIES AND USE OF PROCEEDS</w:t>
      </w:r>
    </w:p>
    <w:p>
      <w:pPr>
        <w:spacing w:after="0" w:line="11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6"/>
          <w:szCs w:val="16"/>
          <w:b w:val="1"/>
          <w:bCs w:val="1"/>
          <w:i w:val="1"/>
          <w:iCs w:val="1"/>
          <w:color w:val="auto"/>
        </w:rPr>
        <w:t>Issuer Purchases of Equity Securities</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The following table provides information about repurchases of our common stock during the three months ended September 30, 2026:</w:t>
      </w:r>
    </w:p>
    <w:p>
      <w:pPr>
        <w:sectPr>
          <w:pgSz w:w="11900" w:h="16838" w:orient="portrait"/>
          <w:cols w:equalWidth="0" w:num="1">
            <w:col w:w="11240"/>
          </w:cols>
          <w:pgMar w:left="320" w:top="1109" w:right="339" w:bottom="1440" w:gutter="0" w:footer="0" w:header="0"/>
        </w:sectPr>
      </w:pPr>
    </w:p>
    <w:p>
      <w:pPr>
        <w:spacing w:after="0" w:line="307"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390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Total Number of</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vMerge w:val="restart"/>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Average Price</w:t>
            </w:r>
          </w:p>
        </w:tc>
        <w:tc>
          <w:tcPr>
            <w:tcW w:w="0" w:type="dxa"/>
            <w:vAlign w:val="bottom"/>
          </w:tcPr>
          <w:p>
            <w:pPr>
              <w:spacing w:after="0"/>
              <w:rPr>
                <w:sz w:val="1"/>
                <w:szCs w:val="1"/>
                <w:color w:val="auto"/>
              </w:rPr>
            </w:pPr>
          </w:p>
        </w:tc>
      </w:tr>
      <w:tr>
        <w:trPr>
          <w:trHeight w:val="162"/>
        </w:trPr>
        <w:tc>
          <w:tcPr>
            <w:tcW w:w="3900" w:type="dxa"/>
            <w:vAlign w:val="bottom"/>
          </w:tcPr>
          <w:p>
            <w:pPr>
              <w:spacing w:after="0"/>
              <w:rPr>
                <w:sz w:val="14"/>
                <w:szCs w:val="14"/>
                <w:color w:val="auto"/>
              </w:rPr>
            </w:pPr>
          </w:p>
        </w:tc>
        <w:tc>
          <w:tcPr>
            <w:tcW w:w="136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Shares Purchased</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3900" w:type="dxa"/>
            <w:vAlign w:val="bottom"/>
          </w:tcPr>
          <w:p>
            <w:pPr>
              <w:spacing w:after="0"/>
              <w:rPr>
                <w:sz w:val="9"/>
                <w:szCs w:val="9"/>
                <w:color w:val="auto"/>
              </w:rPr>
            </w:pPr>
          </w:p>
        </w:tc>
        <w:tc>
          <w:tcPr>
            <w:tcW w:w="136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w w:val="93"/>
              </w:rPr>
              <w:t>(a)</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vMerge w:val="restart"/>
          </w:tcPr>
          <w:p>
            <w:pPr>
              <w:jc w:val="right"/>
              <w:ind w:right="19"/>
              <w:spacing w:after="0" w:line="162" w:lineRule="exact"/>
              <w:rPr>
                <w:sz w:val="20"/>
                <w:szCs w:val="20"/>
                <w:color w:val="auto"/>
              </w:rPr>
            </w:pPr>
            <w:r>
              <w:rPr>
                <w:rFonts w:ascii="Times New Roman" w:cs="Times New Roman" w:eastAsia="Times New Roman" w:hAnsi="Times New Roman"/>
                <w:sz w:val="16"/>
                <w:szCs w:val="16"/>
                <w:b w:val="1"/>
                <w:bCs w:val="1"/>
                <w:color w:val="auto"/>
                <w:w w:val="99"/>
              </w:rPr>
              <w:t>Paid per Share</w:t>
            </w:r>
          </w:p>
        </w:tc>
        <w:tc>
          <w:tcPr>
            <w:tcW w:w="0" w:type="dxa"/>
            <w:vAlign w:val="bottom"/>
          </w:tcPr>
          <w:p>
            <w:pPr>
              <w:spacing w:after="0"/>
              <w:rPr>
                <w:sz w:val="1"/>
                <w:szCs w:val="1"/>
                <w:color w:val="auto"/>
              </w:rPr>
            </w:pPr>
          </w:p>
        </w:tc>
      </w:tr>
      <w:tr>
        <w:trPr>
          <w:trHeight w:val="54"/>
        </w:trPr>
        <w:tc>
          <w:tcPr>
            <w:tcW w:w="3900" w:type="dxa"/>
            <w:vAlign w:val="bottom"/>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4"/>
        </w:trPr>
        <w:tc>
          <w:tcPr>
            <w:tcW w:w="3900" w:type="dxa"/>
            <w:vAlign w:val="bottom"/>
          </w:tcPr>
          <w:p>
            <w:pPr>
              <w:spacing w:after="0"/>
              <w:rPr>
                <w:sz w:val="20"/>
                <w:szCs w:val="20"/>
                <w:color w:val="auto"/>
              </w:rPr>
            </w:pPr>
            <w:r>
              <w:rPr>
                <w:rFonts w:ascii="Times New Roman" w:cs="Times New Roman" w:eastAsia="Times New Roman" w:hAnsi="Times New Roman"/>
                <w:sz w:val="16"/>
                <w:szCs w:val="16"/>
                <w:color w:val="auto"/>
              </w:rPr>
              <w:t>July 1 through July 31</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3,318</w:t>
            </w: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393.84</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6"/>
                <w:szCs w:val="16"/>
                <w:color w:val="auto"/>
              </w:rPr>
              <w:t>August 1 through August 31</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5,302</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306.28</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6"/>
                <w:szCs w:val="16"/>
                <w:color w:val="auto"/>
              </w:rPr>
              <w:t>September 1 through September 30</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8,789</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236.36</w:t>
            </w:r>
          </w:p>
        </w:tc>
        <w:tc>
          <w:tcPr>
            <w:tcW w:w="0" w:type="dxa"/>
            <w:vAlign w:val="bottom"/>
          </w:tcPr>
          <w:p>
            <w:pPr>
              <w:spacing w:after="0"/>
              <w:rPr>
                <w:sz w:val="1"/>
                <w:szCs w:val="1"/>
                <w:color w:val="auto"/>
              </w:rPr>
            </w:pPr>
          </w:p>
        </w:tc>
      </w:tr>
      <w:tr>
        <w:trPr>
          <w:trHeight w:val="213"/>
        </w:trPr>
        <w:tc>
          <w:tcPr>
            <w:tcW w:w="39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Total</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17,409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-574040</wp:posOffset>
            </wp:positionV>
            <wp:extent cx="7132320" cy="1454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-290830</wp:posOffset>
            </wp:positionV>
            <wp:extent cx="7132320" cy="1371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21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Total Number of Shares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40" w:type="dxa"/>
            <w:vAlign w:val="bottom"/>
          </w:tcPr>
          <w:p>
            <w:pPr>
              <w:jc w:val="center"/>
              <w:ind w:right="24"/>
              <w:spacing w:after="0"/>
              <w:rPr>
                <w:sz w:val="20"/>
                <w:szCs w:val="20"/>
                <w:color w:val="auto"/>
              </w:rPr>
            </w:pPr>
            <w:r>
              <w:rPr>
                <w:rFonts w:ascii="Times New Roman" w:cs="Times New Roman" w:eastAsia="Times New Roman" w:hAnsi="Times New Roman"/>
                <w:sz w:val="16"/>
                <w:szCs w:val="16"/>
                <w:b w:val="1"/>
                <w:bCs w:val="1"/>
                <w:color w:val="auto"/>
              </w:rPr>
              <w:t>Approximate Dollar Value of</w:t>
            </w:r>
          </w:p>
        </w:tc>
        <w:tc>
          <w:tcPr>
            <w:tcW w:w="0" w:type="dxa"/>
            <w:vAlign w:val="bottom"/>
          </w:tcPr>
          <w:p>
            <w:pPr>
              <w:spacing w:after="0"/>
              <w:rPr>
                <w:sz w:val="1"/>
                <w:szCs w:val="1"/>
                <w:color w:val="auto"/>
              </w:rPr>
            </w:pPr>
          </w:p>
        </w:tc>
      </w:tr>
      <w:tr>
        <w:trPr>
          <w:trHeight w:val="108"/>
        </w:trPr>
        <w:tc>
          <w:tcPr>
            <w:tcW w:w="21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140" w:type="dxa"/>
            <w:vAlign w:val="bottom"/>
            <w:vMerge w:val="restart"/>
          </w:tcPr>
          <w:p>
            <w:pPr>
              <w:jc w:val="center"/>
              <w:ind w:right="44"/>
              <w:spacing w:after="0" w:line="162" w:lineRule="exact"/>
              <w:rPr>
                <w:sz w:val="20"/>
                <w:szCs w:val="20"/>
                <w:color w:val="auto"/>
              </w:rPr>
            </w:pPr>
            <w:r>
              <w:rPr>
                <w:rFonts w:ascii="Times New Roman" w:cs="Times New Roman" w:eastAsia="Times New Roman" w:hAnsi="Times New Roman"/>
                <w:sz w:val="16"/>
                <w:szCs w:val="16"/>
                <w:b w:val="1"/>
                <w:bCs w:val="1"/>
                <w:color w:val="auto"/>
              </w:rPr>
              <w:t>Shares that May Yet be</w:t>
            </w:r>
          </w:p>
        </w:tc>
        <w:tc>
          <w:tcPr>
            <w:tcW w:w="0" w:type="dxa"/>
            <w:vAlign w:val="bottom"/>
          </w:tcPr>
          <w:p>
            <w:pPr>
              <w:spacing w:after="0"/>
              <w:rPr>
                <w:sz w:val="1"/>
                <w:szCs w:val="1"/>
                <w:color w:val="auto"/>
              </w:rPr>
            </w:pPr>
          </w:p>
        </w:tc>
      </w:tr>
      <w:tr>
        <w:trPr>
          <w:trHeight w:val="54"/>
        </w:trPr>
        <w:tc>
          <w:tcPr>
            <w:tcW w:w="21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Purchased as Part of Publicly</w:t>
            </w: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1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26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Purchased under the Program</w:t>
            </w:r>
          </w:p>
        </w:tc>
        <w:tc>
          <w:tcPr>
            <w:tcW w:w="0" w:type="dxa"/>
            <w:vAlign w:val="bottom"/>
          </w:tcPr>
          <w:p>
            <w:pPr>
              <w:spacing w:after="0"/>
              <w:rPr>
                <w:sz w:val="1"/>
                <w:szCs w:val="1"/>
                <w:color w:val="auto"/>
              </w:rPr>
            </w:pPr>
          </w:p>
        </w:tc>
      </w:tr>
      <w:tr>
        <w:trPr>
          <w:trHeight w:val="108"/>
        </w:trPr>
        <w:tc>
          <w:tcPr>
            <w:tcW w:w="2120" w:type="dxa"/>
            <w:vAlign w:val="bottom"/>
            <w:vMerge w:val="restart"/>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Announced Program</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140" w:type="dxa"/>
            <w:vAlign w:val="bottom"/>
          </w:tcPr>
          <w:p>
            <w:pPr>
              <w:jc w:val="center"/>
              <w:ind w:right="44"/>
              <w:spacing w:after="0" w:line="108" w:lineRule="exact"/>
              <w:rPr>
                <w:sz w:val="20"/>
                <w:szCs w:val="20"/>
                <w:color w:val="auto"/>
              </w:rPr>
            </w:pPr>
            <w:r>
              <w:rPr>
                <w:rFonts w:ascii="Times New Roman" w:cs="Times New Roman" w:eastAsia="Times New Roman" w:hAnsi="Times New Roman"/>
                <w:sz w:val="11"/>
                <w:szCs w:val="11"/>
                <w:b w:val="1"/>
                <w:bCs w:val="1"/>
                <w:color w:val="auto"/>
              </w:rPr>
              <w:t>(b)</w:t>
            </w:r>
          </w:p>
        </w:tc>
        <w:tc>
          <w:tcPr>
            <w:tcW w:w="0" w:type="dxa"/>
            <w:vAlign w:val="bottom"/>
          </w:tcPr>
          <w:p>
            <w:pPr>
              <w:spacing w:after="0"/>
              <w:rPr>
                <w:sz w:val="1"/>
                <w:szCs w:val="1"/>
                <w:color w:val="auto"/>
              </w:rPr>
            </w:pPr>
          </w:p>
        </w:tc>
      </w:tr>
      <w:tr>
        <w:trPr>
          <w:trHeight w:val="54"/>
        </w:trPr>
        <w:tc>
          <w:tcPr>
            <w:tcW w:w="2120" w:type="dxa"/>
            <w:vAlign w:val="bottom"/>
            <w:tcBorders>
              <w:bottom w:val="single" w:sz="8" w:color="auto"/>
            </w:tcBorders>
            <w:vMerge w:val="continue"/>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4"/>
        </w:trPr>
        <w:tc>
          <w:tcPr>
            <w:tcW w:w="2120" w:type="dxa"/>
            <w:vAlign w:val="bottom"/>
          </w:tcPr>
          <w:p>
            <w:pPr>
              <w:ind w:left="18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250,000,000</w:t>
            </w:r>
          </w:p>
        </w:tc>
        <w:tc>
          <w:tcPr>
            <w:tcW w:w="0" w:type="dxa"/>
            <w:vAlign w:val="bottom"/>
          </w:tcPr>
          <w:p>
            <w:pPr>
              <w:spacing w:after="0"/>
              <w:rPr>
                <w:sz w:val="1"/>
                <w:szCs w:val="1"/>
                <w:color w:val="auto"/>
              </w:rPr>
            </w:pPr>
          </w:p>
        </w:tc>
      </w:tr>
      <w:tr>
        <w:trPr>
          <w:trHeight w:val="216"/>
        </w:trPr>
        <w:tc>
          <w:tcPr>
            <w:tcW w:w="2120" w:type="dxa"/>
            <w:vAlign w:val="bottom"/>
          </w:tcPr>
          <w:p>
            <w:pPr>
              <w:ind w:left="18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250,000,000</w:t>
            </w:r>
          </w:p>
        </w:tc>
        <w:tc>
          <w:tcPr>
            <w:tcW w:w="0" w:type="dxa"/>
            <w:vAlign w:val="bottom"/>
          </w:tcPr>
          <w:p>
            <w:pPr>
              <w:spacing w:after="0"/>
              <w:rPr>
                <w:sz w:val="1"/>
                <w:szCs w:val="1"/>
                <w:color w:val="auto"/>
              </w:rPr>
            </w:pPr>
          </w:p>
        </w:tc>
      </w:tr>
      <w:tr>
        <w:trPr>
          <w:trHeight w:val="219"/>
        </w:trPr>
        <w:tc>
          <w:tcPr>
            <w:tcW w:w="2120" w:type="dxa"/>
            <w:vAlign w:val="bottom"/>
            <w:tcBorders>
              <w:bottom w:val="single" w:sz="8" w:color="auto"/>
            </w:tcBorders>
          </w:tcPr>
          <w:p>
            <w:pPr>
              <w:ind w:left="18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250,000,000</w:t>
            </w:r>
          </w:p>
        </w:tc>
        <w:tc>
          <w:tcPr>
            <w:tcW w:w="0" w:type="dxa"/>
            <w:vAlign w:val="bottom"/>
          </w:tcPr>
          <w:p>
            <w:pPr>
              <w:spacing w:after="0"/>
              <w:rPr>
                <w:sz w:val="1"/>
                <w:szCs w:val="1"/>
                <w:color w:val="auto"/>
              </w:rPr>
            </w:pPr>
          </w:p>
        </w:tc>
      </w:tr>
      <w:tr>
        <w:trPr>
          <w:trHeight w:val="210"/>
        </w:trPr>
        <w:tc>
          <w:tcPr>
            <w:tcW w:w="2120" w:type="dxa"/>
            <w:vAlign w:val="bottom"/>
            <w:tcBorders>
              <w:bottom w:val="single" w:sz="8" w:color="auto"/>
            </w:tcBorders>
          </w:tcPr>
          <w:p>
            <w:pPr>
              <w:ind w:left="18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sectPr>
          <w:pgSz w:w="11900" w:h="16838" w:orient="portrait"/>
          <w:cols w:equalWidth="0" w:num="2">
            <w:col w:w="6640" w:space="120"/>
            <w:col w:w="4480"/>
          </w:cols>
          <w:pgMar w:left="320" w:top="1109" w:right="339" w:bottom="1440" w:gutter="0" w:footer="0" w:header="0"/>
          <w:type w:val="continuous"/>
        </w:sectPr>
      </w:pPr>
    </w:p>
    <w:p>
      <w:pPr>
        <w:ind w:left="340" w:hanging="332"/>
        <w:spacing w:after="0" w:line="281" w:lineRule="auto"/>
        <w:tabs>
          <w:tab w:leader="none" w:pos="337"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3,318, 5,186 and 8,789 shares reacquired by the Company on the open market pursuant to the Amended ESPPs in July, August and September of 2026, respectively, and 116 shares withheld for income tax purposes in connection with shares issued under compensation and benefit programs in August of 2026.</w:t>
      </w:r>
    </w:p>
    <w:p>
      <w:pPr>
        <w:spacing w:after="0" w:line="1" w:lineRule="exact"/>
        <w:rPr>
          <w:rFonts w:ascii="Times New Roman" w:cs="Times New Roman" w:eastAsia="Times New Roman" w:hAnsi="Times New Roman"/>
          <w:sz w:val="14"/>
          <w:szCs w:val="14"/>
          <w:color w:val="auto"/>
        </w:rPr>
      </w:pPr>
    </w:p>
    <w:p>
      <w:pPr>
        <w:ind w:left="340" w:hanging="332"/>
        <w:spacing w:after="0" w:line="271" w:lineRule="auto"/>
        <w:tabs>
          <w:tab w:leader="none" w:pos="332"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September 30, 2026, the full amount remains available for share repurchases under our May 2025 $250 million share repurchase program, which was publicly announced on May 1, 2025.</w:t>
      </w:r>
    </w:p>
    <w:p>
      <w:pPr>
        <w:spacing w:after="0" w:line="392"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6"/>
          <w:szCs w:val="16"/>
          <w:b w:val="1"/>
          <w:bCs w:val="1"/>
          <w:color w:val="auto"/>
        </w:rPr>
        <w:t>ITEM 4.</w:t>
        <w:tab/>
        <w:t>MINE SAFETY DISCLOSURES</w:t>
      </w:r>
    </w:p>
    <w:p>
      <w:pPr>
        <w:spacing w:after="0" w:line="115" w:lineRule="exact"/>
        <w:rPr>
          <w:sz w:val="20"/>
          <w:szCs w:val="20"/>
          <w:color w:val="auto"/>
        </w:rPr>
      </w:pPr>
    </w:p>
    <w:p>
      <w:pPr>
        <w:jc w:val="both"/>
        <w:ind w:right="20" w:firstLine="648"/>
        <w:spacing w:after="0" w:line="298" w:lineRule="auto"/>
        <w:rPr>
          <w:sz w:val="20"/>
          <w:szCs w:val="20"/>
          <w:color w:val="auto"/>
        </w:rPr>
      </w:pPr>
      <w:r>
        <w:rPr>
          <w:rFonts w:ascii="Times New Roman" w:cs="Times New Roman" w:eastAsia="Times New Roman" w:hAnsi="Times New Roman"/>
          <w:sz w:val="16"/>
          <w:szCs w:val="16"/>
          <w:color w:val="auto"/>
        </w:rPr>
        <w:t xml:space="preserve">The information concerning mine safety violations or other regulatory matters required by Section 1503(a) of the Dodd-Frank Wall Street Reform and Consumer Protection Act and Item 104 of Regulation S-K is included in </w:t>
      </w:r>
      <w:r>
        <w:rPr>
          <w:rFonts w:ascii="Times New Roman" w:cs="Times New Roman" w:eastAsia="Times New Roman" w:hAnsi="Times New Roman"/>
          <w:sz w:val="16"/>
          <w:szCs w:val="16"/>
          <w:u w:val="single" w:color="auto"/>
          <w:color w:val="0000FF"/>
        </w:rPr>
        <w:t>Exhibit 95.1</w:t>
      </w:r>
      <w:r>
        <w:rPr>
          <w:rFonts w:ascii="Times New Roman" w:cs="Times New Roman" w:eastAsia="Times New Roman" w:hAnsi="Times New Roman"/>
          <w:sz w:val="16"/>
          <w:szCs w:val="16"/>
          <w:color w:val="auto"/>
        </w:rPr>
        <w:t xml:space="preserve"> to this Quarterly Report on Form 10-Q.</w:t>
      </w:r>
    </w:p>
    <w:p>
      <w:pPr>
        <w:spacing w:after="0" w:line="149"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6"/>
          <w:szCs w:val="16"/>
          <w:b w:val="1"/>
          <w:bCs w:val="1"/>
          <w:color w:val="auto"/>
        </w:rPr>
        <w:t>ITEM 5.</w:t>
        <w:tab/>
        <w:t>OTHER INFORMATION</w:t>
      </w:r>
    </w:p>
    <w:p>
      <w:pPr>
        <w:spacing w:after="0" w:line="129"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During the three months ended September 30, 2026, no director or officer (as defined in Rule 16a-1(f) of the Exchange Act) adopted, modified or terminated a contract, instruction or written plan for the purchase or sale of our securities that was intended to satisfy the affirmative defense conditions of Rule 10b5-1(c) or a “non-Rule 10b5-1 trading arrangement,” as defined in Item 408(c) of Regulation S-K.</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9" w:right="339" w:bottom="1440" w:gutter="0" w:footer="0" w:header="0"/>
          <w:type w:val="continuous"/>
        </w:sectPr>
      </w:pPr>
    </w:p>
    <w:bookmarkStart w:id="45" w:name="page46"/>
    <w:bookmarkEnd w:id="45"/>
    <w:tbl>
      <w:tblPr>
        <w:tblLayout w:type="fixed"/>
        <w:tblInd w:w="0" w:type="dxa"/>
        <w:tblCellMar>
          <w:top w:w="0" w:type="dxa"/>
          <w:left w:w="0" w:type="dxa"/>
          <w:bottom w:w="0" w:type="dxa"/>
          <w:right w:w="0" w:type="dxa"/>
        </w:tblCellMar>
      </w:tblPr>
      <w:tr>
        <w:trPr>
          <w:trHeight w:val="212"/>
        </w:trPr>
        <w:tc>
          <w:tcPr>
            <w:tcW w:w="64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ITEM 6.</w:t>
            </w:r>
          </w:p>
        </w:tc>
        <w:tc>
          <w:tcPr>
            <w:tcW w:w="10640" w:type="dxa"/>
            <w:vAlign w:val="bottom"/>
            <w:gridSpan w:val="15"/>
          </w:tcPr>
          <w:p>
            <w:pPr>
              <w:ind w:left="120"/>
              <w:spacing w:after="0"/>
              <w:rPr>
                <w:sz w:val="20"/>
                <w:szCs w:val="20"/>
                <w:color w:val="auto"/>
              </w:rPr>
            </w:pPr>
            <w:r>
              <w:rPr>
                <w:rFonts w:ascii="Times New Roman" w:cs="Times New Roman" w:eastAsia="Times New Roman" w:hAnsi="Times New Roman"/>
                <w:sz w:val="16"/>
                <w:szCs w:val="16"/>
                <w:b w:val="1"/>
                <w:bCs w:val="1"/>
                <w:color w:val="auto"/>
              </w:rPr>
              <w:t>EXHIBITS</w:t>
            </w:r>
          </w:p>
        </w:tc>
      </w:tr>
      <w:tr>
        <w:trPr>
          <w:trHeight w:val="297"/>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40" w:type="dxa"/>
            <w:vAlign w:val="bottom"/>
            <w:gridSpan w:val="15"/>
          </w:tcPr>
          <w:p>
            <w:pPr>
              <w:ind w:left="20"/>
              <w:spacing w:after="0"/>
              <w:rPr>
                <w:sz w:val="20"/>
                <w:szCs w:val="20"/>
                <w:color w:val="auto"/>
              </w:rPr>
            </w:pPr>
            <w:r>
              <w:rPr>
                <w:rFonts w:ascii="Times New Roman" w:cs="Times New Roman" w:eastAsia="Times New Roman" w:hAnsi="Times New Roman"/>
                <w:sz w:val="16"/>
                <w:szCs w:val="16"/>
                <w:color w:val="auto"/>
              </w:rPr>
              <w:t>The Exhibit Index below contains a list of exhibits filed or furnished with this Form 10-Q.</w:t>
            </w:r>
          </w:p>
        </w:tc>
      </w:tr>
      <w:tr>
        <w:trPr>
          <w:trHeight w:val="316"/>
        </w:trPr>
        <w:tc>
          <w:tcPr>
            <w:tcW w:w="20" w:type="dxa"/>
            <w:vAlign w:val="bottom"/>
          </w:tcPr>
          <w:p>
            <w:pPr>
              <w:spacing w:after="0"/>
              <w:rPr>
                <w:sz w:val="24"/>
                <w:szCs w:val="24"/>
                <w:color w:val="auto"/>
              </w:rPr>
            </w:pPr>
          </w:p>
        </w:tc>
        <w:tc>
          <w:tcPr>
            <w:tcW w:w="6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Exhibits</w:t>
            </w:r>
          </w:p>
        </w:tc>
        <w:tc>
          <w:tcPr>
            <w:tcW w:w="660" w:type="dxa"/>
            <w:vAlign w:val="bottom"/>
          </w:tcPr>
          <w:p>
            <w:pPr>
              <w:spacing w:after="0"/>
              <w:rPr>
                <w:sz w:val="24"/>
                <w:szCs w:val="24"/>
                <w:color w:val="auto"/>
              </w:rPr>
            </w:pPr>
          </w:p>
        </w:tc>
        <w:tc>
          <w:tcPr>
            <w:tcW w:w="9980" w:type="dxa"/>
            <w:vAlign w:val="bottom"/>
            <w:gridSpan w:val="14"/>
          </w:tcPr>
          <w:p>
            <w:pPr>
              <w:spacing w:after="0"/>
              <w:rPr>
                <w:sz w:val="20"/>
                <w:szCs w:val="20"/>
                <w:color w:val="auto"/>
              </w:rPr>
            </w:pPr>
            <w:r>
              <w:rPr>
                <w:rFonts w:ascii="Times New Roman" w:cs="Times New Roman" w:eastAsia="Times New Roman" w:hAnsi="Times New Roman"/>
                <w:sz w:val="16"/>
                <w:szCs w:val="16"/>
                <w:color w:val="auto"/>
              </w:rPr>
              <w:t>Description</w:t>
            </w: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40" w:type="dxa"/>
            <w:vAlign w:val="bottom"/>
          </w:tcPr>
          <w:p>
            <w:pPr>
              <w:spacing w:after="0"/>
              <w:rPr>
                <w:sz w:val="20"/>
                <w:szCs w:val="20"/>
                <w:color w:val="auto"/>
              </w:rPr>
            </w:pPr>
            <w:r>
              <w:rPr>
                <w:rFonts w:ascii="Times New Roman" w:cs="Times New Roman" w:eastAsia="Times New Roman" w:hAnsi="Times New Roman"/>
                <w:sz w:val="16"/>
                <w:szCs w:val="16"/>
                <w:color w:val="auto"/>
              </w:rPr>
              <w:t>4.1</w:t>
            </w: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980" w:type="dxa"/>
            <w:vAlign w:val="bottom"/>
            <w:gridSpan w:val="14"/>
          </w:tcPr>
          <w:p>
            <w:pPr>
              <w:spacing w:after="0"/>
              <w:rPr>
                <w:rFonts w:ascii="Times New Roman" w:cs="Times New Roman" w:eastAsia="Times New Roman" w:hAnsi="Times New Roman"/>
                <w:sz w:val="16"/>
                <w:szCs w:val="16"/>
                <w:color w:val="0000FF"/>
              </w:rPr>
            </w:pPr>
            <w:hyperlink r:id="rId60">
              <w:r>
                <w:rPr>
                  <w:rFonts w:ascii="Times New Roman" w:cs="Times New Roman" w:eastAsia="Times New Roman" w:hAnsi="Times New Roman"/>
                  <w:sz w:val="16"/>
                  <w:szCs w:val="16"/>
                  <w:color w:val="0000FF"/>
                </w:rPr>
                <w:t>Twenty-Second Supplemental Indenture, dated as of August 17, 2026, between MasTec, Inc. and U.S. Bank Trust Company, National Association, as</w:t>
              </w:r>
            </w:hyperlink>
          </w:p>
        </w:tc>
      </w:tr>
      <w:tr>
        <w:trPr>
          <w:trHeight w:val="142"/>
        </w:trPr>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940" w:type="dxa"/>
            <w:vAlign w:val="bottom"/>
            <w:tcBorders>
              <w:top w:val="single" w:sz="8" w:color="0000FF"/>
            </w:tcBorders>
            <w:gridSpan w:val="12"/>
          </w:tcPr>
          <w:p>
            <w:pPr>
              <w:spacing w:after="0" w:line="142" w:lineRule="exact"/>
              <w:rPr>
                <w:rFonts w:ascii="Times New Roman" w:cs="Times New Roman" w:eastAsia="Times New Roman" w:hAnsi="Times New Roman"/>
                <w:sz w:val="16"/>
                <w:szCs w:val="16"/>
                <w:color w:val="0000FF"/>
              </w:rPr>
            </w:pPr>
            <w:hyperlink r:id="rId60">
              <w:r>
                <w:rPr>
                  <w:rFonts w:ascii="Times New Roman" w:cs="Times New Roman" w:eastAsia="Times New Roman" w:hAnsi="Times New Roman"/>
                  <w:sz w:val="16"/>
                  <w:szCs w:val="16"/>
                  <w:color w:val="0000FF"/>
                </w:rPr>
                <w:t>trustee</w:t>
              </w:r>
              <w:r>
                <w:rPr>
                  <w:rFonts w:ascii="Times New Roman" w:cs="Times New Roman" w:eastAsia="Times New Roman" w:hAnsi="Times New Roman"/>
                  <w:sz w:val="16"/>
                  <w:szCs w:val="16"/>
                  <w:color w:val="000000"/>
                </w:rPr>
                <w:t>, filed as Exhibit 4.2 to our Current Report on Form 8-K with the SEC on August 17, 2026 and incorporated by reference herein.</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5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5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4.2</w:t>
            </w: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980" w:type="dxa"/>
            <w:vAlign w:val="bottom"/>
            <w:gridSpan w:val="14"/>
          </w:tcPr>
          <w:p>
            <w:pPr>
              <w:spacing w:after="0"/>
              <w:rPr>
                <w:rFonts w:ascii="Times New Roman" w:cs="Times New Roman" w:eastAsia="Times New Roman" w:hAnsi="Times New Roman"/>
                <w:sz w:val="16"/>
                <w:szCs w:val="16"/>
                <w:color w:val="0000FF"/>
              </w:rPr>
            </w:pPr>
            <w:hyperlink r:id="rId60">
              <w:r>
                <w:rPr>
                  <w:rFonts w:ascii="Times New Roman" w:cs="Times New Roman" w:eastAsia="Times New Roman" w:hAnsi="Times New Roman"/>
                  <w:sz w:val="16"/>
                  <w:szCs w:val="16"/>
                  <w:color w:val="0000FF"/>
                </w:rPr>
                <w:t>Form of 5.850% Senior Notes due 2036</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FF"/>
              </w:rPr>
              <w:t xml:space="preserve"> </w:t>
            </w:r>
            <w:r>
              <w:rPr>
                <w:rFonts w:ascii="Times New Roman" w:cs="Times New Roman" w:eastAsia="Times New Roman" w:hAnsi="Times New Roman"/>
                <w:sz w:val="16"/>
                <w:szCs w:val="16"/>
                <w:color w:val="000000"/>
              </w:rPr>
              <w:t>filed as Exhibit 4.3 and included in Exhibit 4.2 to our Current Report on Form 8-K with the SEC on August 17,</w:t>
            </w: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40" w:type="dxa"/>
            <w:vAlign w:val="bottom"/>
            <w:gridSpan w:val="3"/>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980" w:type="dxa"/>
            <w:vAlign w:val="bottom"/>
            <w:gridSpan w:val="14"/>
          </w:tcPr>
          <w:p>
            <w:pPr>
              <w:spacing w:after="0" w:line="182" w:lineRule="exact"/>
              <w:rPr>
                <w:sz w:val="20"/>
                <w:szCs w:val="20"/>
                <w:color w:val="auto"/>
              </w:rPr>
            </w:pPr>
            <w:r>
              <w:rPr>
                <w:rFonts w:ascii="Times New Roman" w:cs="Times New Roman" w:eastAsia="Times New Roman" w:hAnsi="Times New Roman"/>
                <w:sz w:val="16"/>
                <w:szCs w:val="16"/>
                <w:color w:val="auto"/>
              </w:rPr>
              <w:t>2026 and incorporated by reference herein.</w:t>
            </w:r>
          </w:p>
        </w:tc>
      </w:tr>
      <w:tr>
        <w:trPr>
          <w:trHeight w:val="176"/>
        </w:trPr>
        <w:tc>
          <w:tcPr>
            <w:tcW w:w="56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6"/>
                <w:szCs w:val="16"/>
                <w:color w:val="auto"/>
              </w:rPr>
              <w:t>10.1</w:t>
            </w: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980" w:type="dxa"/>
            <w:vAlign w:val="bottom"/>
            <w:gridSpan w:val="14"/>
          </w:tcPr>
          <w:p>
            <w:pPr>
              <w:spacing w:after="0" w:line="176" w:lineRule="exact"/>
              <w:rPr>
                <w:rFonts w:ascii="Times New Roman" w:cs="Times New Roman" w:eastAsia="Times New Roman" w:hAnsi="Times New Roman"/>
                <w:sz w:val="16"/>
                <w:szCs w:val="16"/>
                <w:color w:val="0000FF"/>
              </w:rPr>
            </w:pPr>
            <w:hyperlink r:id="rId61">
              <w:r>
                <w:rPr>
                  <w:rFonts w:ascii="Times New Roman" w:cs="Times New Roman" w:eastAsia="Times New Roman" w:hAnsi="Times New Roman"/>
                  <w:sz w:val="16"/>
                  <w:szCs w:val="16"/>
                  <w:color w:val="0000FF"/>
                </w:rPr>
                <w:t>Term Loan Agreement, dated as of July 7, 2026, by and among MasTec, Inc. and MasTec North America, Inc., as Borrowers, Bank of America, N.A., as</w:t>
              </w:r>
            </w:hyperlink>
          </w:p>
        </w:tc>
      </w:tr>
      <w:tr>
        <w:trPr>
          <w:trHeight w:val="142"/>
        </w:trPr>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920" w:type="dxa"/>
            <w:vAlign w:val="bottom"/>
            <w:tcBorders>
              <w:top w:val="single" w:sz="8" w:color="0000FF"/>
            </w:tcBorders>
            <w:gridSpan w:val="11"/>
          </w:tcPr>
          <w:p>
            <w:pPr>
              <w:spacing w:after="0" w:line="142" w:lineRule="exact"/>
              <w:rPr>
                <w:rFonts w:ascii="Times New Roman" w:cs="Times New Roman" w:eastAsia="Times New Roman" w:hAnsi="Times New Roman"/>
                <w:sz w:val="16"/>
                <w:szCs w:val="16"/>
                <w:color w:val="0000FF"/>
              </w:rPr>
            </w:pPr>
            <w:hyperlink r:id="rId61">
              <w:r>
                <w:rPr>
                  <w:rFonts w:ascii="Times New Roman" w:cs="Times New Roman" w:eastAsia="Times New Roman" w:hAnsi="Times New Roman"/>
                  <w:sz w:val="16"/>
                  <w:szCs w:val="16"/>
                  <w:color w:val="0000FF"/>
                </w:rPr>
                <w:t>Administrative Agent, and the other lenders party thereto</w:t>
              </w:r>
              <w:r>
                <w:rPr>
                  <w:rFonts w:ascii="Times New Roman" w:cs="Times New Roman" w:eastAsia="Times New Roman" w:hAnsi="Times New Roman"/>
                  <w:sz w:val="16"/>
                  <w:szCs w:val="16"/>
                  <w:color w:val="000000"/>
                </w:rPr>
                <w:t>, filed as Exhibit 10.1 to our Current Report on Form 8-K filed with the SEC on July 7, 2026</w:t>
              </w:r>
            </w:hyperlink>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r>
      <w:tr>
        <w:trPr>
          <w:trHeight w:val="182"/>
        </w:trPr>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760" w:type="dxa"/>
            <w:vAlign w:val="bottom"/>
            <w:tcBorders>
              <w:top w:val="single" w:sz="8" w:color="0000FF"/>
            </w:tcBorders>
            <w:gridSpan w:val="5"/>
          </w:tcPr>
          <w:p>
            <w:pPr>
              <w:spacing w:after="0" w:line="182" w:lineRule="exact"/>
              <w:rPr>
                <w:sz w:val="20"/>
                <w:szCs w:val="20"/>
                <w:color w:val="auto"/>
              </w:rPr>
            </w:pPr>
            <w:r>
              <w:rPr>
                <w:rFonts w:ascii="Times New Roman" w:cs="Times New Roman" w:eastAsia="Times New Roman" w:hAnsi="Times New Roman"/>
                <w:sz w:val="16"/>
                <w:szCs w:val="16"/>
                <w:color w:val="auto"/>
              </w:rPr>
              <w:t>and incorporated by reference herein.</w:t>
            </w: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114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r>
      <w:tr>
        <w:trPr>
          <w:trHeight w:val="176"/>
        </w:trPr>
        <w:tc>
          <w:tcPr>
            <w:tcW w:w="56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6"/>
                <w:szCs w:val="16"/>
                <w:color w:val="auto"/>
              </w:rPr>
              <w:t>10.2</w:t>
            </w: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980" w:type="dxa"/>
            <w:vAlign w:val="bottom"/>
            <w:gridSpan w:val="14"/>
          </w:tcPr>
          <w:p>
            <w:pPr>
              <w:spacing w:after="0" w:line="176" w:lineRule="exact"/>
              <w:rPr>
                <w:rFonts w:ascii="Times New Roman" w:cs="Times New Roman" w:eastAsia="Times New Roman" w:hAnsi="Times New Roman"/>
                <w:sz w:val="16"/>
                <w:szCs w:val="16"/>
                <w:color w:val="0000FF"/>
              </w:rPr>
            </w:pPr>
            <w:hyperlink r:id="rId62">
              <w:r>
                <w:rPr>
                  <w:rFonts w:ascii="Times New Roman" w:cs="Times New Roman" w:eastAsia="Times New Roman" w:hAnsi="Times New Roman"/>
                  <w:sz w:val="16"/>
                  <w:szCs w:val="16"/>
                  <w:color w:val="0000FF"/>
                </w:rPr>
                <w:t>Amendment No. 1 to Amended and Restated Credit Agreement, dated as of July 7, 2026, by and among MasTec, Inc. and MasTec North America, Inc.</w:t>
              </w:r>
            </w:hyperlink>
          </w:p>
        </w:tc>
      </w:tr>
      <w:tr>
        <w:trPr>
          <w:trHeight w:val="142"/>
        </w:trPr>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960" w:type="dxa"/>
            <w:vAlign w:val="bottom"/>
            <w:tcBorders>
              <w:top w:val="single" w:sz="8" w:color="0000FF"/>
            </w:tcBorders>
            <w:gridSpan w:val="13"/>
          </w:tcPr>
          <w:p>
            <w:pPr>
              <w:spacing w:after="0" w:line="142" w:lineRule="exact"/>
              <w:rPr>
                <w:rFonts w:ascii="Times New Roman" w:cs="Times New Roman" w:eastAsia="Times New Roman" w:hAnsi="Times New Roman"/>
                <w:sz w:val="16"/>
                <w:szCs w:val="16"/>
                <w:color w:val="0000FF"/>
              </w:rPr>
            </w:pPr>
            <w:hyperlink r:id="rId62">
              <w:r>
                <w:rPr>
                  <w:rFonts w:ascii="Times New Roman" w:cs="Times New Roman" w:eastAsia="Times New Roman" w:hAnsi="Times New Roman"/>
                  <w:sz w:val="16"/>
                  <w:szCs w:val="16"/>
                  <w:color w:val="0000FF"/>
                </w:rPr>
                <w:t>as Borrowers, Bank of America, N.A., as Administrative Agent, Swing Line Lender and L/C Issuer, and the other lenders party thereto</w:t>
              </w:r>
              <w:r>
                <w:rPr>
                  <w:rFonts w:ascii="Times New Roman" w:cs="Times New Roman" w:eastAsia="Times New Roman" w:hAnsi="Times New Roman"/>
                  <w:sz w:val="16"/>
                  <w:szCs w:val="16"/>
                  <w:color w:val="000000"/>
                </w:rPr>
                <w:t>, filed as Exhibit</w:t>
              </w:r>
            </w:hyperlink>
          </w:p>
        </w:tc>
        <w:tc>
          <w:tcPr>
            <w:tcW w:w="20" w:type="dxa"/>
            <w:vAlign w:val="bottom"/>
          </w:tcPr>
          <w:p>
            <w:pPr>
              <w:spacing w:after="0"/>
              <w:rPr>
                <w:sz w:val="12"/>
                <w:szCs w:val="12"/>
                <w:color w:val="auto"/>
              </w:rPr>
            </w:pPr>
          </w:p>
        </w:tc>
      </w:tr>
      <w:tr>
        <w:trPr>
          <w:trHeight w:val="182"/>
        </w:trPr>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820" w:type="dxa"/>
            <w:vAlign w:val="bottom"/>
            <w:tcBorders>
              <w:top w:val="single" w:sz="8" w:color="0000FF"/>
            </w:tcBorders>
            <w:gridSpan w:val="10"/>
          </w:tcPr>
          <w:p>
            <w:pPr>
              <w:spacing w:after="0" w:line="182" w:lineRule="exact"/>
              <w:rPr>
                <w:sz w:val="20"/>
                <w:szCs w:val="20"/>
                <w:color w:val="auto"/>
              </w:rPr>
            </w:pPr>
            <w:r>
              <w:rPr>
                <w:rFonts w:ascii="Times New Roman" w:cs="Times New Roman" w:eastAsia="Times New Roman" w:hAnsi="Times New Roman"/>
                <w:sz w:val="16"/>
                <w:szCs w:val="16"/>
                <w:color w:val="auto"/>
              </w:rPr>
              <w:t>10.2 to our Current Report on Form 8-K filed with the SEC on July 7, 2026 and incorporated by reference herein.</w:t>
            </w:r>
          </w:p>
        </w:tc>
        <w:tc>
          <w:tcPr>
            <w:tcW w:w="1160" w:type="dxa"/>
            <w:vAlign w:val="bottom"/>
            <w:gridSpan w:val="4"/>
          </w:tcPr>
          <w:p>
            <w:pPr>
              <w:spacing w:after="0"/>
              <w:rPr>
                <w:sz w:val="15"/>
                <w:szCs w:val="15"/>
                <w:color w:val="auto"/>
              </w:rPr>
            </w:pPr>
          </w:p>
        </w:tc>
      </w:tr>
      <w:tr>
        <w:trPr>
          <w:trHeight w:val="176"/>
        </w:trPr>
        <w:tc>
          <w:tcPr>
            <w:tcW w:w="56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6"/>
                <w:szCs w:val="16"/>
                <w:color w:val="auto"/>
              </w:rPr>
              <w:t>31.1*</w:t>
            </w: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020" w:type="dxa"/>
            <w:vAlign w:val="bottom"/>
            <w:tcBorders>
              <w:bottom w:val="single" w:sz="8" w:color="0000FF"/>
            </w:tcBorders>
            <w:gridSpan w:val="9"/>
          </w:tcPr>
          <w:p>
            <w:pPr>
              <w:spacing w:after="0" w:line="176" w:lineRule="exact"/>
              <w:rPr>
                <w:sz w:val="20"/>
                <w:szCs w:val="20"/>
                <w:color w:val="auto"/>
              </w:rPr>
            </w:pPr>
            <w:r>
              <w:rPr>
                <w:rFonts w:ascii="Times New Roman" w:cs="Times New Roman" w:eastAsia="Times New Roman" w:hAnsi="Times New Roman"/>
                <w:sz w:val="16"/>
                <w:szCs w:val="16"/>
                <w:color w:val="0000FF"/>
              </w:rPr>
              <w:t>Certifications required by Section 302(a) of the Sarbanes-Oxley Act of 2002.</w:t>
            </w:r>
          </w:p>
        </w:tc>
        <w:tc>
          <w:tcPr>
            <w:tcW w:w="4960" w:type="dxa"/>
            <w:vAlign w:val="bottom"/>
            <w:gridSpan w:val="5"/>
          </w:tcPr>
          <w:p>
            <w:pPr>
              <w:spacing w:after="0"/>
              <w:rPr>
                <w:sz w:val="15"/>
                <w:szCs w:val="15"/>
                <w:color w:val="auto"/>
              </w:rPr>
            </w:pPr>
          </w:p>
        </w:tc>
      </w:tr>
      <w:tr>
        <w:trPr>
          <w:trHeight w:val="196"/>
        </w:trPr>
        <w:tc>
          <w:tcPr>
            <w:tcW w:w="5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31.2*</w:t>
            </w: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980" w:type="dxa"/>
            <w:vAlign w:val="bottom"/>
            <w:gridSpan w:val="14"/>
          </w:tcPr>
          <w:p>
            <w:pPr>
              <w:spacing w:after="0"/>
              <w:rPr>
                <w:sz w:val="20"/>
                <w:szCs w:val="20"/>
                <w:color w:val="auto"/>
              </w:rPr>
            </w:pPr>
            <w:r>
              <w:rPr>
                <w:rFonts w:ascii="Times New Roman" w:cs="Times New Roman" w:eastAsia="Times New Roman" w:hAnsi="Times New Roman"/>
                <w:sz w:val="16"/>
                <w:szCs w:val="16"/>
                <w:color w:val="0000FF"/>
              </w:rPr>
              <w:t>Certifications required by Section 302(a) of the Sarbanes-Oxley Act of 2002.</w:t>
            </w:r>
          </w:p>
        </w:tc>
      </w:tr>
      <w:tr>
        <w:trPr>
          <w:trHeight w:val="196"/>
        </w:trPr>
        <w:tc>
          <w:tcPr>
            <w:tcW w:w="5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32.1**</w:t>
            </w: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40" w:type="dxa"/>
            <w:vAlign w:val="bottom"/>
            <w:tcBorders>
              <w:top w:val="single" w:sz="8" w:color="0000FF"/>
              <w:bottom w:val="single" w:sz="8" w:color="0000FF"/>
            </w:tcBorders>
            <w:gridSpan w:val="7"/>
          </w:tcPr>
          <w:p>
            <w:pPr>
              <w:spacing w:after="0"/>
              <w:rPr>
                <w:sz w:val="20"/>
                <w:szCs w:val="20"/>
                <w:color w:val="auto"/>
              </w:rPr>
            </w:pPr>
            <w:r>
              <w:rPr>
                <w:rFonts w:ascii="Times New Roman" w:cs="Times New Roman" w:eastAsia="Times New Roman" w:hAnsi="Times New Roman"/>
                <w:sz w:val="16"/>
                <w:szCs w:val="16"/>
                <w:color w:val="0000FF"/>
              </w:rPr>
              <w:t>Certifications required by Section 906 of the Sarbanes-Oxley Act of 2002.</w:t>
            </w:r>
          </w:p>
        </w:tc>
        <w:tc>
          <w:tcPr>
            <w:tcW w:w="160" w:type="dxa"/>
            <w:vAlign w:val="bottom"/>
            <w:tcBorders>
              <w:top w:val="single" w:sz="8" w:color="0000FF"/>
            </w:tcBorders>
          </w:tcPr>
          <w:p>
            <w:pPr>
              <w:spacing w:after="0"/>
              <w:rPr>
                <w:sz w:val="17"/>
                <w:szCs w:val="17"/>
                <w:color w:val="auto"/>
              </w:rPr>
            </w:pPr>
          </w:p>
        </w:tc>
        <w:tc>
          <w:tcPr>
            <w:tcW w:w="4980" w:type="dxa"/>
            <w:vAlign w:val="bottom"/>
            <w:gridSpan w:val="6"/>
          </w:tcPr>
          <w:p>
            <w:pPr>
              <w:spacing w:after="0"/>
              <w:rPr>
                <w:sz w:val="17"/>
                <w:szCs w:val="17"/>
                <w:color w:val="auto"/>
              </w:rPr>
            </w:pPr>
          </w:p>
        </w:tc>
      </w:tr>
      <w:tr>
        <w:trPr>
          <w:trHeight w:val="196"/>
        </w:trPr>
        <w:tc>
          <w:tcPr>
            <w:tcW w:w="5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32.2**</w:t>
            </w: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980" w:type="dxa"/>
            <w:vAlign w:val="bottom"/>
            <w:gridSpan w:val="14"/>
          </w:tcPr>
          <w:p>
            <w:pPr>
              <w:spacing w:after="0"/>
              <w:rPr>
                <w:sz w:val="20"/>
                <w:szCs w:val="20"/>
                <w:color w:val="auto"/>
              </w:rPr>
            </w:pPr>
            <w:r>
              <w:rPr>
                <w:rFonts w:ascii="Times New Roman" w:cs="Times New Roman" w:eastAsia="Times New Roman" w:hAnsi="Times New Roman"/>
                <w:sz w:val="16"/>
                <w:szCs w:val="16"/>
                <w:color w:val="0000FF"/>
              </w:rPr>
              <w:t>Certifications required by Section 906 of the Sarbanes-Oxley Act of 2002.</w:t>
            </w:r>
          </w:p>
        </w:tc>
      </w:tr>
      <w:tr>
        <w:trPr>
          <w:trHeight w:val="196"/>
        </w:trPr>
        <w:tc>
          <w:tcPr>
            <w:tcW w:w="5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95.1*</w:t>
            </w: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2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6"/>
                <w:szCs w:val="16"/>
                <w:color w:val="0000FF"/>
              </w:rPr>
              <w:t>Mine Safety Disclosures.</w:t>
            </w:r>
          </w:p>
        </w:tc>
        <w:tc>
          <w:tcPr>
            <w:tcW w:w="5160" w:type="dxa"/>
            <w:vAlign w:val="bottom"/>
            <w:gridSpan w:val="8"/>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40" w:type="dxa"/>
            <w:vAlign w:val="bottom"/>
            <w:gridSpan w:val="3"/>
            <w:shd w:val="clear" w:color="auto" w:fill="0000FF"/>
          </w:tcPr>
          <w:p>
            <w:pPr>
              <w:spacing w:after="0" w:line="20" w:lineRule="exact"/>
              <w:rPr>
                <w:sz w:val="1"/>
                <w:szCs w:val="1"/>
                <w:color w:val="auto"/>
              </w:rPr>
            </w:pPr>
          </w:p>
        </w:tc>
        <w:tc>
          <w:tcPr>
            <w:tcW w:w="8340" w:type="dxa"/>
            <w:vAlign w:val="bottom"/>
            <w:gridSpan w:val="11"/>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620" w:type="dxa"/>
            <w:vAlign w:val="bottom"/>
            <w:gridSpan w:val="2"/>
          </w:tcPr>
          <w:p>
            <w:pPr>
              <w:spacing w:after="0" w:line="183" w:lineRule="exact"/>
              <w:rPr>
                <w:sz w:val="20"/>
                <w:szCs w:val="20"/>
                <w:color w:val="auto"/>
              </w:rPr>
            </w:pPr>
            <w:r>
              <w:rPr>
                <w:rFonts w:ascii="Times New Roman" w:cs="Times New Roman" w:eastAsia="Times New Roman" w:hAnsi="Times New Roman"/>
                <w:sz w:val="16"/>
                <w:szCs w:val="16"/>
                <w:color w:val="auto"/>
              </w:rPr>
              <w:t>101.INS</w:t>
            </w:r>
          </w:p>
        </w:tc>
        <w:tc>
          <w:tcPr>
            <w:tcW w:w="660" w:type="dxa"/>
            <w:vAlign w:val="bottom"/>
          </w:tcPr>
          <w:p>
            <w:pPr>
              <w:spacing w:after="0"/>
              <w:rPr>
                <w:sz w:val="15"/>
                <w:szCs w:val="15"/>
                <w:color w:val="auto"/>
              </w:rPr>
            </w:pPr>
          </w:p>
        </w:tc>
        <w:tc>
          <w:tcPr>
            <w:tcW w:w="9980" w:type="dxa"/>
            <w:vAlign w:val="bottom"/>
            <w:gridSpan w:val="14"/>
          </w:tcPr>
          <w:p>
            <w:pPr>
              <w:spacing w:after="0" w:line="183" w:lineRule="exact"/>
              <w:rPr>
                <w:sz w:val="20"/>
                <w:szCs w:val="20"/>
                <w:color w:val="auto"/>
              </w:rPr>
            </w:pPr>
            <w:r>
              <w:rPr>
                <w:rFonts w:ascii="Times New Roman" w:cs="Times New Roman" w:eastAsia="Times New Roman" w:hAnsi="Times New Roman"/>
                <w:sz w:val="16"/>
                <w:szCs w:val="16"/>
                <w:color w:val="auto"/>
              </w:rPr>
              <w:t>Inline XBRL Instance Document - The instance document does not appear in the interactive data file because its XBRL tags are embedded within the</w:t>
            </w:r>
          </w:p>
        </w:tc>
      </w:tr>
      <w:tr>
        <w:trPr>
          <w:trHeight w:val="210"/>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980" w:type="dxa"/>
            <w:vAlign w:val="bottom"/>
            <w:gridSpan w:val="14"/>
          </w:tcPr>
          <w:p>
            <w:pPr>
              <w:spacing w:after="0"/>
              <w:rPr>
                <w:sz w:val="20"/>
                <w:szCs w:val="20"/>
                <w:color w:val="auto"/>
              </w:rPr>
            </w:pPr>
            <w:r>
              <w:rPr>
                <w:rFonts w:ascii="Times New Roman" w:cs="Times New Roman" w:eastAsia="Times New Roman" w:hAnsi="Times New Roman"/>
                <w:sz w:val="16"/>
                <w:szCs w:val="16"/>
                <w:color w:val="auto"/>
              </w:rPr>
              <w:t>Inline XBRL document.</w:t>
            </w:r>
          </w:p>
        </w:tc>
      </w:tr>
      <w:tr>
        <w:trPr>
          <w:trHeight w:val="216"/>
        </w:trPr>
        <w:tc>
          <w:tcPr>
            <w:tcW w:w="20" w:type="dxa"/>
            <w:vAlign w:val="bottom"/>
          </w:tcPr>
          <w:p>
            <w:pPr>
              <w:spacing w:after="0"/>
              <w:rPr>
                <w:sz w:val="18"/>
                <w:szCs w:val="18"/>
                <w:color w:val="auto"/>
              </w:rPr>
            </w:pPr>
          </w:p>
        </w:tc>
        <w:tc>
          <w:tcPr>
            <w:tcW w:w="6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101.SCH</w:t>
            </w:r>
          </w:p>
        </w:tc>
        <w:tc>
          <w:tcPr>
            <w:tcW w:w="660" w:type="dxa"/>
            <w:vAlign w:val="bottom"/>
          </w:tcPr>
          <w:p>
            <w:pPr>
              <w:spacing w:after="0"/>
              <w:rPr>
                <w:sz w:val="18"/>
                <w:szCs w:val="18"/>
                <w:color w:val="auto"/>
              </w:rPr>
            </w:pPr>
          </w:p>
        </w:tc>
        <w:tc>
          <w:tcPr>
            <w:tcW w:w="9980" w:type="dxa"/>
            <w:vAlign w:val="bottom"/>
            <w:gridSpan w:val="14"/>
          </w:tcPr>
          <w:p>
            <w:pPr>
              <w:spacing w:after="0"/>
              <w:rPr>
                <w:sz w:val="20"/>
                <w:szCs w:val="20"/>
                <w:color w:val="auto"/>
              </w:rPr>
            </w:pPr>
            <w:r>
              <w:rPr>
                <w:rFonts w:ascii="Times New Roman" w:cs="Times New Roman" w:eastAsia="Times New Roman" w:hAnsi="Times New Roman"/>
                <w:sz w:val="16"/>
                <w:szCs w:val="16"/>
                <w:color w:val="auto"/>
              </w:rPr>
              <w:t>Inline XBRL Taxonomy Extension Schema</w:t>
            </w:r>
          </w:p>
        </w:tc>
      </w:tr>
      <w:tr>
        <w:trPr>
          <w:trHeight w:val="216"/>
        </w:trPr>
        <w:tc>
          <w:tcPr>
            <w:tcW w:w="20" w:type="dxa"/>
            <w:vAlign w:val="bottom"/>
          </w:tcPr>
          <w:p>
            <w:pPr>
              <w:spacing w:after="0"/>
              <w:rPr>
                <w:sz w:val="18"/>
                <w:szCs w:val="18"/>
                <w:color w:val="auto"/>
              </w:rPr>
            </w:pPr>
          </w:p>
        </w:tc>
        <w:tc>
          <w:tcPr>
            <w:tcW w:w="620" w:type="dxa"/>
            <w:vAlign w:val="bottom"/>
            <w:gridSpan w:val="2"/>
          </w:tcPr>
          <w:p>
            <w:pPr>
              <w:spacing w:after="0"/>
              <w:rPr>
                <w:sz w:val="20"/>
                <w:szCs w:val="20"/>
                <w:color w:val="auto"/>
              </w:rPr>
            </w:pPr>
            <w:r>
              <w:rPr>
                <w:rFonts w:ascii="Times New Roman" w:cs="Times New Roman" w:eastAsia="Times New Roman" w:hAnsi="Times New Roman"/>
                <w:sz w:val="16"/>
                <w:szCs w:val="16"/>
                <w:color w:val="auto"/>
                <w:w w:val="99"/>
              </w:rPr>
              <w:t>101.CAL</w:t>
            </w:r>
          </w:p>
        </w:tc>
        <w:tc>
          <w:tcPr>
            <w:tcW w:w="660" w:type="dxa"/>
            <w:vAlign w:val="bottom"/>
          </w:tcPr>
          <w:p>
            <w:pPr>
              <w:spacing w:after="0"/>
              <w:rPr>
                <w:sz w:val="18"/>
                <w:szCs w:val="18"/>
                <w:color w:val="auto"/>
              </w:rPr>
            </w:pPr>
          </w:p>
        </w:tc>
        <w:tc>
          <w:tcPr>
            <w:tcW w:w="9980" w:type="dxa"/>
            <w:vAlign w:val="bottom"/>
            <w:gridSpan w:val="14"/>
          </w:tcPr>
          <w:p>
            <w:pPr>
              <w:spacing w:after="0"/>
              <w:rPr>
                <w:sz w:val="20"/>
                <w:szCs w:val="20"/>
                <w:color w:val="auto"/>
              </w:rPr>
            </w:pPr>
            <w:r>
              <w:rPr>
                <w:rFonts w:ascii="Times New Roman" w:cs="Times New Roman" w:eastAsia="Times New Roman" w:hAnsi="Times New Roman"/>
                <w:sz w:val="16"/>
                <w:szCs w:val="16"/>
                <w:color w:val="auto"/>
              </w:rPr>
              <w:t>Inline XBRL Taxonomy Extension Calculation Linkbase</w:t>
            </w:r>
          </w:p>
        </w:tc>
      </w:tr>
      <w:tr>
        <w:trPr>
          <w:trHeight w:val="243"/>
        </w:trPr>
        <w:tc>
          <w:tcPr>
            <w:tcW w:w="20" w:type="dxa"/>
            <w:vAlign w:val="bottom"/>
          </w:tcPr>
          <w:p>
            <w:pPr>
              <w:spacing w:after="0"/>
              <w:rPr>
                <w:sz w:val="21"/>
                <w:szCs w:val="21"/>
                <w:color w:val="auto"/>
              </w:rPr>
            </w:pPr>
          </w:p>
        </w:tc>
        <w:tc>
          <w:tcPr>
            <w:tcW w:w="6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101.DEF</w:t>
            </w:r>
          </w:p>
        </w:tc>
        <w:tc>
          <w:tcPr>
            <w:tcW w:w="660" w:type="dxa"/>
            <w:vAlign w:val="bottom"/>
          </w:tcPr>
          <w:p>
            <w:pPr>
              <w:spacing w:after="0"/>
              <w:rPr>
                <w:sz w:val="21"/>
                <w:szCs w:val="21"/>
                <w:color w:val="auto"/>
              </w:rPr>
            </w:pPr>
          </w:p>
        </w:tc>
        <w:tc>
          <w:tcPr>
            <w:tcW w:w="9980" w:type="dxa"/>
            <w:vAlign w:val="bottom"/>
            <w:gridSpan w:val="14"/>
          </w:tcPr>
          <w:p>
            <w:pPr>
              <w:spacing w:after="0"/>
              <w:rPr>
                <w:sz w:val="20"/>
                <w:szCs w:val="20"/>
                <w:color w:val="auto"/>
              </w:rPr>
            </w:pPr>
            <w:r>
              <w:rPr>
                <w:rFonts w:ascii="Times New Roman" w:cs="Times New Roman" w:eastAsia="Times New Roman" w:hAnsi="Times New Roman"/>
                <w:sz w:val="16"/>
                <w:szCs w:val="16"/>
                <w:color w:val="auto"/>
              </w:rPr>
              <w:t>Inline XBRL Taxonomy Extension Definition Linkbase</w:t>
            </w:r>
          </w:p>
        </w:tc>
      </w:tr>
      <w:tr>
        <w:trPr>
          <w:trHeight w:val="229"/>
        </w:trPr>
        <w:tc>
          <w:tcPr>
            <w:tcW w:w="20" w:type="dxa"/>
            <w:vAlign w:val="bottom"/>
          </w:tcPr>
          <w:p>
            <w:pPr>
              <w:spacing w:after="0"/>
              <w:rPr>
                <w:sz w:val="19"/>
                <w:szCs w:val="19"/>
                <w:color w:val="auto"/>
              </w:rPr>
            </w:pPr>
          </w:p>
        </w:tc>
        <w:tc>
          <w:tcPr>
            <w:tcW w:w="620" w:type="dxa"/>
            <w:vAlign w:val="bottom"/>
            <w:gridSpan w:val="2"/>
          </w:tcPr>
          <w:p>
            <w:pPr>
              <w:spacing w:after="0"/>
              <w:rPr>
                <w:sz w:val="20"/>
                <w:szCs w:val="20"/>
                <w:color w:val="auto"/>
              </w:rPr>
            </w:pPr>
            <w:r>
              <w:rPr>
                <w:rFonts w:ascii="Times New Roman" w:cs="Times New Roman" w:eastAsia="Times New Roman" w:hAnsi="Times New Roman"/>
                <w:sz w:val="16"/>
                <w:szCs w:val="16"/>
                <w:color w:val="auto"/>
                <w:w w:val="99"/>
              </w:rPr>
              <w:t>101.LAB</w:t>
            </w:r>
          </w:p>
        </w:tc>
        <w:tc>
          <w:tcPr>
            <w:tcW w:w="660" w:type="dxa"/>
            <w:vAlign w:val="bottom"/>
          </w:tcPr>
          <w:p>
            <w:pPr>
              <w:spacing w:after="0"/>
              <w:rPr>
                <w:sz w:val="19"/>
                <w:szCs w:val="19"/>
                <w:color w:val="auto"/>
              </w:rPr>
            </w:pPr>
          </w:p>
        </w:tc>
        <w:tc>
          <w:tcPr>
            <w:tcW w:w="9980" w:type="dxa"/>
            <w:vAlign w:val="bottom"/>
            <w:gridSpan w:val="14"/>
          </w:tcPr>
          <w:p>
            <w:pPr>
              <w:spacing w:after="0"/>
              <w:rPr>
                <w:sz w:val="20"/>
                <w:szCs w:val="20"/>
                <w:color w:val="auto"/>
              </w:rPr>
            </w:pPr>
            <w:r>
              <w:rPr>
                <w:rFonts w:ascii="Times New Roman" w:cs="Times New Roman" w:eastAsia="Times New Roman" w:hAnsi="Times New Roman"/>
                <w:sz w:val="16"/>
                <w:szCs w:val="16"/>
                <w:color w:val="auto"/>
              </w:rPr>
              <w:t>Inline XBRL Taxonomy Extension Label Linkbase</w:t>
            </w:r>
          </w:p>
        </w:tc>
      </w:tr>
      <w:tr>
        <w:trPr>
          <w:trHeight w:val="216"/>
        </w:trPr>
        <w:tc>
          <w:tcPr>
            <w:tcW w:w="20" w:type="dxa"/>
            <w:vAlign w:val="bottom"/>
          </w:tcPr>
          <w:p>
            <w:pPr>
              <w:spacing w:after="0"/>
              <w:rPr>
                <w:sz w:val="18"/>
                <w:szCs w:val="18"/>
                <w:color w:val="auto"/>
              </w:rPr>
            </w:pPr>
          </w:p>
        </w:tc>
        <w:tc>
          <w:tcPr>
            <w:tcW w:w="6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101.PRE</w:t>
            </w:r>
          </w:p>
        </w:tc>
        <w:tc>
          <w:tcPr>
            <w:tcW w:w="660" w:type="dxa"/>
            <w:vAlign w:val="bottom"/>
          </w:tcPr>
          <w:p>
            <w:pPr>
              <w:spacing w:after="0"/>
              <w:rPr>
                <w:sz w:val="18"/>
                <w:szCs w:val="18"/>
                <w:color w:val="auto"/>
              </w:rPr>
            </w:pPr>
          </w:p>
        </w:tc>
        <w:tc>
          <w:tcPr>
            <w:tcW w:w="9980" w:type="dxa"/>
            <w:vAlign w:val="bottom"/>
            <w:gridSpan w:val="14"/>
          </w:tcPr>
          <w:p>
            <w:pPr>
              <w:spacing w:after="0"/>
              <w:rPr>
                <w:sz w:val="20"/>
                <w:szCs w:val="20"/>
                <w:color w:val="auto"/>
              </w:rPr>
            </w:pPr>
            <w:r>
              <w:rPr>
                <w:rFonts w:ascii="Times New Roman" w:cs="Times New Roman" w:eastAsia="Times New Roman" w:hAnsi="Times New Roman"/>
                <w:sz w:val="16"/>
                <w:szCs w:val="16"/>
                <w:color w:val="auto"/>
              </w:rPr>
              <w:t>Inline XBRL Taxonomy Extension Presentation Linkbase</w:t>
            </w:r>
          </w:p>
        </w:tc>
      </w:tr>
    </w:tbl>
    <w:p>
      <w:pPr>
        <w:spacing w:after="0" w:line="6" w:lineRule="exact"/>
        <w:rPr>
          <w:sz w:val="20"/>
          <w:szCs w:val="20"/>
          <w:color w:val="auto"/>
        </w:rPr>
      </w:pPr>
    </w:p>
    <w:p>
      <w:pPr>
        <w:ind w:left="1300" w:hanging="1274"/>
        <w:spacing w:after="0" w:line="245" w:lineRule="auto"/>
        <w:tabs>
          <w:tab w:leader="none" w:pos="130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cover page of MasTec, Inc.’s Quarterly Report on Form 10-Q for the quarter ended September 30, 2026, formatted in Inline XBRL (included with the Exhibit 101 attachments).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w:t>
      </w:r>
    </w:p>
    <w:p>
      <w:pPr>
        <w:spacing w:after="0" w:line="26" w:lineRule="exact"/>
        <w:rPr>
          <w:sz w:val="20"/>
          <w:szCs w:val="20"/>
          <w:color w:val="auto"/>
        </w:rPr>
      </w:pPr>
    </w:p>
    <w:p>
      <w:pPr>
        <w:spacing w:after="0"/>
        <w:tabs>
          <w:tab w:leader="none" w:pos="200" w:val="left"/>
        </w:tabs>
        <w:rPr>
          <w:sz w:val="20"/>
          <w:szCs w:val="20"/>
          <w:color w:val="auto"/>
        </w:rPr>
      </w:pPr>
      <w:r>
        <w:rPr>
          <w:rFonts w:ascii="Times New Roman" w:cs="Times New Roman" w:eastAsia="Times New Roman" w:hAnsi="Times New Roman"/>
          <w:sz w:val="14"/>
          <w:szCs w:val="14"/>
          <w:color w:val="auto"/>
        </w:rPr>
        <w:t>*</w:t>
        <w:tab/>
        <w:t>Filed herewith.</w:t>
      </w:r>
    </w:p>
    <w:p>
      <w:pPr>
        <w:spacing w:after="0" w:line="25" w:lineRule="exact"/>
        <w:rPr>
          <w:sz w:val="20"/>
          <w:szCs w:val="20"/>
          <w:color w:val="auto"/>
        </w:rPr>
      </w:pPr>
    </w:p>
    <w:p>
      <w:pPr>
        <w:ind w:left="300" w:hanging="292"/>
        <w:spacing w:after="0"/>
        <w:tabs>
          <w:tab w:leader="none" w:pos="3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09" w:right="359" w:bottom="1440" w:gutter="0" w:footer="0" w:header="0"/>
        </w:sectPr>
      </w:pPr>
    </w:p>
    <w:bookmarkStart w:id="46" w:name="page47"/>
    <w:bookmarkEnd w:id="46"/>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223" w:lineRule="exact"/>
        <w:rPr>
          <w:sz w:val="20"/>
          <w:szCs w:val="20"/>
          <w:color w:val="auto"/>
        </w:rPr>
      </w:pPr>
    </w:p>
    <w:p>
      <w:pPr>
        <w:ind w:firstLine="648"/>
        <w:spacing w:after="0" w:line="298"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thereunto duly authorized.</w:t>
      </w:r>
    </w:p>
    <w:p>
      <w:pPr>
        <w:spacing w:after="0" w:line="19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MASTEC, INC.</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Date: October 29, 2026</w:t>
      </w:r>
    </w:p>
    <w:p>
      <w:pPr>
        <w:spacing w:after="0" w:line="3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i w:val="1"/>
          <w:iCs w:val="1"/>
          <w:color w:val="auto"/>
        </w:rPr>
        <w:t>/s/ T. MICHAEL LOVE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21590</wp:posOffset>
            </wp:positionV>
            <wp:extent cx="356616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4">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T. Michael Love</w:t>
      </w:r>
    </w:p>
    <w:p>
      <w:pPr>
        <w:spacing w:after="0" w:line="3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Chief Accounting Officer</w:t>
      </w:r>
    </w:p>
    <w:p>
      <w:pPr>
        <w:spacing w:after="0" w:line="3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6"/>
          <w:szCs w:val="16"/>
          <w:color w:val="auto"/>
        </w:rPr>
        <w:t>47</w:t>
      </w:r>
    </w:p>
    <w:p>
      <w:pPr>
        <w:sectPr>
          <w:pgSz w:w="11900" w:h="16838" w:orient="portrait"/>
          <w:cols w:equalWidth="0" w:num="1">
            <w:col w:w="11240"/>
          </w:cols>
          <w:pgMar w:left="320" w:top="1109" w:right="33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6"/>
          <w:szCs w:val="16"/>
          <w:b w:val="1"/>
          <w:bCs w:val="1"/>
          <w:color w:val="auto"/>
        </w:rPr>
        <w:t>Exhibit 31.1</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CERTIFICATIONS REQUIRED BY SECTION 302(a)</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OF SARBANES-OXLEY ACT OF 2002</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José R. Mas, certify that:</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have reviewed this quarterly report on Form 10-Q of MasTec, Inc.;</w:t>
      </w:r>
    </w:p>
    <w:p>
      <w:pPr>
        <w:spacing w:after="0" w:line="248"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205"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205"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2" w:lineRule="exact"/>
        <w:rPr>
          <w:sz w:val="20"/>
          <w:szCs w:val="20"/>
          <w:color w:val="auto"/>
        </w:rPr>
      </w:pPr>
    </w:p>
    <w:p>
      <w:pPr>
        <w:ind w:left="980" w:hanging="486"/>
        <w:spacing w:after="0" w:line="272" w:lineRule="auto"/>
        <w:tabs>
          <w:tab w:leader="none" w:pos="864"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97" w:lineRule="exact"/>
        <w:rPr>
          <w:rFonts w:ascii="Times New Roman" w:cs="Times New Roman" w:eastAsia="Times New Roman" w:hAnsi="Times New Roman"/>
          <w:sz w:val="16"/>
          <w:szCs w:val="16"/>
          <w:color w:val="auto"/>
        </w:rPr>
      </w:pPr>
    </w:p>
    <w:p>
      <w:pPr>
        <w:ind w:left="980" w:hanging="486"/>
        <w:spacing w:after="0" w:line="272" w:lineRule="auto"/>
        <w:tabs>
          <w:tab w:leader="none" w:pos="803"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1" w:lineRule="exact"/>
        <w:rPr>
          <w:rFonts w:ascii="Times New Roman" w:cs="Times New Roman" w:eastAsia="Times New Roman" w:hAnsi="Times New Roman"/>
          <w:sz w:val="16"/>
          <w:szCs w:val="16"/>
          <w:color w:val="auto"/>
        </w:rPr>
      </w:pPr>
    </w:p>
    <w:p>
      <w:pPr>
        <w:ind w:left="980" w:hanging="486"/>
        <w:spacing w:after="0" w:line="280" w:lineRule="auto"/>
        <w:tabs>
          <w:tab w:leader="none" w:pos="788"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quarterly report our conclusions about the effectiveness of the disclosure controls and procedures, as of the end of the period covered by this report based on such evaluation; and</w:t>
      </w:r>
    </w:p>
    <w:p>
      <w:pPr>
        <w:spacing w:after="0" w:line="191" w:lineRule="exact"/>
        <w:rPr>
          <w:rFonts w:ascii="Times New Roman" w:cs="Times New Roman" w:eastAsia="Times New Roman" w:hAnsi="Times New Roman"/>
          <w:sz w:val="16"/>
          <w:szCs w:val="16"/>
          <w:color w:val="auto"/>
        </w:rPr>
      </w:pPr>
    </w:p>
    <w:p>
      <w:pPr>
        <w:ind w:left="980" w:hanging="486"/>
        <w:spacing w:after="0" w:line="298" w:lineRule="auto"/>
        <w:tabs>
          <w:tab w:leader="none" w:pos="826"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quarterly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spacing w:after="0" w:line="178" w:lineRule="exact"/>
        <w:rPr>
          <w:sz w:val="20"/>
          <w:szCs w:val="20"/>
          <w:color w:val="auto"/>
        </w:rPr>
      </w:pPr>
    </w:p>
    <w:p>
      <w:pPr>
        <w:spacing w:after="0" w:line="298" w:lineRule="auto"/>
        <w:rPr>
          <w:sz w:val="20"/>
          <w:szCs w:val="20"/>
          <w:color w:val="auto"/>
        </w:rPr>
      </w:pPr>
      <w:r>
        <w:rPr>
          <w:rFonts w:ascii="Times New Roman" w:cs="Times New Roman" w:eastAsia="Times New Roman" w:hAnsi="Times New Roman"/>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8" w:lineRule="exact"/>
        <w:rPr>
          <w:sz w:val="20"/>
          <w:szCs w:val="20"/>
          <w:color w:val="auto"/>
        </w:rPr>
      </w:pPr>
    </w:p>
    <w:p>
      <w:pPr>
        <w:ind w:left="980" w:hanging="486"/>
        <w:spacing w:after="0" w:line="280" w:lineRule="auto"/>
        <w:tabs>
          <w:tab w:leader="none" w:pos="87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5" w:lineRule="exact"/>
        <w:rPr>
          <w:rFonts w:ascii="Times New Roman" w:cs="Times New Roman" w:eastAsia="Times New Roman" w:hAnsi="Times New Roman"/>
          <w:sz w:val="16"/>
          <w:szCs w:val="16"/>
          <w:color w:val="auto"/>
        </w:rPr>
      </w:pPr>
    </w:p>
    <w:p>
      <w:pPr>
        <w:ind w:left="980" w:hanging="486"/>
        <w:spacing w:after="0" w:line="280" w:lineRule="auto"/>
        <w:tabs>
          <w:tab w:leader="none" w:pos="812"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1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Date: October 29, 2026</w:t>
      </w:r>
    </w:p>
    <w:p>
      <w:pPr>
        <w:spacing w:after="0" w:line="28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i w:val="1"/>
          <w:iCs w:val="1"/>
          <w:color w:val="auto"/>
        </w:rPr>
        <w:t>/s/ JOSÉ R. MAS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21590</wp:posOffset>
            </wp:positionV>
            <wp:extent cx="356616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José R. Mas</w:t>
      </w:r>
    </w:p>
    <w:p>
      <w:pPr>
        <w:spacing w:after="0" w:line="3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Chief Executive Officer</w:t>
      </w:r>
    </w:p>
    <w:p>
      <w:pPr>
        <w:spacing w:after="0" w:line="3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(Principal Executive Officer)</w:t>
      </w:r>
    </w:p>
    <w:p>
      <w:pPr>
        <w:sectPr>
          <w:pgSz w:w="11900" w:h="16838" w:orient="portrait"/>
          <w:cols w:equalWidth="0" w:num="1">
            <w:col w:w="11240"/>
          </w:cols>
          <w:pgMar w:left="320" w:top="893" w:right="33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6"/>
          <w:szCs w:val="16"/>
          <w:b w:val="1"/>
          <w:bCs w:val="1"/>
          <w:color w:val="auto"/>
        </w:rPr>
        <w:t>Exhibit 31.2</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CERTIFICATIONS REQUIRED BY SECTION 302(a)</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OF SARBANES-OXLEY ACT OF 2002</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Paul DiMarco, certify that:</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have reviewed this quarterly report on Form 10-Q of MasTec, Inc.;</w:t>
      </w:r>
    </w:p>
    <w:p>
      <w:pPr>
        <w:spacing w:after="0" w:line="248"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205"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205"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2" w:lineRule="exact"/>
        <w:rPr>
          <w:sz w:val="20"/>
          <w:szCs w:val="20"/>
          <w:color w:val="auto"/>
        </w:rPr>
      </w:pPr>
    </w:p>
    <w:p>
      <w:pPr>
        <w:ind w:left="980" w:hanging="486"/>
        <w:spacing w:after="0" w:line="272" w:lineRule="auto"/>
        <w:tabs>
          <w:tab w:leader="none" w:pos="864"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97" w:lineRule="exact"/>
        <w:rPr>
          <w:rFonts w:ascii="Times New Roman" w:cs="Times New Roman" w:eastAsia="Times New Roman" w:hAnsi="Times New Roman"/>
          <w:sz w:val="16"/>
          <w:szCs w:val="16"/>
          <w:color w:val="auto"/>
        </w:rPr>
      </w:pPr>
    </w:p>
    <w:p>
      <w:pPr>
        <w:ind w:left="980" w:hanging="486"/>
        <w:spacing w:after="0" w:line="272" w:lineRule="auto"/>
        <w:tabs>
          <w:tab w:leader="none" w:pos="803"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1" w:lineRule="exact"/>
        <w:rPr>
          <w:rFonts w:ascii="Times New Roman" w:cs="Times New Roman" w:eastAsia="Times New Roman" w:hAnsi="Times New Roman"/>
          <w:sz w:val="16"/>
          <w:szCs w:val="16"/>
          <w:color w:val="auto"/>
        </w:rPr>
      </w:pPr>
    </w:p>
    <w:p>
      <w:pPr>
        <w:ind w:left="980" w:hanging="486"/>
        <w:spacing w:after="0" w:line="280" w:lineRule="auto"/>
        <w:tabs>
          <w:tab w:leader="none" w:pos="788"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quarterly report our conclusions about the effectiveness of the disclosure controls and procedures, as of the end of the period covered by this report based on such evaluation; and</w:t>
      </w:r>
    </w:p>
    <w:p>
      <w:pPr>
        <w:spacing w:after="0" w:line="191" w:lineRule="exact"/>
        <w:rPr>
          <w:rFonts w:ascii="Times New Roman" w:cs="Times New Roman" w:eastAsia="Times New Roman" w:hAnsi="Times New Roman"/>
          <w:sz w:val="16"/>
          <w:szCs w:val="16"/>
          <w:color w:val="auto"/>
        </w:rPr>
      </w:pPr>
    </w:p>
    <w:p>
      <w:pPr>
        <w:ind w:left="980" w:hanging="486"/>
        <w:spacing w:after="0" w:line="298" w:lineRule="auto"/>
        <w:tabs>
          <w:tab w:leader="none" w:pos="826"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quarterly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spacing w:after="0" w:line="178" w:lineRule="exact"/>
        <w:rPr>
          <w:sz w:val="20"/>
          <w:szCs w:val="20"/>
          <w:color w:val="auto"/>
        </w:rPr>
      </w:pPr>
    </w:p>
    <w:p>
      <w:pPr>
        <w:spacing w:after="0" w:line="298" w:lineRule="auto"/>
        <w:rPr>
          <w:sz w:val="20"/>
          <w:szCs w:val="20"/>
          <w:color w:val="auto"/>
        </w:rPr>
      </w:pPr>
      <w:r>
        <w:rPr>
          <w:rFonts w:ascii="Times New Roman" w:cs="Times New Roman" w:eastAsia="Times New Roman" w:hAnsi="Times New Roman"/>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8" w:lineRule="exact"/>
        <w:rPr>
          <w:sz w:val="20"/>
          <w:szCs w:val="20"/>
          <w:color w:val="auto"/>
        </w:rPr>
      </w:pPr>
    </w:p>
    <w:p>
      <w:pPr>
        <w:ind w:left="980" w:hanging="486"/>
        <w:spacing w:after="0" w:line="280" w:lineRule="auto"/>
        <w:tabs>
          <w:tab w:leader="none" w:pos="87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5" w:lineRule="exact"/>
        <w:rPr>
          <w:rFonts w:ascii="Times New Roman" w:cs="Times New Roman" w:eastAsia="Times New Roman" w:hAnsi="Times New Roman"/>
          <w:sz w:val="16"/>
          <w:szCs w:val="16"/>
          <w:color w:val="auto"/>
        </w:rPr>
      </w:pPr>
    </w:p>
    <w:p>
      <w:pPr>
        <w:ind w:left="980" w:hanging="486"/>
        <w:spacing w:after="0" w:line="280" w:lineRule="auto"/>
        <w:tabs>
          <w:tab w:leader="none" w:pos="812"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1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Date: October 29, 2026</w:t>
      </w:r>
    </w:p>
    <w:p>
      <w:pPr>
        <w:spacing w:after="0" w:line="28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i w:val="1"/>
          <w:iCs w:val="1"/>
          <w:color w:val="auto"/>
        </w:rPr>
        <w:t>/s/ PAUL DIMARCO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21590</wp:posOffset>
            </wp:positionV>
            <wp:extent cx="356616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Paul DiMarco</w:t>
      </w:r>
    </w:p>
    <w:p>
      <w:pPr>
        <w:spacing w:after="0" w:line="3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Executive Vice President and Chief Financial Officer</w:t>
      </w:r>
    </w:p>
    <w:p>
      <w:pPr>
        <w:spacing w:after="0" w:line="3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(Principal Financial Officer)</w:t>
      </w:r>
    </w:p>
    <w:p>
      <w:pPr>
        <w:sectPr>
          <w:pgSz w:w="11900" w:h="16838" w:orient="portrait"/>
          <w:cols w:equalWidth="0" w:num="1">
            <w:col w:w="11240"/>
          </w:cols>
          <w:pgMar w:left="320" w:top="893" w:right="33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6"/>
          <w:szCs w:val="16"/>
          <w:b w:val="1"/>
          <w:bCs w:val="1"/>
          <w:color w:val="auto"/>
        </w:rPr>
        <w:t>Exhibit 32.1</w:t>
      </w:r>
    </w:p>
    <w:p>
      <w:pPr>
        <w:spacing w:after="0" w:line="248"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6"/>
          <w:szCs w:val="16"/>
          <w:b w:val="1"/>
          <w:bCs w:val="1"/>
          <w:color w:val="auto"/>
        </w:rPr>
        <w:t>CERTIFICATION PURSUANT TO</w:t>
      </w:r>
    </w:p>
    <w:p>
      <w:pPr>
        <w:spacing w:after="0" w:line="28"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6"/>
          <w:szCs w:val="16"/>
          <w:b w:val="1"/>
          <w:bCs w:val="1"/>
          <w:color w:val="auto"/>
        </w:rPr>
        <w:t>18 U.S.C. SECTION 1350,</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AS ADOPTED PURSUANT TO</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SECTION 906 OF THE SARBANES-OXLEY ACT OF 2002</w:t>
      </w:r>
    </w:p>
    <w:p>
      <w:pPr>
        <w:spacing w:after="0" w:line="240"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In connection with the Quarterly Report of MasTec, Inc. (the “Company”) on Form 10-Q for the period ended September 30, 2026 as filed with the Securities and Exchange Commission on the date hereof (the “Report”), I, José R. Mas, Chief Executive Officer of the Company, certify, pursuant to 18 U.S.C. Section 1350, as adopted pursuant to Section 906 of the Sarbanes-Oxley Act of 2002, that, to the best of my knowledge:</w:t>
      </w:r>
    </w:p>
    <w:p>
      <w:pPr>
        <w:spacing w:after="0" w:line="198" w:lineRule="exact"/>
        <w:rPr>
          <w:sz w:val="20"/>
          <w:szCs w:val="20"/>
          <w:color w:val="auto"/>
        </w:rPr>
      </w:pPr>
    </w:p>
    <w:p>
      <w:pPr>
        <w:ind w:left="840" w:hanging="346"/>
        <w:spacing w:after="0"/>
        <w:tabs>
          <w:tab w:leader="none" w:pos="84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 fully complies with the requirements of section 13(a) or 15(d) of the Securities Exchange Act of 1934; and</w:t>
      </w:r>
    </w:p>
    <w:p>
      <w:pPr>
        <w:spacing w:after="0" w:line="261" w:lineRule="exact"/>
        <w:rPr>
          <w:rFonts w:ascii="Times New Roman" w:cs="Times New Roman" w:eastAsia="Times New Roman" w:hAnsi="Times New Roman"/>
          <w:sz w:val="16"/>
          <w:szCs w:val="16"/>
          <w:color w:val="auto"/>
        </w:rPr>
      </w:pPr>
    </w:p>
    <w:p>
      <w:pPr>
        <w:ind w:left="20" w:right="1000" w:firstLine="474"/>
        <w:spacing w:after="0" w:line="474" w:lineRule="auto"/>
        <w:tabs>
          <w:tab w:leader="none" w:pos="836"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Company. Date: October 29, 2026</w:t>
      </w:r>
    </w:p>
    <w:p>
      <w:pPr>
        <w:spacing w:after="0" w:line="81"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6"/>
          <w:szCs w:val="16"/>
          <w:i w:val="1"/>
          <w:iCs w:val="1"/>
          <w:color w:val="auto"/>
        </w:rPr>
        <w:t>/s/ JOSÉ R. MAS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21590</wp:posOffset>
            </wp:positionV>
            <wp:extent cx="33604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7">
                      <a:extLst>
                        <a:ext uri="{28A0092B-C50C-407E-A947-70E740481C1C}"/>
                      </a:extLst>
                    </a:blip>
                    <a:srcRect/>
                    <a:stretch>
                      <a:fillRect/>
                    </a:stretch>
                  </pic:blipFill>
                  <pic:spPr bwMode="auto">
                    <a:xfrm>
                      <a:off x="0" y="0"/>
                      <a:ext cx="3360420" cy="8255"/>
                    </a:xfrm>
                    <a:prstGeom prst="rect">
                      <a:avLst/>
                    </a:prstGeom>
                    <a:noFill/>
                  </pic:spPr>
                </pic:pic>
              </a:graphicData>
            </a:graphic>
          </wp:anchor>
        </w:drawing>
      </w:r>
    </w:p>
    <w:p>
      <w:pPr>
        <w:spacing w:after="0" w:line="28"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6"/>
          <w:szCs w:val="16"/>
          <w:color w:val="auto"/>
        </w:rPr>
        <w:t>José R. Mas</w:t>
      </w:r>
    </w:p>
    <w:p>
      <w:pPr>
        <w:spacing w:after="0" w:line="32"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6"/>
          <w:szCs w:val="16"/>
          <w:color w:val="auto"/>
        </w:rPr>
        <w:t>Chief Executive Officer</w:t>
      </w:r>
    </w:p>
    <w:p>
      <w:pPr>
        <w:spacing w:after="0" w:line="32"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6"/>
          <w:szCs w:val="16"/>
          <w:color w:val="auto"/>
        </w:rPr>
        <w:t>(Principal Executive Officer)</w:t>
      </w:r>
    </w:p>
    <w:p>
      <w:pPr>
        <w:spacing w:after="0" w:line="356"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16"/>
          <w:szCs w:val="16"/>
          <w:color w:val="auto"/>
        </w:rPr>
        <w:t>The certification set forth above is being furnished as an exhibit solely pursuant to Section 906 of the Sarbanes-Oxley Act of 2002 and is not being filed as part of the Quarterly Report of MasTec, Inc. on Form 10-Q for the period ended September 30, 2026, or as a separate disclosure document of the Company or the certifying officers.</w:t>
      </w:r>
    </w:p>
    <w:p>
      <w:pPr>
        <w:sectPr>
          <w:pgSz w:w="11900" w:h="16838" w:orient="portrait"/>
          <w:cols w:equalWidth="0" w:num="1">
            <w:col w:w="11240"/>
          </w:cols>
          <w:pgMar w:left="320" w:top="893" w:right="33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6"/>
          <w:szCs w:val="16"/>
          <w:b w:val="1"/>
          <w:bCs w:val="1"/>
          <w:color w:val="auto"/>
        </w:rPr>
        <w:t>Exhibit 32.2</w:t>
      </w:r>
    </w:p>
    <w:p>
      <w:pPr>
        <w:spacing w:after="0" w:line="248"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6"/>
          <w:szCs w:val="16"/>
          <w:b w:val="1"/>
          <w:bCs w:val="1"/>
          <w:color w:val="auto"/>
        </w:rPr>
        <w:t>CERTIFICATION PURSUANT TO</w:t>
      </w:r>
    </w:p>
    <w:p>
      <w:pPr>
        <w:spacing w:after="0" w:line="28"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6"/>
          <w:szCs w:val="16"/>
          <w:b w:val="1"/>
          <w:bCs w:val="1"/>
          <w:color w:val="auto"/>
        </w:rPr>
        <w:t>18 U.S.C. SECTION 1350,</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AS ADOPTED PURSUANT TO</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SECTION 906 OF THE SARBANES-OXLEY ACT OF 2002</w:t>
      </w:r>
    </w:p>
    <w:p>
      <w:pPr>
        <w:spacing w:after="0" w:line="240"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In connection with the Quarterly Report of MasTec, Inc. (the “Company”) on Form 10-Q for the period ended September 30, 2026 as filed with the Securities and Exchange Commission on the date hereof (the “Report”), I, Paul DiMarco, Executive Vice President and Chief Financial Officer of the Company, certify, pursuant to 18 U.S.C. Section 1350, as adopted pursuant to Section 906 of the Sarbanes-Oxley Act of 2002, that, to the best of my knowledge:</w:t>
      </w:r>
    </w:p>
    <w:p>
      <w:pPr>
        <w:spacing w:after="0" w:line="198" w:lineRule="exact"/>
        <w:rPr>
          <w:sz w:val="20"/>
          <w:szCs w:val="20"/>
          <w:color w:val="auto"/>
        </w:rPr>
      </w:pPr>
    </w:p>
    <w:p>
      <w:pPr>
        <w:ind w:left="840" w:hanging="346"/>
        <w:spacing w:after="0"/>
        <w:tabs>
          <w:tab w:leader="none" w:pos="84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 fully complies with the requirements of section 13(a) or 15(d) of the Securities Exchange Act of 1934; and</w:t>
      </w:r>
    </w:p>
    <w:p>
      <w:pPr>
        <w:spacing w:after="0" w:line="261" w:lineRule="exact"/>
        <w:rPr>
          <w:rFonts w:ascii="Times New Roman" w:cs="Times New Roman" w:eastAsia="Times New Roman" w:hAnsi="Times New Roman"/>
          <w:sz w:val="16"/>
          <w:szCs w:val="16"/>
          <w:color w:val="auto"/>
        </w:rPr>
      </w:pPr>
    </w:p>
    <w:p>
      <w:pPr>
        <w:ind w:left="20" w:right="1000" w:firstLine="474"/>
        <w:spacing w:after="0" w:line="474" w:lineRule="auto"/>
        <w:tabs>
          <w:tab w:leader="none" w:pos="836"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Company. Date: October 29, 2026</w:t>
      </w:r>
    </w:p>
    <w:p>
      <w:pPr>
        <w:spacing w:after="0" w:line="8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i w:val="1"/>
          <w:iCs w:val="1"/>
          <w:color w:val="auto"/>
        </w:rPr>
        <w:t>/s/ PAUL DIMARCO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21590</wp:posOffset>
            </wp:positionV>
            <wp:extent cx="356616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Paul DiMarco</w:t>
      </w:r>
    </w:p>
    <w:p>
      <w:pPr>
        <w:spacing w:after="0" w:line="3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Executive Vice President and Chief Financial Officer</w:t>
      </w:r>
    </w:p>
    <w:p>
      <w:pPr>
        <w:spacing w:after="0" w:line="3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(Principal Financial Officer)</w:t>
      </w:r>
    </w:p>
    <w:p>
      <w:pPr>
        <w:spacing w:after="0" w:line="356"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16"/>
          <w:szCs w:val="16"/>
          <w:color w:val="auto"/>
        </w:rPr>
        <w:t>The certification set forth above is being furnished as an exhibit solely pursuant to Section 906 of the Sarbanes-Oxley Act of 2002 and is not being filed as part of the Quarterly Report of MasTec, Inc. on Form 10-Q for the period ended September 30, 2026, or as a separate disclosure document of the Company or the certifying officers.</w:t>
      </w:r>
    </w:p>
    <w:p>
      <w:pPr>
        <w:sectPr>
          <w:pgSz w:w="11900" w:h="16838" w:orient="portrait"/>
          <w:cols w:equalWidth="0" w:num="1">
            <w:col w:w="11240"/>
          </w:cols>
          <w:pgMar w:left="320" w:top="893" w:right="339" w:bottom="1440" w:gutter="0" w:footer="0" w:header="0"/>
        </w:sectPr>
      </w:pPr>
    </w:p>
    <w:bookmarkStart w:id="51" w:name="page52"/>
    <w:bookmarkEnd w:id="51"/>
    <w:p>
      <w:pPr>
        <w:ind w:left="10160"/>
        <w:spacing w:after="0"/>
        <w:rPr>
          <w:sz w:val="20"/>
          <w:szCs w:val="20"/>
          <w:color w:val="auto"/>
        </w:rPr>
      </w:pPr>
      <w:r>
        <w:rPr>
          <w:rFonts w:ascii="Times New Roman" w:cs="Times New Roman" w:eastAsia="Times New Roman" w:hAnsi="Times New Roman"/>
          <w:sz w:val="16"/>
          <w:szCs w:val="16"/>
          <w:b w:val="1"/>
          <w:bCs w:val="1"/>
          <w:color w:val="auto"/>
        </w:rPr>
        <w:t>Exhibit 95.1</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MINE SAFETY DISCLOSURES</w:t>
      </w:r>
    </w:p>
    <w:p>
      <w:pPr>
        <w:spacing w:after="0" w:line="250"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16"/>
          <w:szCs w:val="16"/>
          <w:color w:val="auto"/>
        </w:rPr>
        <w:t xml:space="preserve">We operate aggregate mines that are subject to regulation by the federal Mine Safety and Health Administration (“MSHA”) under the Federal Mine Safety and Health Act of 1977, 30 U.S.C. § 801 </w:t>
      </w:r>
      <w:r>
        <w:rPr>
          <w:rFonts w:ascii="Times New Roman" w:cs="Times New Roman" w:eastAsia="Times New Roman" w:hAnsi="Times New Roman"/>
          <w:sz w:val="16"/>
          <w:szCs w:val="16"/>
          <w:i w:val="1"/>
          <w:iCs w:val="1"/>
          <w:color w:val="auto"/>
        </w:rPr>
        <w:t>et seq</w:t>
      </w:r>
      <w:r>
        <w:rPr>
          <w:rFonts w:ascii="Times New Roman" w:cs="Times New Roman" w:eastAsia="Times New Roman" w:hAnsi="Times New Roman"/>
          <w:sz w:val="16"/>
          <w:szCs w:val="16"/>
          <w:color w:val="auto"/>
        </w:rPr>
        <w:t>. (the “Mine Act”). Set forth below is the required information regarding certain mining safety and health matters for the quarter ended September 30, 2026. Citations and orders may be contested and appealed, and in that process, may be reduced in severity and amount, and are sometimes dismissed. The table below includes references to specific sections of the Mine Act.</w:t>
      </w:r>
    </w:p>
    <w:p>
      <w:pPr>
        <w:spacing w:after="0" w:line="66" w:lineRule="exact"/>
        <w:rPr>
          <w:sz w:val="20"/>
          <w:szCs w:val="20"/>
          <w:color w:val="auto"/>
        </w:rPr>
      </w:pPr>
    </w:p>
    <w:p>
      <w:pPr>
        <w:jc w:val="both"/>
        <w:ind w:right="20" w:firstLine="648"/>
        <w:spacing w:after="0" w:line="280" w:lineRule="auto"/>
        <w:rPr>
          <w:sz w:val="20"/>
          <w:szCs w:val="20"/>
          <w:color w:val="auto"/>
        </w:rPr>
      </w:pPr>
      <w:r>
        <w:rPr>
          <w:rFonts w:ascii="Times New Roman" w:cs="Times New Roman" w:eastAsia="Times New Roman" w:hAnsi="Times New Roman"/>
          <w:sz w:val="16"/>
          <w:szCs w:val="16"/>
          <w:color w:val="auto"/>
        </w:rPr>
        <w:t>The information in the table below is presented by mine, consistent with the manner in which we maintain safety and compliance information about our mining operations.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Section</w:t>
            </w:r>
          </w:p>
        </w:tc>
        <w:tc>
          <w:tcPr>
            <w:tcW w:w="9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w w:val="98"/>
              </w:rPr>
              <w:t>Section</w:t>
            </w: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Section</w:t>
            </w:r>
          </w:p>
        </w:tc>
        <w:tc>
          <w:tcPr>
            <w:tcW w:w="11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Section</w:t>
            </w:r>
          </w:p>
        </w:tc>
        <w:tc>
          <w:tcPr>
            <w:tcW w:w="9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Section</w:t>
            </w: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Pending</w:t>
            </w:r>
          </w:p>
        </w:tc>
        <w:tc>
          <w:tcPr>
            <w:tcW w:w="0" w:type="dxa"/>
            <w:vAlign w:val="bottom"/>
          </w:tcPr>
          <w:p>
            <w:pPr>
              <w:spacing w:after="0"/>
              <w:rPr>
                <w:sz w:val="1"/>
                <w:szCs w:val="1"/>
                <w:color w:val="auto"/>
              </w:rPr>
            </w:pPr>
          </w:p>
        </w:tc>
      </w:tr>
      <w:tr>
        <w:trPr>
          <w:trHeight w:val="156"/>
        </w:trPr>
        <w:tc>
          <w:tcPr>
            <w:tcW w:w="2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vMerge w:val="continue"/>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1000" w:type="dxa"/>
            <w:vAlign w:val="bottom"/>
            <w:gridSpan w:val="2"/>
          </w:tcPr>
          <w:p>
            <w:pPr>
              <w:jc w:val="center"/>
              <w:ind w:right="80"/>
              <w:spacing w:after="0" w:line="156" w:lineRule="exact"/>
              <w:rPr>
                <w:sz w:val="20"/>
                <w:szCs w:val="20"/>
                <w:color w:val="auto"/>
              </w:rPr>
            </w:pPr>
            <w:r>
              <w:rPr>
                <w:rFonts w:ascii="Times New Roman" w:cs="Times New Roman" w:eastAsia="Times New Roman" w:hAnsi="Times New Roman"/>
                <w:sz w:val="15"/>
                <w:szCs w:val="15"/>
                <w:b w:val="1"/>
                <w:bCs w:val="1"/>
                <w:color w:val="auto"/>
                <w:w w:val="97"/>
              </w:rPr>
              <w:t>104(d)</w:t>
            </w:r>
          </w:p>
        </w:tc>
        <w:tc>
          <w:tcPr>
            <w:tcW w:w="1180" w:type="dxa"/>
            <w:vAlign w:val="bottom"/>
            <w:gridSpan w:val="2"/>
            <w:vMerge w:val="continue"/>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Proposed</w:t>
            </w: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5"/>
                <w:szCs w:val="15"/>
                <w:b w:val="1"/>
                <w:bCs w:val="1"/>
                <w:color w:val="auto"/>
              </w:rPr>
              <w:t>104</w:t>
            </w:r>
          </w:p>
        </w:tc>
        <w:tc>
          <w:tcPr>
            <w:tcW w:w="80" w:type="dxa"/>
            <w:vAlign w:val="bottom"/>
          </w:tcPr>
          <w:p>
            <w:pPr>
              <w:spacing w:after="0"/>
              <w:rPr>
                <w:sz w:val="12"/>
                <w:szCs w:val="12"/>
                <w:color w:val="auto"/>
              </w:rPr>
            </w:pPr>
          </w:p>
        </w:tc>
        <w:tc>
          <w:tcPr>
            <w:tcW w:w="9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5"/>
                <w:szCs w:val="15"/>
                <w:b w:val="1"/>
                <w:bCs w:val="1"/>
                <w:color w:val="auto"/>
              </w:rPr>
              <w:t>104(b)</w:t>
            </w:r>
          </w:p>
        </w:tc>
        <w:tc>
          <w:tcPr>
            <w:tcW w:w="100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5"/>
                <w:szCs w:val="15"/>
                <w:b w:val="1"/>
                <w:bCs w:val="1"/>
                <w:color w:val="auto"/>
              </w:rPr>
              <w:t>Citations and</w:t>
            </w:r>
          </w:p>
        </w:tc>
        <w:tc>
          <w:tcPr>
            <w:tcW w:w="11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5"/>
                <w:szCs w:val="15"/>
                <w:b w:val="1"/>
                <w:bCs w:val="1"/>
                <w:color w:val="auto"/>
                <w:w w:val="99"/>
              </w:rPr>
              <w:t>110(b)(2)</w:t>
            </w:r>
          </w:p>
        </w:tc>
        <w:tc>
          <w:tcPr>
            <w:tcW w:w="9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5"/>
                <w:szCs w:val="15"/>
                <w:b w:val="1"/>
                <w:bCs w:val="1"/>
                <w:color w:val="auto"/>
              </w:rPr>
              <w:t>107(a)</w:t>
            </w:r>
          </w:p>
        </w:tc>
        <w:tc>
          <w:tcPr>
            <w:tcW w:w="12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5"/>
                <w:szCs w:val="15"/>
                <w:b w:val="1"/>
                <w:bCs w:val="1"/>
                <w:color w:val="auto"/>
              </w:rPr>
              <w:t>Legal</w:t>
            </w:r>
          </w:p>
        </w:tc>
        <w:tc>
          <w:tcPr>
            <w:tcW w:w="0" w:type="dxa"/>
            <w:vAlign w:val="bottom"/>
          </w:tcPr>
          <w:p>
            <w:pPr>
              <w:spacing w:after="0"/>
              <w:rPr>
                <w:sz w:val="1"/>
                <w:szCs w:val="1"/>
                <w:color w:val="auto"/>
              </w:rPr>
            </w:pPr>
          </w:p>
        </w:tc>
      </w:tr>
      <w:tr>
        <w:trPr>
          <w:trHeight w:val="243"/>
        </w:trPr>
        <w:tc>
          <w:tcPr>
            <w:tcW w:w="28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Mine Name or Location / ID</w:t>
            </w: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w w:val="98"/>
              </w:rPr>
              <w:t>Citations</w:t>
            </w:r>
            <w:r>
              <w:rPr>
                <w:rFonts w:ascii="Times New Roman" w:cs="Times New Roman" w:eastAsia="Times New Roman" w:hAnsi="Times New Roman"/>
                <w:sz w:val="19"/>
                <w:szCs w:val="19"/>
                <w:b w:val="1"/>
                <w:bCs w:val="1"/>
                <w:color w:val="auto"/>
                <w:w w:val="98"/>
                <w:vertAlign w:val="superscript"/>
              </w:rPr>
              <w:t>(a)</w:t>
            </w:r>
          </w:p>
        </w:tc>
        <w:tc>
          <w:tcPr>
            <w:tcW w:w="94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w w:val="94"/>
              </w:rPr>
              <w:t>Orders</w:t>
            </w:r>
            <w:r>
              <w:rPr>
                <w:rFonts w:ascii="Times New Roman" w:cs="Times New Roman" w:eastAsia="Times New Roman" w:hAnsi="Times New Roman"/>
                <w:sz w:val="19"/>
                <w:szCs w:val="19"/>
                <w:b w:val="1"/>
                <w:bCs w:val="1"/>
                <w:color w:val="auto"/>
                <w:w w:val="94"/>
                <w:vertAlign w:val="superscript"/>
              </w:rPr>
              <w:t>(b)</w:t>
            </w: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w w:val="93"/>
              </w:rPr>
              <w:t>Orders</w:t>
            </w:r>
            <w:r>
              <w:rPr>
                <w:rFonts w:ascii="Times New Roman" w:cs="Times New Roman" w:eastAsia="Times New Roman" w:hAnsi="Times New Roman"/>
                <w:sz w:val="19"/>
                <w:szCs w:val="19"/>
                <w:b w:val="1"/>
                <w:bCs w:val="1"/>
                <w:color w:val="auto"/>
                <w:w w:val="93"/>
                <w:vertAlign w:val="superscript"/>
              </w:rPr>
              <w:t>(c)</w:t>
            </w:r>
          </w:p>
        </w:tc>
        <w:tc>
          <w:tcPr>
            <w:tcW w:w="118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w w:val="96"/>
              </w:rPr>
              <w:t>Violations</w:t>
            </w:r>
            <w:r>
              <w:rPr>
                <w:rFonts w:ascii="Times New Roman" w:cs="Times New Roman" w:eastAsia="Times New Roman" w:hAnsi="Times New Roman"/>
                <w:sz w:val="19"/>
                <w:szCs w:val="19"/>
                <w:b w:val="1"/>
                <w:bCs w:val="1"/>
                <w:color w:val="auto"/>
                <w:w w:val="96"/>
                <w:vertAlign w:val="superscript"/>
              </w:rPr>
              <w:t>(d)</w:t>
            </w:r>
          </w:p>
        </w:tc>
        <w:tc>
          <w:tcPr>
            <w:tcW w:w="94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w w:val="96"/>
              </w:rPr>
              <w:t>Orders</w:t>
            </w:r>
            <w:r>
              <w:rPr>
                <w:rFonts w:ascii="Times New Roman" w:cs="Times New Roman" w:eastAsia="Times New Roman" w:hAnsi="Times New Roman"/>
                <w:sz w:val="19"/>
                <w:szCs w:val="19"/>
                <w:b w:val="1"/>
                <w:bCs w:val="1"/>
                <w:color w:val="auto"/>
                <w:w w:val="96"/>
                <w:vertAlign w:val="superscript"/>
              </w:rPr>
              <w:t>(e)</w:t>
            </w:r>
          </w:p>
        </w:tc>
        <w:tc>
          <w:tcPr>
            <w:tcW w:w="120" w:type="dxa"/>
            <w:vAlign w:val="bottom"/>
          </w:tcPr>
          <w:p>
            <w:pPr>
              <w:spacing w:after="0"/>
              <w:rPr>
                <w:sz w:val="21"/>
                <w:szCs w:val="21"/>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w w:val="97"/>
              </w:rPr>
              <w:t>Assessments</w:t>
            </w:r>
            <w:r>
              <w:rPr>
                <w:rFonts w:ascii="Times New Roman" w:cs="Times New Roman" w:eastAsia="Times New Roman" w:hAnsi="Times New Roman"/>
                <w:sz w:val="19"/>
                <w:szCs w:val="19"/>
                <w:b w:val="1"/>
                <w:bCs w:val="1"/>
                <w:color w:val="auto"/>
                <w:w w:val="97"/>
                <w:vertAlign w:val="superscript"/>
              </w:rPr>
              <w:t>(f)</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w w:val="97"/>
              </w:rPr>
              <w:t>Fatalities</w:t>
            </w:r>
            <w:r>
              <w:rPr>
                <w:rFonts w:ascii="Times New Roman" w:cs="Times New Roman" w:eastAsia="Times New Roman" w:hAnsi="Times New Roman"/>
                <w:sz w:val="19"/>
                <w:szCs w:val="19"/>
                <w:b w:val="1"/>
                <w:bCs w:val="1"/>
                <w:color w:val="auto"/>
                <w:w w:val="97"/>
                <w:vertAlign w:val="superscript"/>
              </w:rPr>
              <w:t>(g)</w:t>
            </w: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6"/>
              </w:rPr>
              <w:t>Action</w:t>
            </w:r>
            <w:r>
              <w:rPr>
                <w:rFonts w:ascii="Times New Roman" w:cs="Times New Roman" w:eastAsia="Times New Roman" w:hAnsi="Times New Roman"/>
                <w:sz w:val="19"/>
                <w:szCs w:val="19"/>
                <w:b w:val="1"/>
                <w:bCs w:val="1"/>
                <w:color w:val="auto"/>
                <w:w w:val="96"/>
                <w:vertAlign w:val="superscript"/>
              </w:rPr>
              <w:t>(h)</w:t>
            </w:r>
          </w:p>
        </w:tc>
        <w:tc>
          <w:tcPr>
            <w:tcW w:w="0" w:type="dxa"/>
            <w:vAlign w:val="bottom"/>
          </w:tcPr>
          <w:p>
            <w:pPr>
              <w:spacing w:after="0"/>
              <w:rPr>
                <w:sz w:val="1"/>
                <w:szCs w:val="1"/>
                <w:color w:val="auto"/>
              </w:rPr>
            </w:pPr>
          </w:p>
        </w:tc>
      </w:tr>
      <w:tr>
        <w:trPr>
          <w:trHeight w:val="207"/>
        </w:trPr>
        <w:tc>
          <w:tcPr>
            <w:tcW w:w="27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FNF Crushing 1 / 0203091</w:t>
            </w:r>
          </w:p>
        </w:tc>
        <w:tc>
          <w:tcPr>
            <w:tcW w:w="80" w:type="dxa"/>
            <w:vAlign w:val="bottom"/>
          </w:tcPr>
          <w:p>
            <w:pPr>
              <w:spacing w:after="0"/>
              <w:rPr>
                <w:sz w:val="17"/>
                <w:szCs w:val="17"/>
                <w:color w:val="auto"/>
              </w:rPr>
            </w:pPr>
          </w:p>
        </w:tc>
        <w:tc>
          <w:tcPr>
            <w:tcW w:w="9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Pr>
          <w:p>
            <w:pPr>
              <w:spacing w:after="0"/>
              <w:rPr>
                <w:sz w:val="17"/>
                <w:szCs w:val="17"/>
                <w:color w:val="auto"/>
              </w:rPr>
            </w:pPr>
          </w:p>
        </w:tc>
        <w:tc>
          <w:tcPr>
            <w:tcW w:w="8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Pr>
          <w:p>
            <w:pPr>
              <w:spacing w:after="0"/>
              <w:rPr>
                <w:sz w:val="17"/>
                <w:szCs w:val="17"/>
                <w:color w:val="auto"/>
              </w:rPr>
            </w:pPr>
          </w:p>
        </w:tc>
        <w:tc>
          <w:tcPr>
            <w:tcW w:w="9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Pr>
          <w:p>
            <w:pPr>
              <w:spacing w:after="0"/>
              <w:rPr>
                <w:sz w:val="17"/>
                <w:szCs w:val="17"/>
                <w:color w:val="auto"/>
              </w:rPr>
            </w:pPr>
          </w:p>
        </w:tc>
        <w:tc>
          <w:tcPr>
            <w:tcW w:w="10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Pr>
          <w:p>
            <w:pPr>
              <w:spacing w:after="0"/>
              <w:rPr>
                <w:sz w:val="17"/>
                <w:szCs w:val="17"/>
                <w:color w:val="auto"/>
              </w:rPr>
            </w:pPr>
          </w:p>
        </w:tc>
        <w:tc>
          <w:tcPr>
            <w:tcW w:w="8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7"/>
                <w:szCs w:val="17"/>
                <w:color w:val="auto"/>
              </w:rPr>
            </w:pPr>
          </w:p>
        </w:tc>
        <w:tc>
          <w:tcPr>
            <w:tcW w:w="8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19"/>
        </w:trPr>
        <w:tc>
          <w:tcPr>
            <w:tcW w:w="2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FNF Crushing 2 / 0202622</w:t>
            </w:r>
          </w:p>
        </w:tc>
        <w:tc>
          <w:tcPr>
            <w:tcW w:w="10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13"/>
        </w:trPr>
        <w:tc>
          <w:tcPr>
            <w:tcW w:w="28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FNF Crushing 3 / 0202774</w:t>
            </w: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19"/>
        </w:trPr>
        <w:tc>
          <w:tcPr>
            <w:tcW w:w="2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FNF Crushing 4 / 0203036</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w:t>
            </w:r>
          </w:p>
        </w:tc>
        <w:tc>
          <w:tcPr>
            <w:tcW w:w="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2,071</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w:t>
            </w:r>
          </w:p>
        </w:tc>
        <w:tc>
          <w:tcPr>
            <w:tcW w:w="0" w:type="dxa"/>
            <w:vAlign w:val="bottom"/>
          </w:tcPr>
          <w:p>
            <w:pPr>
              <w:spacing w:after="0"/>
              <w:rPr>
                <w:sz w:val="1"/>
                <w:szCs w:val="1"/>
                <w:color w:val="auto"/>
              </w:rPr>
            </w:pPr>
          </w:p>
        </w:tc>
      </w:tr>
      <w:tr>
        <w:trPr>
          <w:trHeight w:val="213"/>
        </w:trPr>
        <w:tc>
          <w:tcPr>
            <w:tcW w:w="28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FNF Crushing 5 / 2902226</w:t>
            </w: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19"/>
        </w:trPr>
        <w:tc>
          <w:tcPr>
            <w:tcW w:w="2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FNF Crushing 6 / 0202589</w:t>
            </w:r>
          </w:p>
        </w:tc>
        <w:tc>
          <w:tcPr>
            <w:tcW w:w="10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13"/>
        </w:trPr>
        <w:tc>
          <w:tcPr>
            <w:tcW w:w="28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FNF Crushing 7 / 0203079</w:t>
            </w: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19"/>
        </w:trPr>
        <w:tc>
          <w:tcPr>
            <w:tcW w:w="2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FNF Crushing 8 / 0203035</w:t>
            </w:r>
          </w:p>
        </w:tc>
        <w:tc>
          <w:tcPr>
            <w:tcW w:w="10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16"/>
        </w:trPr>
        <w:tc>
          <w:tcPr>
            <w:tcW w:w="286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Arizona / VTW </w:t>
            </w:r>
            <w:r>
              <w:rPr>
                <w:rFonts w:ascii="Times New Roman" w:cs="Times New Roman" w:eastAsia="Times New Roman" w:hAnsi="Times New Roman"/>
                <w:sz w:val="21"/>
                <w:szCs w:val="21"/>
                <w:color w:val="auto"/>
                <w:vertAlign w:val="superscript"/>
              </w:rPr>
              <w:t>(1)</w:t>
            </w: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16"/>
        </w:trPr>
        <w:tc>
          <w:tcPr>
            <w:tcW w:w="2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Mesquite Wash Plant / 2602774</w:t>
            </w:r>
          </w:p>
        </w:tc>
        <w:tc>
          <w:tcPr>
            <w:tcW w:w="10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13"/>
        </w:trPr>
        <w:tc>
          <w:tcPr>
            <w:tcW w:w="28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Topaz Mine / 2602440</w:t>
            </w: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19"/>
        </w:trPr>
        <w:tc>
          <w:tcPr>
            <w:tcW w:w="2860" w:type="dxa"/>
            <w:vAlign w:val="bottom"/>
            <w:gridSpan w:val="2"/>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 xml:space="preserve">Oklahoma / B7441 </w:t>
            </w:r>
            <w:r>
              <w:rPr>
                <w:rFonts w:ascii="Times New Roman" w:cs="Times New Roman" w:eastAsia="Times New Roman" w:hAnsi="Times New Roman"/>
                <w:sz w:val="21"/>
                <w:szCs w:val="21"/>
                <w:color w:val="auto"/>
                <w:vertAlign w:val="superscript"/>
              </w:rPr>
              <w:t>(1)</w:t>
            </w:r>
          </w:p>
        </w:tc>
        <w:tc>
          <w:tcPr>
            <w:tcW w:w="10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16"/>
        </w:trPr>
        <w:tc>
          <w:tcPr>
            <w:tcW w:w="286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Texas / B7441 </w:t>
            </w:r>
            <w:r>
              <w:rPr>
                <w:rFonts w:ascii="Times New Roman" w:cs="Times New Roman" w:eastAsia="Times New Roman" w:hAnsi="Times New Roman"/>
                <w:sz w:val="21"/>
                <w:szCs w:val="21"/>
                <w:color w:val="auto"/>
                <w:vertAlign w:val="superscript"/>
              </w:rPr>
              <w:t>(1)</w:t>
            </w: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947</w:t>
            </w:r>
          </w:p>
        </w:tc>
        <w:tc>
          <w:tcPr>
            <w:tcW w:w="120" w:type="dxa"/>
            <w:vAlign w:val="bottom"/>
          </w:tcPr>
          <w:p>
            <w:pPr>
              <w:spacing w:after="0"/>
              <w:rPr>
                <w:sz w:val="18"/>
                <w:szCs w:val="18"/>
                <w:color w:val="auto"/>
              </w:rPr>
            </w:pP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16"/>
        </w:trPr>
        <w:tc>
          <w:tcPr>
            <w:tcW w:w="2860" w:type="dxa"/>
            <w:vAlign w:val="bottom"/>
            <w:gridSpan w:val="2"/>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Utah / B7441 </w:t>
            </w:r>
            <w:r>
              <w:rPr>
                <w:rFonts w:ascii="Times New Roman" w:cs="Times New Roman" w:eastAsia="Times New Roman" w:hAnsi="Times New Roman"/>
                <w:sz w:val="21"/>
                <w:szCs w:val="21"/>
                <w:color w:val="auto"/>
                <w:vertAlign w:val="superscript"/>
              </w:rPr>
              <w:t>(1)</w:t>
            </w:r>
          </w:p>
        </w:tc>
        <w:tc>
          <w:tcPr>
            <w:tcW w:w="10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16"/>
        </w:trPr>
        <w:tc>
          <w:tcPr>
            <w:tcW w:w="286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Texas / C4778 </w:t>
            </w:r>
            <w:r>
              <w:rPr>
                <w:rFonts w:ascii="Times New Roman" w:cs="Times New Roman" w:eastAsia="Times New Roman" w:hAnsi="Times New Roman"/>
                <w:sz w:val="21"/>
                <w:szCs w:val="21"/>
                <w:color w:val="auto"/>
                <w:vertAlign w:val="superscript"/>
              </w:rPr>
              <w:t>(1)</w:t>
            </w: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w:t>
            </w:r>
          </w:p>
        </w:tc>
        <w:tc>
          <w:tcPr>
            <w:tcW w:w="0" w:type="dxa"/>
            <w:vAlign w:val="bottom"/>
          </w:tcPr>
          <w:p>
            <w:pPr>
              <w:spacing w:after="0"/>
              <w:rPr>
                <w:sz w:val="1"/>
                <w:szCs w:val="1"/>
                <w:color w:val="auto"/>
              </w:rPr>
            </w:pPr>
          </w:p>
        </w:tc>
      </w:tr>
      <w:tr>
        <w:trPr>
          <w:trHeight w:val="216"/>
        </w:trPr>
        <w:tc>
          <w:tcPr>
            <w:tcW w:w="2860" w:type="dxa"/>
            <w:vAlign w:val="bottom"/>
            <w:gridSpan w:val="2"/>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Wisconsin / A6370 </w:t>
            </w:r>
            <w:r>
              <w:rPr>
                <w:rFonts w:ascii="Times New Roman" w:cs="Times New Roman" w:eastAsia="Times New Roman" w:hAnsi="Times New Roman"/>
                <w:sz w:val="21"/>
                <w:szCs w:val="21"/>
                <w:color w:val="auto"/>
                <w:vertAlign w:val="superscript"/>
              </w:rPr>
              <w:t>(1)</w:t>
            </w:r>
          </w:p>
        </w:tc>
        <w:tc>
          <w:tcPr>
            <w:tcW w:w="10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16"/>
        </w:trPr>
        <w:tc>
          <w:tcPr>
            <w:tcW w:w="286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Alabama / 1KJ </w:t>
            </w:r>
            <w:r>
              <w:rPr>
                <w:rFonts w:ascii="Times New Roman" w:cs="Times New Roman" w:eastAsia="Times New Roman" w:hAnsi="Times New Roman"/>
                <w:sz w:val="21"/>
                <w:szCs w:val="21"/>
                <w:color w:val="auto"/>
                <w:vertAlign w:val="superscript"/>
              </w:rPr>
              <w:t>(1)</w:t>
            </w: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w:t>
            </w:r>
          </w:p>
        </w:tc>
        <w:tc>
          <w:tcPr>
            <w:tcW w:w="120" w:type="dxa"/>
            <w:vAlign w:val="bottom"/>
          </w:tcPr>
          <w:p>
            <w:pPr>
              <w:spacing w:after="0"/>
              <w:rPr>
                <w:sz w:val="18"/>
                <w:szCs w:val="18"/>
                <w:color w:val="auto"/>
              </w:rPr>
            </w:pP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10"/>
        </w:trPr>
        <w:tc>
          <w:tcPr>
            <w:tcW w:w="2860" w:type="dxa"/>
            <w:vAlign w:val="bottom"/>
            <w:tcBorders>
              <w:top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9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w:t>
            </w:r>
          </w:p>
        </w:tc>
        <w:tc>
          <w:tcPr>
            <w:tcW w:w="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3,183</w:t>
            </w:r>
          </w:p>
        </w:tc>
        <w:tc>
          <w:tcPr>
            <w:tcW w:w="1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w:t>
            </w:r>
          </w:p>
        </w:tc>
        <w:tc>
          <w:tcPr>
            <w:tcW w:w="0" w:type="dxa"/>
            <w:vAlign w:val="bottom"/>
          </w:tcPr>
          <w:p>
            <w:pPr>
              <w:spacing w:after="0"/>
              <w:rPr>
                <w:sz w:val="1"/>
                <w:szCs w:val="1"/>
                <w:color w:val="auto"/>
              </w:rPr>
            </w:pPr>
          </w:p>
        </w:tc>
      </w:tr>
    </w:tbl>
    <w:p>
      <w:pPr>
        <w:spacing w:after="0" w:line="112" w:lineRule="exact"/>
        <w:rPr>
          <w:sz w:val="20"/>
          <w:szCs w:val="20"/>
          <w:color w:val="auto"/>
        </w:rPr>
      </w:pPr>
    </w:p>
    <w:p>
      <w:pPr>
        <w:ind w:left="360" w:hanging="352"/>
        <w:spacing w:after="0"/>
        <w:tabs>
          <w:tab w:leader="none" w:pos="3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Denotes where we are working as an "independent contractor" at another operator's mine.</w:t>
      </w:r>
    </w:p>
    <w:p>
      <w:pPr>
        <w:spacing w:after="0" w:line="69" w:lineRule="exact"/>
        <w:rPr>
          <w:sz w:val="20"/>
          <w:szCs w:val="20"/>
          <w:color w:val="auto"/>
        </w:rPr>
      </w:pPr>
    </w:p>
    <w:p>
      <w:pPr>
        <w:ind w:left="260" w:hanging="252"/>
        <w:spacing w:after="0" w:line="301" w:lineRule="auto"/>
        <w:tabs>
          <w:tab w:leader="none" w:pos="353"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total number of violations of mandatory health or safety standards that could significantly and substantially contribute to the cause and effect of a coal or other mine safety or health hazard under Section 104 of the Mine Act for which the operator received a citation from the MSHA.</w:t>
      </w:r>
    </w:p>
    <w:p>
      <w:pPr>
        <w:spacing w:after="0" w:line="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total number of orders issued under Section 104(b) of the Mine Act.</w:t>
      </w:r>
    </w:p>
    <w:p>
      <w:pPr>
        <w:spacing w:after="0" w:line="68" w:lineRule="exact"/>
        <w:rPr>
          <w:rFonts w:ascii="Times New Roman" w:cs="Times New Roman" w:eastAsia="Times New Roman" w:hAnsi="Times New Roman"/>
          <w:sz w:val="14"/>
          <w:szCs w:val="14"/>
          <w:color w:val="auto"/>
        </w:rPr>
      </w:pPr>
    </w:p>
    <w:p>
      <w:pPr>
        <w:ind w:left="300" w:hanging="292"/>
        <w:spacing w:after="0"/>
        <w:tabs>
          <w:tab w:leader="none" w:pos="30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total number of citations and orders for unwarrantable failure of the mine operator to comply with mandatory health or safety standards under Section 104(d) of the Mine Act.</w:t>
      </w:r>
    </w:p>
    <w:p>
      <w:pPr>
        <w:spacing w:after="0" w:line="55"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total number of flagrant violations under Section 110(b)(2) of the Mine Act.</w:t>
      </w:r>
    </w:p>
    <w:p>
      <w:pPr>
        <w:spacing w:after="0" w:line="68" w:lineRule="exact"/>
        <w:rPr>
          <w:rFonts w:ascii="Times New Roman" w:cs="Times New Roman" w:eastAsia="Times New Roman" w:hAnsi="Times New Roman"/>
          <w:sz w:val="14"/>
          <w:szCs w:val="14"/>
          <w:color w:val="auto"/>
        </w:rPr>
      </w:pPr>
    </w:p>
    <w:p>
      <w:pPr>
        <w:ind w:left="300" w:hanging="292"/>
        <w:spacing w:after="0"/>
        <w:tabs>
          <w:tab w:leader="none" w:pos="30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total number of imminent danger orders issued under Section 107(a) of the Mine Act.</w:t>
      </w:r>
    </w:p>
    <w:p>
      <w:pPr>
        <w:spacing w:after="0" w:line="68" w:lineRule="exact"/>
        <w:rPr>
          <w:rFonts w:ascii="Times New Roman" w:cs="Times New Roman" w:eastAsia="Times New Roman" w:hAnsi="Times New Roman"/>
          <w:sz w:val="14"/>
          <w:szCs w:val="14"/>
          <w:color w:val="auto"/>
        </w:rPr>
      </w:pPr>
    </w:p>
    <w:p>
      <w:pPr>
        <w:ind w:left="300" w:hanging="292"/>
        <w:spacing w:after="0"/>
        <w:tabs>
          <w:tab w:leader="none" w:pos="30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total dollar value of proposed assessments from the MSHA under the Mine Act.</w:t>
      </w:r>
    </w:p>
    <w:p>
      <w:pPr>
        <w:spacing w:after="0" w:line="68"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total number of mining-related fatalities.</w:t>
      </w:r>
    </w:p>
    <w:p>
      <w:pPr>
        <w:spacing w:after="0" w:line="68"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pending legal action before the Federal Mine Safety and Health Review Commission involving the applicable mine(s).</w:t>
      </w:r>
    </w:p>
    <w:p>
      <w:pPr>
        <w:spacing w:after="0" w:line="172"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16"/>
          <w:szCs w:val="16"/>
          <w:color w:val="auto"/>
        </w:rPr>
        <w:t>During the quarter ended September 30, 2026, our aggregate mines did not receive any written notices of a pattern of violations of mandatory health or safety standards, or of the potential to have such a pattern of violations, that are of such nature as could have significantly and substantially contributed to the cause and effect of coal or other mine health or safety hazards under Section 104(e) of the Mine Act.</w:t>
      </w:r>
    </w:p>
    <w:sectPr>
      <w:pgSz w:w="11900" w:h="16838" w:orient="portrait"/>
      <w:cols w:equalWidth="0" w:num="1">
        <w:col w:w="11240"/>
      </w:cols>
      <w:pgMar w:left="320" w:top="89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1)"/>
      <w:numFmt w:val="lowerLetter"/>
      <w:start w:val="1"/>
    </w:lvl>
  </w:abstractNum>
  <w:abstractNum w:abstractNumId="3">
    <w:nsid w:val="1BEFD79F"/>
    <w:multiLevelType w:val="hybridMultilevel"/>
    <w:lvl w:ilvl="0">
      <w:lvlJc w:val="left"/>
      <w:lvlText w:val="(%1)"/>
      <w:numFmt w:val="lowerLetter"/>
      <w:start w:val="1"/>
    </w:lvl>
  </w:abstractNum>
  <w:abstractNum w:abstractNumId="4">
    <w:nsid w:val="41A7C4C9"/>
    <w:multiLevelType w:val="hybridMultilevel"/>
    <w:lvl w:ilvl="0">
      <w:lvlJc w:val="left"/>
      <w:lvlText w:val="(%1)"/>
      <w:numFmt w:val="lowerLetter"/>
      <w:start w:val="1"/>
    </w:lvl>
  </w:abstractNum>
  <w:abstractNum w:abstractNumId="5">
    <w:nsid w:val="6B68079A"/>
    <w:multiLevelType w:val="hybridMultilevel"/>
    <w:lvl w:ilvl="0">
      <w:lvlJc w:val="left"/>
      <w:lvlText w:val="(%1)"/>
      <w:numFmt w:val="lowerLetter"/>
      <w:start w:val="1"/>
    </w:lvl>
  </w:abstractNum>
  <w:abstractNum w:abstractNumId="6">
    <w:nsid w:val="4E6AFB66"/>
    <w:multiLevelType w:val="hybridMultilevel"/>
    <w:lvl w:ilvl="0">
      <w:lvlJc w:val="left"/>
      <w:lvlText w:val="(%1)"/>
      <w:numFmt w:val="lowerLetter"/>
      <w:start w:val="1"/>
    </w:lvl>
  </w:abstractNum>
  <w:abstractNum w:abstractNumId="7">
    <w:nsid w:val="25E45D32"/>
    <w:multiLevelType w:val="hybridMultilevel"/>
    <w:lvl w:ilvl="0">
      <w:lvlJc w:val="left"/>
      <w:lvlText w:val="(%1)"/>
      <w:numFmt w:val="lowerLetter"/>
      <w:start w:val="1"/>
    </w:lvl>
  </w:abstractNum>
  <w:abstractNum w:abstractNumId="8">
    <w:nsid w:val="519B500D"/>
    <w:multiLevelType w:val="hybridMultilevel"/>
    <w:lvl w:ilvl="0">
      <w:lvlJc w:val="left"/>
      <w:lvlText w:val="(%1)"/>
      <w:numFmt w:val="lowerLetter"/>
      <w:start w:val="1"/>
    </w:lvl>
  </w:abstractNum>
  <w:abstractNum w:abstractNumId="9">
    <w:nsid w:val="431BD7B7"/>
    <w:multiLevelType w:val="hybridMultilevel"/>
    <w:lvl w:ilvl="0">
      <w:lvlJc w:val="left"/>
      <w:lvlText w:val="(%1)"/>
      <w:numFmt w:val="lowerLetter"/>
      <w:start w:val="1"/>
    </w:lvl>
  </w:abstractNum>
  <w:abstractNum w:abstractNumId="10">
    <w:nsid w:val="3F2DBA31"/>
    <w:multiLevelType w:val="hybridMultilevel"/>
    <w:lvl w:ilvl="0">
      <w:lvlJc w:val="left"/>
      <w:lvlText w:val="(%1)"/>
      <w:numFmt w:val="lowerLetter"/>
      <w:start w:val="1"/>
    </w:lvl>
  </w:abstractNum>
  <w:abstractNum w:abstractNumId="11">
    <w:nsid w:val="7C83E458"/>
    <w:multiLevelType w:val="hybridMultilevel"/>
    <w:lvl w:ilvl="0">
      <w:lvlJc w:val="left"/>
      <w:lvlText w:val="(%1)"/>
      <w:numFmt w:val="lowerLetter"/>
      <w:start w:val="1"/>
    </w:lvl>
  </w:abstractNum>
  <w:abstractNum w:abstractNumId="12">
    <w:nsid w:val="257130A3"/>
    <w:multiLevelType w:val="hybridMultilevel"/>
    <w:lvl w:ilvl="0">
      <w:lvlJc w:val="left"/>
      <w:lvlText w:val="(%1)"/>
      <w:numFmt w:val="lowerLetter"/>
      <w:start w:val="1"/>
    </w:lvl>
  </w:abstractNum>
  <w:abstractNum w:abstractNumId="13">
    <w:nsid w:val="62BBD95A"/>
    <w:multiLevelType w:val="hybridMultilevel"/>
    <w:lvl w:ilvl="0">
      <w:lvlJc w:val="left"/>
      <w:lvlText w:val="(%1)"/>
      <w:numFmt w:val="lowerLetter"/>
      <w:start w:val="1"/>
    </w:lvl>
  </w:abstractNum>
  <w:abstractNum w:abstractNumId="14">
    <w:nsid w:val="436C6125"/>
    <w:multiLevelType w:val="hybridMultilevel"/>
    <w:lvl w:ilvl="0">
      <w:lvlJc w:val="left"/>
      <w:lvlText w:val="(%1)"/>
      <w:numFmt w:val="lowerLetter"/>
      <w:start w:val="1"/>
    </w:lvl>
  </w:abstractNum>
  <w:abstractNum w:abstractNumId="15">
    <w:nsid w:val="628C895D"/>
    <w:multiLevelType w:val="hybridMultilevel"/>
    <w:lvl w:ilvl="0">
      <w:lvlJc w:val="left"/>
      <w:lvlText w:val="(%1)"/>
      <w:numFmt w:val="lowerLetter"/>
      <w:start w:val="1"/>
    </w:lvl>
  </w:abstractNum>
  <w:abstractNum w:abstractNumId="16">
    <w:nsid w:val="333AB105"/>
    <w:multiLevelType w:val="hybridMultilevel"/>
    <w:lvl w:ilvl="0">
      <w:lvlJc w:val="left"/>
      <w:lvlText w:val="%1"/>
      <w:numFmt w:val="decimal"/>
      <w:start w:val="104"/>
    </w:lvl>
  </w:abstractNum>
  <w:abstractNum w:abstractNumId="17">
    <w:nsid w:val="721DA317"/>
    <w:multiLevelType w:val="hybridMultilevel"/>
    <w:lvl w:ilvl="0">
      <w:lvlJc w:val="left"/>
      <w:lvlText w:val="**"/>
      <w:numFmt w:val="bullet"/>
      <w:start w:val="1"/>
    </w:lvl>
  </w:abstractNum>
  <w:abstractNum w:abstractNumId="18">
    <w:nsid w:val="2443A858"/>
    <w:multiLevelType w:val="hybridMultilevel"/>
    <w:lvl w:ilvl="0">
      <w:lvlJc w:val="left"/>
      <w:lvlText w:val="%1)"/>
      <w:numFmt w:val="lowerLetter"/>
      <w:start w:val="1"/>
    </w:lvl>
  </w:abstractNum>
  <w:abstractNum w:abstractNumId="19">
    <w:nsid w:val="2D1D5AE9"/>
    <w:multiLevelType w:val="hybridMultilevel"/>
    <w:lvl w:ilvl="0">
      <w:lvlJc w:val="left"/>
      <w:lvlText w:val="%1)"/>
      <w:numFmt w:val="lowerLetter"/>
      <w:start w:val="1"/>
    </w:lvl>
  </w:abstractNum>
  <w:abstractNum w:abstractNumId="20">
    <w:nsid w:val="6763845E"/>
    <w:multiLevelType w:val="hybridMultilevel"/>
    <w:lvl w:ilvl="0">
      <w:lvlJc w:val="left"/>
      <w:lvlText w:val="%1)"/>
      <w:numFmt w:val="lowerLetter"/>
      <w:start w:val="1"/>
    </w:lvl>
  </w:abstractNum>
  <w:abstractNum w:abstractNumId="21">
    <w:nsid w:val="75A2A8D4"/>
    <w:multiLevelType w:val="hybridMultilevel"/>
    <w:lvl w:ilvl="0">
      <w:lvlJc w:val="left"/>
      <w:lvlText w:val="%1)"/>
      <w:numFmt w:val="lowerLetter"/>
      <w:start w:val="1"/>
    </w:lvl>
  </w:abstractNum>
  <w:abstractNum w:abstractNumId="22">
    <w:nsid w:val="8EDBDAB"/>
    <w:multiLevelType w:val="hybridMultilevel"/>
    <w:lvl w:ilvl="0">
      <w:lvlJc w:val="left"/>
      <w:lvlText w:val="(%1)"/>
      <w:numFmt w:val="decimal"/>
      <w:start w:val="1"/>
    </w:lvl>
  </w:abstractNum>
  <w:abstractNum w:abstractNumId="23">
    <w:nsid w:val="79838CB2"/>
    <w:multiLevelType w:val="hybridMultilevel"/>
    <w:lvl w:ilvl="0">
      <w:lvlJc w:val="left"/>
      <w:lvlText w:val="(%1)"/>
      <w:numFmt w:val="decimal"/>
      <w:start w:val="1"/>
    </w:lvl>
  </w:abstractNum>
  <w:abstractNum w:abstractNumId="24">
    <w:nsid w:val="4353D0CD"/>
    <w:multiLevelType w:val="hybridMultilevel"/>
    <w:lvl w:ilvl="0">
      <w:lvlJc w:val="left"/>
      <w:lvlText w:val="(%1)"/>
      <w:numFmt w:val="decimal"/>
      <w:start w:val="1"/>
    </w:lvl>
  </w:abstractNum>
  <w:abstractNum w:abstractNumId="25">
    <w:nsid w:val="B03E0C6"/>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3" Type="http://schemas.openxmlformats.org/officeDocument/2006/relationships/image" Target="media/image53.png"/><Relationship Id="rId64" Type="http://schemas.openxmlformats.org/officeDocument/2006/relationships/image" Target="media/image54.png"/><Relationship Id="rId65" Type="http://schemas.openxmlformats.org/officeDocument/2006/relationships/image" Target="media/image55.png"/><Relationship Id="rId66" Type="http://schemas.openxmlformats.org/officeDocument/2006/relationships/image" Target="media/image56.png"/><Relationship Id="rId67" Type="http://schemas.openxmlformats.org/officeDocument/2006/relationships/image" Target="media/image57.png"/><Relationship Id="rId68" Type="http://schemas.openxmlformats.org/officeDocument/2006/relationships/image" Target="media/image58.png"/><Relationship Id="rId60" Type="http://schemas.openxmlformats.org/officeDocument/2006/relationships/hyperlink" Target="https://www.sec.gov/Archives/edgar/data/15615/000119312526354111/d299977dex42.htm" TargetMode="External"/><Relationship Id="rId61" Type="http://schemas.openxmlformats.org/officeDocument/2006/relationships/hyperlink" Target="https://www.sec.gov/Archives/edgar/data/0000015615/000119312526297552/d77261dex101.htm" TargetMode="External"/><Relationship Id="rId62" Type="http://schemas.openxmlformats.org/officeDocument/2006/relationships/hyperlink" Target="https://www.sec.gov/Archives/edgar/data/0000015615/000119312526297552/d77261d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2026-10-29T16:40:00Z</dcterms:created>
  <dcterms:modified xsi:type="dcterms:W3CDTF">2026-10-29T16:40:00Z</dcterms:modified>
</cp:coreProperties>
</file>