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right="20" w:firstLine="8"/>
        <w:spacing w:after="0" w:line="270" w:lineRule="auto"/>
        <w:tabs>
          <w:tab w:leader="none" w:pos="37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2025</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70" w:lineRule="exact"/>
        <w:rPr>
          <w:sz w:val="24"/>
          <w:szCs w:val="24"/>
          <w:color w:val="auto"/>
        </w:rPr>
      </w:pPr>
    </w:p>
    <w:p>
      <w:pPr>
        <w:ind w:firstLine="8"/>
        <w:spacing w:after="0" w:line="287" w:lineRule="auto"/>
        <w:tabs>
          <w:tab w:leader="none" w:pos="35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transition period from __ to 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001-08106</w:t>
      </w:r>
    </w:p>
    <w:p>
      <w:pPr>
        <w:spacing w:after="0" w:line="6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63500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MasTec, Inc.</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p>
      <w:pPr>
        <w:spacing w:after="0" w:line="120" w:lineRule="exact"/>
        <w:rPr>
          <w:sz w:val="24"/>
          <w:szCs w:val="24"/>
          <w:color w:val="auto"/>
        </w:rPr>
      </w:pPr>
    </w:p>
    <w:tbl>
      <w:tblPr>
        <w:tblLayout w:type="fixed"/>
        <w:tblInd w:w="1140" w:type="dxa"/>
        <w:tblCellMar>
          <w:top w:w="0" w:type="dxa"/>
          <w:left w:w="0" w:type="dxa"/>
          <w:bottom w:w="0" w:type="dxa"/>
          <w:right w:w="0" w:type="dxa"/>
        </w:tblCellMar>
      </w:tblPr>
      <w:tr>
        <w:trPr>
          <w:trHeight w:val="212"/>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2120" w:type="dxa"/>
            <w:vAlign w:val="bottom"/>
          </w:tcPr>
          <w:p>
            <w:pPr>
              <w:jc w:val="right"/>
              <w:ind w:right="546"/>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 incorporation or organization)</w:t>
            </w:r>
          </w:p>
        </w:tc>
        <w:tc>
          <w:tcPr>
            <w:tcW w:w="2120" w:type="dxa"/>
            <w:vAlign w:val="bottom"/>
          </w:tcPr>
          <w:p>
            <w:pPr>
              <w:jc w:val="center"/>
              <w:ind w:left="26"/>
              <w:spacing w:after="0"/>
              <w:rPr>
                <w:sz w:val="20"/>
                <w:szCs w:val="20"/>
                <w:color w:val="auto"/>
              </w:rPr>
            </w:pPr>
            <w:r>
              <w:rPr>
                <w:rFonts w:ascii="Times New Roman" w:cs="Times New Roman" w:eastAsia="Times New Roman" w:hAnsi="Times New Roman"/>
                <w:sz w:val="13"/>
                <w:szCs w:val="13"/>
                <w:b w:val="1"/>
                <w:bCs w:val="1"/>
                <w:i w:val="1"/>
                <w:iCs w:val="1"/>
                <w:color w:val="auto"/>
              </w:rPr>
              <w:t>(I.R.S. Employer Identification No.)</w:t>
            </w:r>
          </w:p>
        </w:tc>
      </w:tr>
      <w:tr>
        <w:trPr>
          <w:trHeight w:val="332"/>
        </w:trPr>
        <w:tc>
          <w:tcPr>
            <w:tcW w:w="6180" w:type="dxa"/>
            <w:vAlign w:val="bottom"/>
          </w:tcPr>
          <w:p>
            <w:pPr>
              <w:jc w:val="center"/>
              <w:ind w:right="2764"/>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12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271"/>
        </w:trPr>
        <w:tc>
          <w:tcPr>
            <w:tcW w:w="6180" w:type="dxa"/>
            <w:vAlign w:val="bottom"/>
          </w:tcPr>
          <w:p>
            <w:pPr>
              <w:jc w:val="right"/>
              <w:ind w:right="1104"/>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120" w:type="dxa"/>
            <w:vAlign w:val="bottom"/>
          </w:tcPr>
          <w:p>
            <w:pPr>
              <w:spacing w:after="0"/>
              <w:rPr>
                <w:sz w:val="23"/>
                <w:szCs w:val="23"/>
                <w:color w:val="auto"/>
              </w:rPr>
            </w:pPr>
          </w:p>
        </w:tc>
      </w:tr>
      <w:tr>
        <w:trPr>
          <w:trHeight w:val="192"/>
        </w:trPr>
        <w:tc>
          <w:tcPr>
            <w:tcW w:w="6180" w:type="dxa"/>
            <w:vAlign w:val="bottom"/>
          </w:tcPr>
          <w:p>
            <w:pPr>
              <w:jc w:val="center"/>
              <w:ind w:left="2704"/>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2120" w:type="dxa"/>
            <w:vAlign w:val="bottom"/>
          </w:tcPr>
          <w:p>
            <w:pPr>
              <w:spacing w:after="0"/>
              <w:rPr>
                <w:sz w:val="16"/>
                <w:szCs w:val="16"/>
                <w:color w:val="auto"/>
              </w:rPr>
            </w:pP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52"/>
        </w:trPr>
        <w:tc>
          <w:tcPr>
            <w:tcW w:w="6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300" w:type="dxa"/>
            <w:vAlign w:val="bottom"/>
          </w:tcPr>
          <w:p>
            <w:pPr>
              <w:spacing w:after="0"/>
              <w:rPr>
                <w:sz w:val="13"/>
                <w:szCs w:val="13"/>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0"/>
        </w:trPr>
        <w:tc>
          <w:tcPr>
            <w:tcW w:w="366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Common Stock, $0.10 Par Value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MTZ</w:t>
            </w:r>
          </w:p>
        </w:tc>
        <w:tc>
          <w:tcPr>
            <w:tcW w:w="1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49" w:lineRule="exact"/>
        <w:rPr>
          <w:sz w:val="24"/>
          <w:szCs w:val="24"/>
          <w:color w:val="auto"/>
        </w:rPr>
      </w:pPr>
    </w:p>
    <w:p>
      <w:pPr>
        <w:jc w:val="both"/>
        <w:ind w:firstLine="2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firstLine="17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173"/>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420"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60" w:right="3300" w:firstLine="9"/>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28, 2025, MasTec, Inc. had 78,907,954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QUARTER ENDED JUNE 30, 2025</w:t>
      </w:r>
    </w:p>
    <w:p>
      <w:pPr>
        <w:spacing w:after="0" w:line="1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0" w:type="dxa"/>
            <w:vAlign w:val="bottom"/>
            <w:gridSpan w:val="3"/>
          </w:tcPr>
          <w:p>
            <w:pPr>
              <w:ind w:left="1680"/>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81"/>
        </w:trPr>
        <w:tc>
          <w:tcPr>
            <w:tcW w:w="2480" w:type="dxa"/>
            <w:vAlign w:val="bottom"/>
            <w:gridSpan w:val="12"/>
          </w:tcPr>
          <w:p>
            <w:pPr>
              <w:spacing w:after="0" w:line="181" w:lineRule="exact"/>
              <w:rPr>
                <w:sz w:val="20"/>
                <w:szCs w:val="20"/>
                <w:color w:val="auto"/>
              </w:rPr>
            </w:pPr>
            <w:r>
              <w:rPr>
                <w:rFonts w:ascii="Times New Roman" w:cs="Times New Roman" w:eastAsia="Times New Roman" w:hAnsi="Times New Roman"/>
                <w:sz w:val="16"/>
                <w:szCs w:val="16"/>
                <w:color w:val="0000FF"/>
              </w:rPr>
              <w:t>Part I. FINANCIAL INFORMATION</w:t>
            </w:r>
          </w:p>
        </w:tc>
        <w:tc>
          <w:tcPr>
            <w:tcW w:w="6440" w:type="dxa"/>
            <w:vAlign w:val="bottom"/>
            <w:gridSpan w:val="23"/>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5"/>
                <w:szCs w:val="15"/>
                <w:color w:val="auto"/>
              </w:rPr>
            </w:pPr>
          </w:p>
        </w:tc>
      </w:tr>
      <w:tr>
        <w:trPr>
          <w:trHeight w:val="20"/>
        </w:trPr>
        <w:tc>
          <w:tcPr>
            <w:tcW w:w="4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1</w:t>
            </w:r>
          </w:p>
        </w:tc>
        <w:tc>
          <w:tcPr>
            <w:tcW w:w="520" w:type="dxa"/>
            <w:vAlign w:val="bottom"/>
            <w:gridSpan w:val="3"/>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4860" w:type="dxa"/>
            <w:vAlign w:val="bottom"/>
            <w:gridSpan w:val="13"/>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gridSpan w:val="23"/>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3560" w:type="dxa"/>
            <w:vAlign w:val="bottom"/>
            <w:gridSpan w:val="6"/>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960" w:type="dxa"/>
            <w:vAlign w:val="bottom"/>
            <w:gridSpan w:val="11"/>
          </w:tcPr>
          <w:p>
            <w:pPr>
              <w:spacing w:after="0"/>
              <w:rPr>
                <w:sz w:val="17"/>
                <w:szCs w:val="17"/>
                <w:color w:val="auto"/>
              </w:rPr>
            </w:pPr>
          </w:p>
        </w:tc>
        <w:tc>
          <w:tcPr>
            <w:tcW w:w="3560" w:type="dxa"/>
            <w:vAlign w:val="bottom"/>
            <w:gridSpan w:val="6"/>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Equity</w:t>
            </w:r>
          </w:p>
        </w:tc>
        <w:tc>
          <w:tcPr>
            <w:tcW w:w="5140" w:type="dxa"/>
            <w:vAlign w:val="bottom"/>
            <w:gridSpan w:val="1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0" w:type="dxa"/>
            <w:vAlign w:val="bottom"/>
            <w:gridSpan w:val="29"/>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3740" w:type="dxa"/>
            <w:vAlign w:val="bottom"/>
            <w:gridSpan w:val="8"/>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0E32E1"/>
              </w:rPr>
              <w:t>1.</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Business, Basis of Presentation and Significant Accounting Policies</w:t>
            </w:r>
          </w:p>
        </w:tc>
        <w:tc>
          <w:tcPr>
            <w:tcW w:w="1880" w:type="dxa"/>
            <w:vAlign w:val="bottom"/>
            <w:gridSpan w:val="2"/>
          </w:tcPr>
          <w:p>
            <w:pPr>
              <w:jc w:val="center"/>
              <w:ind w:left="1719"/>
              <w:spacing w:after="0"/>
              <w:rPr>
                <w:sz w:val="20"/>
                <w:szCs w:val="20"/>
                <w:color w:val="auto"/>
              </w:rPr>
            </w:pPr>
            <w:r>
              <w:rPr>
                <w:rFonts w:ascii="Times New Roman" w:cs="Times New Roman" w:eastAsia="Times New Roman" w:hAnsi="Times New Roman"/>
                <w:sz w:val="16"/>
                <w:szCs w:val="16"/>
                <w:color w:val="0000FF"/>
                <w:w w:val="99"/>
              </w:rPr>
              <w:t>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2.</w:t>
            </w:r>
          </w:p>
        </w:tc>
        <w:tc>
          <w:tcPr>
            <w:tcW w:w="440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Earnings Per Share</w:t>
            </w:r>
          </w:p>
        </w:tc>
        <w:tc>
          <w:tcPr>
            <w:tcW w:w="2560" w:type="dxa"/>
            <w:vAlign w:val="bottom"/>
            <w:gridSpan w:val="3"/>
          </w:tcPr>
          <w:p>
            <w:pPr>
              <w:spacing w:after="0"/>
              <w:rPr>
                <w:sz w:val="17"/>
                <w:szCs w:val="17"/>
                <w:color w:val="auto"/>
              </w:rPr>
            </w:pP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11</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3.</w:t>
            </w:r>
          </w:p>
        </w:tc>
        <w:tc>
          <w:tcPr>
            <w:tcW w:w="36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Acquisitions, Goodwill and Other Intangible Assets, Net</w:t>
            </w:r>
          </w:p>
        </w:tc>
        <w:tc>
          <w:tcPr>
            <w:tcW w:w="3280" w:type="dxa"/>
            <w:vAlign w:val="bottom"/>
            <w:gridSpan w:val="5"/>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12</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4.</w:t>
            </w:r>
          </w:p>
        </w:tc>
        <w:tc>
          <w:tcPr>
            <w:tcW w:w="2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w w:val="99"/>
              </w:rPr>
              <w:t>Fair Value of Financial Instruments</w:t>
            </w:r>
          </w:p>
        </w:tc>
        <w:tc>
          <w:tcPr>
            <w:tcW w:w="4660" w:type="dxa"/>
            <w:vAlign w:val="bottom"/>
            <w:gridSpan w:val="9"/>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13</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5.</w:t>
            </w:r>
          </w:p>
        </w:tc>
        <w:tc>
          <w:tcPr>
            <w:tcW w:w="4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Accounts Receivable, Net of Allowance, and Contract Assets and Liabilities</w:t>
            </w:r>
          </w:p>
        </w:tc>
        <w:tc>
          <w:tcPr>
            <w:tcW w:w="200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15</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6.</w:t>
            </w:r>
          </w:p>
        </w:tc>
        <w:tc>
          <w:tcPr>
            <w:tcW w:w="3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Debt</w:t>
            </w:r>
          </w:p>
        </w:tc>
        <w:tc>
          <w:tcPr>
            <w:tcW w:w="6640" w:type="dxa"/>
            <w:vAlign w:val="bottom"/>
            <w:gridSpan w:val="25"/>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16</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7.</w:t>
            </w:r>
          </w:p>
        </w:tc>
        <w:tc>
          <w:tcPr>
            <w:tcW w:w="1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Lease Obligations</w:t>
            </w:r>
          </w:p>
        </w:tc>
        <w:tc>
          <w:tcPr>
            <w:tcW w:w="5720" w:type="dxa"/>
            <w:vAlign w:val="bottom"/>
            <w:gridSpan w:val="18"/>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17</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8.</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Stock-Based Compensation and Other Employee Benefit Plans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18</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9.</w:t>
            </w:r>
          </w:p>
        </w:tc>
        <w:tc>
          <w:tcPr>
            <w:tcW w:w="4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Equity</w:t>
            </w:r>
          </w:p>
        </w:tc>
        <w:tc>
          <w:tcPr>
            <w:tcW w:w="3640" w:type="dxa"/>
            <w:vAlign w:val="bottom"/>
            <w:tcBorders>
              <w:top w:val="single" w:sz="8" w:color="0000FF"/>
            </w:tcBorders>
            <w:gridSpan w:val="20"/>
          </w:tcPr>
          <w:p>
            <w:pPr>
              <w:spacing w:after="0"/>
              <w:rPr>
                <w:sz w:val="17"/>
                <w:szCs w:val="17"/>
                <w:color w:val="auto"/>
              </w:rPr>
            </w:pPr>
          </w:p>
        </w:tc>
        <w:tc>
          <w:tcPr>
            <w:tcW w:w="2880" w:type="dxa"/>
            <w:vAlign w:val="bottom"/>
            <w:gridSpan w:val="4"/>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19</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10.</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Income Taxes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19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11.</w:t>
            </w:r>
          </w:p>
        </w:tc>
        <w:tc>
          <w:tcPr>
            <w:tcW w:w="2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Segments and Related Information</w:t>
            </w:r>
          </w:p>
        </w:tc>
        <w:tc>
          <w:tcPr>
            <w:tcW w:w="4700" w:type="dxa"/>
            <w:vAlign w:val="bottom"/>
            <w:gridSpan w:val="10"/>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19</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12.</w:t>
            </w:r>
          </w:p>
        </w:tc>
        <w:tc>
          <w:tcPr>
            <w:tcW w:w="6960" w:type="dxa"/>
            <w:vAlign w:val="bottom"/>
            <w:gridSpan w:val="28"/>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22</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13.</w:t>
            </w:r>
          </w:p>
        </w:tc>
        <w:tc>
          <w:tcPr>
            <w:tcW w:w="21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Related Party Transactions</w:t>
            </w:r>
          </w:p>
        </w:tc>
        <w:tc>
          <w:tcPr>
            <w:tcW w:w="4800" w:type="dxa"/>
            <w:vAlign w:val="bottom"/>
            <w:gridSpan w:val="11"/>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24</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2</w:t>
            </w:r>
          </w:p>
        </w:tc>
        <w:tc>
          <w:tcPr>
            <w:tcW w:w="520" w:type="dxa"/>
            <w:vAlign w:val="bottom"/>
            <w:gridSpan w:val="3"/>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26</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3</w:t>
            </w:r>
          </w:p>
        </w:tc>
        <w:tc>
          <w:tcPr>
            <w:tcW w:w="60" w:type="dxa"/>
            <w:vAlign w:val="bottom"/>
            <w:tcBorders>
              <w:bottom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394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860" w:type="dxa"/>
            <w:vAlign w:val="bottom"/>
            <w:tcBorders>
              <w:top w:val="single" w:sz="8" w:color="0000FF"/>
            </w:tcBorders>
            <w:gridSpan w:val="5"/>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38</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4</w:t>
            </w:r>
          </w:p>
        </w:tc>
        <w:tc>
          <w:tcPr>
            <w:tcW w:w="520" w:type="dxa"/>
            <w:vAlign w:val="bottom"/>
            <w:gridSpan w:val="3"/>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39</w:t>
            </w:r>
          </w:p>
        </w:tc>
        <w:tc>
          <w:tcPr>
            <w:tcW w:w="12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2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6720" w:type="dxa"/>
            <w:vAlign w:val="bottom"/>
            <w:gridSpan w:val="27"/>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1</w:t>
            </w:r>
          </w:p>
        </w:tc>
        <w:tc>
          <w:tcPr>
            <w:tcW w:w="520" w:type="dxa"/>
            <w:vAlign w:val="bottom"/>
            <w:gridSpan w:val="3"/>
          </w:tcPr>
          <w:p>
            <w:pPr>
              <w:spacing w:after="0"/>
              <w:rPr>
                <w:sz w:val="17"/>
                <w:szCs w:val="17"/>
                <w:color w:val="auto"/>
              </w:rPr>
            </w:pPr>
          </w:p>
        </w:tc>
        <w:tc>
          <w:tcPr>
            <w:tcW w:w="12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6300" w:type="dxa"/>
            <w:vAlign w:val="bottom"/>
            <w:gridSpan w:val="21"/>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0"/>
              </w:rPr>
              <w:t>Item 1A</w:t>
            </w:r>
          </w:p>
        </w:tc>
        <w:tc>
          <w:tcPr>
            <w:tcW w:w="460" w:type="dxa"/>
            <w:vAlign w:val="bottom"/>
            <w:gridSpan w:val="2"/>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40</w:t>
            </w:r>
          </w:p>
        </w:tc>
        <w:tc>
          <w:tcPr>
            <w:tcW w:w="120" w:type="dxa"/>
            <w:vAlign w:val="bottom"/>
          </w:tcPr>
          <w:p>
            <w:pPr>
              <w:spacing w:after="0"/>
              <w:rPr>
                <w:sz w:val="17"/>
                <w:szCs w:val="17"/>
                <w:color w:val="auto"/>
              </w:rPr>
            </w:pP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Item 2</w:t>
            </w:r>
          </w:p>
        </w:tc>
        <w:tc>
          <w:tcPr>
            <w:tcW w:w="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500" w:type="dxa"/>
            <w:vAlign w:val="bottom"/>
            <w:gridSpan w:val="3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880" w:type="dxa"/>
            <w:vAlign w:val="bottom"/>
            <w:gridSpan w:val="2"/>
          </w:tcPr>
          <w:p>
            <w:pPr>
              <w:jc w:val="center"/>
              <w:ind w:left="1639"/>
              <w:spacing w:after="0"/>
              <w:rPr>
                <w:sz w:val="20"/>
                <w:szCs w:val="20"/>
                <w:color w:val="auto"/>
              </w:rPr>
            </w:pPr>
            <w:r>
              <w:rPr>
                <w:rFonts w:ascii="Times New Roman" w:cs="Times New Roman" w:eastAsia="Times New Roman" w:hAnsi="Times New Roman"/>
                <w:sz w:val="16"/>
                <w:szCs w:val="16"/>
                <w:color w:val="0000FF"/>
                <w:w w:val="99"/>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4</w:t>
            </w:r>
          </w:p>
        </w:tc>
        <w:tc>
          <w:tcPr>
            <w:tcW w:w="10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600" w:type="dxa"/>
            <w:vAlign w:val="bottom"/>
            <w:gridSpan w:val="7"/>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5</w:t>
            </w:r>
          </w:p>
        </w:tc>
        <w:tc>
          <w:tcPr>
            <w:tcW w:w="100" w:type="dxa"/>
            <w:vAlign w:val="bottom"/>
            <w:tcBorders>
              <w:top w:val="single" w:sz="8" w:color="0000FF"/>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400" w:type="dxa"/>
            <w:vAlign w:val="bottom"/>
            <w:tcBorders>
              <w:top w:val="single" w:sz="8" w:color="0000FF"/>
            </w:tcBorders>
            <w:gridSpan w:val="3"/>
          </w:tcPr>
          <w:p>
            <w:pPr>
              <w:spacing w:after="0"/>
              <w:rPr>
                <w:sz w:val="17"/>
                <w:szCs w:val="17"/>
                <w:color w:val="auto"/>
              </w:rPr>
            </w:pPr>
          </w:p>
        </w:tc>
        <w:tc>
          <w:tcPr>
            <w:tcW w:w="5920" w:type="dxa"/>
            <w:vAlign w:val="bottom"/>
            <w:gridSpan w:val="19"/>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12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rPr>
              <w:t>Item 6</w:t>
            </w:r>
          </w:p>
        </w:tc>
        <w:tc>
          <w:tcPr>
            <w:tcW w:w="520" w:type="dxa"/>
            <w:vAlign w:val="bottom"/>
            <w:gridSpan w:val="3"/>
          </w:tcPr>
          <w:p>
            <w:pPr>
              <w:spacing w:after="0"/>
              <w:rPr>
                <w:sz w:val="17"/>
                <w:szCs w:val="17"/>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41</w:t>
            </w:r>
          </w:p>
        </w:tc>
        <w:tc>
          <w:tcPr>
            <w:tcW w:w="120" w:type="dxa"/>
            <w:vAlign w:val="bottom"/>
          </w:tcPr>
          <w:p>
            <w:pPr>
              <w:spacing w:after="0"/>
              <w:rPr>
                <w:sz w:val="17"/>
                <w:szCs w:val="17"/>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42</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60" w:top="893" w:right="619" w:bottom="1440" w:gutter="0" w:footer="0" w:header="0"/>
        </w:sectPr>
      </w:pPr>
    </w:p>
    <w:bookmarkStart w:id="2" w:name="page3"/>
    <w:bookmarkEnd w:id="2"/>
    <w:p>
      <w:pPr>
        <w:spacing w:after="0"/>
        <w:tabs>
          <w:tab w:leader="none" w:pos="760" w:val="left"/>
        </w:tabs>
        <w:rPr>
          <w:sz w:val="20"/>
          <w:szCs w:val="20"/>
          <w:color w:val="auto"/>
        </w:rPr>
      </w:pPr>
      <w:r>
        <w:rPr>
          <w:rFonts w:ascii="Times New Roman" w:cs="Times New Roman" w:eastAsia="Times New Roman" w:hAnsi="Times New Roman"/>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3,544,705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2,961,086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6,392,423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5,647,935</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2,540,447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5,645,782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4,920,119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209,576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67,301</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332,618</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82,893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102,630</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r>
      <w:tr>
        <w:trPr>
          <w:trHeight w:val="207"/>
        </w:trPr>
        <w:tc>
          <w:tcPr>
            <w:tcW w:w="6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120,793</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63,112</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129,737</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(8,265)</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90,133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102,461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9,309</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r>
      <w:tr>
        <w:trPr>
          <w:trHeight w:val="207"/>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95,669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(7,192)</w:t>
            </w:r>
          </w:p>
        </w:tc>
      </w:tr>
      <w:tr>
        <w:trPr>
          <w:trHeight w:val="239"/>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(Note 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77,684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77,937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77,984</w:t>
            </w:r>
          </w:p>
        </w:tc>
      </w:tr>
      <w:tr>
        <w:trPr>
          <w:trHeight w:val="239"/>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78,860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77,984</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9,309</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gains (losses)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r>
      <w:tr>
        <w:trPr>
          <w:trHeight w:val="213"/>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Unrealized (losses) gains on investment activity</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10,777</w:t>
            </w:r>
          </w:p>
        </w:tc>
      </w:tr>
      <w:tr>
        <w:trPr>
          <w:trHeight w:val="239"/>
        </w:trPr>
        <w:tc>
          <w:tcPr>
            <w:tcW w:w="6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6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r>
      <w:tr>
        <w:trPr>
          <w:trHeight w:val="213"/>
        </w:trPr>
        <w:tc>
          <w:tcPr>
            <w:tcW w:w="66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Foreign currency translation losses attributable to non-controlling interests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16,501</w:t>
            </w:r>
          </w:p>
        </w:tc>
      </w:tr>
      <w:tr>
        <w:trPr>
          <w:trHeight w:val="239"/>
        </w:trPr>
        <w:tc>
          <w:tcPr>
            <w:tcW w:w="6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MasTec,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(5,724)</w:t>
            </w: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399,903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1,381,462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1,555,807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107,345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118,888</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89,125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3,746,999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3,652,530</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1,548,916</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396,151</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2,203,077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727,366</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448,617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447,235</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9,132,156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8,975,275</w:t>
            </w:r>
          </w:p>
        </w:tc>
        <w:tc>
          <w:tcPr>
            <w:tcW w:w="0" w:type="dxa"/>
            <w:vAlign w:val="bottom"/>
          </w:tcPr>
          <w:p>
            <w:pPr>
              <w:spacing w:after="0"/>
              <w:rPr>
                <w:sz w:val="1"/>
                <w:szCs w:val="1"/>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186,095</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146,183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1,218,063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1,105,747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205,152</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455,043</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735,625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125,275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165,854</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3,067,658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2,999,699</w:t>
            </w:r>
          </w:p>
        </w:tc>
        <w:tc>
          <w:tcPr>
            <w:tcW w:w="0" w:type="dxa"/>
            <w:vAlign w:val="bottom"/>
          </w:tcPr>
          <w:p>
            <w:pPr>
              <w:spacing w:after="0"/>
              <w:rPr>
                <w:sz w:val="1"/>
                <w:szCs w:val="1"/>
                <w:color w:val="auto"/>
              </w:rPr>
            </w:pPr>
          </w:p>
        </w:tc>
      </w:tr>
      <w:tr>
        <w:trPr>
          <w:trHeight w:val="207"/>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2,096,775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2,038,017</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362,772</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326,141</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6,117,791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5,987,932</w:t>
            </w:r>
          </w:p>
        </w:tc>
        <w:tc>
          <w:tcPr>
            <w:tcW w:w="0" w:type="dxa"/>
            <w:vAlign w:val="bottom"/>
          </w:tcPr>
          <w:p>
            <w:pPr>
              <w:spacing w:after="0"/>
              <w:rPr>
                <w:sz w:val="1"/>
                <w:szCs w:val="1"/>
                <w:color w:val="auto"/>
              </w:rPr>
            </w:pPr>
          </w:p>
        </w:tc>
      </w:tr>
      <w:tr>
        <w:trPr>
          <w:trHeight w:val="19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- 99,335,857 and 99,029,011 (including</w:t>
            </w: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1,304,396 and 1,130,020 of unvested stock awards) as of June 30, 2025 and December 31, 2024, respectively</w:t>
            </w:r>
          </w:p>
        </w:tc>
        <w:tc>
          <w:tcPr>
            <w:tcW w:w="2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1,291,027</w:t>
            </w:r>
          </w:p>
        </w:tc>
        <w:tc>
          <w:tcPr>
            <w:tcW w:w="0" w:type="dxa"/>
            <w:vAlign w:val="bottom"/>
          </w:tcPr>
          <w:p>
            <w:pPr>
              <w:spacing w:after="0"/>
              <w:rPr>
                <w:sz w:val="1"/>
                <w:szCs w:val="1"/>
                <w:color w:val="auto"/>
              </w:rPr>
            </w:pPr>
          </w:p>
        </w:tc>
      </w:tr>
      <w:tr>
        <w:trPr>
          <w:trHeight w:val="213"/>
        </w:trPr>
        <w:tc>
          <w:tcPr>
            <w:tcW w:w="8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2,308,581</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20,422,329 and 19,719,796 shares as of June 30, 2025 and December 31, 2024, respectively</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(656,807)</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2,947,147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2,911,857</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3,014,365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2,987,343</w:t>
            </w:r>
          </w:p>
        </w:tc>
        <w:tc>
          <w:tcPr>
            <w:tcW w:w="0" w:type="dxa"/>
            <w:vAlign w:val="bottom"/>
          </w:tcPr>
          <w:p>
            <w:pPr>
              <w:spacing w:after="0"/>
              <w:rPr>
                <w:sz w:val="1"/>
                <w:szCs w:val="1"/>
                <w:color w:val="auto"/>
              </w:rPr>
            </w:pPr>
          </w:p>
        </w:tc>
      </w:tr>
      <w:tr>
        <w:trPr>
          <w:trHeight w:val="207"/>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9,132,156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8,975,275</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99,325,262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9,932</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(20,052,361)</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(693,880)</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1,293,708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2,318,484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2,884,341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70,918</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$2,955,259</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90,133</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9,371</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(369,968)</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(40,253)</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99,335,857</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1,303,045</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2,404,250</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(35,948)</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2,947,147</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67,218</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$3,014,365</w:t>
            </w: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30, 2024</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99,272,155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1,270,291</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2,104,613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2,674,264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15,760</w:t>
            </w: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$2,690,024</w:t>
            </w:r>
          </w:p>
        </w:tc>
        <w:tc>
          <w:tcPr>
            <w:tcW w:w="0" w:type="dxa"/>
            <w:vAlign w:val="bottom"/>
          </w:tcPr>
          <w:p>
            <w:pPr>
              <w:spacing w:after="0"/>
              <w:rPr>
                <w:sz w:val="1"/>
                <w:szCs w:val="1"/>
                <w:color w:val="auto"/>
              </w:rPr>
            </w:pPr>
          </w:p>
        </w:tc>
      </w:tr>
      <w:tr>
        <w:trPr>
          <w:trHeight w:val="22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43,768</w:t>
            </w:r>
          </w:p>
        </w:tc>
        <w:tc>
          <w:tcPr>
            <w:tcW w:w="0" w:type="dxa"/>
            <w:vAlign w:val="bottom"/>
          </w:tcPr>
          <w:p>
            <w:pPr>
              <w:spacing w:after="0"/>
              <w:rPr>
                <w:sz w:val="1"/>
                <w:szCs w:val="1"/>
                <w:color w:val="auto"/>
              </w:rPr>
            </w:pPr>
          </w:p>
        </w:tc>
      </w:tr>
      <w:tr>
        <w:trPr>
          <w:trHeight w:val="24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0" w:type="dxa"/>
            <w:vAlign w:val="bottom"/>
          </w:tcPr>
          <w:p>
            <w:pPr>
              <w:spacing w:after="0"/>
              <w:rPr>
                <w:sz w:val="1"/>
                <w:szCs w:val="1"/>
                <w:color w:val="auto"/>
              </w:rPr>
            </w:pPr>
          </w:p>
        </w:tc>
      </w:tr>
      <w:tr>
        <w:trPr>
          <w:trHeight w:val="207"/>
        </w:trPr>
        <w:tc>
          <w:tcPr>
            <w:tcW w:w="2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99,044,551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1,277,301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2,138,601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 except shares)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50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74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00" w:type="dxa"/>
            <w:vAlign w:val="bottom"/>
          </w:tcPr>
          <w:p>
            <w:pPr>
              <w:spacing w:after="0"/>
              <w:rPr>
                <w:sz w:val="14"/>
                <w:szCs w:val="14"/>
                <w:color w:val="auto"/>
              </w:rPr>
            </w:pPr>
          </w:p>
        </w:tc>
        <w:tc>
          <w:tcPr>
            <w:tcW w:w="15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6"/>
                <w:szCs w:val="16"/>
                <w:b w:val="1"/>
                <w:bCs w:val="1"/>
                <w:color w:val="auto"/>
                <w:w w:val="99"/>
              </w:rPr>
              <w:t>MasTec, Inc.</w:t>
            </w: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820" w:type="dxa"/>
            <w:vAlign w:val="bottom"/>
          </w:tcPr>
          <w:p>
            <w:pPr>
              <w:jc w:val="right"/>
              <w:ind w:right="15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200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99,029,011</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(19,719,796)</w:t>
            </w:r>
          </w:p>
        </w:tc>
        <w:tc>
          <w:tcPr>
            <w:tcW w:w="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(656,807)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1,291,027</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2,308,581</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80" w:type="dxa"/>
            <w:vAlign w:val="bottom"/>
          </w:tcPr>
          <w:p>
            <w:pPr>
              <w:spacing w:after="0"/>
              <w:rPr>
                <w:sz w:val="12"/>
                <w:szCs w:val="12"/>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2,911,857</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$2,987,343</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102,461</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restricted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treasury</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at cost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(702,533)</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 net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0" w:type="dxa"/>
            <w:vAlign w:val="bottom"/>
          </w:tcPr>
          <w:p>
            <w:pPr>
              <w:spacing w:after="0"/>
              <w:rPr>
                <w:sz w:val="1"/>
                <w:szCs w:val="1"/>
                <w:color w:val="auto"/>
              </w:rPr>
            </w:pPr>
          </w:p>
        </w:tc>
      </w:tr>
      <w:tr>
        <w:trPr>
          <w:trHeight w:val="207"/>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99,335,857</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9,933</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(20,422,329)</w:t>
            </w: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(734,133)</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1,303,045</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2,404,250</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(35,948)</w:t>
            </w: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2,947,147</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67,218</w:t>
            </w:r>
          </w:p>
        </w:tc>
        <w:tc>
          <w:tcPr>
            <w:tcW w:w="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$3,014,365</w:t>
            </w: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Balance as of December 31,</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99,093,134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1,263,360</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2,145,793</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2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Forfeiture of restricted</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net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other stock issuances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0" w:type="dxa"/>
            <w:vAlign w:val="bottom"/>
          </w:tcPr>
          <w:p>
            <w:pPr>
              <w:spacing w:after="0"/>
              <w:rPr>
                <w:sz w:val="1"/>
                <w:szCs w:val="1"/>
                <w:color w:val="auto"/>
              </w:rPr>
            </w:pPr>
          </w:p>
        </w:tc>
      </w:tr>
      <w:tr>
        <w:trPr>
          <w:trHeight w:val="21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to non-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 interests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0" w:type="dxa"/>
            <w:vAlign w:val="bottom"/>
          </w:tcPr>
          <w:p>
            <w:pPr>
              <w:spacing w:after="0"/>
              <w:rPr>
                <w:sz w:val="1"/>
                <w:szCs w:val="1"/>
                <w:color w:val="auto"/>
              </w:rPr>
            </w:pPr>
          </w:p>
        </w:tc>
      </w:tr>
      <w:tr>
        <w:trPr>
          <w:trHeight w:val="216"/>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assumed related to</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99,044,551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(19,813,055)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(659,913)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1,277,301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2,138,601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$2,734,107</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r>
      <w:tr>
        <w:trPr>
          <w:trHeight w:val="198"/>
        </w:trPr>
        <w:tc>
          <w:tcPr>
            <w:tcW w:w="20" w:type="dxa"/>
            <w:vAlign w:val="bottom"/>
            <w:shd w:val="clear" w:color="auto" w:fill="CCEEFF"/>
          </w:tcPr>
          <w:p>
            <w:pPr>
              <w:spacing w:after="0"/>
              <w:rPr>
                <w:sz w:val="17"/>
                <w:szCs w:val="17"/>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102,461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209,576</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Benefit from 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Gains on sales and impairments of assets,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interest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non-cash items,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222,547</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 current and long-term portion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(312,882)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liabilities, current and long-term portion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(8,376)</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372,199</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31,079</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(24,470)</w:t>
            </w:r>
          </w:p>
        </w:tc>
        <w:tc>
          <w:tcPr>
            <w:tcW w:w="20" w:type="dxa"/>
            <w:vAlign w:val="bottom"/>
            <w:tcBorders>
              <w:bottom w:val="single" w:sz="8" w:color="auto"/>
            </w:tcBorders>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credit facilities and term loans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2,108,500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Repayments of credit facilities and term loans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(2,892,143)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(2,933,375)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issuance of 5.900% senior notes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549,758</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Repayments of 6.625% senior notes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(203,709)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(71,226)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of acquisition-related contingent consideration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Payments to non-controlling interests, including acquisition of interests and distributions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Payments for stock-based awards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(10,759)</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(579,078)</w:t>
            </w:r>
          </w:p>
        </w:tc>
        <w:tc>
          <w:tcPr>
            <w:tcW w:w="20" w:type="dxa"/>
            <w:vAlign w:val="bottom"/>
            <w:tcBorders>
              <w:bottom w:val="single" w:sz="8" w:color="auto"/>
            </w:tcBorders>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(231,975)</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399,903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20" w:type="dxa"/>
            <w:vAlign w:val="bottom"/>
            <w:tcBorders>
              <w:bottom w:val="single" w:sz="8" w:color="auto"/>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297,586</w:t>
            </w:r>
          </w:p>
        </w:tc>
        <w:tc>
          <w:tcPr>
            <w:tcW w:w="20" w:type="dxa"/>
            <w:vAlign w:val="bottom"/>
            <w:tcBorders>
              <w:bottom w:val="single" w:sz="8" w:color="auto"/>
            </w:tcBorders>
            <w:shd w:val="clear" w:color="auto" w:fill="CCEEFF"/>
          </w:tcPr>
          <w:p>
            <w:pPr>
              <w:spacing w:after="0"/>
              <w:rPr>
                <w:sz w:val="18"/>
                <w:szCs w:val="18"/>
                <w:color w:val="auto"/>
              </w:rPr>
            </w:pPr>
          </w:p>
        </w:tc>
      </w:tr>
      <w:tr>
        <w:trPr>
          <w:trHeight w:val="118"/>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paid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87,830</w:t>
            </w:r>
          </w:p>
        </w:tc>
        <w:tc>
          <w:tcPr>
            <w:tcW w:w="100" w:type="dxa"/>
            <w:vAlign w:val="bottom"/>
          </w:tcPr>
          <w:p>
            <w:pPr>
              <w:spacing w:after="0"/>
              <w:rPr>
                <w:sz w:val="18"/>
                <w:szCs w:val="18"/>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104,622</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44,996</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Supplemental disclosure of non-cash information: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from finance leases and other financing arrangements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53,093</w:t>
            </w:r>
          </w:p>
        </w:tc>
        <w:tc>
          <w:tcPr>
            <w:tcW w:w="20" w:type="dxa"/>
            <w:vAlign w:val="bottom"/>
          </w:tcPr>
          <w:p>
            <w:pPr>
              <w:spacing w:after="0"/>
              <w:rPr>
                <w:sz w:val="19"/>
                <w:szCs w:val="19"/>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2" w:right="3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Pipeline Infrastructure and (5) Other.</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2024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2024 contained in the Company’s 2024 Annual Report on Form 10-K (the “2024 Form 10-K”). In management’s opinion, all normal and recurring adjustments considered necessary for a fair statement of the financial position, results of operations and cash flows for the periods presented have been included. When appropriate, prior year amounts are reclassified to conform with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the first quarter of 2025, the Company made changes to its Communications segment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See Note 11 – Segments and Related Information for additional information pertaining to the Company’s reportable segments. The segments are reported on a comparable basis for all periods presented.</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45% and 40% of consolidated revenue for the three months ended June 30, 2025 and 2024, respectively, and totaled 46% and 40% for the six months ended June 30, 2025 and 2024, respectively.</w:t>
      </w:r>
    </w:p>
    <w:p>
      <w:pPr>
        <w:spacing w:after="0" w:line="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1% and 2% of consolidated revenue for the three months ended June 30, 2025 and 2024, respectively, and totaled approximately 2% for both the six months ended June 30, 2025 and 2024.</w:t>
      </w:r>
    </w:p>
    <w:p>
      <w:pPr>
        <w:spacing w:after="0" w:line="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total transaction price and cost estimation processes used for recognizing revenue over time under the cost-to-cost method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For both the six months ended June 30, 2025 and 2024, project profit was affected by less than 5% as a result of changes in contract estimates included in projects that were in process as of December 31, 2024 and 2023, respectively. Changes in recognized revenue, net, as a result of changes in total contract transaction price estimates, including from variable consideration, and/or changes in cost estimates, related to performance obligations satisfied or partially satisfied in prior periods positively affected revenue by approximately 0.9% and 0.4% for the three months ended June 30, 2025 and 2024, respectively, and such net changes positively affected revenue by approximately 1.3% and 0.2% for the six months ended June 30, 2025 and 2024, respectively.</w:t>
      </w:r>
    </w:p>
    <w:p>
      <w:pPr>
        <w:spacing w:after="0" w:line="7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 therefore generally accounted for as a single performance obligation, even when delivering multiple distinct services. The majority of the Company’s performance obligations are completed within one year.</w:t>
      </w:r>
    </w:p>
    <w:p>
      <w:pPr>
        <w:spacing w:after="0" w:line="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2025, the amount of the Company’s remaining performance obligations was $11.4 billion. Based on current expectations, the Company anticipates it will recognize approximately $5.4 billion, or 47.5%, of its remaining performance obligations as revenue during 2025, with the majority of the remaining balance expected to be recognized over the subsequent two year period.</w:t>
      </w:r>
    </w:p>
    <w:p>
      <w:pPr>
        <w:spacing w:after="0" w:line="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As of June 30, 2025 and December 31, 2024, the Company’s contract transaction prices included approximately $184 million and $139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June 30, 2025, these change orders and/or claims primarily related to certain projects in the Company’s Clean Energy and Infrastructure, Power Delivery and Pipeline Infrastructure segments, whereas as of December 31, 2024, such activity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Supplier Financing Program</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provided certain of its suppliers with access to a supplier finance program administered through a third party, which facilitates participating suppliers’ ability to finance payments due from the Company through third-party financial institutions. Participating suppliers may, at their sole discretion, receive payment of the Company’s obligation prior to the scheduled due dates, at a discounted price from the third party. The Company agrees to pay the financial institution the stated amount generally within 60 days of receipt of the invoice. The Company’s obligations to its suppliers, including amounts due and scheduled payment dates, are not impacted by the supplier’s decision to finance amounts under these arrangements. The Company does not have pledged assets or other guarantees under the program. As of June 30, 2025 and December 31, 2024, the outstanding payment obligations under the Company’s supplier finance program totaled approximately $96.7 million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80" w:lineRule="auto"/>
        <w:rPr>
          <w:sz w:val="20"/>
          <w:szCs w:val="20"/>
          <w:color w:val="auto"/>
        </w:rPr>
      </w:pPr>
      <w:r>
        <w:rPr>
          <w:rFonts w:ascii="Times New Roman" w:cs="Times New Roman" w:eastAsia="Times New Roman" w:hAnsi="Times New Roman"/>
          <w:sz w:val="16"/>
          <w:szCs w:val="16"/>
          <w:color w:val="auto"/>
        </w:rPr>
        <w:t>$12.4 million, respectively, which amounts are recorded within accounts payable in the consolidated balance sheets. The associated payments are included within operating activities in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discussion below describes the effects of recent accounting pronouncements, as updated from the discussion in the Company’s 2024 Form 10-K.</w:t>
      </w:r>
    </w:p>
    <w:p>
      <w:pPr>
        <w:spacing w:after="0" w:line="1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In August 2023, the Financial Accounting Standards Board (“FASB”) issued Accounting Standards Update (“ASU”) 2023-05, </w:t>
      </w:r>
      <w:r>
        <w:rPr>
          <w:rFonts w:ascii="Times New Roman" w:cs="Times New Roman" w:eastAsia="Times New Roman" w:hAnsi="Times New Roman"/>
          <w:sz w:val="16"/>
          <w:szCs w:val="16"/>
          <w:i w:val="1"/>
          <w:iCs w:val="1"/>
          <w:color w:val="auto"/>
        </w:rPr>
        <w:t>Business Combinations—Joint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Venture Formations (Subtopic 805-60): Recognition and Initial Measurement </w:t>
      </w:r>
      <w:r>
        <w:rPr>
          <w:rFonts w:ascii="Times New Roman" w:cs="Times New Roman" w:eastAsia="Times New Roman" w:hAnsi="Times New Roman"/>
          <w:sz w:val="16"/>
          <w:szCs w:val="16"/>
          <w:color w:val="auto"/>
        </w:rPr>
        <w:t>(“ASU 2023-05”) to clarify existing guidance and reduce diversity in practice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accounting for joint ventures. ASU 2023-05 addressed the accounting for contributions made to a joint venture upon formation in a joint venture’s separate financial statements. The provisions of this ASU required that a joint venture initially measure all contributions received upon its formation at fair value, largely consistent with Topic 805, Business Combinations. The amendments in this ASU were not applicable to the formation of proportionately consolidated joint ventures. ASU 2023-05 was effective prospectively for all joint ventures with a formation date on or after January 1, 2025, with early adoption permitted on a retrospective basis for joint ventures formed before January 1, 2025. The prospective adoption of this ASU did not have a material effect on the Company’s consolidated financial statements.</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has determined that the effects of adopting this ASU will only impact its disclosures and the Company does not expect that it will have a material effect on its consolidated financial statements or results of its operations when adopted. The Company continues to evaluate the effects of this ASU on its income tax disclosures.</w:t>
      </w:r>
    </w:p>
    <w:p>
      <w:pPr>
        <w:spacing w:after="0" w:line="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6"/>
          <w:szCs w:val="16"/>
          <w:color w:val="auto"/>
        </w:rPr>
        <w:t>(“ASU 2024-03”) to enhance the transparency and clarity of the components of specific expense categories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statement. ASU 2024-03 requires disclosure of additional information about specific expense categories underlying certain income statement expense line items.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January 2025, the FASB issued ASU 2025-01,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Disaggregation of Income Statement Expenses: Clarifying the Effective Date </w:t>
      </w:r>
      <w:r>
        <w:rPr>
          <w:rFonts w:ascii="Times New Roman" w:cs="Times New Roman" w:eastAsia="Times New Roman" w:hAnsi="Times New Roman"/>
          <w:sz w:val="16"/>
          <w:szCs w:val="16"/>
          <w:color w:val="auto"/>
        </w:rPr>
        <w:t>to clarify that all public business entities are required to adopt the guidance in annual periods</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standard will have on its disclosures.</w:t>
      </w:r>
    </w:p>
    <w:p>
      <w:pPr>
        <w:spacing w:after="0" w:line="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May 2025, the FASB issued ASU 2025-03, </w:t>
      </w:r>
      <w:r>
        <w:rPr>
          <w:rFonts w:ascii="Times New Roman" w:cs="Times New Roman" w:eastAsia="Times New Roman" w:hAnsi="Times New Roman"/>
          <w:sz w:val="16"/>
          <w:szCs w:val="16"/>
          <w:i w:val="1"/>
          <w:iCs w:val="1"/>
          <w:color w:val="auto"/>
        </w:rPr>
        <w:t>Business Combinations (Topic 805) and Consolidation (Topic 810): Determining the Accounting Acquirer 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Acquisition of a Variable Interest Entity </w:t>
      </w:r>
      <w:r>
        <w:rPr>
          <w:rFonts w:ascii="Times New Roman" w:cs="Times New Roman" w:eastAsia="Times New Roman" w:hAnsi="Times New Roman"/>
          <w:sz w:val="16"/>
          <w:szCs w:val="16"/>
          <w:color w:val="auto"/>
        </w:rPr>
        <w:t>(“ASU 2025-03”). ASU 2025-03 clarifies the guidance in determining the accounting acquirer in a business combination effected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primarily by exchanging equity interests when the acquiree is a variable interest entity that meets the definition of a business. ASU 2025-03 is effective for fiscal years beginning after December 15, 2026, including interim periods within those fiscal years, with early adoption permitted. ASU 2025-03 is required to be applied prospectively to any acquisition transaction that occurs after the initial application date. The Company does not expect that this ASU will have a material effect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MasTec:</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 basic and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95,669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77,984</w:t>
            </w:r>
          </w:p>
        </w:tc>
      </w:tr>
      <w:tr>
        <w:trPr>
          <w:trHeight w:val="219"/>
        </w:trPr>
        <w:tc>
          <w:tcPr>
            <w:tcW w:w="66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78,860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78,750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77,984</w:t>
            </w:r>
          </w:p>
        </w:tc>
      </w:tr>
    </w:tbl>
    <w:p>
      <w:pPr>
        <w:spacing w:after="0" w:line="112" w:lineRule="exact"/>
        <w:rPr>
          <w:sz w:val="20"/>
          <w:szCs w:val="20"/>
          <w:color w:val="auto"/>
        </w:rPr>
      </w:pPr>
    </w:p>
    <w:p>
      <w:pPr>
        <w:ind w:left="340" w:right="20" w:hanging="332"/>
        <w:spacing w:after="0" w:line="302" w:lineRule="auto"/>
        <w:tabs>
          <w:tab w:leader="none" w:pos="21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June 30, 2025 and 2024, anti-dilutive common stock equivalents totaled approximately 4,000 and 5,000, respectively, and for the six months ended June 30, 2025 and 2024, such shares totaled approximately 208,000 and 929,000,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 Repurchases. </w:t>
      </w:r>
      <w:r>
        <w:rPr>
          <w:rFonts w:ascii="Times New Roman" w:cs="Times New Roman" w:eastAsia="Times New Roman" w:hAnsi="Times New Roman"/>
          <w:sz w:val="16"/>
          <w:szCs w:val="16"/>
          <w:color w:val="auto"/>
        </w:rPr>
        <w:t>For the three and six months ended June 30, 2025, the Company repurchased 369,968 and 702,533 shares of its common stock, respectively,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effect of which on the Company’s weighted average shares outstanding was a reduction of approximately 630,000 and 372,000 shares for the respective periods. There were no share repurchases in either of the three or six months ended June 30, 2024. See Note 9 – Equity for details of the Company’s share repurchase transactions.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period indicated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40" w:type="dxa"/>
            <w:vAlign w:val="bottom"/>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60" w:type="dxa"/>
            <w:vAlign w:val="bottom"/>
          </w:tcPr>
          <w:p>
            <w:pPr>
              <w:spacing w:after="0"/>
              <w:rPr>
                <w:sz w:val="16"/>
                <w:szCs w:val="16"/>
                <w:color w:val="auto"/>
              </w:rPr>
            </w:pPr>
          </w:p>
        </w:tc>
        <w:tc>
          <w:tcPr>
            <w:tcW w:w="12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Goodwill</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Goodwill, gross, as of December 31, 2024 </w:t>
            </w:r>
            <w:r>
              <w:rPr>
                <w:rFonts w:ascii="Times New Roman" w:cs="Times New Roman" w:eastAsia="Times New Roman" w:hAnsi="Times New Roman"/>
                <w:sz w:val="21"/>
                <w:szCs w:val="21"/>
                <w:color w:val="auto"/>
                <w:vertAlign w:val="superscript"/>
              </w:rPr>
              <w:t>(a)</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2,313.4</w:t>
            </w: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Goodwill, net, as of December 31, 2024 </w:t>
            </w:r>
            <w:r>
              <w:rPr>
                <w:rFonts w:ascii="Times New Roman" w:cs="Times New Roman" w:eastAsia="Times New Roman" w:hAnsi="Times New Roman"/>
                <w:sz w:val="21"/>
                <w:szCs w:val="21"/>
                <w:color w:val="auto"/>
                <w:vertAlign w:val="superscript"/>
              </w:rPr>
              <w:t>(a)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2,203.1</w:t>
            </w:r>
          </w:p>
        </w:tc>
        <w:tc>
          <w:tcPr>
            <w:tcW w:w="0" w:type="dxa"/>
            <w:vAlign w:val="bottom"/>
          </w:tcPr>
          <w:p>
            <w:pPr>
              <w:spacing w:after="0"/>
              <w:rPr>
                <w:sz w:val="1"/>
                <w:szCs w:val="1"/>
                <w:color w:val="auto"/>
              </w:rPr>
            </w:pPr>
          </w:p>
        </w:tc>
      </w:tr>
      <w:tr>
        <w:trPr>
          <w:trHeight w:val="209"/>
        </w:trPr>
        <w:tc>
          <w:tcPr>
            <w:tcW w:w="360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(c)</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net, as of June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11 – Segments and Related Information for additional information.</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 includes the effects of currency translation gains and/or losses.</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period adjustments represent adjustments, net, to preliminary estimates of fair value within the measurement period of up to one year from the date of acquisition.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 indicated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280" w:type="dxa"/>
            <w:vAlign w:val="bottom"/>
          </w:tcPr>
          <w:p>
            <w:pPr>
              <w:spacing w:after="0"/>
              <w:rPr>
                <w:sz w:val="14"/>
                <w:szCs w:val="14"/>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(a)</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1,360.2</w:t>
            </w:r>
          </w:p>
        </w:tc>
        <w:tc>
          <w:tcPr>
            <w:tcW w:w="0" w:type="dxa"/>
            <w:vAlign w:val="bottom"/>
          </w:tcPr>
          <w:p>
            <w:pPr>
              <w:spacing w:after="0"/>
              <w:rPr>
                <w:sz w:val="1"/>
                <w:szCs w:val="1"/>
                <w:color w:val="auto"/>
              </w:rPr>
            </w:pPr>
          </w:p>
        </w:tc>
      </w:tr>
      <w:tr>
        <w:trPr>
          <w:trHeight w:val="213"/>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0" w:type="dxa"/>
            <w:vAlign w:val="bottom"/>
          </w:tcPr>
          <w:p>
            <w:pPr>
              <w:spacing w:after="0"/>
              <w:rPr>
                <w:sz w:val="1"/>
                <w:szCs w:val="1"/>
                <w:color w:val="auto"/>
              </w:rPr>
            </w:pPr>
          </w:p>
        </w:tc>
      </w:tr>
      <w:tr>
        <w:trPr>
          <w:trHeight w:val="21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0" w:type="dxa"/>
            <w:vAlign w:val="bottom"/>
          </w:tcPr>
          <w:p>
            <w:pPr>
              <w:spacing w:after="0"/>
              <w:rPr>
                <w:sz w:val="1"/>
                <w:szCs w:val="1"/>
                <w:color w:val="auto"/>
              </w:rPr>
            </w:pPr>
          </w:p>
        </w:tc>
      </w:tr>
      <w:tr>
        <w:trPr>
          <w:trHeight w:val="207"/>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0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June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and non-compete agreements.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During the first quarter of 2025, certain reporting units within the Communications and Power Delivery operating segments were restructured to more closely align with the segment’s end markets and to better correspond with the operational management reporting structure of both segments. Under both the current and previous reporting unit structures, each of the components within the Communications and Power Delivery operating segments is a reporting unit. Management performed testing under both the current and previous reporting unit structures. For the tested reporting units, management estimated their fair values using a combination of market and income approaches using Level 3 inputs. Under the market approach, fair values were estimated using published market multiples for comparable companies and applying them to revenue and earnings before interest, taxes, depreciation and amortization (“EBITDA”). Under the income approach, a discounted cash flow methodology was used, considering: (i) management estimates, such as projections of revenue, operating costs and cash flows, taking into consideration historical and anticipated financial results;</w:t>
      </w:r>
    </w:p>
    <w:p>
      <w:pPr>
        <w:spacing w:after="0" w:line="2" w:lineRule="exact"/>
        <w:rPr>
          <w:sz w:val="20"/>
          <w:szCs w:val="20"/>
          <w:color w:val="auto"/>
        </w:rPr>
      </w:pPr>
    </w:p>
    <w:p>
      <w:pPr>
        <w:jc w:val="both"/>
        <w:ind w:firstLine="8"/>
        <w:spacing w:after="0" w:line="256" w:lineRule="auto"/>
        <w:tabs>
          <w:tab w:leader="none" w:pos="23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market and regulatory conditions; and (iii) the impact of planned business and operational strategies. Management believes the assumptions used in its quantitative goodwill impairment tests are reflective of the risks inherent in the respective industries and business models of the applicable reporting units. Estimated discount rates were determined using the weighted average cost of capital for each reporting unit at the time of the analysis, taking into consideration the risks inherent within each reporting unit individually.</w:t>
      </w:r>
    </w:p>
    <w:p>
      <w:pPr>
        <w:spacing w:after="0" w:line="7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the impacted reporting units substantially exceeded their carrying values as of March 31, 2025, therefore no goodwill impairment existed. A 100 basis point increase in the discount rate would not have resulted in any of the tested reporting units’ carrying values exceeding their fair values.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three months ended June 30, 2025, no events occurred that would indicate it was more likely than not that a goodwill impairment exists. Significant changes in the assumptions or estimates used in management’s assessment, such as a reduction in profitability and/or cash flows, changes in market, regulatory or other conditions, including decreases in project activity levels and/or the effects of elevated levels of inflation, market interest rates or other market disruptions, including from geopolitical or other events, could result in non-cash impairment charges to goodwill in the future.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spacing w:after="0" w:line="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26282A"/>
        </w:rPr>
        <w:t xml:space="preserve">2024 Acquisitions. </w:t>
      </w:r>
      <w:r>
        <w:rPr>
          <w:rFonts w:ascii="Times New Roman" w:cs="Times New Roman" w:eastAsia="Times New Roman" w:hAnsi="Times New Roman"/>
          <w:sz w:val="16"/>
          <w:szCs w:val="16"/>
          <w:color w:val="26282A"/>
        </w:rPr>
        <w:t>During 2024, MasTec completed</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three acquisitions, which included all of the equity interests of a construction company focused on</w:t>
      </w:r>
      <w:r>
        <w:rPr>
          <w:rFonts w:ascii="Times New Roman" w:cs="Times New Roman" w:eastAsia="Times New Roman" w:hAnsi="Times New Roman"/>
          <w:sz w:val="16"/>
          <w:szCs w:val="16"/>
          <w:b w:val="1"/>
          <w:bCs w:val="1"/>
          <w:i w:val="1"/>
          <w:iCs w:val="1"/>
          <w:color w:val="26282A"/>
        </w:rPr>
        <w:t xml:space="preserve"> </w:t>
      </w:r>
      <w:r>
        <w:rPr>
          <w:rFonts w:ascii="Times New Roman" w:cs="Times New Roman" w:eastAsia="Times New Roman" w:hAnsi="Times New Roman"/>
          <w:sz w:val="16"/>
          <w:szCs w:val="16"/>
          <w:color w:val="000000"/>
        </w:rPr>
        <w:t>underground utility infrastructure for industrial and municipal projects, with expertise in data center utility systems, which acquisition is included within the Company’s Power Delivery segment, and was effective in July; the acquisition of certain operations of a heavy civil contractor specializing in transportation projects, which acquisition is included within the Company’s Clean Energy and Infrastructure segment and was effective in October; and effective in December, the acquisition of the equity interests of a company focused on pipeline infrastructure and heavy civil projects, which acquisition is included within the Company’s Pipeline Infrastructure segment. The Company expects these acquisitions will increase its service offerings and further advance its ability to meet increasing demand for data center infrastructure, in addition to expanding its heavy civil and pipeline infrastructure operations.</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aggregate purchase price of the Company’s 2024 acquisitions was composed of approximately $88 million in cash, net of cash acquired, and a five year earn-out liability valued at approximately $56 million with respect to one of such acquisitions. In connection with the acquisition within the Company’s Pipeline Infrastructure segment, MasTec acquired 60% of the equity interest of the company in exchange for consideration transferred of cash and a 40% equity interest in a MasTec Canadian subsidiary. Determination of the estimated fair values of net assets acquired and consideration transferred for two of these acquisitions, which have been accounted for as business combinations under ASC Topic 805, Business Combinations (“ASC 805”), was preliminary as of June 30, 2025; as a result, further adjustments to these estimates may occur. The Company expects to finalize the valuation and complete the purchase price consideration allocation no later than one year from the acquisition date. As of June 30, 2025, the remaining potential undiscounted earn-out liabilities for the 2024 acquisitions was estimated to be between $25 million and $55 million; however, there is no maximum payment amount. See Note 4 – Fair Value of Financial Instruments for fair value estimates and other details related to the Company’s earn-out arrangements. Approximately $47 million of the goodwill balance related to the 2024 acquisitions is expected to be tax deductible as of June 30,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10.5% as of June 30, 2025,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June 30, 2025, the range of potential undiscounted Earn-out liabilities was estimated to be between $38 million and $101 million; however, there is no maximum payment amount.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The following table, which may contain slight summation differences due to rounding, provides a reconciliation of changes in Earn-out liabilities measured at fair value for the periods indicated (in millions):</w:t>
      </w:r>
    </w:p>
    <w:p>
      <w:pPr>
        <w:spacing w:after="0" w:line="99"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920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92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Balance as of beginning of period </w:t>
            </w:r>
            <w:r>
              <w:rPr>
                <w:rFonts w:ascii="Times New Roman" w:cs="Times New Roman" w:eastAsia="Times New Roman" w:hAnsi="Times New Roman"/>
                <w:sz w:val="21"/>
                <w:szCs w:val="21"/>
                <w:color w:val="auto"/>
                <w:vertAlign w:val="superscript"/>
              </w:rPr>
              <w:t>(a)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77.4</w:t>
            </w:r>
          </w:p>
        </w:tc>
      </w:tr>
      <w:tr>
        <w:trPr>
          <w:trHeight w:val="216"/>
        </w:trPr>
        <w:tc>
          <w:tcPr>
            <w:tcW w:w="92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Fair value adjustments </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92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Balance as of end of period </w:t>
            </w:r>
            <w:r>
              <w:rPr>
                <w:rFonts w:ascii="Times New Roman" w:cs="Times New Roman" w:eastAsia="Times New Roman" w:hAnsi="Times New Roman"/>
                <w:sz w:val="21"/>
                <w:szCs w:val="21"/>
                <w:color w:val="auto"/>
                <w:vertAlign w:val="superscript"/>
              </w:rPr>
              <w:t>(a)</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71.1</w:t>
            </w:r>
          </w:p>
        </w:tc>
      </w:tr>
    </w:tbl>
    <w:p>
      <w:pPr>
        <w:spacing w:after="0" w:line="180"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26282A"/>
        </w:rPr>
      </w:pPr>
      <w:r>
        <w:rPr>
          <w:rFonts w:ascii="Times New Roman" w:cs="Times New Roman" w:eastAsia="Times New Roman" w:hAnsi="Times New Roman"/>
          <w:sz w:val="14"/>
          <w:szCs w:val="14"/>
          <w:color w:val="auto"/>
        </w:rPr>
        <w:t>Earn-out liabilities included within other current liabilities totaled approximately $50.7 million and $70.0 million as of June 30, 2025 and December 31, 2024, respectively.</w:t>
      </w:r>
    </w:p>
    <w:p>
      <w:pPr>
        <w:spacing w:after="0" w:line="41" w:lineRule="exact"/>
        <w:rPr>
          <w:rFonts w:ascii="Times New Roman" w:cs="Times New Roman" w:eastAsia="Times New Roman" w:hAnsi="Times New Roman"/>
          <w:sz w:val="14"/>
          <w:szCs w:val="14"/>
          <w:color w:val="26282A"/>
        </w:rPr>
      </w:pPr>
    </w:p>
    <w:p>
      <w:pPr>
        <w:jc w:val="both"/>
        <w:ind w:left="340" w:hanging="332"/>
        <w:spacing w:after="0" w:line="281"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 months ended June 30, 2025, fair value adjustments related primarily to decreases within the Company’s Power Delivery segment, which were partially offset by increases primarily within the Company’s Pipeline Infrastructure segment. For the six months ended June 30, 2024, such adjustments related primarily to acquisitions within the Company’s Communications and Pipeline Infrastructure segment.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June 30, 2025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both June 30, 2025 and December 31, 2024, the aggregate carrying value of the Company’s equity investments, which are recorded within other long-term assets in the consolidated balance sheets, totaled approximately $330 million. There were no impairments related to these investments in any of the three or six months ended June 30, 2025 or 2024.</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The Waha JVs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Cumulative undistributed earnings from the Waha JVs, which represents cumulative equity in earnings for the Waha JVs less distributions of earnings, totaled $144.5 million as of June 30, 2025. The Company’s net investment in the Waha JVs, which differs from its proportionate share of the net assets of the Waha JVs due primarily to equity method goodwill associated with capitalized investment costs, totaled approximately $289 million and $287 million as of June 30, 2025 and December 31, 2024, respectively. The table below reflects the investment activity of the Waha JVs for the periods indicated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94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Equity in earnings </w:t>
            </w:r>
            <w:r>
              <w:rPr>
                <w:rFonts w:ascii="Times New Roman" w:cs="Times New Roman" w:eastAsia="Times New Roman" w:hAnsi="Times New Roman"/>
                <w:sz w:val="21"/>
                <w:szCs w:val="21"/>
                <w:color w:val="auto"/>
                <w:vertAlign w:val="superscript"/>
              </w:rPr>
              <w:t>(a)</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81"/>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Distributions of earnings </w:t>
            </w:r>
            <w:r>
              <w:rPr>
                <w:rFonts w:ascii="Times New Roman" w:cs="Times New Roman" w:eastAsia="Times New Roman" w:hAnsi="Times New Roman"/>
                <w:sz w:val="21"/>
                <w:szCs w:val="21"/>
                <w:color w:val="auto"/>
                <w:vertAlign w:val="superscript"/>
              </w:rPr>
              <w:t>(b)</w:t>
            </w: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bl>
    <w:p>
      <w:pPr>
        <w:spacing w:after="0" w:line="115"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related to the Company’s proportionate share of income from the Waha JVs is included within the Company’s Other segment.</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earnings from the Waha JVs are included within operating cash flows.</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Investments. </w:t>
      </w:r>
      <w:r>
        <w:rPr>
          <w:rFonts w:ascii="Times New Roman" w:cs="Times New Roman" w:eastAsia="Times New Roman" w:hAnsi="Times New Roman"/>
          <w:sz w:val="16"/>
          <w:szCs w:val="16"/>
          <w:color w:val="auto"/>
        </w:rPr>
        <w:t>The Company has equity interests in certain other entities that are accounted for as equity method investments. The Company made no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contributions to these other entities for the six months ended June 30, 2025, and made equity contributions of approximately $0.2 million for the six months ended June 30, 2024. The Company has subcontracting arrangements with certain of these entities for the performance of construction services, and expenses recognized in connection with these arrangements totaled approximately $0.6 million and $2.0 million for the three and six months ended June 30, 2025, respectively, and totaled approximately $1.2 million and $2.4 million for the three and six months ended June 30, 2024, respectively. As of June 30, 2025 and December 31, 2024, related amounts payable to these entities totaled approximately $0.2 million and $0.3 million, respectively. In addition, the Company advanced approximately $0.1 million to certain of these entities for the six months ended June 30, 2024. As of June 30, 2025 and December 31, 2024, receivables related to these arrangements totaled approximately $4.0 million and $4.1 million, respectively.</w:t>
      </w:r>
    </w:p>
    <w:p>
      <w:pPr>
        <w:spacing w:after="0" w:line="2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determined that certain of its investment arrangements are variable interest entities (“VIEs”). Management assesses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its VIEs on an ongoing basis to determine if the Company is the primary beneficiary and if consolidation is required. As of June 30, 2025, management determined that the Company is the primary beneficiary of two of its VIEs, and accordingly, has consolidated these entities within the Company’s financial statements, with the other parties’ interests accounted for as non-controlling interests.</w:t>
      </w:r>
    </w:p>
    <w:p>
      <w:pPr>
        <w:spacing w:after="0" w:line="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consolidated VIEs include an electric utility contractor in which the Company acquired a 49% interest in the first quarter of 2024. As of June 30, 2025 and December 31, 2024, the carrying values of assets associated with the Company’s consolidated VIEs totaled approximately $140.9 million and $134.8 million, respectively, which amounts consisted primarily of accounts receivable, net of allowance and contract assets. The carrying values of liabilities associated with the Company’s consolidated VIEs totaled approximately $136.8 million and $132.8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p>
      <w:pPr>
        <w:jc w:val="both"/>
        <w:spacing w:after="0" w:line="280" w:lineRule="auto"/>
        <w:rPr>
          <w:sz w:val="20"/>
          <w:szCs w:val="20"/>
          <w:color w:val="auto"/>
        </w:rPr>
      </w:pPr>
      <w:r>
        <w:rPr>
          <w:rFonts w:ascii="Times New Roman" w:cs="Times New Roman" w:eastAsia="Times New Roman" w:hAnsi="Times New Roman"/>
          <w:sz w:val="16"/>
          <w:szCs w:val="16"/>
          <w:color w:val="auto"/>
        </w:rPr>
        <w:t>million as of June 30, 2025 and December 31, 2024, respectively, which amounts consisted primarily of accounts payable. The Company has not provided, nor is it obligated to provide, any financial support to any of its consolidated VIEs.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carrying values of the Company’s VIEs that are not consolidated totaled approximately $22 million and $23 million as of June 30, 2025 and December 31, 2024, respectively, which amounts are recorded within other long-term assets in the consolidated balance sheets. Management believes that the Company’s maximum exposure to loss for its non-consolidated VIEs, inclusive of additional financing commitments, approximated $30 million and $34 million as of June 30, 2025 and December 31, 2024,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2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periods indicated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billings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allowance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0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1,381.5</w:t>
            </w:r>
          </w:p>
        </w:tc>
      </w:tr>
      <w:tr>
        <w:trPr>
          <w:trHeight w:val="239"/>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Retainage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1,220.5</w:t>
            </w:r>
          </w:p>
        </w:tc>
      </w:tr>
      <w:tr>
        <w:trPr>
          <w:trHeight w:val="20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w:t>
            </w:r>
          </w:p>
        </w:tc>
      </w:tr>
    </w:tbl>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which are included in contract assets, represent the estimated value of unbilled work for projects with performance obligations recognized over time. Unbilled receivables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For the six months ended June 30, 2025, provisions for credit losses totaled a recovery of approximately $1.1 million and for the six months ended June 30, 2024, provisions for credit losses totaled approximately $3.9 million, both of which included certain project-specific reserves. Impairment losses on contract assets were not material in either period.</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Contract liabilities, which are generally classified within current liabilities on the Company’s consolidated balance sheets, consist primarily of deferred revenue and also include the amount of any accrued project losses.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Total contract liabilities, including accrued project losses, totaled approximately $698.1 million and $735.6 million as of June 30, 2025 and December 31, 2024, respectively, of which deferred revenue comprised approximately $683.7 million and $725.1 million, respectively. As of June 30, 2025, the decrease in contract liabilities was driven primarily by ordinary course project activity, including in connection with project completions within the Company’s Pipeline Infrastructure segment and the associated recognition of revenue on amounts that were previously recorded as contract liabilities, while the increase in contract assets was driven primarily by ordinary course project activity, including in connection with increased project volume primarily within the Company’s Communications segment. For the six months ended June 30, 2025 and 2024, the Company recognized revenue of approximately $668.9 million and $374.1 million, respectively, related to amounts that were included in deferred revenue as of the end of each respective prior year, resulting primarily from the advancement of physical progress on the related projects during the respective periods.</w:t>
      </w:r>
    </w:p>
    <w:p>
      <w:pPr>
        <w:spacing w:after="0" w:line="2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six months ended June 30, 2025 and 2024, the Company sold approximately $236 million and $228 million, respectively, of receivables under financing arrangements for which it continues to manage collections for the transferred receivable, and, as of June 30, 2025 and December 31, 2024, outstanding sold receivables related thereto totaled approximately $128 million and $84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Transfers and Servicing.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$6.6 million and $5.1 million for the three months ended June 30, 2025 and 2024, respectively, and totaled approximately $12.0 million and $10.3 million for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2"/>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6 – Debt</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848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periods indicated (in millions):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24"/>
                <w:szCs w:val="24"/>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660" w:type="dxa"/>
            <w:vAlign w:val="bottom"/>
            <w:gridSpan w:val="2"/>
            <w:vMerge w:val="continue"/>
          </w:tcPr>
          <w:p>
            <w:pPr>
              <w:spacing w:after="0"/>
              <w:rPr>
                <w:sz w:val="18"/>
                <w:szCs w:val="18"/>
                <w:color w:val="auto"/>
              </w:rPr>
            </w:pPr>
          </w:p>
        </w:tc>
        <w:tc>
          <w:tcPr>
            <w:tcW w:w="3820" w:type="dxa"/>
            <w:vAlign w:val="bottom"/>
            <w:gridSpan w:val="3"/>
            <w:vMerge w:val="continue"/>
          </w:tcPr>
          <w:p>
            <w:pPr>
              <w:spacing w:after="0"/>
              <w:rPr>
                <w:sz w:val="18"/>
                <w:szCs w:val="18"/>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2030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3820" w:type="dxa"/>
            <w:vAlign w:val="bottom"/>
            <w:gridSpan w:val="3"/>
          </w:tcPr>
          <w:p>
            <w:pPr>
              <w:ind w:left="35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1"/>
                <w:szCs w:val="21"/>
                <w:color w:val="auto"/>
                <w:vertAlign w:val="superscript"/>
              </w:rPr>
              <w:t>(a)</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8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Term Loan Facility</w:t>
            </w:r>
          </w:p>
        </w:tc>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Five-Year Term Loan Facility</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2,238.7</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2,224.1</w:t>
            </w:r>
          </w:p>
        </w:tc>
        <w:tc>
          <w:tcPr>
            <w:tcW w:w="0" w:type="dxa"/>
            <w:vAlign w:val="bottom"/>
          </w:tcPr>
          <w:p>
            <w:pPr>
              <w:spacing w:after="0"/>
              <w:rPr>
                <w:sz w:val="1"/>
                <w:szCs w:val="1"/>
                <w:color w:val="auto"/>
              </w:rPr>
            </w:pPr>
          </w:p>
        </w:tc>
      </w:tr>
      <w:tr>
        <w:trPr>
          <w:trHeight w:val="212"/>
        </w:trPr>
        <w:tc>
          <w:tcPr>
            <w:tcW w:w="4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07"/>
        </w:trPr>
        <w:tc>
          <w:tcPr>
            <w:tcW w:w="46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(a)</w:t>
        <w:tab/>
        <w:t>The term loan was terminated and fully repaid as of June 30, 2025, pursuant to the terms of the amended and restated senior unsecured credit facility, as described below.</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On June 26, 2025, the Company entered into an amended and restated five-year, senior unsecured credit facility (the “Credit Facility”) replacing the November 1, 2021 senior unsecured credit facility (“Existing Credit Agreement”) that would otherwise have terminated on November 1, 2026. The amendment, among other items, maintained revolving commitments of an aggregate amount of $1.9 billion, terminated the term loan under the Existing Credit Agreement, and extended the maturity of the senior secured credit facility from November 1, 2026 to June 26, 2030. The amendment also eliminated certain restrictions on the ability of the Company to make distributions or repurchase capital stock, the requirement of the Company to maintain a minimum consolidated interest coverage ratio and certain other negative covenants. All other material terms and conditions of the Credit Facility were substantially unchanged. The Credit Facility allows the Company to borrow up to an aggregate equivalent amount of $300 million in revolving advances in either Canadian dollars or Mexican pesos. The maximum amount available for letters of credit under the Credit Facility is $750 million, of which up to $250 million can be denominated in either Canadian dollars or Mexican pesos. The Credit Facility also provides for swing line loans of up to $125 million, and, subject to certain conditions, the Company has the option to increase revolving commitments as defined in the Credit Facility. As of June 30, 2025 and December 31, 2024, the fair value of the Credit Facility, as estimated based on an income approach utilizing significant unobservable Level 3 inputs including discount rate assumptions, approximated its carrying value.</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Outstanding revolving loans under the Credit Facility bear interest, at the Company’s option, at a rate equal to either (a) Term SOFR, TIIE, or Term CORRA, in each case as defined in the Credit Facility, plus a margin of 1.125% to 1.625%, or (b) Base Rate, as defined below, plus a margin of 0.125% to 0.625%. The Base Rate equals the highest of (i) the Federal Funds Rate, as defined in the Credit Facility, plus 0.50%, (ii) Bank of America’s prime rate, and (iii) Term SOFR plus 1.00%. Financial standby letters of credit and commercial letters of credit issued under the Credit Facility are subject to a letter of credit fee ranging from 1.125% to 1.625%, and performance standby letters of credit issued under such Credit Facility are subject to a letter of credit fee ranging from 0.3125% to 0.6875%. The Company must also pay a commitment fee to the lenders ranging from 0.150% to 0.225% on any unused availability under the Credit Facility. In each of the foregoing cases, the applicable margin or fee is based on the Company’s Consolidated Leverage Ratio and Debt Rating, each as defined in the Credit Facility, as of the most recent fiscal quarter.</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June 30, 2025 and December 31, 2024, outstanding revolving loans, which included $47.0 million and $43.1 million, respectively, of borrowings denominated in Canadian dollars, accrued interest at weighted average rates of approximately 4.00% and 4.97% per annum, respectively. Letters of credit of approximately $20.2 million and $64.3 million were issued as of June 30, 2025 and December 31, 2024, respectively. As of June 30, 2025 and December 31, 2024, letter of credit fees accrued at 0.4375% and 0.5625% per annum, respectively, for performance standby letters of credit, and for financial standby letters of credit, accrued at 1.250% and 1.375% per annum, respectively. Outstanding letters of credit mature at various dates and most have automatic renewal provisions, subject to prior notice of cancellation.</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June 30, 2025 and December 31, 2024, availability for revolving loans totaled $1,832.8 million and $1,792.6 million, respectively, or up to $729.8 million and $585.7 million, respectively, for new letters of credit. Revolving loan borrowing capacity included $253.0 million and $256.9 million of availability in either Canadian dollars or Mexican pesos as of June 30, 2025 and December 31, 2024, respectively. The unused facility fee as of June 30, 2025 and December 31, 2024 accrued at rates of 0.175% and 0.200% per annum, respectively.</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Credit Facilities</w:t>
      </w:r>
    </w:p>
    <w:p>
      <w:pPr>
        <w:spacing w:after="0" w:line="1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color w:val="auto"/>
        </w:rPr>
        <w:t>The Company has a separate credit facility, under which it may issue up to $50.0 million of performance standby letters of credit. As of June 30, 2025 and December 31, 2024, letters of credit issued under this facility totaled $33.4 million and $17.4 million, respectively, which accrued fees at 0.50% and 0.75% per annum, respectively.</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16" w:name="page17"/>
    <w:bookmarkEnd w:id="1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As of both June 30, 2025 and December 31, 2024, the gross carrying amount of the Company’s 4.500% senior notes due August 15, 2028 (the “4.500% Senior Notes”) totaled $600.0 million, and their estimated fair value totaled approximately $591.6 million and $581.9 million, respectively. As of both June 30, 2025 and December 31, 2024, the gross carrying amount of the Company’s 5.900% senior notes due June 15, 2029 (the “5.900% Senior Notes”) totaled $550.0 million, and their estimated fair value totaled approximately $569.6 million and $558.8 million, respectively. As of June 30, 2025 and December 31, 2024, the gross carrying amount of the Company’s 6.625% senior notes due August 15, 2029 (the “6.625% Senior Notes”) totaled $72.0 million and $71.6 million, respectively, and their estimated fair value approximated their carrying value for both respective periods. As of June 30, 2025 and December 31, 2024, the estimated fair values of the Company’s senior notes were determined based on an exit price approach using Level 2 inputs.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2025 Term Loan Facility</w:t>
      </w:r>
    </w:p>
    <w:p>
      <w:pPr>
        <w:spacing w:after="0" w:line="131"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6"/>
          <w:szCs w:val="16"/>
          <w:color w:val="auto"/>
        </w:rPr>
        <w:t>On June 26, 2025, the Company entered into a new $600 million senior unsecured term loan agreement (the “2025 Term Loan Facility”). The 2025 Term Loan Facility will mature on June 26, 2028, and the loans thereunder are not subject to amortization and are not guaranteed or secured by any assets of the Company or any of its subsidiaries. As of June 30, 2025, the Company had $600 million outstanding under the 2025 Term Loan Facility. The fair value of the 2025 Term Loan Facility as of June 30, 2025, as estimated based on an income approach utilizing significant unobservable Level 3 inputs including discount rate assumptions, approximated its carrying value. Using the net proceeds from the 2025 Term Loan Facility, together with available cash, the Company repaid the $328.1 million term loan under the Existing Credit Agreement and the remaining $277.5 million of the Company’s unsecured five-year term loan (“the Five-Year Term Loan”) due October 7, 2027.</w:t>
      </w:r>
    </w:p>
    <w:p>
      <w:pPr>
        <w:spacing w:after="0" w:line="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Outstanding loans under the 2025 Term Loan Facility bear interest, at the Company’s option, at a rate equal to either (a) Term SOFR, as defined in the 2025 Term Loan Facility, plus a margin of 1.00% to 1.50%, or (b) a Base Rate, as defined below, plus a margin of up to 0.50%. The Base Rate equals the highest of (i) the Federal Funds Rate, as defined in the 2025 Term Loan Facility, plus 0.50%, (ii) Bank of America’s prime rate, and (iii) Term SOFR plus 1.00%. In each of the foregoing cases, the applicable margin is based on the Company’s Consolidated Leverage Ratio and Debt Rating, each as defined in the 2025 Term Loan Facility, as of the most recent fiscal quarter. As of June 30, 2025, the 2025 Term Loan Facility accrued interest at a rate of 5.446%.</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17"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described above, the Company used a portion of the net proceeds from the 2025 Term Loan Facility, together with available cash, to repay the remaining $277.5 million of the Five-Year Term Loan that would otherwise have matured on October 7, 2027.</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Credit Facility and 2025 Term Loan Facility contain affirmative and negative covenants that, among other things, limit the Company’s ability to engage in certain activities, including, but not limited to, acquisitions, mergers and consolidations, debt incurrence, investments, asset sales and lien incurrence. In addition, the Credit Facility and 2025 Term Loan Facility provide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 The Credit Facility and 2025 Term Loan Facility require the Company to maintain a maximum Consolidated Leverage Ratio, as defined in the Credit Facility and 2025 Term Loan Facility, respectively, of not more than 3.50:1.00 as of the end of any fiscal quarter (except that, subject to certain conditions, if a permitted acquisition or series of permitted acquisitions having consideration exceeding $200 million occurs, such ratio is increased to 4.00:1.00 for the fiscal quarter in which the acquisition is completed and the four subsequent fiscal quarters). For purposes of calculating the Consolidated Leverage Ratio, funded indebtedness excludes undrawn standby performance letters of credit included in the calculation of Consolidated Funded Indebtedness, as defined in the Credit Facility and 2025 Term Loan Facility, respectively.</w:t>
      </w:r>
    </w:p>
    <w:p>
      <w:pPr>
        <w:spacing w:after="0" w:line="74" w:lineRule="exact"/>
        <w:rPr>
          <w:sz w:val="20"/>
          <w:szCs w:val="20"/>
          <w:color w:val="auto"/>
        </w:rPr>
      </w:pPr>
    </w:p>
    <w:p>
      <w:pPr>
        <w:ind w:left="340" w:right="1040" w:firstLine="324"/>
        <w:spacing w:after="0" w:line="396" w:lineRule="auto"/>
        <w:rPr>
          <w:sz w:val="20"/>
          <w:szCs w:val="20"/>
          <w:color w:val="auto"/>
        </w:rPr>
      </w:pPr>
      <w:r>
        <w:rPr>
          <w:rFonts w:ascii="Times New Roman" w:cs="Times New Roman" w:eastAsia="Times New Roman" w:hAnsi="Times New Roman"/>
          <w:sz w:val="16"/>
          <w:szCs w:val="16"/>
          <w:color w:val="auto"/>
        </w:rPr>
        <w:t xml:space="preserve">MasTec was in compliance with the provisions and covenants of its outstanding debt instruments as of both June 30, 2025 and December 31, 2024. </w:t>
      </w:r>
      <w:r>
        <w:rPr>
          <w:rFonts w:ascii="Times New Roman" w:cs="Times New Roman" w:eastAsia="Times New Roman" w:hAnsi="Times New Roman"/>
          <w:sz w:val="16"/>
          <w:szCs w:val="16"/>
          <w:b w:val="1"/>
          <w:bCs w:val="1"/>
          <w:i w:val="1"/>
          <w:iCs w:val="1"/>
          <w:color w:val="auto"/>
        </w:rPr>
        <w:t>Additional Information</w:t>
      </w: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connection with the amended and restated Credit Facility and the 2025 Term Loan Facility, deferred financing costs of $4.2 million and $1.2 million, respectively, were incurred and are being amortized over the respective terms of those instruments. Such amortization is included in interest expense, net in the consolidated statements of operations.</w:t>
      </w:r>
    </w:p>
    <w:p>
      <w:pPr>
        <w:spacing w:after="0" w:line="6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As of June 30, 2025 and December 31, 2024, accrued interest payable, which is recorded within other accrued expenses in the consolidated balance sheets, totaled $14.8 million and $20.8 million, respectively. For additional information pertaining to the Company’s debt instruments, see Note 7 – Debt in the Company’s 2024 Form 10-K.</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Lease Obligations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other facility, vehicle and equipment needs, including certain related party leases. As of June 30, 2025, the Company’s leases have remaining lease terms of up to 14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June 30, 2025 and December 31, 2024 totaled $800.0 million and $713.9 million, respectively. Assets held under finance leases, net of accumulated depreciation, totaled $553.2 million and $473.0 million as of June 30, 2025 and December 31, 2024, respectively. Depreciation expense associated with finance leases totaled $17.8 million and $22.7 million for the three months ended June 30, 2025 and 2024, respectively, and totaled $36.9 million and $46.9 million for the six months ended June 30, 2025 and 2024, respectively.</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Operating lease additions for the three months ended June 30, 2025 and 2024 totaled $47.5 million and $35.6 million, respectively, and for the six months ended June 30, 2025 and 2024, totaled $96.5 million and $115.8 million, respectively. For the three months ended June 30, 2025 and 2024, rent expense for leases that have terms in excess of one year totaled approximately $53.8 million and $48.9 million, respectively, of which $5.1 million and $4.6 million, respectively, represented variable lease costs. For the six months ended June 30, 2025 and 2024, rent expense for such leases totaled approximately $105.1 million and $97.4 million, respectively, of which $10.1 million and $9.3 million, respectively, represented variable lease costs. The Company also incurred rent expense for leases with terms of one year or less totaling approximately $148.2 million and $125.4 million for the three months ended June 30, 2025 and 2024, respectively, and totaling approximately $282.6 million and $261.0 million for the six months ended June 30, 2025 and 2024, respectively. Rent expense for operating leases is generally consistent with the amount of the related payments, which payments are included within operating activities in the consolidated statements of cash flows.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11"/>
        </w:trPr>
        <w:tc>
          <w:tcPr>
            <w:tcW w:w="82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June 30, 2025 were as follows (in millions):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9"/>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Finance</w:t>
            </w:r>
          </w:p>
        </w:tc>
        <w:tc>
          <w:tcPr>
            <w:tcW w:w="140" w:type="dxa"/>
            <w:vAlign w:val="bottom"/>
          </w:tcPr>
          <w:p>
            <w:pPr>
              <w:spacing w:after="0"/>
              <w:rPr>
                <w:sz w:val="24"/>
                <w:szCs w:val="24"/>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140" w:type="dxa"/>
            <w:vAlign w:val="bottom"/>
          </w:tcPr>
          <w:p>
            <w:pPr>
              <w:spacing w:after="0"/>
              <w:rPr>
                <w:sz w:val="18"/>
                <w:szCs w:val="18"/>
                <w:color w:val="auto"/>
              </w:rPr>
            </w:pPr>
          </w:p>
        </w:tc>
        <w:tc>
          <w:tcPr>
            <w:tcW w:w="13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211"/>
        </w:trPr>
        <w:tc>
          <w:tcPr>
            <w:tcW w:w="8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remaining six months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3"/>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w:t>
            </w:r>
          </w:p>
        </w:tc>
      </w:tr>
      <w:tr>
        <w:trPr>
          <w:trHeight w:val="207"/>
        </w:trPr>
        <w:tc>
          <w:tcPr>
            <w:tcW w:w="8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2"/>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413.3</w:t>
            </w:r>
          </w:p>
        </w:tc>
      </w:tr>
      <w:tr>
        <w:trPr>
          <w:trHeight w:val="213"/>
        </w:trPr>
        <w:tc>
          <w:tcPr>
            <w:tcW w:w="82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20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193.5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w:t>
            </w:r>
          </w:p>
        </w:tc>
      </w:tr>
      <w:tr>
        <w:trPr>
          <w:trHeight w:val="482"/>
        </w:trPr>
        <w:tc>
          <w:tcPr>
            <w:tcW w:w="11240" w:type="dxa"/>
            <w:vAlign w:val="bottom"/>
            <w:gridSpan w:val="9"/>
          </w:tcPr>
          <w:p>
            <w:pPr>
              <w:ind w:left="660"/>
              <w:spacing w:after="0"/>
              <w:rPr>
                <w:sz w:val="20"/>
                <w:szCs w:val="20"/>
                <w:color w:val="auto"/>
              </w:rPr>
            </w:pPr>
            <w:r>
              <w:rPr>
                <w:rFonts w:ascii="Times New Roman" w:cs="Times New Roman" w:eastAsia="Times New Roman" w:hAnsi="Times New Roman"/>
                <w:sz w:val="16"/>
                <w:szCs w:val="16"/>
                <w:color w:val="auto"/>
              </w:rPr>
              <w:t>The following table presents weighted average remaining lease terms and discount rates for finance and non-cancelable operating leases as of the periods</w:t>
            </w:r>
          </w:p>
        </w:tc>
      </w:tr>
      <w:tr>
        <w:trPr>
          <w:trHeight w:val="210"/>
        </w:trPr>
        <w:tc>
          <w:tcPr>
            <w:tcW w:w="8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03"/>
        </w:trPr>
        <w:tc>
          <w:tcPr>
            <w:tcW w:w="7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24"/>
                <w:szCs w:val="24"/>
                <w:color w:val="auto"/>
              </w:rPr>
            </w:pPr>
          </w:p>
        </w:tc>
        <w:tc>
          <w:tcPr>
            <w:tcW w:w="13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9"/>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Stock-Based Compensation and Other Employee Benefit Plans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has stock-based compensation plans, under which shares of the Company’s common stock are reserved for issuance. Under all stock-based compensation plans in effect as of June 30, 2025, there were approximately 4,012,000 shares available for future grants. Non-cash stock-based compensation expense under all plans totaled approximately $9.4 million and $7.0 million for the three months ended June 30, 2025 and 2024, respectively, and totaled approximately $16.3 million and $16.7 million for the six months ended June 30, 2025 and 2024, respectively. Income tax benefits associated with stock-based compensation arrangements totaled $1.7 million and $1.1 million for the three months ended June 30, 2025 and 2024, respectively. For the six months ended June 30, 2025 and 2024, income tax benefits totaled $3.3 million and $3.0 million, respectively, including net tax benefits related to the vesting of share-based payment awards totaling $0.4 million and net tax shortfalls totaling $0.1 million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on the date of grant. During the restriction period, holders of restricted stock awards are entitled to vote the shares. As of June 30, 2025, total unearned compensation related to restricted shares was approximately $63.4 million, which amount is expected to be recognized over a weighted average period of approximately 2.2 years. The fair value of restricted shares that vested totaled approximately $0.5 million and $1.1 million for the three months ended June 30, 2025 and 2024, respectively, and totaled approximately $21.3 million and $14.4 million for the six months ended June 30, 2025 and 2024,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560" w:type="dxa"/>
            <w:vAlign w:val="bottom"/>
            <w:gridSpan w:val="2"/>
            <w:vMerge w:val="continue"/>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8220" w:type="dxa"/>
            <w:vAlign w:val="bottom"/>
            <w:vMerge w:val="continue"/>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December 31, 2024</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0" w:type="dxa"/>
            <w:vAlign w:val="bottom"/>
          </w:tcPr>
          <w:p>
            <w:pPr>
              <w:spacing w:after="0"/>
              <w:rPr>
                <w:sz w:val="1"/>
                <w:szCs w:val="1"/>
                <w:color w:val="auto"/>
              </w:rPr>
            </w:pPr>
          </w:p>
        </w:tc>
      </w:tr>
      <w:tr>
        <w:trPr>
          <w:trHeight w:val="207"/>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0" w:type="dxa"/>
            <w:vAlign w:val="bottom"/>
          </w:tcPr>
          <w:p>
            <w:pPr>
              <w:spacing w:after="0"/>
              <w:rPr>
                <w:sz w:val="1"/>
                <w:szCs w:val="1"/>
                <w:color w:val="auto"/>
              </w:rPr>
            </w:pP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w:t>
            </w:r>
          </w:p>
        </w:tc>
        <w:tc>
          <w:tcPr>
            <w:tcW w:w="0" w:type="dxa"/>
            <w:vAlign w:val="bottom"/>
          </w:tcPr>
          <w:p>
            <w:pPr>
              <w:spacing w:after="0"/>
              <w:rPr>
                <w:sz w:val="1"/>
                <w:szCs w:val="1"/>
                <w:color w:val="auto"/>
              </w:rPr>
            </w:pPr>
          </w:p>
        </w:tc>
      </w:tr>
      <w:tr>
        <w:trPr>
          <w:trHeight w:val="213"/>
        </w:trPr>
        <w:tc>
          <w:tcPr>
            <w:tcW w:w="8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restricted shares, as of June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restricted stock units as of December 31,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Equity</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share repurchase program provides for the repurchase, from time to time, of MasTec common shares in open market transactions or in privately negotiated transactions in accordance with applicable securities laws. For the three and six months ended June 30, 2025, the Company repurchased 0.4 million and 0.7 million shares of its common stock, respectively, for an aggregate purchase price totaling $40.3 million and $77.3 million, respectively, which completed the Company’s $150 million March 2020 share repurchase program. There were no share repurchases under the Company’s share repurchase program during the six months ended June 30, 2024. In May 2025, the Company’s Board of Directors authorized a new $250 million share repurchase program, for which the full amount remains available for future share repurchases as of June 30, 2025. The Company’s share repurchase program does not have an expiration date and may be modified or suspended at any time at the Company’s discretion.</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Unrealized foreign currency translation activity, net, in each of the three and six months ended June 30, 2025 and 2024 relates primarily to the Company’s activities in Canada and Mexico. Other unrealized activity within accumulated comprehensive loss in each of the three and six months ended June 30, 2025 and 2024 relates to unrealized investment gains or losses associated with interest rate swaps for the Waha JVs.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Income Taxes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months ended June 30, 2025 and 2024, the Company’s consolidated effective tax rates were 25.4% and 30.7%, respectively, and for the six months ended June 30, 2025 and 2024 were 21.0% and 47.0%, respectively. The Company’s effective tax rate for the six months ended June 30, 2025 included an income tax benefit primarily due to the reversal of uncertain tax position liabilities related to a state audit, offset, in part, by an increase in income tax expense due to higher pre-tax income. For the six months ended June 30, 2024, the Company’s effective tax rate included the effect of a higher percentage of non-deductible expenses relative to pre-tax income.</w:t>
      </w:r>
    </w:p>
    <w:p>
      <w:pPr>
        <w:spacing w:after="0" w:line="7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On July 4, 2025, the One Big Beautiful Bill Act (the “OBBBA”) was signed into law, which includes significant changes to federal tax law and other regulatory provisions that may impact the Company. The Company is currently evaluating the provisions of the new law and the potential effects on our financial position, results of operations, and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Segments and Related Information</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9" w:name="page20"/>
    <w:bookmarkEnd w:id="19"/>
    <w:p>
      <w:pPr>
        <w:jc w:val="both"/>
        <w:spacing w:after="0" w:line="257" w:lineRule="auto"/>
        <w:rPr>
          <w:sz w:val="20"/>
          <w:szCs w:val="20"/>
          <w:color w:val="auto"/>
        </w:rPr>
      </w:pPr>
      <w:r>
        <w:rPr>
          <w:rFonts w:ascii="Times New Roman" w:cs="Times New Roman" w:eastAsia="Times New Roman" w:hAnsi="Times New Roman"/>
          <w:sz w:val="16"/>
          <w:szCs w:val="16"/>
          <w:color w:val="auto"/>
        </w:rPr>
        <w:t>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w:t>
      </w:r>
    </w:p>
    <w:p>
      <w:pPr>
        <w:spacing w:after="0" w:line="2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the first quarter of 2025, the Company made changes to its Communications segment and Power Delivery segment structures to more closely align with the segments’ end markets and to better correspond with the operational management reporting structures of both segments. These changes included moving a component with utility operations previously reported in the Communications segment to the Power Delivery segment. These changes did not impact the Company’s consolidated financial statements, but did impact its reportable segments, including historical financial information. The segment data presented below have been recast for the historical periods to reflect these segment changes.</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the Company’s CODM to manage its segments and for segment reporting purposes.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w:t>
      </w:r>
    </w:p>
    <w:p>
      <w:pPr>
        <w:spacing w:after="0" w:line="28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which may contain slight summation differences due to rounding, reflect certain financial data for each reportable segment and have been recast as described above.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6"/>
                <w:szCs w:val="1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3,544.7</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7"/>
        </w:trPr>
        <w:tc>
          <w:tcPr>
            <w:tcW w:w="3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908"/>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6"/>
                <w:szCs w:val="1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6,392.4</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0" w:type="dxa"/>
            <w:vAlign w:val="bottom"/>
          </w:tcPr>
          <w:p>
            <w:pPr>
              <w:spacing w:after="0"/>
              <w:rPr>
                <w:sz w:val="1"/>
                <w:szCs w:val="1"/>
                <w:color w:val="auto"/>
              </w:rPr>
            </w:pPr>
          </w:p>
        </w:tc>
      </w:tr>
      <w:tr>
        <w:trPr>
          <w:trHeight w:val="20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0" w:type="dxa"/>
            <w:vAlign w:val="bottom"/>
          </w:tcPr>
          <w:p>
            <w:pPr>
              <w:spacing w:after="0"/>
              <w:rPr>
                <w:sz w:val="1"/>
                <w:szCs w:val="1"/>
                <w:color w:val="auto"/>
              </w:rPr>
            </w:pPr>
          </w:p>
        </w:tc>
      </w:tr>
      <w:tr>
        <w:trPr>
          <w:trHeight w:val="239"/>
        </w:trPr>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0" w:type="dxa"/>
            <w:vAlign w:val="bottom"/>
          </w:tcPr>
          <w:p>
            <w:pPr>
              <w:spacing w:after="0"/>
              <w:rPr>
                <w:sz w:val="1"/>
                <w:szCs w:val="1"/>
                <w:color w:val="auto"/>
              </w:rPr>
            </w:pPr>
          </w:p>
        </w:tc>
      </w:tr>
      <w:tr>
        <w:trPr>
          <w:trHeight w:val="162"/>
        </w:trPr>
        <w:tc>
          <w:tcPr>
            <w:tcW w:w="30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 and</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(b)</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0" w:type="dxa"/>
            <w:vAlign w:val="bottom"/>
          </w:tcPr>
          <w:p>
            <w:pPr>
              <w:spacing w:after="0"/>
              <w:rPr>
                <w:sz w:val="1"/>
                <w:szCs w:val="1"/>
                <w:color w:val="auto"/>
              </w:rPr>
            </w:pPr>
          </w:p>
        </w:tc>
      </w:tr>
      <w:tr>
        <w:trPr>
          <w:trHeight w:val="207"/>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281" w:lineRule="auto"/>
        <w:tabs>
          <w:tab w:leader="none" w:pos="331"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consolidated revenue equals total reportable segment revenue of $3,544.7 million and $2,961.1 million for the three months ended June 30, 2025 and 2024, respectively, and $6,392.4 million and $5,647.9 million for the six months ended June 30, 2025 and 2024, respectively, as there is no revenue recorded within Corporate results.</w:t>
      </w:r>
    </w:p>
    <w:p>
      <w:pPr>
        <w:spacing w:after="0" w:line="1" w:lineRule="exact"/>
        <w:rPr>
          <w:rFonts w:ascii="Times New Roman" w:cs="Times New Roman" w:eastAsia="Times New Roman" w:hAnsi="Times New Roman"/>
          <w:sz w:val="14"/>
          <w:szCs w:val="14"/>
          <w:color w:val="auto"/>
        </w:rPr>
      </w:pPr>
    </w:p>
    <w:p>
      <w:pPr>
        <w:ind w:left="340" w:hanging="332"/>
        <w:spacing w:after="0" w:line="281" w:lineRule="auto"/>
        <w:tabs>
          <w:tab w:leader="none" w:pos="3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the three and six months ended June 30, 2025 and 2024, other segment items for each reportable segment includes general and administrative expenses, equity in earnings or losses of unconsolidated affiliates, net, and other income or expense, net.</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r>
    </w:tbl>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For both the three and six months ended June 30, 2024, Corporate included a loss on debt extinguishment of $11.3 million.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2024 </w:t>
            </w:r>
            <w:r>
              <w:rPr>
                <w:rFonts w:ascii="Times New Roman" w:cs="Times New Roman" w:eastAsia="Times New Roman" w:hAnsi="Times New Roman"/>
                <w:sz w:val="21"/>
                <w:szCs w:val="21"/>
                <w:color w:val="auto"/>
                <w:w w:val="96"/>
                <w:vertAlign w:val="superscript"/>
              </w:rPr>
              <w:t>(a)</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2024 </w:t>
            </w:r>
            <w:r>
              <w:rPr>
                <w:rFonts w:ascii="Times New Roman" w:cs="Times New Roman" w:eastAsia="Times New Roman" w:hAnsi="Times New Roman"/>
                <w:sz w:val="21"/>
                <w:szCs w:val="21"/>
                <w:color w:val="auto"/>
                <w:w w:val="93"/>
                <w:vertAlign w:val="superscript"/>
              </w:rPr>
              <w:t>(a)</w:t>
            </w:r>
          </w:p>
        </w:tc>
      </w:tr>
      <w:tr>
        <w:trPr>
          <w:trHeight w:val="30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241"/>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21"/>
                <w:szCs w:val="21"/>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40" w:type="dxa"/>
            <w:vAlign w:val="bottom"/>
          </w:tcPr>
          <w:p>
            <w:pPr>
              <w:spacing w:after="0"/>
              <w:rPr>
                <w:sz w:val="21"/>
                <w:szCs w:val="21"/>
                <w:color w:val="auto"/>
              </w:rPr>
            </w:pPr>
          </w:p>
        </w:tc>
        <w:tc>
          <w:tcPr>
            <w:tcW w:w="17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xml:space="preserve">December 31, 2024 </w:t>
            </w:r>
            <w:r>
              <w:rPr>
                <w:rFonts w:ascii="Times New Roman" w:cs="Times New Roman" w:eastAsia="Times New Roman" w:hAnsi="Times New Roman"/>
                <w:sz w:val="21"/>
                <w:szCs w:val="21"/>
                <w:color w:val="auto"/>
                <w:vertAlign w:val="superscript"/>
              </w:rPr>
              <w:t>(a)</w:t>
            </w:r>
          </w:p>
        </w:tc>
      </w:tr>
      <w:tr>
        <w:trPr>
          <w:trHeight w:val="304"/>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1,824.7</w:t>
            </w:r>
          </w:p>
        </w:tc>
        <w:tc>
          <w:tcPr>
            <w:tcW w:w="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1,673.8</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2,706.4</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2,489.9</w:t>
            </w:r>
          </w:p>
        </w:tc>
      </w:tr>
      <w:tr>
        <w:trPr>
          <w:trHeight w:val="213"/>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1,599.7</w:t>
            </w:r>
          </w:p>
        </w:tc>
      </w:tr>
      <w:tr>
        <w:trPr>
          <w:trHeight w:val="21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r>
      <w:tr>
        <w:trPr>
          <w:trHeight w:val="20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9,132.2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8,975.3</w:t>
            </w: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2024 </w:t>
            </w:r>
            <w:r>
              <w:rPr>
                <w:rFonts w:ascii="Times New Roman" w:cs="Times New Roman" w:eastAsia="Times New Roman" w:hAnsi="Times New Roman"/>
                <w:sz w:val="21"/>
                <w:szCs w:val="21"/>
                <w:color w:val="auto"/>
                <w:w w:val="96"/>
                <w:vertAlign w:val="superscript"/>
              </w:rPr>
              <w:t>(a)</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2024 </w:t>
            </w:r>
            <w:r>
              <w:rPr>
                <w:rFonts w:ascii="Times New Roman" w:cs="Times New Roman" w:eastAsia="Times New Roman" w:hAnsi="Times New Roman"/>
                <w:sz w:val="21"/>
                <w:szCs w:val="21"/>
                <w:color w:val="auto"/>
                <w:w w:val="93"/>
                <w:vertAlign w:val="superscript"/>
              </w:rPr>
              <w:t>(a)</w:t>
            </w:r>
          </w:p>
        </w:tc>
      </w:tr>
      <w:tr>
        <w:trPr>
          <w:trHeight w:val="30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capital expenditures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bl>
    <w:p>
      <w:pPr>
        <w:spacing w:after="0" w:line="126"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w:t>
      </w:r>
    </w:p>
    <w:p>
      <w:pPr>
        <w:spacing w:after="0" w:line="2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w:t>
      </w:r>
      <w:r>
        <w:rPr>
          <w:rFonts w:ascii="Times New Roman" w:cs="Times New Roman" w:eastAsia="Times New Roman" w:hAnsi="Times New Roman"/>
          <w:sz w:val="16"/>
          <w:szCs w:val="16"/>
          <w:color w:val="auto"/>
        </w:rPr>
        <w:t>MasTec operates primarily within the United States and Canada, and, to a far lesser extent, the Caribbean, India and Mexico. Revenue derived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foreign operations totaled $43.9 million and $24.2 million for the three months ended June 30, 2025 and 2024, respectively, and totaled $93.6 million and $50.9 million for the six months ended June 30, 2025 and 2024, respectively. Revenue from foreign operations was derived primarily from the Company’s Canadian operations in its Pipeline Infrastructure segment. As of June 30, 2025 and December 31, 2024, long-lived assets held by the Company’s businesses in foreign countries included property and equipment, net, of $24.3 million and $25.3 million, respectively, and intangible assets and goodwill, net, of $112.4 million and $108.8 million, for the respective periods. Substantially all of the Company’s long-lived and intangible assets and goodwill in foreign countries relate to its Canadian operations.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Significant Customers. </w:t>
      </w:r>
      <w:r>
        <w:rPr>
          <w:rFonts w:ascii="Times New Roman" w:cs="Times New Roman" w:eastAsia="Times New Roman" w:hAnsi="Times New Roman"/>
          <w:sz w:val="16"/>
          <w:szCs w:val="16"/>
          <w:color w:val="auto"/>
        </w:rPr>
        <w:t>For both the three and six months ended June 30, 2025, AT&amp;T represented approximately 11% of the Company’s total consolidated revenue.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Company’s relationship with AT&amp;T is based upon multiple separate master service and other service agreements, including for maintenance services and construction/installation contracts for wireless and wireline, and for which the related revenue is included primarily within the Communications segment. No customer represented greater than 10% of the Company’s total consolidated revenue in either of the three or six months ended June 30, 2024. Revenue from governmental entities for the three months ended June 30, 2025 and 2024 totaled approximately 13% and 14% of total revenue, respectively, and for both the six months ended June 30, 2025 and 2024, totaled approximately 13% of total revenue, all of which was derived from its U.S.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Commitments and Contingencies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Acquired Legacy Solar Matter</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See Note 14 – Commitments and Contingencies contained within the Company’s audited consolidated financial statements filed with its 2024 Form 10-K for additional information regarding the acquired legacy solar matter, with respect to which, in January 2025, the parties agreed to a negotiated settlement and mutual releases in exchange for the payment to the plaintiffs by Infrastructure and Energy Alternatives, Inc. (“IEA”) and its subsidiary, IEA Constructors, LLC, of an immaterial amount of cash. There have been no material developments since the filing of such Form 10-K.</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11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Leases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certain related party leases. See Note 7 – Lease Obligations and Note 13 – Related Party Transactions.</w:t>
      </w:r>
    </w:p>
    <w:p>
      <w:pPr>
        <w:spacing w:after="0" w:line="3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In addition, from time to time, certain customers require the Company to post letters of credit to ensure payment of subcontractors and vendors, and guarantee performance under contracts. Such letters of credit</w:t>
      </w:r>
    </w:p>
    <w:p>
      <w:pPr>
        <w:sectPr>
          <w:pgSz w:w="11900" w:h="16838" w:orient="portrait"/>
          <w:cols w:equalWidth="0" w:num="1">
            <w:col w:w="11240"/>
          </w:cols>
          <w:pgMar w:left="320" w:top="10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type w:val="continuous"/>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6"/>
          <w:szCs w:val="16"/>
          <w:color w:val="auto"/>
        </w:rPr>
        <w:t>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2025 and December 31, 2024, there were $53.6 million and $81.7 million, respectively, of letters of credit issued under the Company’s credit facilities. Letter of credit claims have historically not been material. The Company is not aware of any material claims relating to its outstanding letters of credit as of June 30, 2025 or December 31, 2024.</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2025 and December 31, 2024, outstanding performance and payment bonds approximated $8.5 billion and $7.6 billion, respectively, and estimated costs to complete projects secured by these bonds totaled $2.6 billion and $2.2 billion, respectively. Included in these balances as of June 30, 2025 and December 31, 2024 are $1,255.1 million and $838.7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2025, the Company was not aware of material claims against it in connection with these arrangements. Included in the Company’s cash balances as of June 30, 2025 and December 31, 2024 are amounts held by entities that are proportionately consolidated totaling $37.8 million and $46.7 million, respectively. These amounts are available to support the operations of those entities, but are not available for the Company’s other operations.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other investment and strategic arrangements, under which it may incur costs or provide financing, performance, financial and/or other guarantees. See Note 4 – Fair Value of Financial Instruments and Note 13 – Related Party Transactions for additional information pertaining to the Company’s investment and strategic arrangements.</w:t>
      </w:r>
    </w:p>
    <w:p>
      <w:pPr>
        <w:spacing w:after="0" w:line="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Self-Insurance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$3.2 million and $2.2 million as of June 30, 2025 and December 31, 2024, respectively, which amounts are generally not available for use in the Company’s other operations.</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June 30, 2025 and December 31, 2024, MasTec’s estimated gross liability for unpaid claims and associated expenses, including incurred but not reported losses related to these policies, totaled $275.7 million and $251.0 million, respectively, of which $202.0 million and $184.1 million was reflected within other long-term liabilities, with the remainder reflected within other accrued expenses, in the consolidated balance sheets as of the respective periods. Related insurance recoveries/receivables totaled $26.0 million and $24.4 million as of June 30, 2025 and December 31, 2024, respectively, of which $22.7 million and $21.4 million was reflected within other long-term assets, with the remainder reflected within other current assets, in the consolidated balance sheets as of the respective periods.</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MasTec also maintains an insurance policy with respect to employee group medical claims, which is subject to annual per employee maximum losses. MasTec’s estimated liability for employee group medical claims totaled $4.1 million and $4.7 million as of June 30, 2025 and December 31, 2024, respectively.</w:t>
      </w:r>
    </w:p>
    <w:p>
      <w:pPr>
        <w:spacing w:after="0" w:line="5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$7.5 million and $8.7 million as of June 30, 2025 and December 31, 2024, respectively. Outstanding surety bonds related to self-insurance programs amounted to $193.7 million and $196.3 million as of June 30, 2025 and December 31, 2024, respectively.</w:t>
      </w:r>
    </w:p>
    <w:p>
      <w:pPr>
        <w:spacing w:after="0" w:line="6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Collective Bargaining Agreements and Multiemployer Plans. </w:t>
      </w:r>
      <w:r>
        <w:rPr>
          <w:rFonts w:ascii="Times New Roman" w:cs="Times New Roman" w:eastAsia="Times New Roman" w:hAnsi="Times New Roman"/>
          <w:sz w:val="16"/>
          <w:szCs w:val="16"/>
          <w:color w:val="auto"/>
        </w:rPr>
        <w:t>In connection with the IEA acquisition, the Company assumed a multiemployer pension plan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withdrawal liability (the “IEA withdrawal liability”), under which IEA was obligated to make monthly payments of approximately $10,000. In January 2025, the Company settled its IEA withdrawal liability by issuing a lump-sum payment for the remaining obligation of $1.3 million. See Note 14 – Commitments and Contingencies contained within the Company’s audited consolidated financial statements filed with its 2024 Form 10-K for additional information regarding the Company’s multiemployer pension plans.</w:t>
      </w:r>
    </w:p>
    <w:p>
      <w:pPr>
        <w:spacing w:after="0" w:line="6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both June 30, 2025 and December 31, 2024, the Company had accrued project close-out liabilities of approximately $20 million. The Company is not aware of any other material asserted or unasserted claims in connection with its potential indemnity obligations.</w:t>
      </w:r>
    </w:p>
    <w:p>
      <w:pPr>
        <w:spacing w:after="0" w:line="2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3" w:name="page24"/>
    <w:bookmarkEnd w:id="23"/>
    <w:p>
      <w:pPr>
        <w:jc w:val="both"/>
        <w:spacing w:after="0" w:line="280" w:lineRule="auto"/>
        <w:rPr>
          <w:sz w:val="20"/>
          <w:szCs w:val="20"/>
          <w:color w:val="auto"/>
        </w:rPr>
      </w:pPr>
      <w:r>
        <w:rPr>
          <w:rFonts w:ascii="Times New Roman" w:cs="Times New Roman" w:eastAsia="Times New Roman" w:hAnsi="Times New Roman"/>
          <w:sz w:val="16"/>
          <w:szCs w:val="16"/>
          <w:color w:val="auto"/>
        </w:rPr>
        <w:t>customers elect to repair or replace the warrantied item using the services of another provider, the Company could be required to pay for the cost of the repair or replacement. Warranty claims have historically not been material.</w:t>
      </w:r>
    </w:p>
    <w:p>
      <w:pPr>
        <w:spacing w:after="0" w:line="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Concentrations of Risk. </w:t>
      </w:r>
      <w:r>
        <w:rPr>
          <w:rFonts w:ascii="Times New Roman" w:cs="Times New Roman" w:eastAsia="Times New Roman" w:hAnsi="Times New Roman"/>
          <w:sz w:val="16"/>
          <w:szCs w:val="16"/>
          <w:color w:val="auto"/>
        </w:rPr>
        <w:t>The Company had approximately 1,365 customers for the six months ended June 30, 2025. As of both June 30, 2025 and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no customer represented greater than 10% of the Company’s consolidated net accounts receivable position, which is calculated as accounts receivable, net, less deferred revenue. The Company derived approximately 36% of its revenue from its top ten customers for both the three months ended June 30, 2025 and 2024, and derived approximately 35% and 39% of such revenue for the six months ended June 30, 2025 and 2024,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Related Party Transactions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an entity in which Juan Carlos Mas, who is an immediate family member of the Company’s CEO and its Chairman of the Board, serves as the chairman. Additionally, a member of management of a MasTec subsidiary and an entity that is owned by the Mas family are minority owners of CCI. For the three months ended June 30, 2025 and 2024, MasTec paid CCI approximately $1.2 million and $2.8 million, respectively, and for the six months ended June 30, 2025 and 2024, MasTec paid approximately $2.7 million and $8.6 million, respectively, for such services. Amounts payable to CCI totaled approximately $1.1 million and $0.7 million as of June 30, 2025 and December 31, 2024, respectively. The Company also rents equipment to CCI and revenue from such rentals totaled approximately $0.3 million for the six months ended June 30, 2025, and for both the three and six months ended June 30, 2024, revenue from such rentals totaled approximately $0.2 million.</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three months ended June 30, 2025 and 2024, MasTec incurred subcontracting expenses in connection with this arrangement of approximately $1.3 million and $1.2 million, respectively, and for the six months ended June 30, 2025 and 2024, subcontracting expenses totaled approximately $1.4 million and $4.9 million, respectively. Related amounts payable totaled approximately $1.3 million as of June 30, 2025</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For the three months ended June 30, 2025 and 2024, payments related to this leasing arrangement totaled approximately $1.4 million and $1.6 million, respectively, and for the six months ended June 30, 2025 and 2024, MasTec paid approximately $2.8 million and $2.9 million, respectively.</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wireless infrastructure services. Construction services related to site preparation for a new soccer complex began in 2023. For the three months ended June 30, 2025 and 2024, revenue under these arrangements totaled approximately $18.7 million and $3.6 million, respectively, and totaled approximately $29.6 million and $8.7 million for the six months ended June 30, 2025 and 2024, respectively. As of June 30, 2025 and December 31, 2024, amounts receivable related to these arrangements totaled approximately $17.3 million and $12.8 million, respectively. Payments for other expenses related to the Franchise totaled approximately $0.2 million and $0.4 million for the three months ended June 30, 2025 and 2024, respectively, and totaled approximately $0.6 million for both the six months ended June 30, 2025 and 2024.</w:t>
      </w:r>
    </w:p>
    <w:p>
      <w:pPr>
        <w:spacing w:after="0" w:line="74"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MasTec has a subcontracting arrangement to perform construction services for an entity in which José R. Mas had a minority interest, and a member of management of a MasTec subsidiary owned the remaining interest. On January 1, 2024, MasTec acquired José R. Mas’ interest in this entity for approximately $0.7 million.</w:t>
      </w:r>
    </w:p>
    <w:p>
      <w:pPr>
        <w:spacing w:after="0" w:line="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split dollar life insurance agreements with trusts, for one of which Jorge Mas is a trustee, and for the other of which José R. Mas is a trustee. The Company made no payments in connection with these agreements during 2025. For both the three and six months ended June 30, 2024, the Company paid approximately $0.7 million in connection with these agreements. As of both June 30, 2025 and December 31, 2024, life insurance assets associated with these agreements totaled approximately $27.5 million.</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periods indicated is noted below.</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and from time to time, rents equipment to, sells certain supplies, or performs construction services on behalf of, related entities. For the three months ended June 30, 2025 and 2024, payments to these related entities totaled approximately $9.3 million and $8.3 million, respectively, and for the six months ended June 30, 2025 and 2024, such payments totaled approximately $16.7 million and $18.6 million, respectively. Revenue from such arrangements totaled approximately $3.4 million and $4.2 million for the three months ended June 30, 2025 and 2024, respectively, and totaled approximately $5.0 million and $8.6 million for the six months ended June 30, 2025 and 2024, respectively. Payables associated with such arrangements totaled approximately $2.6 million and $2.8 million as of June 30, 2025 and December 31, 2024, respectively. As of June 30, 2025 and December 31, 2024, accounts receivable, net, less deferred revenue related to these arrangements totaled receivables of approximately $3.6 million and $3.9 million, respectively.</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made advances of $0.3 million on behalf of or to former owners during the six months ended June 30, 2024, which were obligated to be repaid under the provisions of the related purchase agreements. As of December 31, 2024, amounts receivable for such advances totaled approximately $0.2 million and were repaid in 2025.</w:t>
      </w:r>
    </w:p>
    <w:p>
      <w:pPr>
        <w:spacing w:after="0" w:line="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Additionally, the Company had certain arrangements with a related entity, including a fee arrangement in conjunction with a $15.0 million letter of credit issued by the Company on behalf of this entity. This letter of credit was cancelled as of March 31, 2025. Income recognized in connection with these arrangements totaled approximately $0.2 million and $0.4 million for the six months ended June 30, 2025 and 2024, respectively. As of December 31, 2024, related amounts receivable totaled approximately $0.4 million, which were repaid in 2025.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The Company sold certain minority interests in these entities to members of management of a MasTec subsidiary for $7.1 million of notes receivable in a prior year. These notes, of which approximately $2.3 million and $3.2 million was outstanding as of June 30, 2025 and December 31, 2024, respectively, are recorded within other current or long-term assets, as appropriate, in the consolidated financial statements. The notes bear interest at a rate of 5.0% per annum. For the six months ended June 30, 2025 and 2024, the Company recognized interest income related to these notes of approximately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“continue,”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and market conditions, including levels of inflation and market interest rates, geopolitical events, market uncertainty and/or volatility.</w:t>
      </w:r>
    </w:p>
    <w:p>
      <w:pPr>
        <w:spacing w:after="0" w:line="7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These risks and uncertainties include those described in “Management’s Discussion and Analysis of Financial Condition and Results of Operations,” and elsewhere in this report and in our 2024 Annual Report on Form 10-K (“2024 Form 10-K”), including those described under “Cautionary Statement Regarding Forward-Looking Statements” and “Risk Factors,” as updated by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9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2.</w:t>
        <w:tab/>
        <w:t>MANAGEMENT’S DISCUSSION AND ANALYSIS OF FINANCIAL CONDITION AND RESULTS OF OPERATIONS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The following is a discussion and analysis of our business, financial condition and results of operations for the quarterly period ended June 30, 2025 and relevant prior periods. This discussion and analysis should be read in conjunction with our consolidated financial statements and notes thereto in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of this Quarterly Report on Form 10-Q (this “Form 10-Q”), and the audited consolidated financial statements, accompanying notes and Management’s Discussion and Analysis of Financial Condition and Results of Operations (“MD&amp;A”) contained in our 2024 Form 10-K. In this MD&amp;A, “$” means U.S. dollars unless specified otherwise.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economic, market and regulatory conditions. Interest rates, particularly long-term rates, remain elevated and the timing, direction and extent of any future interest rate changes from the Federal Reserve remain uncertain. We expect the remainder of 2025 to continue to be a dynamic macroeconomic environment, with elevated market interest rates and continuing levels of cost inflation due, in part, to trade actions discussed below, and potential market volatility, any or all of which could adversely affect our costs and customer demand.</w:t>
      </w:r>
    </w:p>
    <w:p>
      <w:pPr>
        <w:spacing w:after="0" w:line="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As disclosed within our “Risk Factors” in our 2024 Form 10-K and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“Risk Factors” of this Form 10-Q, we are subject to risks related to, among other factors, trade actions, including tariffs, that may have significant effects on macroeconomic conditions. During the first half of 2025, the U.S. government announced or imposed a variety of tariff actions, in response to which many countries have announced retaliatory trade actions, including tariffs on U.S. exports. These actions have increased the cost of importing certain construction materials into the U.S., including steel, concrete, copper and solar panels, and have caused disruption and uncertainty to both international trade and supply chains, as well as financial markets. It is unclear to what extent, if not yet already, when and for how long announced trade actions will be implemented.</w:t>
      </w:r>
    </w:p>
    <w:p>
      <w:pPr>
        <w:spacing w:after="0" w:line="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While these trade actions have not had a meaningful impact on the results of our operations, we are monitoring and evaluating the potential impacts of these newly imposed and proposed tariffs and other trade measures, including potential impacts to our customers, as well as our ability to mitigate their related impacts. However, the tariff environment remains highly dynamic and there is no assurance that we will be successful in mitigating such impacts. Economic experts and policy makers have cautioned that prolonged disruptions to global trade from tariffs and other trade actions could increase inflation, which could also affect our customers’ capital spending plans and demand for our services.</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Further, on July 4, 2025, the One Big Beautiful Bill Act (the “OBBBA”) was enacted in the United States. This legislation increases federal support for oil and gas production while reducing support for renewable energy and infrastructure development. Notably, the OBBBA accelerates the phaseout of certain clean energy tax credits established under the Inflation Reduction Act (the “IRA”), including the clean electricity production and investment credits for solar and wind projects. These credits will no longer apply to projects that begin construction more than 12 months after the enactment date, or that are placed in service after December 31, 2027. Certain provisions of the OBBBA remain subject to further regulatory interpretation and implementation that are expected to be finalized during the remainder of 2025. The OBBBA, along with other evolving trade and immigration policies, may have both positive and negative effects on our business. Potential impacts include, but are not limited to, shifts in the timing and scope of customer projects, fluctuations in demand for our services, and changes in capital and labor costs, including availability.</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will continue to monitor the market and economic conditions. 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 For additional information regarding the effects of general economic, market and regulatory conditions, see Management’s Discussion and Analysis of Financial Condition and Results of Operations contained in our 2024 Form 10-K.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6"/>
          <w:szCs w:val="16"/>
          <w:color w:val="auto"/>
        </w:rPr>
        <w:t>We are a leading North American infrastructure engineering and construction company focused primarily on engineering, building, installation, maintenance and upgrade of communications, energy and utility and other infrastructure, such as: wireless, wireline/fiber;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over 95 years. For the twelve months ended June 30, 2025, we had an average of approximately 33,000 employees and 790 locations, and as of June 30, 2025, we had approximately 36,000 employees and 810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are ranked among the top five contractors within Engineering News-Record’s Top 400 Contractors.</w:t>
      </w:r>
    </w:p>
    <w:p>
      <w:pPr>
        <w:spacing w:after="0" w:line="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8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w:t>
      </w:r>
    </w:p>
    <w:p>
      <w:pPr>
        <w:spacing w:after="0" w:line="2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the first quarter of 2025, we made changes to our Communications and Power Delivery segment structure to more closely align with our segments’ end markets and to better correspond with the operational management reporting structure of both segments. These changes included moving a component with utility operations previously reported in our Communications segment to our Power Delivery segment. These changes did not impact our consolidated financial statements, but did impact our reportable segments, including historical financial information. See Note 11 – Segments and Related Information and Note 12 – Commitments and Contingencies in the notes to the consolidated financial statements, which are incorporated by reference, for additional information regarding our segment reporting and significant customer concentrations.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45% of our estimated June 30, 2025 backlog in 2025. The following table presents 18-month estimated backlog by reportable segment as of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Reportable Segment (in millions):</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20"/>
                <w:szCs w:val="20"/>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xml:space="preserve">June 30, 2024 </w:t>
            </w:r>
            <w:r>
              <w:rPr>
                <w:rFonts w:ascii="Times New Roman" w:cs="Times New Roman" w:eastAsia="Times New Roman" w:hAnsi="Times New Roman"/>
                <w:sz w:val="21"/>
                <w:szCs w:val="21"/>
                <w:color w:val="auto"/>
                <w:vertAlign w:val="superscript"/>
              </w:rPr>
              <w:t>(a)</w:t>
            </w:r>
          </w:p>
        </w:tc>
      </w:tr>
      <w:tr>
        <w:trPr>
          <w:trHeight w:val="304"/>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w:t>
            </w:r>
          </w:p>
        </w:tc>
      </w:tr>
      <w:tr>
        <w:trPr>
          <w:trHeight w:val="32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w:t>
            </w:r>
          </w:p>
        </w:tc>
      </w:tr>
      <w:tr>
        <w:trPr>
          <w:trHeight w:val="3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w:t>
            </w:r>
          </w:p>
        </w:tc>
      </w:tr>
      <w:tr>
        <w:trPr>
          <w:trHeight w:val="321"/>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32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13,338</w:t>
            </w:r>
          </w:p>
        </w:tc>
      </w:tr>
    </w:tbl>
    <w:p>
      <w:pPr>
        <w:spacing w:after="0" w:line="126" w:lineRule="exact"/>
        <w:rPr>
          <w:sz w:val="20"/>
          <w:szCs w:val="20"/>
          <w:color w:val="auto"/>
        </w:rPr>
      </w:pPr>
    </w:p>
    <w:p>
      <w:pPr>
        <w:ind w:left="340" w:hanging="332"/>
        <w:spacing w:after="0" w:line="302" w:lineRule="auto"/>
        <w:tabs>
          <w:tab w:leader="none" w:pos="365"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11 – Segments and Related Information in the notes to the consolidated financial statements, which is incorporated by reference, for additional information.</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June 30, 2025, 48%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factors relative to “General Economic, Market and Regulatory Conditions” mentioned above.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2025, total 18-month backlog differed from the amount of our remaining performance obligations due primarily to the inclusion of $7.9 billion of estimated future revenue under master service and other service agreements within our backlog estimates, as described above, and the exclusion of approximately $2.8 billion of remaining performance obligations and estimated future revenue under master service and other service agreements in excess of 18 months, which amount is not included in the backlog estimates above. Backlog expected to be realized in 2025 differs from the amount of remaining performance obligations expected to be recognized for the same period due primarily to the inclusion of</w:t>
      </w:r>
    </w:p>
    <w:p>
      <w:pPr>
        <w:sectPr>
          <w:pgSz w:w="11900" w:h="16838" w:orient="portrait"/>
          <w:cols w:equalWidth="0" w:num="1">
            <w:col w:w="11240"/>
          </w:cols>
          <w:pgMar w:left="320" w:top="10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type w:val="continuous"/>
        </w:sectPr>
      </w:pPr>
    </w:p>
    <w:bookmarkStart w:id="27" w:name="page28"/>
    <w:bookmarkEnd w:id="27"/>
    <w:p>
      <w:pPr>
        <w:jc w:val="both"/>
        <w:spacing w:after="0" w:line="280" w:lineRule="auto"/>
        <w:rPr>
          <w:sz w:val="20"/>
          <w:szCs w:val="20"/>
          <w:color w:val="auto"/>
        </w:rPr>
      </w:pPr>
      <w:r>
        <w:rPr>
          <w:rFonts w:ascii="Times New Roman" w:cs="Times New Roman" w:eastAsia="Times New Roman" w:hAnsi="Times New Roman"/>
          <w:sz w:val="16"/>
          <w:szCs w:val="16"/>
          <w:color w:val="auto"/>
        </w:rPr>
        <w:t>approximately $1.8 billion of estimated future revenue under master service and other service agreements included within our backlog estimate, which is not included within our remaining performance obligations for the same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 For additional information regarding the potential effects of economic, industry and market factors on our business, see Management’s Discussion and Analysis of Financial Condition and Results of Operations contained in our 2024 Form 10-K.</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1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For additional information regarding the effects of seasonality and the cyclical nature of our business, see Management’s Discussion and Analysis of Financial Condition and Results of Operations contained in our 2024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2024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w:t>
      </w:r>
    </w:p>
    <w:p>
      <w:pPr>
        <w:spacing w:after="0" w:line="2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connection with the changes to our Communications segment and Power Delivery segment structures in the first quarter of 2025, management performed a quantitative assessment of the goodwill associated with each of the impacted reporting units within the Communications and Power Delivery operating segments, respectively. For additional details of the changes and the related assessment, refer to Note 3 – Acquisitions, Goodwill and Other Intangible Assets, Net, in the notes to the consolidated financial statements, which is incorporated by reference.</w:t>
      </w:r>
    </w:p>
    <w:p>
      <w:pPr>
        <w:spacing w:after="0" w:line="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Other than the update to the reporting unit structure of our Communications and Power Delivery operating segments during the first quarter of 2025, as described above, there were no material changes in our critical accounting estimates or policies during the six months ended June 30,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Comparison of Consolidated Results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following tables, which may contain slight summation differences due to rounding, reflect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as appropriate, which are described in the comparison of results section below. Unless otherwise stated, comparisons are for the periods ended June 30, 2025 and 2024. Historical financial information for our reportable segments has been recast to conform with the changes described in Note 11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Segments and Related Information in the notes to the consolidated financial statements, which is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2"/>
        </w:trPr>
        <w:tc>
          <w:tcPr>
            <w:tcW w:w="6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 Compared to Three Months Ended June 30, 2024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40"/>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24"/>
                <w:szCs w:val="24"/>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36"/>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58.5 %</w:t>
            </w:r>
          </w:p>
        </w:tc>
      </w:tr>
      <w:tr>
        <w:trPr>
          <w:trHeight w:val="20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attributable to MasTec, Inc.</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152.3 %</w:t>
            </w:r>
          </w:p>
        </w:tc>
      </w:tr>
    </w:tbl>
    <w:p>
      <w:pPr>
        <w:spacing w:after="0" w:line="23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$584 million driven by our segment results as follows: revenue increased in our Communications segment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$246 million, or 42%, in our Clean Energy and Infrastructure segment by approximately $189 million, or 20%, and in our Power Delivery segment by approximately $177 million, or 20%, and decreased in our Pipeline Infrastructure segment by approximately $33 million, or 6%. See below for details of revenue by segment.</w:t>
      </w:r>
    </w:p>
    <w:p>
      <w:pPr>
        <w:spacing w:after="0" w:line="27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$501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and reduced productivity contributed an increase of approximately $68 million. Costs of revenue, excluding depreciation and amortization, as a percentage of revenue increased by approximately 190 basis points to 87.7% of revenue for the three months ended June 30, 2025 from 85.8% of revenue for the same period in 2024. The basis point increase was due to a combination of project mix and reduced project efficiencies, primarily within our Power Delivery and Pipeline Infrastructure segments, offset, in part, by improved productivity and efficiencies within our Clean Energy and Infrastructure segment.</w:t>
      </w:r>
    </w:p>
    <w:p>
      <w:pPr>
        <w:spacing w:after="0" w:line="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As a percentage of revenue, depreciation decreased by approximately 150 basis points, due primarily to a net reduction related to a change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depreciable lives of certain machinery and equipment during 2024 to better align the respective assets’ lives with their expected useful lives, offset, in part, by higher capital expenditures and the replacement of older machinery and equipment.</w:t>
      </w:r>
    </w:p>
    <w:p>
      <w:pPr>
        <w:spacing w:after="0" w:line="7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The decrease in amortization of intangible assets was due to a combination of the effects of timing of amortization for certain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the completion of amortization for certain intangible assets associated with prior year acquisitions. As a percentage of revenue, amortization of intangible assets decreased by approximately 20 basis points as compared with the same period in 2024 due, in part, to higher levels of revenue.</w:t>
      </w:r>
    </w:p>
    <w:p>
      <w:pPr>
        <w:spacing w:after="0" w:line="5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general and administrative expenses was primarily due to increases in various administrative costs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information technology and professional fees, and reductions in gains on sales of assets, net, offset, in part, by a reduction in other administrative expenses. Overall, general and administrative expenses decreased by approximately 70 basis points as a percentage of revenue for the three months ended June 30, 2025 as compared with the same period in 2024.</w:t>
      </w:r>
    </w:p>
    <w:p>
      <w:pPr>
        <w:spacing w:after="0" w:line="65"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decrease in interest expense, net, resulted primarily from lower average debt balances, and, to a lesser extent, lower average interest rates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variable rate debt, including our credit facility and term loans, which accounted for a reduction in interest expense of approximately $12 million, offset, in part, by an increase in interest expense of approximately $6 million from the June 2024 issuance of our 5.900% Senior Notes.</w:t>
      </w:r>
    </w:p>
    <w:p>
      <w:pPr>
        <w:spacing w:after="0" w:line="7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three months ended June 30, 2025 and 2024, equity in earnings from unconsolidated affiliates, net,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$7 million and $6 million, respectively, and related primarily to our investments in the Waha JVs.</w:t>
      </w:r>
    </w:p>
    <w:p>
      <w:pPr>
        <w:spacing w:after="0" w:line="48"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three months ended June 30, 2024 in connection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second quarter 2024 repayment of our 6.625% IEA Senior Notes and Three-Year Term Loan Facility.</w:t>
      </w:r>
    </w:p>
    <w:p>
      <w:pPr>
        <w:spacing w:after="0" w:line="3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net. </w:t>
      </w:r>
      <w:r>
        <w:rPr>
          <w:rFonts w:ascii="Times New Roman" w:cs="Times New Roman" w:eastAsia="Times New Roman" w:hAnsi="Times New Roman"/>
          <w:sz w:val="16"/>
          <w:szCs w:val="16"/>
          <w:color w:val="auto"/>
        </w:rPr>
        <w:t>For the three months ended June 30, 2025, other income, net, included approximately $5 million of income, net, from changes to estimated Earn-out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accruals, offset, in part, by approximately $3 million of expenses from the changes in the fair value of additional contingent payments to former owners of an acquired business. For the three months ended June 30, 2024, other income, net, included approximately $4 million of expense, net, from changes to estimated Earn-out accruals, offset by other miscellaneous income, net, including amounts from legal and other settlements.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9" w:name="page30"/>
    <w:bookmarkEnd w:id="29"/>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For the three months ended June 30, 2025, our effective tax rate was 25.4% as compared with 30.7% for the same period in 2024.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effective tax rate for the three months ended June 30, 2025, included an income tax benefit primarily due to the reversal of uncertain tax position liabilities related to a state audit, offset, in part, by pre-tax income, whereas for the three months ended June 30, 2024, our effective tax rate included the effect of a higher percentage of non-deductible expenses relative to pre-tax income.</w:t>
      </w:r>
    </w:p>
    <w:p>
      <w:pPr>
        <w:spacing w:after="0" w:line="7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$4 million for the three months ended June 30, 2025,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$10 million for the same period in 2024. The decrease was primarily attributable to the decrease in activity of certain entities within the Pipeline Infrastructure segment with minority interest holders.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2025 Compared to Six Months Ended June 30, 2024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41"/>
        </w:trPr>
        <w:tc>
          <w:tcPr>
            <w:tcW w:w="5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24"/>
                <w:szCs w:val="24"/>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6,392.4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5,645.8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80" w:type="dxa"/>
            <w:vAlign w:val="bottom"/>
          </w:tcPr>
          <w:p>
            <w:pPr>
              <w:spacing w:after="0"/>
              <w:rPr>
                <w:sz w:val="18"/>
                <w:szCs w:val="18"/>
                <w:color w:val="auto"/>
              </w:rPr>
            </w:pPr>
          </w:p>
        </w:tc>
        <w:tc>
          <w:tcPr>
            <w:tcW w:w="94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36"/>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230.0 %</w:t>
            </w:r>
          </w:p>
        </w:tc>
      </w:tr>
      <w:tr>
        <w:trPr>
          <w:trHeight w:val="207"/>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18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$744 million driven by our segment results as follows: revenue increased in our Communications segment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$421 million, or 38%, in our Clean Energy and Infrastructure segment by approximately $351 million, or 21%, and in our Power Delivery segment by approximately $279 million, or 17%, and decreased in our Pipeline Infrastructure segment by approximately $310 million, or 26%. See below for details of revenue by segment.</w:t>
      </w:r>
    </w:p>
    <w:p>
      <w:pPr>
        <w:spacing w:after="0" w:line="65"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$649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depreciation and amortization, and reduced productivity contributed an increase of approximately $77 million. Costs of revenue, excluding depreciation and amortization, as a percentage of revenue increased by approximately 120 basis points to 88.3% of revenue for the six months ended June 30, 2025 from 87.1% of revenue for the same period in 2024. The basis point increase was due to a combination of project mix and reduced project efficiencies, primarily within our Power Delivery and Pipeline Infrastructure segments, offset, in part, by improved productivity and efficiencies within our Clean Energy and Infrastructure segment.</w:t>
      </w:r>
    </w:p>
    <w:p>
      <w:pPr>
        <w:spacing w:after="0" w:line="64"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As a percentage of revenue, depreciation decreased by approximately 140 basis points, due primarily to a net reduction related to a change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depreciable lives of certain machinery and equipment during 2024 to better align the respective assets’ lives with their expected useful lives, offset, in part, by higher capital expenditures and the replacement of older machinery and equipment.</w:t>
      </w:r>
    </w:p>
    <w:p>
      <w:pPr>
        <w:spacing w:after="0" w:line="56"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The decrease in amortization of intangible assets was due to a combination of the effects of timing of amortization for certain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the completion of amortization for certain intangible assets associated with prior year acquisitions. As a percentage of revenue, amortization of intangible assets decreased by approximately 20 basis points as compared with the same period in 2024 due, in part, to higher levels of revenue.</w:t>
      </w:r>
    </w:p>
    <w:p>
      <w:pPr>
        <w:spacing w:after="0" w:line="56"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general and administrative expenses was primarily due to the effects of timing of ordinary course legal matters,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 increase in various administrative costs, including information technology, compensation and professional fees, and a decrease in gains on sales of assets, net, offset, in part, by the reduction in other administrative expenses and the effects of recoveries of provisions for credit losses. Overall, general and administrative expenses decreased by approximately 50 basis points as a percentage of revenue for the six months ended June 30, 2025 as compared with the same period in 2024.</w:t>
      </w:r>
    </w:p>
    <w:p>
      <w:pPr>
        <w:spacing w:after="0" w:line="60"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decrease in interest expense, net, resulted primarily from lower average debt balances, and, to a lesser extent, lower average interest rates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variable rate debt, including our credit facility and term loans, which accounted for a reduction in interest expense of approximately $31 million, offset, in part, by an increase in interest expense of approximately $14 million from the June 2024 issuance of our 5.900% Senior Notes.</w:t>
      </w:r>
    </w:p>
    <w:p>
      <w:pPr>
        <w:spacing w:after="0" w:line="56"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net. </w:t>
      </w:r>
      <w:r>
        <w:rPr>
          <w:rFonts w:ascii="Times New Roman" w:cs="Times New Roman" w:eastAsia="Times New Roman" w:hAnsi="Times New Roman"/>
          <w:sz w:val="16"/>
          <w:szCs w:val="16"/>
          <w:color w:val="auto"/>
        </w:rPr>
        <w:t>For the six months ended June 30, 2025 and 2024, equity in earnings from unconsolidated affiliates, net,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$17 million and $15 million, respectively, and related primarily to our investments in the Waha JVs.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six months ended June 30, 2024 in connection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second quarter 2024 repayment of our 6.625% IEA Senior Notes and Three-Year Term Loan Facility.</w:t>
      </w:r>
    </w:p>
    <w:p>
      <w:pPr>
        <w:spacing w:after="0" w:line="61"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expense, net. </w:t>
      </w:r>
      <w:r>
        <w:rPr>
          <w:rFonts w:ascii="Times New Roman" w:cs="Times New Roman" w:eastAsia="Times New Roman" w:hAnsi="Times New Roman"/>
          <w:sz w:val="16"/>
          <w:szCs w:val="16"/>
          <w:color w:val="auto"/>
        </w:rPr>
        <w:t>For the six months ended June 30, 2025, other income, net, included approximately $4 million of income, from changes to estimated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Earn-out accruals, and $2 million of other miscellaneous income, net, offset, in part, by approximately $2 million of expense, net, from the changes in the fair value of additional contingent payments to former owners of an acquired business. For the six months ended June 30, 2024, other expense, net, included approximately $2 million of income, net, from changes to estimated Earn-out accruals, approximately $10 million of asset impairment and other valuation adjustments related to certain fixed assets and approximately $6 million of other miscellaneous income, net, including amounts from legal and other settlements.</w:t>
      </w:r>
    </w:p>
    <w:p>
      <w:pPr>
        <w:spacing w:after="0" w:line="83"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income taxes. </w:t>
      </w:r>
      <w:r>
        <w:rPr>
          <w:rFonts w:ascii="Times New Roman" w:cs="Times New Roman" w:eastAsia="Times New Roman" w:hAnsi="Times New Roman"/>
          <w:sz w:val="16"/>
          <w:szCs w:val="16"/>
          <w:color w:val="auto"/>
        </w:rPr>
        <w:t>For the six months ended June 30, 2025, our effective tax rate was 21.0% as compared with 47.0% for the same period in 2024.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effective tax rate for the six months ended June 30, 2025, included an income tax benefit primarily due to the reversal of uncertain tax position liabilities related to a state audit, offset, in part, by pre-tax income, whereas for the six months ended June 30, 2024, our effective tax rate included the effect of a higher percentage of non-deductible expenses relative to pre-tax income.</w:t>
      </w:r>
    </w:p>
    <w:p>
      <w:pPr>
        <w:spacing w:after="0" w:line="65"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$7 million for the six months ended June 30, 2025,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$17 million for the same period in 2024. The decrease was primarily attributable to the decrease in activity of certain entities within the Pipeline Infrastructure segment with minority interest holders.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Analysis of Revenue and EBITDA by Segment</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11 – Segments and Related Information in the notes to the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Historical financial information for our reportable segments has been recast to conform with the changes described in Note 11 – Segments and Related Information in the notes to the consolidated financial statements, which is incorporated by reference. The following tables, which may contain slight summation differences due to rounding, present revenue, EBITDA and EBITDA margin by segment for the periods indicated (dollar amounts in millions).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June 30, 2025 Compared to Three Months Ended June 30,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12"/>
          </w:tcPr>
          <w:p>
            <w:pPr>
              <w:ind w:left="44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3"/>
                <w:szCs w:val="13"/>
                <w:color w:val="auto"/>
              </w:rPr>
            </w:pPr>
          </w:p>
        </w:tc>
        <w:tc>
          <w:tcPr>
            <w:tcW w:w="9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7"/>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0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99"/>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ind w:left="340"/>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2024 </w:t>
            </w:r>
            <w:r>
              <w:rPr>
                <w:rFonts w:ascii="Times New Roman" w:cs="Times New Roman" w:eastAsia="Times New Roman" w:hAnsi="Times New Roman"/>
                <w:sz w:val="21"/>
                <w:szCs w:val="21"/>
                <w:color w:val="auto"/>
                <w:w w:val="93"/>
                <w:vertAlign w:val="superscript"/>
              </w:rPr>
              <w:t>(a)</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ind w:left="340" w:hanging="332"/>
        <w:spacing w:after="0" w:line="302" w:lineRule="auto"/>
        <w:tabs>
          <w:tab w:leader="none" w:pos="36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11 – Segments and Related Information in the notes to the consolidated financial statements, which is incorporated by reference,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13"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in revenue was driven primarily by higher levels of wireless and wireline project activity due, in part, to increased customer demand, offset,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 part, by a decrease in our install-to-the-home project activity due, in part, to changes in consumer behavior resulting in lower demand.</w:t>
      </w:r>
    </w:p>
    <w:p>
      <w:pPr>
        <w:spacing w:after="0" w:line="35"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90 basis points, or $7 million, due to improved efficiencies, including from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and wireline businesses. Higher levels of revenue resulted in an increase in EBITDA of approximately $22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primarily in our renewable and heavy civil projects.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230 basis points, or $26 million, due to a combination of project mix, the positive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effects of certain renewable project close-outs, and improved productivity and efficiencies, primarily from certain renewable and infrastructure project work. Higher levels of revenue resulted in an increase in EBITDA of approximately $10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including timing-related increases in transmission and distribution-related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work.</w:t>
      </w:r>
    </w:p>
    <w:p>
      <w:pPr>
        <w:spacing w:after="0" w:line="4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50 basis points, or $5 million, primarily due to reduced efficiencies at certain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sites, whereas higher levels of revenue resulted in an increase in EBITDA of approximately $16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decrease in revenue was due primarily to expected lower levels of project activity, including from large-diameter and midstream project activity,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offset, in part, by an increase in other infrastructure-related work.</w:t>
      </w:r>
    </w:p>
    <w:p>
      <w:pPr>
        <w:spacing w:after="0" w:line="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1,210 basis points, or $65 million, due primarily to reduced efficiencies,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a reduction in revenue on large-diameter pipeline projects, as well as the effects of project mix. Lower levels of revenue contributed a decrease in EBITDA of approximately $8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EBITDA from Other businesses relates primarily to equity in earnings from our investments in the Waha JVs.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three months ended June 30, 2025, Corporate EBITDA included approximately $5 million of income, net, from changes to estimated Earn-out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accruals and approximately $3 million of expense, net, from the changes in the fair value of additional contingent payments to former owners of an acquired business. For the three months ended June 30, 2024, Corporate EBITDA included approximately $11 million of a loss on extinguishment of debt and $4 million of expense, net, from changes to estimated Earn-out accruals. Corporate expenses for the three months ended June 30, 2025 not related to the above-described items increased by approximately $7 million as compared with the same period in 2024, due primarily to increases in compensation and other administrative expenses, which were largely offset by a reduction in other miscellaneous income, net, and the effects of timing of ordinary course legal and other settlement matters.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Six Months Ended June 30, 2025 Compared to Six Months Ended June 30,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2"/>
          </w:tcPr>
          <w:p>
            <w:pPr>
              <w:ind w:left="460"/>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5"/>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260" w:type="dxa"/>
            <w:vAlign w:val="bottom"/>
          </w:tcPr>
          <w:p>
            <w:pPr>
              <w:spacing w:after="0"/>
              <w:rPr>
                <w:sz w:val="13"/>
                <w:szCs w:val="13"/>
                <w:color w:val="auto"/>
              </w:rPr>
            </w:pPr>
          </w:p>
        </w:tc>
        <w:tc>
          <w:tcPr>
            <w:tcW w:w="9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7"/>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9"/>
              <w:spacing w:after="0" w:line="213" w:lineRule="exact"/>
              <w:rPr>
                <w:sz w:val="20"/>
                <w:szCs w:val="20"/>
                <w:color w:val="auto"/>
              </w:rPr>
            </w:pPr>
            <w:r>
              <w:rPr>
                <w:rFonts w:ascii="Times New Roman" w:cs="Times New Roman" w:eastAsia="Times New Roman" w:hAnsi="Times New Roman"/>
                <w:sz w:val="16"/>
                <w:szCs w:val="16"/>
                <w:b w:val="1"/>
                <w:bCs w:val="1"/>
                <w:color w:val="auto"/>
                <w:w w:val="96"/>
              </w:rPr>
              <w:t xml:space="preserve">2024 </w:t>
            </w:r>
            <w:r>
              <w:rPr>
                <w:rFonts w:ascii="Times New Roman" w:cs="Times New Roman" w:eastAsia="Times New Roman" w:hAnsi="Times New Roman"/>
                <w:sz w:val="21"/>
                <w:szCs w:val="21"/>
                <w:color w:val="auto"/>
                <w:w w:val="96"/>
                <w:vertAlign w:val="superscript"/>
              </w:rPr>
              <w:t>(a)</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ind w:left="360"/>
              <w:spacing w:after="0" w:line="213" w:lineRule="exact"/>
              <w:rPr>
                <w:sz w:val="20"/>
                <w:szCs w:val="20"/>
                <w:color w:val="auto"/>
              </w:rPr>
            </w:pPr>
            <w:r>
              <w:rPr>
                <w:rFonts w:ascii="Times New Roman" w:cs="Times New Roman" w:eastAsia="Times New Roman" w:hAnsi="Times New Roman"/>
                <w:sz w:val="16"/>
                <w:szCs w:val="16"/>
                <w:b w:val="1"/>
                <w:bCs w:val="1"/>
                <w:color w:val="auto"/>
                <w:w w:val="93"/>
              </w:rPr>
              <w:t xml:space="preserve">2024 </w:t>
            </w:r>
            <w:r>
              <w:rPr>
                <w:rFonts w:ascii="Times New Roman" w:cs="Times New Roman" w:eastAsia="Times New Roman" w:hAnsi="Times New Roman"/>
                <w:sz w:val="21"/>
                <w:szCs w:val="21"/>
                <w:color w:val="auto"/>
                <w:w w:val="93"/>
                <w:vertAlign w:val="superscript"/>
              </w:rPr>
              <w:t>(a)</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107.0 %</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42" w:lineRule="exact"/>
        <w:rPr>
          <w:sz w:val="20"/>
          <w:szCs w:val="20"/>
          <w:color w:val="auto"/>
        </w:rPr>
      </w:pPr>
    </w:p>
    <w:p>
      <w:pPr>
        <w:ind w:left="340" w:hanging="332"/>
        <w:spacing w:after="0" w:line="302" w:lineRule="auto"/>
        <w:tabs>
          <w:tab w:leader="none" w:pos="36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11 – Segments and Related Information in the notes to the consolidated financial statements, which is incorporated by reference,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13"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in revenue was driven primarily by higher levels of wireless and wireline project activity due, in part, to increased demand, offset, in part,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a decrease in our install-to-the-home project activity due, in part, to changes in consumer behavior resulting in lower demand.</w:t>
      </w:r>
    </w:p>
    <w:p>
      <w:pPr>
        <w:spacing w:after="0" w:line="35" w:lineRule="exact"/>
        <w:rPr>
          <w:sz w:val="20"/>
          <w:szCs w:val="20"/>
          <w:color w:val="auto"/>
        </w:rPr>
      </w:pPr>
    </w:p>
    <w:p>
      <w:pPr>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130 basis points, or $20 million, due to improved efficiencies, including from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and wireline businesses. Higher levels of revenue resulted in an increase in EBITDA of approximately $30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and mix, primarily in our renewable and heavy civil projects.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290 basis points, or $59 million, due to a combination of project mix, the positive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effects of certain renewable project close-outs, and improved productivity and efficiencies, primarily from certain renewable and infrastructure project work. Higher levels of revenue resulted in an increase in EBITDA of approximately $14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in revenue was due primarily to higher levels of project activity, including timing-related increases in transmission and distribution-related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work.</w:t>
      </w:r>
    </w:p>
    <w:p>
      <w:pPr>
        <w:spacing w:after="0" w:line="4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50 basis points, or $10 million, primarily due to reduced efficiencies at certain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project sites, whereas higher levels of revenue resulted in an increase in EBITDA of approximately $22 million.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decrease in revenue was due primarily to expected lower levels of project activity, including from large-diameter and midstream project activity,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offset, in part, by an increase in other infrastructure-related work.</w:t>
      </w:r>
    </w:p>
    <w:p>
      <w:pPr>
        <w:spacing w:after="0" w:line="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700 basis points, or $63 million, due primarily to reduced efficiencies, including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reduction in revenue on large-diameter pipeline projects, as well as the effects of project mix. Lower levels of revenue contributed a decrease in EBITDA of approximately $59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EBITDA from Other businesses relates primarily to equity in earnings from our investments in the Waha JVs.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six months ended June 30, 2025, Corporate EBITDA included approximately $4 million of income, net, from changes to estimated Earn-out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accruals and approximately $2 million of expense, net, from the changes in the fair value of additional contingent payments to former owners of an acquired business. For the six months ended June 30, 2024, Corporate EBITDA included approximately $11 million of a loss on extinguishment of debt and $2 million of income, net, from changes to estimated Earn-out accruals. Corporate expenses for the six months ended June 30, 2025 not related to the above-described items increased by approximately $3 million as compared with the same period in 2024, due primarily to increases in compensation expense and other administrative expenses, which were largely offset by reductions in the effects of timing of ordinary course legal and other settlement matters.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1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loss on extinguishment of debt and changes in fair value of acquisition-related contingent items, as more fully described below; and, for Adjusted Net Income, Adjusted Net Income Attributable to MasTec, Inc.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w:t>
      </w:r>
    </w:p>
    <w:p>
      <w:pPr>
        <w:spacing w:after="0" w:line="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Non-cash stock-based compensation expense can be subject to volatility from changes in the market price per share of our common stock or variations in the value and number of shares granted. We also exclude intangible asset amortization and the effects of changes in fair value of acquisition-related contingent items from our non-U.S. GAAP financial measures due to their non-operational nature and inherent volatility, as activity, including from acquisitions, varies from period to period. Note that while intangible asset amortization related to the assets of acquired entities is excluded from our non-U.S. GAAP financial measures, the revenue and all other expenses of the acquired entities are included within our non-U.S. GAAP financial measures, unless otherwise stated.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are contingent upon the post-acquisition collections of certain receivables. We believe that this presentation is common practice within our industry and improves comparability of our results with those of our peers.</w:t>
      </w:r>
    </w:p>
    <w:p>
      <w:pPr>
        <w:spacing w:after="0" w:line="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(loss) per share, and should be viewed in conjunction with the most comparable U.S. GAAP financial measures and the provided reconciliations thereto. We believe these non-U.S. GAAP financial measures, when viewed together with our U.S. GAAP results and related reconciliations,</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3" w:name="page34"/>
    <w:bookmarkEnd w:id="33"/>
    <w:p>
      <w:pPr>
        <w:spacing w:after="0" w:line="280" w:lineRule="auto"/>
        <w:rPr>
          <w:sz w:val="20"/>
          <w:szCs w:val="20"/>
          <w:color w:val="auto"/>
        </w:rPr>
      </w:pPr>
      <w:r>
        <w:rPr>
          <w:rFonts w:ascii="Times New Roman" w:cs="Times New Roman" w:eastAsia="Times New Roman" w:hAnsi="Times New Roman"/>
          <w:sz w:val="16"/>
          <w:szCs w:val="16"/>
          <w:color w:val="auto"/>
        </w:rPr>
        <w:t>provide a more complete understanding of our business. We strongly encourage investors to review our consolidated financial statements and publicly filed reports in their entirety and not rely on any single financial measure.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(dollar amounts in millions) may contain slight summation differences due to rounding.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4"/>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7"/>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12"/>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4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9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4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4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2024 </w:t>
            </w:r>
            <w:r>
              <w:rPr>
                <w:rFonts w:ascii="Times New Roman" w:cs="Times New Roman" w:eastAsia="Times New Roman" w:hAnsi="Times New Roman"/>
                <w:sz w:val="21"/>
                <w:szCs w:val="21"/>
                <w:color w:val="auto"/>
                <w:vertAlign w:val="superscript"/>
              </w:rPr>
              <w:t>(a)</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(b)</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16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(b)</w:t>
            </w:r>
          </w:p>
        </w:tc>
        <w:tc>
          <w:tcPr>
            <w:tcW w:w="200" w:type="dxa"/>
            <w:vAlign w:val="bottom"/>
          </w:tcPr>
          <w:p>
            <w:pPr>
              <w:spacing w:after="0"/>
              <w:rPr>
                <w:sz w:val="9"/>
                <w:szCs w:val="9"/>
                <w:color w:val="auto"/>
              </w:rPr>
            </w:pPr>
          </w:p>
        </w:tc>
        <w:tc>
          <w:tcPr>
            <w:tcW w:w="5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54"/>
        </w:trPr>
        <w:tc>
          <w:tcPr>
            <w:tcW w:w="4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19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rPr>
                <w:sz w:val="1"/>
                <w:szCs w:val="1"/>
                <w:color w:val="auto"/>
              </w:rPr>
            </w:pPr>
          </w:p>
        </w:tc>
      </w:tr>
      <w:tr>
        <w:trPr>
          <w:trHeight w:val="21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Pipeline Infrastructure</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Total</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10.8 %</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534.3</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55" w:lineRule="exact"/>
        <w:rPr>
          <w:sz w:val="20"/>
          <w:szCs w:val="20"/>
          <w:color w:val="auto"/>
        </w:rPr>
      </w:pPr>
    </w:p>
    <w:p>
      <w:pPr>
        <w:ind w:left="340" w:hanging="332"/>
        <w:spacing w:after="0" w:line="281" w:lineRule="auto"/>
        <w:tabs>
          <w:tab w:leader="none" w:pos="36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Recast to reflect first quarter of 2025 segment changes. See Note 11 – Segments and Related Information in the notes to the consolidated financial statements, which is incorporated by reference, for additional information.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loss on extinguishment of debt and changes in fair value of acquisition-related contingent items are included within Corporate EBITDA.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ind w:firstLine="648"/>
        <w:spacing w:after="0" w:line="260" w:lineRule="auto"/>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(loss) per share, the most directly comparable U.S. GAAP financial measures, to Adjusted Net Income, Adjusted Net Income Attributable to MasTec, Inc. and Adjusted Diluted Earnings Per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82"/>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r>
      <w:tr>
        <w:trPr>
          <w:trHeight w:val="209"/>
        </w:trPr>
        <w:tc>
          <w:tcPr>
            <w:tcW w:w="6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5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496"/>
        </w:trPr>
        <w:tc>
          <w:tcPr>
            <w:tcW w:w="6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24"/>
                <w:szCs w:val="24"/>
                <w:color w:val="auto"/>
              </w:rPr>
            </w:pPr>
          </w:p>
        </w:tc>
        <w:tc>
          <w:tcPr>
            <w:tcW w:w="20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13"/>
        </w:trPr>
        <w:tc>
          <w:tcPr>
            <w:tcW w:w="6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57"/>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0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r>
    </w:tbl>
    <w:p>
      <w:pPr>
        <w:spacing w:after="0" w:line="112" w:lineRule="exact"/>
        <w:rPr>
          <w:sz w:val="20"/>
          <w:szCs w:val="20"/>
          <w:color w:val="auto"/>
        </w:rPr>
      </w:pPr>
    </w:p>
    <w:p>
      <w:pPr>
        <w:jc w:val="both"/>
        <w:ind w:left="340" w:hanging="332"/>
        <w:spacing w:after="0" w:line="265" w:lineRule="auto"/>
        <w:tabs>
          <w:tab w:leader="none" w:pos="33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months ended June 30, 2025 and 2024, our consolidated tax amounts were expenses, with effective tax rates, as reported, of 25.4% and 30.7%, respectively, and as adjusted, were expenses, with effective tax rates of 24.6% and 25.5%, respectively. For the six months ended June 30, 2025 and 2024, our consolidated tax amounts were expenses, with effective tax rates, as reported, of 21.0% and 47.0%, respectively, and as adjusted, were expenses, with effective tax rates of 21.8% and 27.1%, respectively. See Note 10 – Income Taxes in the notes to the consolidated financial statements, which is incorporated by reference, for additional information regarding our consolidated tax amounts and effective tax rates for the respective periods.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six months ended June 30, 2025, we spent approximately $111 million on capital expenditures, or $84 million, net of asset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disposals, and incurred approximately $132 million of equipment purchases under finance leases and other financing arrangements. We estimate that we will spend approximately $190 million on capital expenditures, or approximately $140 million, net of asset disposals, in 2025, and we expect to incur approximately $185 million to $210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spacing w:after="0" w:line="68"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Acquisitions and Earn-Out Liabilities. </w:t>
      </w:r>
      <w:r>
        <w:rPr>
          <w:rFonts w:ascii="Times New Roman" w:cs="Times New Roman" w:eastAsia="Times New Roman" w:hAnsi="Times New Roman"/>
          <w:sz w:val="16"/>
          <w:szCs w:val="16"/>
          <w:color w:val="auto"/>
        </w:rPr>
        <w:t>We typically utilize cash for business acquisitions and other strategic arrangements. In addition, in most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acquisitions, we have agreed to make future payments to the sellers that are contingent upon the future earnings performance of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jc w:val="both"/>
        <w:spacing w:after="0" w:line="263" w:lineRule="auto"/>
        <w:rPr>
          <w:sz w:val="20"/>
          <w:szCs w:val="20"/>
          <w:color w:val="auto"/>
        </w:rPr>
      </w:pPr>
      <w:r>
        <w:rPr>
          <w:rFonts w:ascii="Times New Roman" w:cs="Times New Roman" w:eastAsia="Times New Roman" w:hAnsi="Times New Roman"/>
          <w:sz w:val="16"/>
          <w:szCs w:val="16"/>
          <w:color w:val="auto"/>
        </w:rPr>
        <w:t>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June 30, 2025 was approximately $90 million. Of this amount, approximately $38 million represents the liability for earned amounts. The remainder is management’s estimate of Earn-out liabilities that are contingent upon future performance. For the six months ended June 30, 2025 and 2024, payments related to our Earn-out liabilities totaled $19 million and $5 million, respectively.</w:t>
      </w:r>
    </w:p>
    <w:p>
      <w:pPr>
        <w:spacing w:after="0" w:line="6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For the six months ended June 30, 2025 and 2024, tax payments, net of tax refunds totaled approximately $34 million and $45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Our tax payments vary with changes in taxable income and earnings based on estimates of full year taxable income activity and estimated tax rates.</w:t>
      </w:r>
    </w:p>
    <w:p>
      <w:pPr>
        <w:spacing w:after="0" w:line="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June 30, 2025,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$3.2 billion as of June 30, 2025 as compared with $2.9 billion as of December 31, 2024, due primarily to higher levels of revenue, as well as the timing of project billings and collections. See below for discussion of our days sales outstanding, net of contract liabilities, which we refer to as days sales outstanding, or “DSO.”</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45 days. Our agreements with subcontractors often contain a “pay-if-paid” provision, whereby our payments are contractually due to subcontractors only after we are paid by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Cash</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June 30, 2025, we had approximately $679 million in working capital, defined as current assets less current liabilities, as compared with $653 million as of December 31, 2024, an increase of approximately $27 million. Cash and cash equivalents totaled approximately $191 million and $400 million as of June 30, 2025 and December 31, 2024, respectively, for a decrease of $209 million. See discussion below for further detail regarding our cash flows and related activity.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41"/>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w:t>
            </w:r>
          </w:p>
        </w:tc>
      </w:tr>
      <w:tr>
        <w:trPr>
          <w:trHeight w:val="213"/>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1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w:t>
            </w:r>
          </w:p>
        </w:tc>
      </w:tr>
    </w:tbl>
    <w:p>
      <w:pPr>
        <w:spacing w:after="0" w:line="2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was $84 million as compared to $372 million for the six months ended June 30, 2025 and 2024, respectively, for a decrease in net cash provided by operating activities of approximately $288 million. The decrease was due, in part, to the effect of net decreases in expenses that reconcile net income to operating cash flows, including a decrease in depreciation expense, changes 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jc w:val="both"/>
        <w:spacing w:after="0" w:line="272" w:lineRule="auto"/>
        <w:rPr>
          <w:sz w:val="20"/>
          <w:szCs w:val="20"/>
          <w:color w:val="auto"/>
        </w:rPr>
      </w:pPr>
      <w:r>
        <w:rPr>
          <w:rFonts w:ascii="Times New Roman" w:cs="Times New Roman" w:eastAsia="Times New Roman" w:hAnsi="Times New Roman"/>
          <w:sz w:val="16"/>
          <w:szCs w:val="16"/>
          <w:color w:val="auto"/>
        </w:rPr>
        <w:t>working capital compared with the prior period, including from the negative effect of timing-related changes in accounts receivable, net, primarily driven by higher levels of revenue and an increase in DSO, and contract liabilities, offset, in part, by the positive effect of timing-related changes in accounts payable and accrued expenses, and an increase in net income as compared with the prior period.</w:t>
      </w:r>
    </w:p>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65 as of June 30, 2025 as compared with DSO of 60 as of December 31, 2024.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increase in DSO as of June 30, 2025 as compared with December 31, 2024 was due to timing of ordinary course billing and collection activities.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2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was $87 million as compared to $24 million for the six months ended June 30, 2025 and 2024,</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respectively, for an increase of $62 million. Capital expenditures totaled $111 million, or $84 million, net of asset disposals, for the six months ended June 30, 2025, as compared with $57 million, or $26 million, net of asset disposals, for the same period in 2024, for an increase in cash used in investing activities of approximately $59 million, due primarily to timing of equipment purchases, as well as an expected increase in capital expenditures in 2025.</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six months ended June 30, 2025 was $207 million, as compared to $579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period in 2024, for a decrease in cash used in financing activities of approximately $372 million. The decrease was primarily due to repayments, net of borrowings, of our credit facility and term loans, which decreased by $809 million for the six months ended June 30, 2025 as compared with the same period in 2024. The decrease in cash used in financing activities from above was offset, in part, by an increase in net proceeds of Senior Notes in the six months ended June 30, 2024 of $346 million, consisting of $550 million in proceeds from our 5.900% Senior Notes and $204 million of repayments made on our 6.625% Senior Notes. Share repurchases totaled approximately $77 million for the six months ended June 30, 2025, whereas there were no share repurchases for the same period in 2024. Additionally, payments of acquisition-related contingent consideration included within financing activities increased by $9 million. Total payments of acquisition-related contingent consideration, including payments in excess of acquisition-date liabilities, which are classified within operating activities, totaled $19 million for the six months ended June 30, 2025 as compared with $5 million for the same period in 2024.</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212529"/>
        </w:rPr>
        <w:t xml:space="preserve">On </w:t>
      </w:r>
      <w:r>
        <w:rPr>
          <w:rFonts w:ascii="Times New Roman" w:cs="Times New Roman" w:eastAsia="Times New Roman" w:hAnsi="Times New Roman"/>
          <w:sz w:val="16"/>
          <w:szCs w:val="16"/>
          <w:color w:val="000000"/>
        </w:rPr>
        <w:t>June 26, 2025, we amended and restated our senior unsecured credit facility (the “Credit Facility”), which matures on June 26, 2030 and is composed of $1.9</w:t>
      </w:r>
      <w:r>
        <w:rPr>
          <w:rFonts w:ascii="Times New Roman" w:cs="Times New Roman" w:eastAsia="Times New Roman" w:hAnsi="Times New Roman"/>
          <w:sz w:val="16"/>
          <w:szCs w:val="16"/>
          <w:color w:val="212529"/>
        </w:rPr>
        <w:t xml:space="preserve"> </w:t>
      </w:r>
      <w:r>
        <w:rPr>
          <w:rFonts w:ascii="Times New Roman" w:cs="Times New Roman" w:eastAsia="Times New Roman" w:hAnsi="Times New Roman"/>
          <w:sz w:val="16"/>
          <w:szCs w:val="16"/>
          <w:color w:val="000000"/>
        </w:rPr>
        <w:t>billion of revolving commitments. As of June 30, 2025, aggregate outstanding revolving borrowings totaled approximately $47 million and availability for revolving loans totaled $1,833 million.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6 – Debt in the notes to the consolidated financial statements, which is incorporated by reference.</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senior notes include $600 million aggregate principal amount of 4.500% senior unsecured notes due August 15, 2028 (the “4.500% Senior Notes”), $550 million aggregate principal amount of 5.900% senior unsecured notes due June 15, 2029 (the “5.900% Senior Notes”) and $75 million aggregate principal amount of 6.625% senior unsecured notes due August 15, 2029 (the “6.625% Senior Notes”). Our senior notes are subject to certain provisions and covenants, as more fully described in Note 7 – Debt in the notes to the audited consolidated financial statements included in our 2024 Form 10-K.</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2025 Term Loan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June 26, 2025, we entered into a new $600 million senior unsecured term loan agreement (the “2025 Term Loan Facility”) which matures on June 26, 2028 and the loans thereunder are not subject to amortization. We used the proceeds from the 2025 Term Loan Facility, together with available cash, to repay the $328.1 million term loan under our Existing Credit Agreement and the remaining $277.5 million of our Five-Year Term Loan that would otherwise have matured on October 7, 2027. The 2025 Term Loan Facility is subject to certain provisions and covenants, as more fully described in Note 6 – Debt in the notes to the consolidated financial statements, which is incorporated by reference.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June 30, 2025, and we expect to be in compliance with these provisions and covenants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see Note 7 – Debt in the notes to the audited consolidated financial statements included in our 2024 Form 10-K. Also, see Note 6 – Debt in the notes to the consolidated financial statements in this Form 10-Q, which is incorporated by reference, for current period balances, rates of interest and related discussion.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12 – Commitments and Contingencies and Note 13 – Related Party Transactions in the notes to the consolidated financial statements in this Form 10-Q, which are incorporated by reference, and see Management’s Discussion and Analysis of Financial Condition and Results of Operations contained in our 2024 Form 10-K for additional information related to our off-balance sheet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Over the past years, inflation, supply chain and labor constraints have had a significant impact on the global economy, including on the construction industry in the United States. As described above under “General Economic, Market and Regulatory Conditions,” there continues to be uncertainty as to the Federal Reserve’s future actions caused by dynamic market and trade conditions, as well as continuing concerns regarding the rate of inflation and employment levels. In light of these conditions, we expect elevated market interest rates and continuing levels of cost inflation due, in part, to trade actions described above under “General Economic, Market and Regulatory Conditions,” for the foreseeable future. Elevated levels of labor, material and fuel costs have negatively affected our project margins to the extent that we have been unable to pass such cost increases along to our customers. If inflationary pressures persist, our profitability could continue to be affected in the future. Market and economic volatility and/or uncertainty can also affect our customers’ investment decisions and subject us to project cancellations, deferrals or unexpected changes in the timing of project work.</w:t>
      </w:r>
    </w:p>
    <w:p>
      <w:pPr>
        <w:spacing w:after="0" w:line="2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inflationary factors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 For additional information regarding the effects of inflation on our business, see Management’s Discussion and Analysis of Financial Condition and Results of Operations contained in our 2024 Form 10-K.</w:t>
      </w:r>
    </w:p>
    <w:p>
      <w:pPr>
        <w:spacing w:after="0" w:line="177" w:lineRule="exact"/>
        <w:rPr>
          <w:sz w:val="20"/>
          <w:szCs w:val="20"/>
          <w:color w:val="auto"/>
        </w:rPr>
      </w:pPr>
    </w:p>
    <w:p>
      <w:pPr>
        <w:ind w:right="4660"/>
        <w:spacing w:after="0" w:line="397" w:lineRule="auto"/>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interest expense is affected by the prevailing interest rate environment. While the cost of our variable debt fluctuates with changes in market interest rates, the interest on our fixed rate debt is unaffected by such changes. We manage interest rate risk by maintaining a mix of fixed and variable rate debt obligations. As of June 30, 2025, our variable interest rate debt was primarily related to our Credit Facility and 2025 Term Loan Facility. As of June 30, 2025, we had approximately $47 million of revolving loans outstanding under our Credit Facility with a weighted average interest rate of 4.00% and a $600 million 2025 Term Loan Facility with a weighted average interest rate of 5.446%.</w:t>
      </w:r>
    </w:p>
    <w:p>
      <w:pPr>
        <w:spacing w:after="0" w:line="72"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An additional 100 basis point increase in the applicable interest rates under our Credit Facility and 2025 Term Loan Facility would have increased our interest expense by approximately $4 million for the six months ended June 30, 2025.</w:t>
      </w:r>
    </w:p>
    <w:p>
      <w:pPr>
        <w:spacing w:after="0" w:line="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June 30, 2025, our fixed interest rate debt primarily included $600 million aggregate principal amount of 4.500% Senior Notes, $550 million aggregate principal amount of 5.900% Senior Notes, $75 million aggregate principal amount of 6.625% Senior Notes and $333 million of finance lease obligations, which accrued interest at a weighted average interest rate of approximately 4.7%. None of this debt subjects us to financial statement risk associated with changes in interest rates, but we may be subject to changes in interest rates if and when we refinance this debt at maturity or otherwise.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1% of our total revenue for the six months ended June 30, 2025.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six months ended June 30, 2025. Translation gains or losses, which are recorded in other comprehensive income or loss, result from translation of the assets and liabilities of our foreign subsidiaries into U.S. dollars. For the six months ended June 30, 2025, foreign currency translation gains, net, totaled approximately $5 million and related primarily to our activities in Canada and Mexico.</w:t>
      </w:r>
    </w:p>
    <w:p>
      <w:pPr>
        <w:spacing w:after="0" w:line="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2025. We may enter into foreign currency derivative contracts in the future to manage such exposure.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Quarterly Report on Form 10-Q, our management,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8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Based on management’s evaluation, our Chief Executive Officer and Chief Financial Officer concluded that our disclosure controls and procedures were effective at the reasonable assurance level as of June 30, 2025.</w:t>
      </w:r>
    </w:p>
    <w:p>
      <w:pPr>
        <w:spacing w:after="0" w:line="5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There have been no changes in the Company’s internal control over financial reporting during the quarter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June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LEGAL PROCEEDINGS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 xml:space="preserve">Refer to Note 12 – Commitments and Contingencies in the notes to our consolidated financial statements included in this Quarterly Report on Form 10-Q, which is incorporated by reference in this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for a discussion of any recent material developments related to our legal proceedings since the filing of our 2024 Form 10-K.</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business is subject to a variety of risks and uncertainties. Except as set forth below, there have been no material changes to either the cautionary statement regarding forward-looking statements or to any of the risk factors disclosed in our 2024 Form 10-K, as updated by our Quarterly Reports on Form 10-Q and other filings we make with the SEC.</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Recent tariff and trade actions by the United States and other countries could have a material adverse effect on our business, financial condition and results of operations.</w:t>
      </w:r>
    </w:p>
    <w:p>
      <w:pPr>
        <w:spacing w:after="0" w:line="2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U.S. government recently announced significant trade policy and tariff actions on imports from a broad set of countries, including Canada, Mexico, European Union member states, Japan, Germany and China, in response to which many countries have announced retaliatory trade actions, including tariffs on U.S. exports. These actions have increased the cost of importing certain construction materials into the United States, including steel, concrete and solar panels, and have caused disruption and uncertainty to both international trade and supply chains, as well as financial markets.</w:t>
      </w:r>
    </w:p>
    <w:p>
      <w:pPr>
        <w:spacing w:after="0" w:line="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duration, extent and effects of these tariffs and trade actions cannot be predicted with certainty but these and other trade policies could increase costs of key construction equipment and components thereof, as well as materials required for our customers’ projects (including steel, concrete, copper and solar panels), which could cause our customers to reconsider or reduce their capital expenditures. In addition, economic experts and policy makers have cautioned that prolonged disruptions to global trade from tariffs and other trade actions could increase inflation, which could also affect our customers’ capital spending plans and demand for our services. Accordingly, these trade actions and the widespread uncertainty and international tensions resulting therefrom, including, without limitation, effects on interest rates and on the value of the U.S. dollar relative to other currencies, could materially and adversely harm our business, financial condition and results of operations.</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UNREGISTERED SALES OF EQUITY SECURITIES AND USE OF PROCEEDS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i w:val="1"/>
          <w:iCs w:val="1"/>
          <w:color w:val="auto"/>
        </w:rPr>
        <w:t>Issuer Purchases of Equity Securities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months ended June 30, 2025:</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3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vMerge w:val="restart"/>
          </w:tcPr>
          <w:p>
            <w:pPr>
              <w:jc w:val="center"/>
              <w:ind w:right="44"/>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 per Share</w:t>
            </w:r>
          </w:p>
        </w:tc>
        <w:tc>
          <w:tcPr>
            <w:tcW w:w="21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Announced Program </w:t>
            </w:r>
            <w:r>
              <w:rPr>
                <w:rFonts w:ascii="Times New Roman" w:cs="Times New Roman" w:eastAsia="Times New Roman" w:hAnsi="Times New Roman"/>
                <w:sz w:val="18"/>
                <w:szCs w:val="18"/>
                <w:b w:val="1"/>
                <w:bCs w:val="1"/>
                <w:color w:val="auto"/>
                <w:vertAlign w:val="superscript"/>
              </w:rPr>
              <w:t>(b)</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through April 30</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380,574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109.06</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through May 31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143.98</w:t>
            </w:r>
          </w:p>
        </w:tc>
        <w:tc>
          <w:tcPr>
            <w:tcW w:w="1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through June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159.68</w:t>
            </w:r>
          </w:p>
        </w:tc>
        <w:tc>
          <w:tcPr>
            <w:tcW w:w="12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250,000,000</w:t>
            </w:r>
          </w:p>
        </w:tc>
        <w:tc>
          <w:tcPr>
            <w:tcW w:w="0" w:type="dxa"/>
            <w:vAlign w:val="bottom"/>
          </w:tcPr>
          <w:p>
            <w:pPr>
              <w:spacing w:after="0"/>
              <w:rPr>
                <w:sz w:val="1"/>
                <w:szCs w:val="1"/>
                <w:color w:val="auto"/>
              </w:rPr>
            </w:pPr>
          </w:p>
        </w:tc>
      </w:tr>
      <w:tr>
        <w:trPr>
          <w:trHeight w:val="207"/>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391,892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281" w:lineRule="auto"/>
        <w:tabs>
          <w:tab w:leader="none" w:pos="33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10,606, 5,940 and 5,161 shares reacquired by the Company on the open market pursuant to the Amended ESPPs in April, May and June of 2025, respectively, 217 shares withheld for income tax purposes in connection with shares issued under compensation and benefit programs in May of 2025, and 369,968 shares repurchased under our share repurchase programs.</w:t>
      </w:r>
    </w:p>
    <w:p>
      <w:pPr>
        <w:spacing w:after="0" w:line="1" w:lineRule="exact"/>
        <w:rPr>
          <w:rFonts w:ascii="Times New Roman" w:cs="Times New Roman" w:eastAsia="Times New Roman" w:hAnsi="Times New Roman"/>
          <w:sz w:val="14"/>
          <w:szCs w:val="14"/>
          <w:color w:val="auto"/>
        </w:rPr>
      </w:pPr>
    </w:p>
    <w:p>
      <w:pPr>
        <w:ind w:left="340" w:right="20" w:hanging="332"/>
        <w:spacing w:after="0" w:line="28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were repurchased under our $150 million March 2020 share repurchase program, which was publicly announced on March 19, 2020, and which repurchases completed the program in April of 2025.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June 30, 2025, the full amount remains available for share repurchases under our May 2025 $250 million share repurchase program, which was publicly announced on May 1, 2025.</w:t>
      </w:r>
    </w:p>
    <w:p>
      <w:pPr>
        <w:spacing w:after="0" w:line="23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29"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 xml:space="preserve">The information concerning mine safety violations or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6"/>
          <w:szCs w:val="16"/>
          <w:u w:val="single" w:color="auto"/>
          <w:color w:val="0000FF"/>
        </w:rPr>
        <w:t>Exhibit 95.1</w:t>
      </w:r>
      <w:r>
        <w:rPr>
          <w:rFonts w:ascii="Times New Roman" w:cs="Times New Roman" w:eastAsia="Times New Roman" w:hAnsi="Times New Roman"/>
          <w:sz w:val="16"/>
          <w:szCs w:val="16"/>
          <w:color w:val="auto"/>
        </w:rPr>
        <w:t xml:space="preserve"> to this Quarterly Report on Form 10-Q.</w:t>
      </w:r>
    </w:p>
    <w:p>
      <w:pPr>
        <w:spacing w:after="0" w:line="1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5.</w:t>
        <w:tab/>
        <w:t>OTHER INFORMATION</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three months ended June 30, 2025,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0" w:name="page41"/>
    <w:bookmarkEnd w:id="40"/>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EXHIBITS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Exhibit Index below contains a list of exhibits filed or furnished with this Form 10-Q.</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994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10.1</w:t>
            </w:r>
          </w:p>
        </w:tc>
        <w:tc>
          <w:tcPr>
            <w:tcW w:w="740" w:type="dxa"/>
            <w:vAlign w:val="bottom"/>
          </w:tcPr>
          <w:p>
            <w:pPr>
              <w:spacing w:after="0"/>
              <w:rPr>
                <w:sz w:val="21"/>
                <w:szCs w:val="21"/>
                <w:color w:val="auto"/>
              </w:rPr>
            </w:pPr>
          </w:p>
        </w:tc>
        <w:tc>
          <w:tcPr>
            <w:tcW w:w="9940" w:type="dxa"/>
            <w:vAlign w:val="bottom"/>
            <w:gridSpan w:val="11"/>
          </w:tcPr>
          <w:p>
            <w:pPr>
              <w:spacing w:after="0"/>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Amended and Restated Credit Agreement, dated as of June 26, 2025, by and among MasTec, Inc. and MasTec North America, Inc. as Borrowers, Bank</w:t>
              </w:r>
            </w:hyperlink>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90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of America, N.A., as Administrative Agent, Swing Line Lender and L/C Issuer, and the other lenders party thereto</w:t>
              </w:r>
              <w:r>
                <w:rPr>
                  <w:rFonts w:ascii="Times New Roman" w:cs="Times New Roman" w:eastAsia="Times New Roman" w:hAnsi="Times New Roman"/>
                  <w:sz w:val="16"/>
                  <w:szCs w:val="16"/>
                  <w:color w:val="000000"/>
                </w:rPr>
                <w:t>, filed as Exhibit 10.1 to our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5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6"/>
                <w:szCs w:val="16"/>
                <w:color w:val="auto"/>
              </w:rPr>
              <w:t>Report on Form 8-K filed with the SEC on June 27, 2025 and incorporated by reference herein.</w:t>
            </w:r>
          </w:p>
        </w:tc>
        <w:tc>
          <w:tcPr>
            <w:tcW w:w="2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10.2</w:t>
            </w:r>
          </w:p>
        </w:tc>
        <w:tc>
          <w:tcPr>
            <w:tcW w:w="740" w:type="dxa"/>
            <w:vAlign w:val="bottom"/>
          </w:tcPr>
          <w:p>
            <w:pPr>
              <w:spacing w:after="0"/>
              <w:rPr>
                <w:sz w:val="15"/>
                <w:szCs w:val="15"/>
                <w:color w:val="auto"/>
              </w:rPr>
            </w:pPr>
          </w:p>
        </w:tc>
        <w:tc>
          <w:tcPr>
            <w:tcW w:w="9940" w:type="dxa"/>
            <w:vAlign w:val="bottom"/>
            <w:gridSpan w:val="11"/>
          </w:tcPr>
          <w:p>
            <w:pPr>
              <w:spacing w:after="0" w:line="176"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Term Loan Agreement, dated as of June 26, 2025, by and among MasTec, Inc. and MasTec North America, Inc., as Borrowers, Bank of America, N.A.,</w:t>
              </w:r>
            </w:hyperlink>
          </w:p>
        </w:tc>
        <w:tc>
          <w:tcPr>
            <w:tcW w:w="0" w:type="dxa"/>
            <w:vAlign w:val="bottom"/>
          </w:tcPr>
          <w:p>
            <w:pPr>
              <w:spacing w:after="0"/>
              <w:rPr>
                <w:sz w:val="1"/>
                <w:szCs w:val="1"/>
                <w:color w:val="auto"/>
              </w:rPr>
            </w:pPr>
          </w:p>
        </w:tc>
      </w:tr>
      <w:tr>
        <w:trPr>
          <w:trHeight w:val="142"/>
        </w:trPr>
        <w:tc>
          <w:tcPr>
            <w:tcW w:w="5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992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51">
              <w:r>
                <w:rPr>
                  <w:rFonts w:ascii="Times New Roman" w:cs="Times New Roman" w:eastAsia="Times New Roman" w:hAnsi="Times New Roman"/>
                  <w:sz w:val="16"/>
                  <w:szCs w:val="16"/>
                  <w:color w:val="0000FF"/>
                </w:rPr>
                <w:t>as Administrative Agent, and the other lenders party thereto</w:t>
              </w:r>
              <w:r>
                <w:rPr>
                  <w:rFonts w:ascii="Times New Roman" w:cs="Times New Roman" w:eastAsia="Times New Roman" w:hAnsi="Times New Roman"/>
                  <w:sz w:val="16"/>
                  <w:szCs w:val="16"/>
                  <w:color w:val="000000"/>
                </w:rPr>
                <w:t>, filed as Exhibit 10.2 to our Current Report on Form 8-K filed with the SEC on June 27,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98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6"/>
                <w:szCs w:val="16"/>
                <w:color w:val="auto"/>
              </w:rPr>
              <w:t>2025 and incorporated by reference herein.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auto"/>
              </w:rPr>
              <w:t>31.1*</w:t>
            </w:r>
          </w:p>
        </w:tc>
        <w:tc>
          <w:tcPr>
            <w:tcW w:w="740" w:type="dxa"/>
            <w:vAlign w:val="bottom"/>
          </w:tcPr>
          <w:p>
            <w:pPr>
              <w:spacing w:after="0"/>
              <w:rPr>
                <w:sz w:val="15"/>
                <w:szCs w:val="15"/>
                <w:color w:val="auto"/>
              </w:rPr>
            </w:pPr>
          </w:p>
        </w:tc>
        <w:tc>
          <w:tcPr>
            <w:tcW w:w="5020" w:type="dxa"/>
            <w:vAlign w:val="bottom"/>
            <w:tcBorders>
              <w:bottom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49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740" w:type="dxa"/>
            <w:vAlign w:val="bottom"/>
          </w:tcPr>
          <w:p>
            <w:pPr>
              <w:spacing w:after="0"/>
              <w:rPr>
                <w:sz w:val="17"/>
                <w:szCs w:val="17"/>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74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740" w:type="dxa"/>
            <w:vAlign w:val="bottom"/>
          </w:tcPr>
          <w:p>
            <w:pPr>
              <w:spacing w:after="0"/>
              <w:rPr>
                <w:sz w:val="17"/>
                <w:szCs w:val="17"/>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95.1*</w:t>
            </w:r>
          </w:p>
        </w:tc>
        <w:tc>
          <w:tcPr>
            <w:tcW w:w="740" w:type="dxa"/>
            <w:vAlign w:val="bottom"/>
          </w:tcPr>
          <w:p>
            <w:pPr>
              <w:spacing w:after="0"/>
              <w:rPr>
                <w:sz w:val="17"/>
                <w:szCs w:val="17"/>
                <w:color w:val="auto"/>
              </w:rPr>
            </w:pPr>
          </w:p>
        </w:tc>
        <w:tc>
          <w:tcPr>
            <w:tcW w:w="48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51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3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940" w:type="dxa"/>
            <w:vAlign w:val="bottom"/>
            <w:gridSpan w:val="11"/>
          </w:tcPr>
          <w:p>
            <w:pPr>
              <w:spacing w:after="0" w:line="119" w:lineRule="exact"/>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9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63"/>
        </w:trPr>
        <w:tc>
          <w:tcPr>
            <w:tcW w:w="90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1220"/>
          </w:cols>
          <w:pgMar w:left="320" w:top="1109" w:right="359" w:bottom="1440" w:gutter="0" w:footer="0" w:header="0"/>
        </w:sectPr>
      </w:pPr>
    </w:p>
    <w:p>
      <w:pPr>
        <w:ind w:left="60"/>
        <w:spacing w:after="0"/>
        <w:rPr>
          <w:sz w:val="20"/>
          <w:szCs w:val="20"/>
          <w:color w:val="auto"/>
        </w:rPr>
      </w:pPr>
      <w:r>
        <w:rPr>
          <w:rFonts w:ascii="Times New Roman" w:cs="Times New Roman" w:eastAsia="Times New Roman" w:hAnsi="Times New Roman"/>
          <w:sz w:val="16"/>
          <w:szCs w:val="16"/>
          <w:color w:val="auto"/>
        </w:rPr>
        <w:t>101.SCH</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101.CAL</w:t>
      </w:r>
    </w:p>
    <w:p>
      <w:pPr>
        <w:spacing w:after="0" w:line="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101.LAB</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101.PRE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Inline XBRL Taxonomy Extension Schema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p>
      <w:pPr>
        <w:spacing w:after="0" w:line="3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cover page of MasTec, Inc.’s Quarterly Report on Form 10-Q for the quarter ended June 30, 2025, formatted in Inline XBRL (included with the Exhibit 101 attachments).</w:t>
      </w:r>
    </w:p>
    <w:p>
      <w:pPr>
        <w:spacing w:after="0" w:line="387" w:lineRule="exact"/>
        <w:rPr>
          <w:sz w:val="20"/>
          <w:szCs w:val="20"/>
          <w:color w:val="auto"/>
        </w:rPr>
      </w:pPr>
    </w:p>
    <w:p>
      <w:pPr>
        <w:sectPr>
          <w:pgSz w:w="11900" w:h="16838" w:orient="portrait"/>
          <w:cols w:equalWidth="0" w:num="2">
            <w:col w:w="1140" w:space="160"/>
            <w:col w:w="9920"/>
          </w:cols>
          <w:pgMar w:left="320" w:top="1109" w:right="359" w:bottom="1440" w:gutter="0" w:footer="0" w:header="0"/>
          <w:type w:val="continuous"/>
        </w:sect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5" w:lineRule="exact"/>
        <w:rPr>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type w:val="continuous"/>
        </w:sectPr>
      </w:pPr>
    </w:p>
    <w:bookmarkStart w:id="41" w:name="page42"/>
    <w:bookmarkEnd w:id="41"/>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MASTEC,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July 31, 2025</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T. Michael Love</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10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July 31, 2025</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quarterly report on Form 10-Q of MasTec, Inc.;</w:t>
      </w:r>
    </w:p>
    <w:p>
      <w:pPr>
        <w:spacing w:after="0" w:line="24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sz w:val="20"/>
          <w:szCs w:val="20"/>
          <w:color w:val="auto"/>
        </w:rPr>
      </w:pPr>
    </w:p>
    <w:p>
      <w:pPr>
        <w:ind w:left="980" w:hanging="486"/>
        <w:spacing w:after="0" w:line="272" w:lineRule="auto"/>
        <w:tabs>
          <w:tab w:leader="none" w:pos="86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Times New Roman" w:cs="Times New Roman" w:eastAsia="Times New Roman" w:hAnsi="Times New Roman"/>
          <w:sz w:val="16"/>
          <w:szCs w:val="16"/>
          <w:color w:val="auto"/>
        </w:rPr>
      </w:pPr>
    </w:p>
    <w:p>
      <w:pPr>
        <w:ind w:left="980" w:hanging="486"/>
        <w:spacing w:after="0" w:line="272" w:lineRule="auto"/>
        <w:tabs>
          <w:tab w:leader="none" w:pos="80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Times New Roman" w:cs="Times New Roman" w:eastAsia="Times New Roman" w:hAnsi="Times New Roman"/>
          <w:sz w:val="16"/>
          <w:szCs w:val="16"/>
          <w:color w:val="auto"/>
        </w:rPr>
      </w:pPr>
    </w:p>
    <w:p>
      <w:pPr>
        <w:ind w:left="980" w:hanging="486"/>
        <w:spacing w:after="0" w:line="280" w:lineRule="auto"/>
        <w:tabs>
          <w:tab w:leader="none" w:pos="78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1" w:lineRule="exact"/>
        <w:rPr>
          <w:rFonts w:ascii="Times New Roman" w:cs="Times New Roman" w:eastAsia="Times New Roman" w:hAnsi="Times New Roman"/>
          <w:sz w:val="16"/>
          <w:szCs w:val="16"/>
          <w:color w:val="auto"/>
        </w:rPr>
      </w:pPr>
    </w:p>
    <w:p>
      <w:pPr>
        <w:ind w:left="980" w:hanging="486"/>
        <w:spacing w:after="0" w:line="298" w:lineRule="auto"/>
        <w:tabs>
          <w:tab w:leader="none" w:pos="82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7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sz w:val="20"/>
          <w:szCs w:val="20"/>
          <w:color w:val="auto"/>
        </w:rPr>
      </w:pPr>
    </w:p>
    <w:p>
      <w:pPr>
        <w:ind w:left="980" w:hanging="486"/>
        <w:spacing w:after="0" w:line="280" w:lineRule="auto"/>
        <w:tabs>
          <w:tab w:leader="none" w:pos="87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Times New Roman" w:cs="Times New Roman" w:eastAsia="Times New Roman" w:hAnsi="Times New Roman"/>
          <w:sz w:val="16"/>
          <w:szCs w:val="16"/>
          <w:color w:val="auto"/>
        </w:rPr>
      </w:pPr>
    </w:p>
    <w:p>
      <w:pPr>
        <w:ind w:left="980" w:hanging="486"/>
        <w:spacing w:after="0" w:line="280" w:lineRule="auto"/>
        <w:tabs>
          <w:tab w:leader="none" w:pos="81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July 31, 2025</w:t>
      </w:r>
    </w:p>
    <w:p>
      <w:pPr>
        <w:spacing w:after="0" w:line="2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June 30, 2025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July 31, 2025</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June 30, 2025,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of MasTec, Inc. (the “Company”) on Form 10-Q for the period ended June 30, 2025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spacing w:after="0" w:line="198" w:lineRule="exact"/>
        <w:rPr>
          <w:sz w:val="20"/>
          <w:szCs w:val="20"/>
          <w:color w:val="auto"/>
        </w:rPr>
      </w:pPr>
    </w:p>
    <w:p>
      <w:pPr>
        <w:ind w:left="840" w:hanging="346"/>
        <w:spacing w:after="0"/>
        <w:tabs>
          <w:tab w:leader="none" w:pos="8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July 31, 2025</w:t>
      </w:r>
    </w:p>
    <w:p>
      <w:pPr>
        <w:spacing w:after="0" w:line="8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21590</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Quarterly Report on Form 10-Q for the period ended June 30, 2025,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46" w:name="page47"/>
    <w:bookmarkEnd w:id="46"/>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quarter ended June 30, 2025. Citations and orders may be contested and appealed, and in that process, may be reduced in severity and amount, and are sometimes dismissed. The table below includes references to specific sections of the Mine Act.</w:t>
      </w:r>
    </w:p>
    <w:p>
      <w:pPr>
        <w:spacing w:after="0" w:line="66"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Section</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Pending</w:t>
            </w:r>
          </w:p>
        </w:tc>
        <w:tc>
          <w:tcPr>
            <w:tcW w:w="0" w:type="dxa"/>
            <w:vAlign w:val="bottom"/>
          </w:tcPr>
          <w:p>
            <w:pPr>
              <w:spacing w:after="0"/>
              <w:rPr>
                <w:sz w:val="1"/>
                <w:szCs w:val="1"/>
                <w:color w:val="auto"/>
              </w:rPr>
            </w:pPr>
          </w:p>
        </w:tc>
      </w:tr>
      <w:tr>
        <w:trPr>
          <w:trHeight w:val="156"/>
        </w:trPr>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5"/>
                <w:szCs w:val="15"/>
                <w:b w:val="1"/>
                <w:bCs w:val="1"/>
                <w:color w:val="auto"/>
                <w:w w:val="97"/>
              </w:rPr>
              <w:t>104(d)</w:t>
            </w:r>
          </w:p>
        </w:tc>
        <w:tc>
          <w:tcPr>
            <w:tcW w:w="118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Proposed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7"/>
              </w:rPr>
              <w:t>104</w:t>
            </w: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104(b)</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Citations and</w:t>
            </w: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w w:val="99"/>
              </w:rPr>
              <w:t>110(b)(2)</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107(a)</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rPr>
              <w:t>Legal</w:t>
            </w:r>
          </w:p>
        </w:tc>
        <w:tc>
          <w:tcPr>
            <w:tcW w:w="0" w:type="dxa"/>
            <w:vAlign w:val="bottom"/>
          </w:tcPr>
          <w:p>
            <w:pPr>
              <w:spacing w:after="0"/>
              <w:rPr>
                <w:sz w:val="1"/>
                <w:szCs w:val="1"/>
                <w:color w:val="auto"/>
              </w:rPr>
            </w:pP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or Location / ID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Citations</w:t>
            </w:r>
            <w:r>
              <w:rPr>
                <w:rFonts w:ascii="Times New Roman" w:cs="Times New Roman" w:eastAsia="Times New Roman" w:hAnsi="Times New Roman"/>
                <w:sz w:val="19"/>
                <w:szCs w:val="19"/>
                <w:b w:val="1"/>
                <w:bCs w:val="1"/>
                <w:color w:val="auto"/>
                <w:w w:val="95"/>
                <w:vertAlign w:val="superscript"/>
              </w:rPr>
              <w:t>(a)</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4"/>
              </w:rPr>
              <w:t>Orders</w:t>
            </w:r>
            <w:r>
              <w:rPr>
                <w:rFonts w:ascii="Times New Roman" w:cs="Times New Roman" w:eastAsia="Times New Roman" w:hAnsi="Times New Roman"/>
                <w:sz w:val="19"/>
                <w:szCs w:val="19"/>
                <w:b w:val="1"/>
                <w:bCs w:val="1"/>
                <w:color w:val="auto"/>
                <w:w w:val="94"/>
                <w:vertAlign w:val="superscript"/>
              </w:rPr>
              <w:t>(b)</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3"/>
              </w:rPr>
              <w:t>Orders</w:t>
            </w:r>
            <w:r>
              <w:rPr>
                <w:rFonts w:ascii="Times New Roman" w:cs="Times New Roman" w:eastAsia="Times New Roman" w:hAnsi="Times New Roman"/>
                <w:sz w:val="19"/>
                <w:szCs w:val="19"/>
                <w:b w:val="1"/>
                <w:bCs w:val="1"/>
                <w:color w:val="auto"/>
                <w:w w:val="93"/>
                <w:vertAlign w:val="superscript"/>
              </w:rPr>
              <w:t>(c)</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Violations</w:t>
            </w:r>
            <w:r>
              <w:rPr>
                <w:rFonts w:ascii="Times New Roman" w:cs="Times New Roman" w:eastAsia="Times New Roman" w:hAnsi="Times New Roman"/>
                <w:sz w:val="19"/>
                <w:szCs w:val="19"/>
                <w:b w:val="1"/>
                <w:bCs w:val="1"/>
                <w:color w:val="auto"/>
                <w:w w:val="96"/>
                <w:vertAlign w:val="superscript"/>
              </w:rPr>
              <w:t>(d)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Orders</w:t>
            </w:r>
            <w:r>
              <w:rPr>
                <w:rFonts w:ascii="Times New Roman" w:cs="Times New Roman" w:eastAsia="Times New Roman" w:hAnsi="Times New Roman"/>
                <w:sz w:val="19"/>
                <w:szCs w:val="19"/>
                <w:b w:val="1"/>
                <w:bCs w:val="1"/>
                <w:color w:val="auto"/>
                <w:w w:val="96"/>
                <w:vertAlign w:val="superscript"/>
              </w:rPr>
              <w:t>(e)</w:t>
            </w: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Assessments</w:t>
            </w:r>
            <w:r>
              <w:rPr>
                <w:rFonts w:ascii="Times New Roman" w:cs="Times New Roman" w:eastAsia="Times New Roman" w:hAnsi="Times New Roman"/>
                <w:sz w:val="19"/>
                <w:szCs w:val="19"/>
                <w:b w:val="1"/>
                <w:bCs w:val="1"/>
                <w:color w:val="auto"/>
                <w:w w:val="97"/>
                <w:vertAlign w:val="superscript"/>
              </w:rPr>
              <w:t>(f)</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Fatalities</w:t>
            </w:r>
            <w:r>
              <w:rPr>
                <w:rFonts w:ascii="Times New Roman" w:cs="Times New Roman" w:eastAsia="Times New Roman" w:hAnsi="Times New Roman"/>
                <w:sz w:val="19"/>
                <w:szCs w:val="19"/>
                <w:b w:val="1"/>
                <w:bCs w:val="1"/>
                <w:color w:val="auto"/>
                <w:vertAlign w:val="superscript"/>
              </w:rPr>
              <w:t>(g)</w:t>
            </w: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Action</w:t>
            </w:r>
            <w:r>
              <w:rPr>
                <w:rFonts w:ascii="Times New Roman" w:cs="Times New Roman" w:eastAsia="Times New Roman" w:hAnsi="Times New Roman"/>
                <w:sz w:val="19"/>
                <w:szCs w:val="19"/>
                <w:b w:val="1"/>
                <w:bCs w:val="1"/>
                <w:color w:val="auto"/>
                <w:w w:val="96"/>
                <w:vertAlign w:val="superscript"/>
              </w:rPr>
              <w:t>(h)</w:t>
            </w:r>
          </w:p>
        </w:tc>
        <w:tc>
          <w:tcPr>
            <w:tcW w:w="0" w:type="dxa"/>
            <w:vAlign w:val="bottom"/>
          </w:tcPr>
          <w:p>
            <w:pPr>
              <w:spacing w:after="0"/>
              <w:rPr>
                <w:sz w:val="1"/>
                <w:szCs w:val="1"/>
                <w:color w:val="auto"/>
              </w:rPr>
            </w:pPr>
          </w:p>
        </w:tc>
      </w:tr>
      <w:tr>
        <w:trPr>
          <w:trHeight w:val="207"/>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80" w:type="dxa"/>
            <w:vAlign w:val="bottom"/>
          </w:tcPr>
          <w:p>
            <w:pPr>
              <w:spacing w:after="0"/>
              <w:rPr>
                <w:sz w:val="17"/>
                <w:szCs w:val="17"/>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7"/>
                <w:szCs w:val="17"/>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5,353</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Mesquite Wash Plant / 2602774</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Topaz Mine / 2602440</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Oklahoma / B7441 </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B7441 </w:t>
            </w:r>
            <w:r>
              <w:rPr>
                <w:rFonts w:ascii="Times New Roman" w:cs="Times New Roman" w:eastAsia="Times New Roman" w:hAnsi="Times New Roman"/>
                <w:sz w:val="21"/>
                <w:szCs w:val="21"/>
                <w:color w:val="auto"/>
                <w:vertAlign w:val="superscript"/>
              </w:rPr>
              <w:t>(1)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C4778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Utah / B7441 </w:t>
            </w:r>
            <w:r>
              <w:rPr>
                <w:rFonts w:ascii="Times New Roman" w:cs="Times New Roman" w:eastAsia="Times New Roman" w:hAnsi="Times New Roman"/>
                <w:sz w:val="21"/>
                <w:szCs w:val="21"/>
                <w:color w:val="auto"/>
                <w:vertAlign w:val="superscript"/>
              </w:rPr>
              <w:t>(1)</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Wisconsin / A6370 </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2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Alaska / E757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0"/>
        </w:trPr>
        <w:tc>
          <w:tcPr>
            <w:tcW w:w="2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Arizona / E757 </w:t>
            </w:r>
            <w:r>
              <w:rPr>
                <w:rFonts w:ascii="Times New Roman" w:cs="Times New Roman" w:eastAsia="Times New Roman" w:hAnsi="Times New Roman"/>
                <w:sz w:val="21"/>
                <w:szCs w:val="21"/>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9"/>
        </w:trPr>
        <w:tc>
          <w:tcPr>
            <w:tcW w:w="2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Texas / E757 </w:t>
            </w:r>
            <w:r>
              <w:rPr>
                <w:rFonts w:ascii="Times New Roman" w:cs="Times New Roman" w:eastAsia="Times New Roman" w:hAnsi="Times New Roman"/>
                <w:sz w:val="21"/>
                <w:szCs w:val="21"/>
                <w:color w:val="auto"/>
                <w:vertAlign w:val="superscript"/>
              </w:rPr>
              <w:t>(1)</w:t>
            </w:r>
          </w:p>
        </w:tc>
        <w:tc>
          <w:tcPr>
            <w:tcW w:w="10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12,120</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69" w:lineRule="exact"/>
        <w:rPr>
          <w:sz w:val="20"/>
          <w:szCs w:val="20"/>
          <w:color w:val="auto"/>
        </w:rPr>
      </w:pPr>
    </w:p>
    <w:p>
      <w:pPr>
        <w:ind w:left="260" w:hanging="252"/>
        <w:spacing w:after="0" w:line="301" w:lineRule="auto"/>
        <w:tabs>
          <w:tab w:leader="none" w:pos="35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68"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1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quarter ended June 30, 2025,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endash "/>
      <w:numFmt w:val="bullet"/>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0" Type="http://schemas.openxmlformats.org/officeDocument/2006/relationships/hyperlink" Target="https://www.sec.gov/Archives/edgar/data/15615/000119312525151280/d35356dex101.htm" TargetMode="External"/><Relationship Id="rId51" Type="http://schemas.openxmlformats.org/officeDocument/2006/relationships/hyperlink" Target="https://www.sec.gov/Archives/edgar/data/15615/000119312525151280/d3535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2025-07-31T15:38:12Z</dcterms:created>
  <dcterms:modified xsi:type="dcterms:W3CDTF">2025-07-31T15:38:12Z</dcterms:modified>
</cp:coreProperties>
</file>