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THE SECURITIES EXCHANGE ACT OF 1934</w:t>
      </w: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2017</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ind w:left="39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120650</wp:posOffset>
            </wp:positionV>
            <wp:extent cx="97790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900" cy="18859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4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7"/>
              </w:rPr>
              <w:t>Florida</w:t>
            </w:r>
          </w:p>
        </w:tc>
        <w:tc>
          <w:tcPr>
            <w:tcW w:w="5040" w:type="dxa"/>
            <w:vAlign w:val="bottom"/>
          </w:tcPr>
          <w:p>
            <w:pPr>
              <w:jc w:val="right"/>
              <w:ind w:right="46"/>
              <w:spacing w:after="0"/>
              <w:rPr>
                <w:sz w:val="20"/>
                <w:szCs w:val="20"/>
                <w:color w:val="auto"/>
              </w:rPr>
            </w:pPr>
            <w:r>
              <w:rPr>
                <w:rFonts w:ascii="Arial" w:cs="Arial" w:eastAsia="Arial" w:hAnsi="Arial"/>
                <w:sz w:val="16"/>
                <w:szCs w:val="16"/>
                <w:b w:val="1"/>
                <w:bCs w:val="1"/>
                <w:color w:val="auto"/>
              </w:rPr>
              <w:t>65-0829355</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(State or Other jurisdiction of</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7"/>
              </w:rPr>
              <w:t>(I.R.S. Employer</w:t>
            </w:r>
          </w:p>
        </w:tc>
      </w:tr>
      <w:tr>
        <w:trPr>
          <w:trHeight w:val="203"/>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Incorporation or Organization)</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6"/>
              </w:rPr>
              <w:t>Identification No.)</w:t>
            </w:r>
          </w:p>
        </w:tc>
      </w:tr>
      <w:tr>
        <w:trPr>
          <w:trHeight w:val="454"/>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0"/>
              </w:rPr>
              <w:t>800 S. Douglas Road, 12th Floor,</w:t>
            </w:r>
          </w:p>
        </w:tc>
        <w:tc>
          <w:tcPr>
            <w:tcW w:w="5040" w:type="dxa"/>
            <w:vAlign w:val="bottom"/>
          </w:tcPr>
          <w:p>
            <w:pPr>
              <w:spacing w:after="0"/>
              <w:rPr>
                <w:sz w:val="24"/>
                <w:szCs w:val="24"/>
                <w:color w:val="auto"/>
              </w:rPr>
            </w:pPr>
          </w:p>
        </w:tc>
      </w:tr>
      <w:tr>
        <w:trPr>
          <w:trHeight w:val="27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Coral Gables, FL</w:t>
            </w:r>
          </w:p>
        </w:tc>
        <w:tc>
          <w:tcPr>
            <w:tcW w:w="5040" w:type="dxa"/>
            <w:vAlign w:val="bottom"/>
          </w:tcPr>
          <w:p>
            <w:pPr>
              <w:jc w:val="right"/>
              <w:ind w:right="226"/>
              <w:spacing w:after="0"/>
              <w:rPr>
                <w:sz w:val="20"/>
                <w:szCs w:val="20"/>
                <w:color w:val="auto"/>
              </w:rPr>
            </w:pPr>
            <w:r>
              <w:rPr>
                <w:rFonts w:ascii="Arial" w:cs="Arial" w:eastAsia="Arial" w:hAnsi="Arial"/>
                <w:sz w:val="16"/>
                <w:szCs w:val="16"/>
                <w:b w:val="1"/>
                <w:bCs w:val="1"/>
                <w:color w:val="auto"/>
              </w:rPr>
              <w:t>33134</w:t>
            </w:r>
          </w:p>
        </w:tc>
      </w:tr>
      <w:tr>
        <w:trPr>
          <w:trHeight w:val="222"/>
        </w:trPr>
        <w:tc>
          <w:tcPr>
            <w:tcW w:w="23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5040" w:type="dxa"/>
            <w:vAlign w:val="bottom"/>
          </w:tcPr>
          <w:p>
            <w:pPr>
              <w:jc w:val="center"/>
              <w:ind w:left="3946"/>
              <w:spacing w:after="0"/>
              <w:rPr>
                <w:sz w:val="20"/>
                <w:szCs w:val="20"/>
                <w:color w:val="auto"/>
              </w:rPr>
            </w:pPr>
            <w:r>
              <w:rPr>
                <w:rFonts w:ascii="Arial" w:cs="Arial" w:eastAsia="Arial" w:hAnsi="Arial"/>
                <w:sz w:val="14"/>
                <w:szCs w:val="14"/>
                <w:b w:val="1"/>
                <w:bCs w:val="1"/>
                <w:i w:val="1"/>
                <w:iCs w:val="1"/>
                <w:color w:val="auto"/>
                <w:w w:val="83"/>
              </w:rPr>
              <w:t>(Zip Code)</w:t>
            </w:r>
          </w:p>
        </w:tc>
      </w:tr>
      <w:tr>
        <w:trPr>
          <w:trHeight w:val="184"/>
        </w:trPr>
        <w:tc>
          <w:tcPr>
            <w:tcW w:w="2300" w:type="dxa"/>
            <w:vAlign w:val="bottom"/>
          </w:tcPr>
          <w:p>
            <w:pPr>
              <w:spacing w:after="0"/>
              <w:rPr>
                <w:sz w:val="16"/>
                <w:szCs w:val="16"/>
                <w:color w:val="auto"/>
              </w:rPr>
            </w:pPr>
          </w:p>
        </w:tc>
        <w:tc>
          <w:tcPr>
            <w:tcW w:w="5040" w:type="dxa"/>
            <w:vAlign w:val="bottom"/>
          </w:tcPr>
          <w:p>
            <w:pPr>
              <w:jc w:val="right"/>
              <w:ind w:right="2786"/>
              <w:spacing w:after="0"/>
              <w:rPr>
                <w:sz w:val="20"/>
                <w:szCs w:val="20"/>
                <w:color w:val="auto"/>
              </w:rPr>
            </w:pPr>
            <w:r>
              <w:rPr>
                <w:rFonts w:ascii="Arial" w:cs="Arial" w:eastAsia="Arial" w:hAnsi="Arial"/>
                <w:sz w:val="16"/>
                <w:szCs w:val="16"/>
                <w:b w:val="1"/>
                <w:bCs w:val="1"/>
                <w:color w:val="auto"/>
              </w:rPr>
              <w:t>(305) 599-1800</w:t>
            </w:r>
          </w:p>
        </w:tc>
      </w:tr>
      <w:tr>
        <w:trPr>
          <w:trHeight w:val="182"/>
        </w:trPr>
        <w:tc>
          <w:tcPr>
            <w:tcW w:w="2300" w:type="dxa"/>
            <w:vAlign w:val="bottom"/>
          </w:tcPr>
          <w:p>
            <w:pPr>
              <w:spacing w:after="0"/>
              <w:rPr>
                <w:sz w:val="15"/>
                <w:szCs w:val="15"/>
                <w:color w:val="auto"/>
              </w:rPr>
            </w:pPr>
          </w:p>
        </w:tc>
        <w:tc>
          <w:tcPr>
            <w:tcW w:w="5040" w:type="dxa"/>
            <w:vAlign w:val="bottom"/>
          </w:tcPr>
          <w:p>
            <w:pPr>
              <w:jc w:val="center"/>
              <w:ind w:right="160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r>
    </w:tbl>
    <w:p>
      <w:pPr>
        <w:spacing w:after="0" w:line="200" w:lineRule="exact"/>
        <w:rPr>
          <w:sz w:val="24"/>
          <w:szCs w:val="24"/>
          <w:color w:val="auto"/>
        </w:rPr>
      </w:pPr>
    </w:p>
    <w:p>
      <w:pPr>
        <w:spacing w:after="0" w:line="221"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58" w:right="239" w:bottom="1440" w:gutter="0" w:footer="0" w:header="0"/>
        </w:sectPr>
      </w:pPr>
    </w:p>
    <w:p>
      <w:pPr>
        <w:spacing w:after="0" w:line="345" w:lineRule="exact"/>
        <w:rPr>
          <w:sz w:val="24"/>
          <w:szCs w:val="24"/>
          <w:color w:val="auto"/>
        </w:rPr>
      </w:pPr>
    </w:p>
    <w:p>
      <w:pPr>
        <w:ind w:left="8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3280" w:space="720"/>
            <w:col w:w="2400" w:space="720"/>
            <w:col w:w="2400" w:space="720"/>
            <w:col w:w="1180"/>
          </w:cols>
          <w:pgMar w:left="240" w:top="958" w:right="239" w:bottom="1440" w:gutter="0" w:footer="0" w:header="0"/>
          <w:type w:val="continuous"/>
        </w:sectPr>
      </w:pPr>
    </w:p>
    <w:p>
      <w:pPr>
        <w:spacing w:after="0" w:line="30" w:lineRule="exact"/>
        <w:rPr>
          <w:sz w:val="24"/>
          <w:szCs w:val="24"/>
          <w:color w:val="auto"/>
        </w:rPr>
      </w:pPr>
    </w:p>
    <w:p>
      <w:pPr>
        <w:ind w:left="88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120" w:lineRule="exact"/>
        <w:rPr>
          <w:sz w:val="24"/>
          <w:szCs w:val="24"/>
          <w:color w:val="auto"/>
        </w:rPr>
      </w:pPr>
    </w:p>
    <w:p>
      <w:pPr>
        <w:sectPr>
          <w:pgSz w:w="11900" w:h="16838" w:orient="portrait"/>
          <w:cols w:equalWidth="0" w:num="3">
            <w:col w:w="3280" w:space="720"/>
            <w:col w:w="140" w:space="240"/>
            <w:col w:w="704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0" w:lineRule="exact"/>
        <w:rPr>
          <w:sz w:val="24"/>
          <w:szCs w:val="24"/>
          <w:color w:val="auto"/>
        </w:rPr>
      </w:pPr>
    </w:p>
    <w:p>
      <w:pPr>
        <w:ind w:left="71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2">
            <w:col w:w="9520" w:space="720"/>
            <w:col w:w="1180"/>
          </w:cols>
          <w:pgMar w:left="240" w:top="958" w:right="239" w:bottom="1440" w:gutter="0" w:footer="0" w:header="0"/>
          <w:type w:val="continuous"/>
        </w:sectPr>
      </w:pPr>
    </w:p>
    <w:p>
      <w:pPr>
        <w:spacing w:after="0" w:line="31" w:lineRule="exact"/>
        <w:rPr>
          <w:sz w:val="24"/>
          <w:szCs w:val="24"/>
          <w:color w:val="auto"/>
        </w:rPr>
      </w:pPr>
    </w:p>
    <w:p>
      <w:pPr>
        <w:ind w:right="1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660"/>
        <w:spacing w:after="0" w:line="184" w:lineRule="exact"/>
        <w:tabs>
          <w:tab w:leader="none" w:pos="7360" w:val="left"/>
        </w:tabs>
        <w:rPr>
          <w:sz w:val="20"/>
          <w:szCs w:val="20"/>
          <w:color w:val="auto"/>
        </w:rPr>
      </w:pPr>
      <w:r>
        <w:rPr>
          <w:rFonts w:ascii="Arial" w:cs="Arial" w:eastAsia="Arial" w:hAnsi="Arial"/>
          <w:sz w:val="16"/>
          <w:szCs w:val="16"/>
          <w:color w:val="auto"/>
        </w:rPr>
        <w:t>Indicate by check mark whether the registrant is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0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October 30, 2017, MasTec, Inc. had 82,760,624 shares of common stock, $0.10 par value, outstanding.</w:t>
      </w:r>
    </w:p>
    <w:p>
      <w:pPr>
        <w:sectPr>
          <w:pgSz w:w="11900" w:h="16838" w:orient="portrait"/>
          <w:cols w:equalWidth="0" w:num="1">
            <w:col w:w="11420"/>
          </w:cols>
          <w:pgMar w:left="240" w:top="958"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 ENDED SEPTEMBER 30, 2017</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222"/>
        </w:trPr>
        <w:tc>
          <w:tcPr>
            <w:tcW w:w="2480" w:type="dxa"/>
            <w:vAlign w:val="bottom"/>
            <w:tcBorders>
              <w:bottom w:val="single" w:sz="8" w:color="0000EE"/>
            </w:tcBorders>
            <w:gridSpan w:val="11"/>
          </w:tcPr>
          <w:p>
            <w:pPr>
              <w:spacing w:after="0"/>
              <w:rPr>
                <w:rFonts w:ascii="Arial" w:cs="Arial" w:eastAsia="Arial" w:hAnsi="Arial"/>
                <w:sz w:val="16"/>
                <w:szCs w:val="16"/>
                <w:color w:val="0000EE"/>
                <w:w w:val="99"/>
              </w:rPr>
            </w:pPr>
            <w:hyperlink w:anchor="page3">
              <w:r>
                <w:rPr>
                  <w:rFonts w:ascii="Arial" w:cs="Arial" w:eastAsia="Arial" w:hAnsi="Arial"/>
                  <w:sz w:val="16"/>
                  <w:szCs w:val="16"/>
                  <w:color w:val="0000EE"/>
                  <w:w w:val="99"/>
                </w:rPr>
                <w:t>Part I. FINANCIAL INFORMATION</w:t>
              </w:r>
            </w:hyperlink>
          </w:p>
        </w:tc>
        <w:tc>
          <w:tcPr>
            <w:tcW w:w="6380" w:type="dxa"/>
            <w:vAlign w:val="bottom"/>
            <w:gridSpan w:val="9"/>
          </w:tcPr>
          <w:p>
            <w:pPr>
              <w:spacing w:after="0"/>
              <w:rPr>
                <w:sz w:val="19"/>
                <w:szCs w:val="19"/>
                <w:color w:val="auto"/>
              </w:rPr>
            </w:pPr>
          </w:p>
        </w:tc>
        <w:tc>
          <w:tcPr>
            <w:tcW w:w="2160" w:type="dxa"/>
            <w:vAlign w:val="bottom"/>
            <w:gridSpan w:val="2"/>
          </w:tcPr>
          <w:p>
            <w:pPr>
              <w:spacing w:after="0"/>
              <w:rPr>
                <w:sz w:val="19"/>
                <w:szCs w:val="19"/>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22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20" w:type="dxa"/>
            <w:vAlign w:val="bottom"/>
            <w:tcBorders>
              <w:bottom w:val="single" w:sz="8" w:color="0000FF"/>
            </w:tcBorders>
            <w:gridSpan w:val="10"/>
          </w:tcPr>
          <w:p>
            <w:pPr>
              <w:spacing w:after="0"/>
              <w:rPr>
                <w:rFonts w:ascii="Arial" w:cs="Arial" w:eastAsia="Arial" w:hAnsi="Arial"/>
                <w:sz w:val="16"/>
                <w:szCs w:val="16"/>
                <w:color w:val="0000FF"/>
                <w:w w:val="90"/>
              </w:rPr>
            </w:pPr>
            <w:hyperlink w:anchor="page3">
              <w:r>
                <w:rPr>
                  <w:rFonts w:ascii="Arial" w:cs="Arial" w:eastAsia="Arial" w:hAnsi="Arial"/>
                  <w:sz w:val="16"/>
                  <w:szCs w:val="16"/>
                  <w:color w:val="0000FF"/>
                  <w:w w:val="90"/>
                </w:rPr>
                <w:t>Condensed Unaudited Consolidated Statements of Operations</w:t>
              </w:r>
            </w:hyperlink>
          </w:p>
        </w:tc>
        <w:tc>
          <w:tcPr>
            <w:tcW w:w="3720" w:type="dxa"/>
            <w:vAlign w:val="bottom"/>
            <w:gridSpan w:val="5"/>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Unaudited Consolidated Statements of Comprehensive Income</w:t>
              </w:r>
            </w:hyperlink>
          </w:p>
        </w:tc>
        <w:tc>
          <w:tcPr>
            <w:tcW w:w="22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40" w:type="dxa"/>
            <w:vAlign w:val="bottom"/>
            <w:tcBorders>
              <w:top w:val="single" w:sz="8" w:color="0000EE"/>
            </w:tcBorders>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Unaudited Consolidated Balance Sheets</w:t>
              </w:r>
            </w:hyperlink>
          </w:p>
        </w:tc>
        <w:tc>
          <w:tcPr>
            <w:tcW w:w="2900" w:type="dxa"/>
            <w:vAlign w:val="bottom"/>
            <w:gridSpan w:val="2"/>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4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Unaudited Consolidated Statements of Cash Flows</w:t>
              </w:r>
            </w:hyperlink>
          </w:p>
        </w:tc>
        <w:tc>
          <w:tcPr>
            <w:tcW w:w="22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r>
      <w:tr>
        <w:trPr>
          <w:trHeight w:val="20"/>
        </w:trPr>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560" w:type="dxa"/>
            <w:vAlign w:val="bottom"/>
            <w:tcBorders>
              <w:bottom w:val="single" w:sz="8" w:color="0000FF"/>
            </w:tcBorders>
            <w:gridSpan w:val="12"/>
          </w:tcPr>
          <w:p>
            <w:pPr>
              <w:spacing w:after="0"/>
              <w:rPr>
                <w:rFonts w:ascii="Arial" w:cs="Arial" w:eastAsia="Arial" w:hAnsi="Arial"/>
                <w:sz w:val="16"/>
                <w:szCs w:val="16"/>
                <w:color w:val="0000FF"/>
                <w:w w:val="90"/>
              </w:rPr>
            </w:pPr>
            <w:hyperlink w:anchor="page7">
              <w:r>
                <w:rPr>
                  <w:rFonts w:ascii="Arial" w:cs="Arial" w:eastAsia="Arial" w:hAnsi="Arial"/>
                  <w:sz w:val="16"/>
                  <w:szCs w:val="16"/>
                  <w:color w:val="0000FF"/>
                  <w:w w:val="90"/>
                </w:rPr>
                <w:t>Notes to the Condensed Unaudited Consolidated Financial Statements</w:t>
              </w:r>
            </w:hyperlink>
          </w:p>
        </w:tc>
        <w:tc>
          <w:tcPr>
            <w:tcW w:w="3180" w:type="dxa"/>
            <w:vAlign w:val="bottom"/>
            <w:gridSpan w:val="3"/>
          </w:tcPr>
          <w:p>
            <w:pPr>
              <w:spacing w:after="0"/>
              <w:rPr>
                <w:sz w:val="21"/>
                <w:szCs w:val="21"/>
                <w:color w:val="auto"/>
              </w:rPr>
            </w:pPr>
          </w:p>
        </w:tc>
        <w:tc>
          <w:tcPr>
            <w:tcW w:w="2160" w:type="dxa"/>
            <w:vAlign w:val="bottom"/>
            <w:gridSpan w:val="2"/>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Management’s Discussion and Analysis of Financial Condition and Results of Operations</w:t>
              </w:r>
            </w:hyperlink>
          </w:p>
        </w:tc>
        <w:tc>
          <w:tcPr>
            <w:tcW w:w="2240" w:type="dxa"/>
            <w:vAlign w:val="bottom"/>
            <w:gridSpan w:val="3"/>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3</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Quantitative and Qualitative Disclosures About Market Risk</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820" w:type="dxa"/>
            <w:vAlign w:val="bottom"/>
            <w:tcBorders>
              <w:left w:val="single" w:sz="8" w:color="0000FF"/>
            </w:tcBorders>
            <w:gridSpan w:val="6"/>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4</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Controls and Procedures</w:t>
              </w:r>
            </w:hyperlink>
          </w:p>
        </w:tc>
        <w:tc>
          <w:tcPr>
            <w:tcW w:w="2240" w:type="dxa"/>
            <w:vAlign w:val="bottom"/>
            <w:gridSpan w:val="3"/>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200" w:type="dxa"/>
            <w:vAlign w:val="bottom"/>
            <w:tcBorders>
              <w:bottom w:val="single" w:sz="8" w:color="0000EE"/>
            </w:tcBorders>
            <w:gridSpan w:val="9"/>
          </w:tcPr>
          <w:p>
            <w:pPr>
              <w:spacing w:after="0"/>
              <w:rPr>
                <w:rFonts w:ascii="Arial" w:cs="Arial" w:eastAsia="Arial" w:hAnsi="Arial"/>
                <w:sz w:val="16"/>
                <w:szCs w:val="16"/>
                <w:color w:val="0000EE"/>
                <w:w w:val="97"/>
              </w:rPr>
            </w:pPr>
            <w:hyperlink w:anchor="page42">
              <w:r>
                <w:rPr>
                  <w:rFonts w:ascii="Arial" w:cs="Arial" w:eastAsia="Arial" w:hAnsi="Arial"/>
                  <w:sz w:val="16"/>
                  <w:szCs w:val="16"/>
                  <w:color w:val="0000EE"/>
                  <w:w w:val="97"/>
                </w:rPr>
                <w:t>Part II. OTHER INFORMATION</w:t>
              </w:r>
            </w:hyperlink>
          </w:p>
        </w:tc>
        <w:tc>
          <w:tcPr>
            <w:tcW w:w="6660" w:type="dxa"/>
            <w:vAlign w:val="bottom"/>
            <w:gridSpan w:val="11"/>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2">
              <w:r>
                <w:rPr>
                  <w:rFonts w:ascii="Arial" w:cs="Arial" w:eastAsia="Arial" w:hAnsi="Arial"/>
                  <w:sz w:val="16"/>
                  <w:szCs w:val="16"/>
                  <w:color w:val="0000FF"/>
                  <w:w w:val="78"/>
                </w:rPr>
                <w:t>42</w:t>
              </w:r>
            </w:hyperlink>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1</w:t>
              </w:r>
            </w:hyperlink>
          </w:p>
        </w:tc>
        <w:tc>
          <w:tcPr>
            <w:tcW w:w="7740" w:type="dxa"/>
            <w:vAlign w:val="bottom"/>
            <w:gridSpan w:val="1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Legal Proceedings</w:t>
              </w:r>
            </w:hyperlink>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1A</w:t>
              </w:r>
            </w:hyperlink>
          </w:p>
        </w:tc>
        <w:tc>
          <w:tcPr>
            <w:tcW w:w="7740" w:type="dxa"/>
            <w:vAlign w:val="bottom"/>
            <w:gridSpan w:val="1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Risk Factors</w:t>
              </w:r>
            </w:hyperlink>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2</w:t>
              </w:r>
            </w:hyperlink>
          </w:p>
        </w:tc>
        <w:tc>
          <w:tcPr>
            <w:tcW w:w="340" w:type="dxa"/>
            <w:vAlign w:val="bottom"/>
            <w:gridSpan w:val="2"/>
          </w:tcPr>
          <w:p>
            <w:pPr>
              <w:spacing w:after="0"/>
              <w:rPr>
                <w:sz w:val="20"/>
                <w:szCs w:val="20"/>
                <w:color w:val="auto"/>
              </w:rPr>
            </w:pPr>
          </w:p>
        </w:tc>
        <w:tc>
          <w:tcPr>
            <w:tcW w:w="7740" w:type="dxa"/>
            <w:vAlign w:val="bottom"/>
            <w:gridSpan w:val="1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Unregistered Sales of Equity Securities and Use of Proceeds</w:t>
              </w:r>
            </w:hyperlink>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Item 4</w:t>
              </w:r>
            </w:hyperlink>
          </w:p>
        </w:tc>
        <w:tc>
          <w:tcPr>
            <w:tcW w:w="7740" w:type="dxa"/>
            <w:vAlign w:val="bottom"/>
            <w:gridSpan w:val="15"/>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Mine Safety Disclosures</w:t>
              </w:r>
            </w:hyperlink>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6</w:t>
              </w:r>
            </w:hyperlink>
          </w:p>
        </w:tc>
        <w:tc>
          <w:tcPr>
            <w:tcW w:w="7740" w:type="dxa"/>
            <w:vAlign w:val="bottom"/>
            <w:gridSpan w:val="1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Exhibits</w:t>
              </w:r>
            </w:hyperlink>
          </w:p>
        </w:tc>
        <w:tc>
          <w:tcPr>
            <w:tcW w:w="2240" w:type="dxa"/>
            <w:vAlign w:val="bottom"/>
            <w:gridSpan w:val="3"/>
          </w:tcPr>
          <w:p>
            <w:pPr>
              <w:jc w:val="right"/>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0"/>
        </w:trPr>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37"/>
        </w:trPr>
        <w:tc>
          <w:tcPr>
            <w:tcW w:w="1120" w:type="dxa"/>
            <w:vAlign w:val="bottom"/>
            <w:gridSpan w:val="5"/>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SIGNATURES</w:t>
              </w:r>
            </w:hyperlink>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40" w:type="dxa"/>
            <w:vAlign w:val="bottom"/>
            <w:gridSpan w:val="3"/>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r>
      <w:tr>
        <w:trPr>
          <w:trHeight w:val="676"/>
        </w:trPr>
        <w:tc>
          <w:tcPr>
            <w:tcW w:w="2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12"/>
          </w:tcPr>
          <w:p>
            <w:pPr>
              <w:ind w:left="440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400" w:top="531" w:right="39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For the Three Months Ended</w:t>
            </w:r>
          </w:p>
        </w:tc>
        <w:tc>
          <w:tcPr>
            <w:tcW w:w="180" w:type="dxa"/>
            <w:vAlign w:val="bottom"/>
          </w:tcPr>
          <w:p>
            <w:pPr>
              <w:spacing w:after="0"/>
              <w:rPr>
                <w:sz w:val="17"/>
                <w:szCs w:val="17"/>
                <w:color w:val="auto"/>
              </w:rPr>
            </w:pPr>
          </w:p>
        </w:tc>
        <w:tc>
          <w:tcPr>
            <w:tcW w:w="21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5"/>
              </w:rPr>
              <w:t>For the Nine Months Ended</w:t>
            </w:r>
          </w:p>
        </w:tc>
      </w:tr>
      <w:tr>
        <w:trPr>
          <w:trHeight w:val="210"/>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21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1,955,752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1,586,181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5,004,116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3,792,811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Costs of revenue, excluding 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1,726,173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1,368,988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4,323,642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3,321,571</w:t>
            </w: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122,249</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66,397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202,001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195,031</w:t>
            </w: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37,895</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Equity in (earnings) losses of unconsolidated affiliates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(3,549)</w:t>
            </w: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(12,803)</w:t>
            </w: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107,579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95,346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314,330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132,417</w:t>
            </w: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(54,331)</w:t>
            </w:r>
          </w:p>
        </w:tc>
      </w:tr>
      <w:tr>
        <w:trPr>
          <w:trHeight w:val="217"/>
        </w:trPr>
        <w:tc>
          <w:tcPr>
            <w:tcW w:w="65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64,201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56,530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188,160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78,086</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Net income attributable to MasTec, Inc.</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63,752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56,277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186,390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77,672</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1"/>
        </w:trPr>
        <w:tc>
          <w:tcPr>
            <w:tcW w:w="6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Earnings per share (Note 2):</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r>
      <w:tr>
        <w:trPr>
          <w:trHeight w:val="217"/>
        </w:trPr>
        <w:tc>
          <w:tcPr>
            <w:tcW w:w="6520" w:type="dxa"/>
            <w:vAlign w:val="bottom"/>
          </w:tcPr>
          <w:p>
            <w:pPr>
              <w:ind w:left="180"/>
              <w:spacing w:after="0"/>
              <w:rPr>
                <w:sz w:val="20"/>
                <w:szCs w:val="20"/>
                <w:color w:val="auto"/>
              </w:rPr>
            </w:pPr>
            <w:r>
              <w:rPr>
                <w:rFonts w:ascii="Arial" w:cs="Arial" w:eastAsia="Arial" w:hAnsi="Arial"/>
                <w:sz w:val="16"/>
                <w:szCs w:val="16"/>
                <w:color w:val="auto"/>
              </w:rPr>
              <w:t>Basic weighted average common shares outstanding</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80,953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80,462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80,859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80,323</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6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6"/>
                <w:szCs w:val="16"/>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0.96</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81,241</w:t>
            </w:r>
          </w:p>
        </w:tc>
      </w:tr>
      <w:tr>
        <w:trPr>
          <w:trHeight w:val="20"/>
        </w:trPr>
        <w:tc>
          <w:tcPr>
            <w:tcW w:w="6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For the Three Months Ended</w:t>
            </w:r>
          </w:p>
        </w:tc>
        <w:tc>
          <w:tcPr>
            <w:tcW w:w="180" w:type="dxa"/>
            <w:vAlign w:val="bottom"/>
          </w:tcPr>
          <w:p>
            <w:pPr>
              <w:spacing w:after="0"/>
              <w:rPr>
                <w:sz w:val="17"/>
                <w:szCs w:val="17"/>
                <w:color w:val="auto"/>
              </w:rPr>
            </w:pPr>
          </w:p>
        </w:tc>
        <w:tc>
          <w:tcPr>
            <w:tcW w:w="21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5"/>
              </w:rPr>
              <w:t>For the Nine Months Ended</w:t>
            </w:r>
          </w:p>
        </w:tc>
      </w:tr>
      <w:tr>
        <w:trPr>
          <w:trHeight w:val="210"/>
        </w:trPr>
        <w:tc>
          <w:tcPr>
            <w:tcW w:w="6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21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78,086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gains (losses),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4,417</w:t>
            </w:r>
          </w:p>
        </w:tc>
      </w:tr>
      <w:tr>
        <w:trPr>
          <w:trHeight w:val="237"/>
        </w:trPr>
        <w:tc>
          <w:tcPr>
            <w:tcW w:w="6520" w:type="dxa"/>
            <w:vAlign w:val="bottom"/>
          </w:tcPr>
          <w:p>
            <w:pPr>
              <w:ind w:left="200"/>
              <w:spacing w:after="0"/>
              <w:rPr>
                <w:sz w:val="20"/>
                <w:szCs w:val="20"/>
                <w:color w:val="auto"/>
              </w:rPr>
            </w:pPr>
            <w:r>
              <w:rPr>
                <w:rFonts w:ascii="Arial" w:cs="Arial" w:eastAsia="Arial" w:hAnsi="Arial"/>
                <w:sz w:val="16"/>
                <w:szCs w:val="16"/>
                <w:color w:val="auto"/>
              </w:rPr>
              <w:t>Unrealized gains (losses) on equity investee activity, net of tax</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(12,932)</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69,571</w:t>
            </w:r>
          </w:p>
        </w:tc>
      </w:tr>
      <w:tr>
        <w:trPr>
          <w:trHeight w:val="217"/>
        </w:trPr>
        <w:tc>
          <w:tcPr>
            <w:tcW w:w="6520" w:type="dxa"/>
            <w:vAlign w:val="bottom"/>
          </w:tcPr>
          <w:p>
            <w:pPr>
              <w:ind w:left="200"/>
              <w:spacing w:after="0"/>
              <w:rPr>
                <w:sz w:val="20"/>
                <w:szCs w:val="20"/>
                <w:color w:val="auto"/>
              </w:rPr>
            </w:pPr>
            <w:r>
              <w:rPr>
                <w:rFonts w:ascii="Arial" w:cs="Arial" w:eastAsia="Arial" w:hAnsi="Arial"/>
                <w:sz w:val="16"/>
                <w:szCs w:val="16"/>
                <w:color w:val="auto"/>
              </w:rPr>
              <w:t>Comprehensive income attributable to non-controlling interests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414</w:t>
            </w:r>
          </w:p>
        </w:tc>
      </w:tr>
      <w:tr>
        <w:trPr>
          <w:trHeight w:val="33"/>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Comprehensive income attributable to MasTec,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187,518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69,157</w:t>
            </w:r>
          </w:p>
        </w:tc>
      </w:tr>
      <w:tr>
        <w:trPr>
          <w:trHeight w:val="20"/>
        </w:trPr>
        <w:tc>
          <w:tcPr>
            <w:tcW w:w="6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72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BALANCE SHEETS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shares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38,767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1,534,790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1,156,031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111,031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53,832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41,548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55,109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1,747,747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1,402,486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691,430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549,084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1,135,450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995,874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179,711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172,094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55,977</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3,942,175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3,183,132</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Liabilities and equity</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86,547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64,600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363,668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salaries and wages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119,553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67,126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128,769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112,291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111,898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161,459</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70,846</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1,002,151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839,990</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1,192,311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961,379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274,465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178,355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99,774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2,639,130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2,079,498</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(Note 14)</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340" w:type="dxa"/>
            <w:vAlign w:val="bottom"/>
          </w:tcPr>
          <w:p>
            <w:pPr>
              <w:ind w:left="180"/>
              <w:spacing w:after="0"/>
              <w:rPr>
                <w:sz w:val="20"/>
                <w:szCs w:val="20"/>
                <w:color w:val="auto"/>
              </w:rPr>
            </w:pPr>
            <w:r>
              <w:rPr>
                <w:rFonts w:ascii="Arial" w:cs="Arial" w:eastAsia="Arial" w:hAnsi="Arial"/>
                <w:sz w:val="16"/>
                <w:szCs w:val="16"/>
                <w:color w:val="auto"/>
                <w:w w:val="95"/>
              </w:rPr>
              <w:t>Common stock, $0.10 par value: authorized shares - 145,000,000; issued shares - 90,843,339 and 90,634,771 (including</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340" w:type="dxa"/>
            <w:vAlign w:val="bottom"/>
          </w:tcPr>
          <w:p>
            <w:pPr>
              <w:ind w:left="180"/>
              <w:spacing w:after="0"/>
              <w:rPr>
                <w:sz w:val="20"/>
                <w:szCs w:val="20"/>
                <w:color w:val="auto"/>
              </w:rPr>
            </w:pPr>
            <w:r>
              <w:rPr>
                <w:rFonts w:ascii="Arial" w:cs="Arial" w:eastAsia="Arial" w:hAnsi="Arial"/>
                <w:sz w:val="16"/>
                <w:szCs w:val="16"/>
                <w:color w:val="auto"/>
                <w:w w:val="95"/>
              </w:rPr>
              <w:t>1,790,632 and 1,927,286 of unvested restricted shares) as of September 30, 2017 and December 31, 2016, respectively</w:t>
            </w:r>
          </w:p>
        </w:tc>
        <w:tc>
          <w:tcPr>
            <w:tcW w:w="18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9,063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788,914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696,331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509,941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(65,814)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 at cost: 8,094,004 shares as of both September 30, 2017 and December 31, 2016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(145,573)</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MasTec, Inc.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1,295,453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1,096,531</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7,103</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1,103,634</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3,942,175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3,183,132</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720"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2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Nine Months Ended September 30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188,160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78,086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138,384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122,249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stock-based compensation expense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10,551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11,291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(benefit from) 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unconsolidated affiliates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losses on sales of assets, net, including fixed assets held-for-sale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non-cash items,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(334,383)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(302,590)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assets, current and long-term portion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(61,900)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48,032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172,731</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Billings in excess of costs and earnings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16,581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Book overdrafts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8,883</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Other liabilities, current and long-term portion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39,030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(8,872)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127,141</w:t>
            </w:r>
          </w:p>
        </w:tc>
        <w:tc>
          <w:tcPr>
            <w:tcW w:w="0" w:type="dxa"/>
            <w:vAlign w:val="bottom"/>
          </w:tcPr>
          <w:p>
            <w:pPr>
              <w:spacing w:after="0"/>
              <w:rPr>
                <w:sz w:val="1"/>
                <w:szCs w:val="1"/>
                <w:color w:val="auto"/>
              </w:rPr>
            </w:pP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(83,330)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(89,050)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for other investments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(77,105)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(8,858)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other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(249,429)</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(94,061)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credit facilities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2,002,430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1,186,816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(1,840,409)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(1,149,930)</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Repayments of other borrowings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(12,080)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(8,188)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(41,828)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Payments of acquisition-related contingent consideration</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(19,822)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Proceeds from stock-based awards,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17"/>
        </w:trPr>
        <w:tc>
          <w:tcPr>
            <w:tcW w:w="8340" w:type="dxa"/>
            <w:vAlign w:val="bottom"/>
          </w:tcPr>
          <w:p>
            <w:pPr>
              <w:ind w:left="20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75,622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currency translation on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5,055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4,443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4,984</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43,822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9,427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47,163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40,433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15,141</w:t>
            </w:r>
          </w:p>
        </w:tc>
        <w:tc>
          <w:tcPr>
            <w:tcW w:w="0" w:type="dxa"/>
            <w:vAlign w:val="bottom"/>
          </w:tcPr>
          <w:p>
            <w:pPr>
              <w:spacing w:after="0"/>
              <w:rPr>
                <w:sz w:val="1"/>
                <w:szCs w:val="1"/>
                <w:color w:val="auto"/>
              </w:rPr>
            </w:pPr>
          </w:p>
        </w:tc>
      </w:tr>
      <w:tr>
        <w:trPr>
          <w:trHeight w:val="237"/>
        </w:trPr>
        <w:tc>
          <w:tcPr>
            <w:tcW w:w="8340" w:type="dxa"/>
            <w:vAlign w:val="bottom"/>
          </w:tcPr>
          <w:p>
            <w:pPr>
              <w:ind w:left="20"/>
              <w:spacing w:after="0"/>
              <w:rPr>
                <w:sz w:val="20"/>
                <w:szCs w:val="20"/>
                <w:color w:val="auto"/>
              </w:rPr>
            </w:pPr>
            <w:r>
              <w:rPr>
                <w:rFonts w:ascii="Arial" w:cs="Arial" w:eastAsia="Arial" w:hAnsi="Arial"/>
                <w:sz w:val="16"/>
                <w:szCs w:val="16"/>
                <w:color w:val="auto"/>
              </w:rPr>
              <w:t>Supplemental disclosure of non-cash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Acquisition-related contingent consideration, new business combinations</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89,614</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3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60"/>
              <w:spacing w:after="0"/>
              <w:rPr>
                <w:sz w:val="20"/>
                <w:szCs w:val="20"/>
                <w:color w:val="auto"/>
              </w:rPr>
            </w:pPr>
            <w:r>
              <w:rPr>
                <w:rFonts w:ascii="Arial" w:cs="Arial" w:eastAsia="Arial" w:hAnsi="Arial"/>
                <w:sz w:val="16"/>
                <w:szCs w:val="16"/>
                <w:color w:val="auto"/>
              </w:rPr>
              <w:t>Equipment acquired under capital lease and financing arrangements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129,567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13,015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capital expenditures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4,119</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consolidated financial statements.</w:t>
      </w:r>
    </w:p>
    <w:p>
      <w:pPr>
        <w:sectPr>
          <w:pgSz w:w="11900" w:h="16838" w:orient="portrait"/>
          <w:cols w:equalWidth="0" w:num="1">
            <w:col w:w="11420"/>
          </w:cols>
          <w:pgMar w:left="240" w:top="531" w:right="239" w:bottom="425"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531" w:right="239" w:bottom="425"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UNAUDITED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power generation; heavy civil; and industrial infrastructure. MasTec’s customers are primarily in these industries. MasTec reports its results under five reportable segments: (1) Communications; (2) Oil and Gas; (3) Electrical Transmission; (4) Power Generation and Industrial; and (5) Other.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accompanying condensed unaudited consolidated financial statements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condensed consolidated balance sheet as of December 31, 2016 is derived from the Company’s audited financial statements as of that date. Because certain information and footnote disclosures have been condensed or omitted, these condensed unaudited consolidated financial statements should be read in conjunction with the audited consolidated financial statements and notes thereto as of and for the year ended December 31, 2016 contained in the Company’s 2016 Annual Report on Form 10-K (the “2016 Form 10-K”). In management’s opinion, all normal and recurring adjustments considered necessary for a fair presentation of the financial position, results of operations and cash flows for the periods presented have been included. Certain prior year amounts have been reclassified to conform to the current period presentation. Interim period operating results do not necessarily indicate the results that may be expected for any other interim period or for the full fiscal year. The Company believes that the disclosures made in these condensed unaudited consolidated financial statements are adequate to make the information not misleading.</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The accompanying condensed unaudited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The Company’s investments in entities for which the Company does not have a controlling interest, but for which it has the ability to exert significant influence, are accounted for using the equity method of accounting. Equity method investments are recorded as other long-term assets, or, for investments in a net liability position, within other long-term liabilities. Income or loss from these investments is recorded as a separate line item in the statements of operations. Intercompany profits or losses associated with the Company’s equity method investments are eliminated until realized by the investee in transactions with third parties. For equity investees in which the Company has an undivided interest in the assets, liabilities and profits or losses of an unincorporated entity, but the Company does not exercise control over the entity, the Company consolidates its proportional interest in the accounts of the entity. The cost method is used for investments in entities for which the Company does not have the ability to exert significant influence.</w:t>
      </w:r>
    </w:p>
    <w:p>
      <w:pPr>
        <w:spacing w:after="0" w:line="1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it would be consolidated, and other parties’ interests in the VIE would be accounted for as non-controlling interests. The primary beneficiary consolidating the VIE must normally have both (i) the power to direct the primary activities of the VIE and (ii) the obligation to absorb losses of the VIE or the right to receive benefits from the VIE, which, in either case, could be significant to the VIE. As of September 30, 2017, the Company determined that certain of its investment arrangements were VIEs; however, because it does not have the power to direct the primary activities that most significantly impact the economic performance of these VIEs, the Company is not the primary beneficiary, and accordingly, has not consolidated these VIEs.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assets and liabilities of foreign subsidiaries with a functional currency other than the U.S. dollar are translated into U.S. dollars at period-end exchange rates, with resulting translation gains or losses accumulated within other comprehensive income or loss. Revenue and expenses are translated into U.S. dollars at average rates of exchange during the applicable period. Substantially all of the Company’s foreign operations use their local currency as their functional currency. Currency gains or losses resulting from transactions executed in currencies other than the functional currency are included in other income or expense, net. In these condensed unaudited consolidated financial statements, “$” means U.S. dollars unless otherwise noted.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preparation of consolidated financial statements in conformity with U.S. GAAP requires the use of estimates and assumptions that affect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31" w:right="2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4"/>
          <w:szCs w:val="14"/>
          <w:color w:val="auto"/>
        </w:rPr>
        <w:t>the amounts reported in the consolidated financial statements and accompanying notes. Key estimates include: the recognition of revenue and project profit or loss (which the Company defines as project revenue, less project costs of revenue, including project-related depreciation), in particular, on construction contracts accounted for under the percentage-of-completion method, for which the recorded amounts require estimates of costs to complete and the amount of probable contract price adjustments; allowances for doubtful accounts; estimated fair values of goodwill and intangible assets; acquisition-related contingent consideration and investments in equity investees; asset lives used in computing depreciation and amortization; fair values of financial instruments; accrued self-insured claims; share-based compensation; other accruals and allowances; accounting for income taxes; and the estimated impact of litigation and other contingencies. While management believes that such estimates are reasonable when considered in conjunction with the Company’s consolidated financial position and results of operations taken as a whole, actual results could differ materially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5"/>
          <w:szCs w:val="15"/>
          <w:color w:val="auto"/>
        </w:rPr>
        <w:t>Revenue is derived from construction projects performed under master and other service agreements as well as from contracts for specific projects or jobs requiring the construction and installation of an entire infrastructure system or specified units within an entire infrastructure system. The Company frequently provides services under unit price or fixed price master service or other service agreements. Revenue and related costs for master and other service agreements billed on a time and materials basis are recognized as the services are rendered. Revenue derived from projects performed under master service and other service agreements totaled 32% and 38% of consolidated revenue for the three month periods ended September 30, 2017 and 2016, respectively, and totaled 35% and 43% for the nine month periods ended September 30, 2017 and 2016, respectively. The Company also performs services under master and other service agreements on a fixed fee basis, under which MasTec furnishes specified units of service for a fixed price per unit of service and revenue is recognized as the services are rendered. Revenue from fixed price contracts provides for a fixed amount of revenue for the entire project, subject to certain additions for changed scope or specifications. Revenue from these contracts, as well as for certain projects pursuant to master and other service agreements, is recognized using the percentage-of-completion method, under which the percentage of revenue to be recognized for a given project is measured by the percentage of costs incurred to date on the contract to the total estimated costs for the contract. Such contracts provide that the customer accept completion of progress to date and compensate the Company for services rendered, which may be measured in terms of costs incurred, units installed, hours expended or some other measure of progress. Contract costs include all direct materials, labor and subcontracted costs and those indirect costs related to contract performance, such as indirect labor, supplies, tools, repairs and the operational costs of capital equipment. Much of the materials associated with the Company’s work are customer-furnished and are therefore not included in contract revenue and costs.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estimation process for revenue recognized under the percentage-of-completion method is based on the professional knowledge and experience of the Company’s project managers, engineers and financial professionals. Management reviews estimates of contract revenue and costs on an ongoing basis. Changes in job performance, job conditions and management’s assessment of expected contract settlements are factors that influence estimates of total contract value and total costs to complete those contracts and, therefore, the Company’s profit recognition. Changes in these factors may result in revisions to costs and income and their effects are recognized in the period in which the revisions are determined, which could materially affect the Company’s results of operations in the period in which such changes are recognized. For both the nine month periods ended September 30, 2017 and 2016, project profit was affected by less than 5% as a result of changes in contract estimates included in projects that were in process as of December 31, 2016 and 2015. Provisions for losses on uncompleted contracts are made in the period in which such losses are determined to be probable and the amount can be reasonably estimated. The majority of fixed price contracts are completed within one year.</w:t>
      </w:r>
    </w:p>
    <w:p>
      <w:pPr>
        <w:spacing w:after="0" w:line="12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color w:val="auto"/>
        </w:rPr>
        <w:t>The Company may incur costs subject to change orders, whether approved or unapproved by the customer, and/or claims related to certain contracts. Management determines the probability that such costs will be recovered based upon engineering studies and legal opinions, past practices with the customer, specific discussions, correspondence or preliminary negotiations with the customer. The Company treats such costs as a cost of contract performance in the period incurred if it is not probable that the costs will be recovered, and defers costs or recognizes revenue up to the amount of the related cost if it is probable that the contract price will be adjusted and can be reliably estimated. As of September 30, 2017 and December 31, 2016, the Company had approximately $77 million and $17 million, respectively, of change orders and/or claims that had been included as contract price adjustments on certain contracts that were in the process of being resolved in the normal course of business, including through negotiation, arbitration and other proceedings. These contract price adjustments, which are included within costs and earnings in excess of billings or billed accounts receivable, as appropriate, represent management’s best estimate of contract revenue that has been earned and that management believes is probable of collection. As of both September 30, 2017 and December 31, 2016, these change orders were primarily related to contracts in the Oil and Gas segment. The Company actively engages in substantive meetings with its customers to complete the final approval process, and generally expects these processes to be completed within one year. The amounts ultimately realized upon final acceptance by its customers could be higher or lower than such estimated amounts.</w:t>
      </w:r>
    </w:p>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Billings In Excess of Costs and Earnings (“BIEC”) on uncompleted contracts is classified within current liabilities. Costs and Earnings In Excess of Billings (“CIEB”), which is also referred to as work in process, is classified within current assets. Work in process on contracts is based on work performed but not yet billed to customers as per individual contract terms.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There have been no changes in the expected dates of adoption or estimated effects on the Company’s consolidated financial statements of recently issued accounting pronouncements from those disclosed in the Company’s 2016 Form 10-K. See below for additional discussion of recently issued accounting pronouncements.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35"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August 2017, the Financial Accounting Standards Board (“FASB”) issued Accounting Standards Update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Targeted Improvements to Accounting for Hedging Activities </w:t>
      </w:r>
      <w:r>
        <w:rPr>
          <w:rFonts w:ascii="Arial" w:cs="Arial" w:eastAsia="Arial" w:hAnsi="Arial"/>
          <w:sz w:val="16"/>
          <w:szCs w:val="16"/>
          <w:color w:val="auto"/>
        </w:rPr>
        <w:t>(“ASU 2017-12”). ASU 2017-12 amends the hedge accounting model in Topic 815 to enable entities to better</w:t>
      </w:r>
      <w:r>
        <w:rPr>
          <w:rFonts w:ascii="Arial" w:cs="Arial" w:eastAsia="Arial" w:hAnsi="Arial"/>
          <w:sz w:val="16"/>
          <w:szCs w:val="16"/>
          <w:i w:val="1"/>
          <w:iCs w:val="1"/>
          <w:color w:val="auto"/>
        </w:rPr>
        <w:t xml:space="preserve"> </w:t>
      </w:r>
      <w:r>
        <w:rPr>
          <w:rFonts w:ascii="Arial" w:cs="Arial" w:eastAsia="Arial" w:hAnsi="Arial"/>
          <w:sz w:val="16"/>
          <w:szCs w:val="16"/>
          <w:color w:val="auto"/>
        </w:rPr>
        <w:t>portray the economics of their risk management activities in the financial statements and enhance the transparency and understandability of hedge results. The guidance eliminates the requirement to separately measure and report hedge ineffectiveness and generally requires the entire change in the fair value of a hedging instrument to be presented in the same income statement line as the hedged item. The guidance also simplifies certain documentation and assessment requirements. ASU 2017-12 is effective for fiscal years, and for interim periods within those fiscal years, beginning after December 15, 2018, with early adoption permitted. All transition requirements and elections should be applied to hedging relationships existing on the date of adoption and their effects should be reflected as of the beginning of the fiscal year of adoption. The presentation and disclosure requirements are effective on a prospective basis. The Company is currently evaluating the potential effect of this ASU on its consolidated financial statements.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In May 2017, FASB issued ASU 2017-09, </w:t>
      </w:r>
      <w:r>
        <w:rPr>
          <w:rFonts w:ascii="Arial" w:cs="Arial" w:eastAsia="Arial" w:hAnsi="Arial"/>
          <w:sz w:val="16"/>
          <w:szCs w:val="16"/>
          <w:i w:val="1"/>
          <w:iCs w:val="1"/>
          <w:color w:val="auto"/>
        </w:rPr>
        <w:t>Compensation - Stock Compensation (Topic 718): Scope of Modification Accounting</w:t>
      </w:r>
      <w:r>
        <w:rPr>
          <w:rFonts w:ascii="Arial" w:cs="Arial" w:eastAsia="Arial" w:hAnsi="Arial"/>
          <w:sz w:val="16"/>
          <w:szCs w:val="16"/>
          <w:color w:val="auto"/>
        </w:rPr>
        <w:t xml:space="preserve"> (“ASU 2017-09”). ASU 2017-09 clarifies when a change to the terms or conditions of a share-based payment award must be accounted for as a modification. Limited and administrative modifications that do not change the value, vesting conditions, or classification of the award are exempt from following the modification guidance in Topic 718. ASU 2017-09 is effective on a prospective basis for fiscal years, and for interim periods within those fiscal years, beginning after December 15, 2017, with early adoption permitted. The Company does not expect the adoption of this ASU to have a material effect on its consolidated financial statements.</w:t>
      </w:r>
    </w:p>
    <w:p>
      <w:pPr>
        <w:spacing w:after="0" w:line="1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 Gains and Losses from the Derecognition of Nonfinancial Assets (Subtopic 610-20):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Scope of Asset Derecognition Guidance and Accounting for Partial Sales of Nonfinancial Assets </w:t>
      </w:r>
      <w:r>
        <w:rPr>
          <w:rFonts w:ascii="Arial" w:cs="Arial" w:eastAsia="Arial" w:hAnsi="Arial"/>
          <w:sz w:val="16"/>
          <w:szCs w:val="16"/>
          <w:color w:val="auto"/>
        </w:rPr>
        <w:t>(“ASU 2017-05”). ASU 2017-05 clarifies certain guidance under Subtopic</w:t>
      </w:r>
      <w:r>
        <w:rPr>
          <w:rFonts w:ascii="Arial" w:cs="Arial" w:eastAsia="Arial" w:hAnsi="Arial"/>
          <w:sz w:val="16"/>
          <w:szCs w:val="16"/>
          <w:i w:val="1"/>
          <w:iCs w:val="1"/>
          <w:color w:val="auto"/>
        </w:rPr>
        <w:t xml:space="preserve"> </w:t>
      </w:r>
      <w:r>
        <w:rPr>
          <w:rFonts w:ascii="Arial" w:cs="Arial" w:eastAsia="Arial" w:hAnsi="Arial"/>
          <w:sz w:val="16"/>
          <w:szCs w:val="16"/>
          <w:color w:val="auto"/>
        </w:rPr>
        <w:t>610-20 that was issued as part of the new revenue standard, including the recognition of gains and losses on the sale or transfer of nonfinancial assets to noncustomers, and clarifies accounting for contributions of nonfinancial assets to joint ventures, among other requirements. ASU 2017-05 is effective on a retrospective basis for fiscal years, and for interim periods within those fiscal years, beginning after December 15, 2017, with early adoption permitted. The Company is currently evaluating the potential effect of this ASU on its consolidated financial statements.</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(“ASU 2014-09”). The core principle of this ASU is that a company will recognize revenue when it transfers goods or services to customers in an amount that reflects the consideration to which it expects to be entitled in exchange for those goods or services. In doing so, companies will need to use judgment and make estimates when evaluating contract terms and other relevant facts and circumstances. Additionally, ASU 2014-09 requires enhanced disclosures about the nature, amount, timing and uncertainty of revenue and cash flows arising from customer contracts. In August 2015, the FASB issued ASU 2015-14, </w:t>
      </w:r>
      <w:r>
        <w:rPr>
          <w:rFonts w:ascii="Arial" w:cs="Arial" w:eastAsia="Arial" w:hAnsi="Arial"/>
          <w:sz w:val="15"/>
          <w:szCs w:val="15"/>
          <w:i w:val="1"/>
          <w:iCs w:val="1"/>
          <w:color w:val="auto"/>
        </w:rPr>
        <w:t>Revenue from Contracts with Customers (Topic 606): Deferral of the Effective Date</w:t>
      </w:r>
      <w:r>
        <w:rPr>
          <w:rFonts w:ascii="Arial" w:cs="Arial" w:eastAsia="Arial" w:hAnsi="Arial"/>
          <w:sz w:val="15"/>
          <w:szCs w:val="15"/>
          <w:color w:val="auto"/>
        </w:rPr>
        <w:t>, which delayed the effective date of ASU 2014-09 by one year. ASU 2014-09, as amended, is effective using either the full retrospective or modified retrospective transition approach for fiscal years, and for interim periods within those years, beginning after December 15, 2017. In 2016, the FASB issued several accounting standards updates to clarify certain topics within ASU 2014-09. The Company will adopt ASU 2014-09, and its related clarifying ASUs, as of January 1, 2018.</w:t>
      </w:r>
    </w:p>
    <w:p>
      <w:pPr>
        <w:spacing w:after="0" w:line="12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4"/>
          <w:szCs w:val="14"/>
          <w:color w:val="auto"/>
        </w:rPr>
        <w:t>The Company has substantially completed its assessment of the potential effects of these ASUs on its consolidated financial statements, business processes, systems and controls. The Company’s assessment included a detailed review of representative contracts at each of the Company’s business units and a comparison of its historical accounting policies and practices to the new standard. Based on the Company’s review of various types of revenue arrangements, the Company expects to recognize revenue and earnings over time utilizing the cost-to-cost measure of progress for its fixed price contracts and certain master service and other service agreements, consistent with current practice. For these contracts, the cost-to-cost measure of progress best depicts the transfer of control of goods or services to the customer under the new standard. The Company has substantially completed its analysis of the information necessary to enable the preparation of the financial statements and related disclosures under the new standard. As part of this analysis, the Company evaluated its information technology capabilities and systems, and does not expect to incur significant information technology costs to modify systems currently in place. The Company will implement targeted changes to its internal reporting processes to facilitate gathering the data needed for reporting and disclosure under the new standard. The Company will also implement updates to its control processes and procedures, as necessary, based on changes resulting from the new standard. The Company does not expect any such updates to materially affect the Company’s internal controls over financial reporting.</w:t>
      </w:r>
    </w:p>
    <w:p>
      <w:pPr>
        <w:spacing w:after="0" w:line="1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Company anticipates adopting the standard using the modified retrospective transition approach. Under this approach, the new standard would apply to all new contracts initiated on or after January 1, 2018. For existing contracts that have remaining obligations as of January 1, 2018, any difference between the recognition criteria in these ASUs and the Company’s current revenue recognition practices would be recognized using a cumulative effect adjustment to the opening balance of retained earnings. Any potential effect of adoption of these ASUs has not yet been quantified; however, based on the review of contracts across all of the Company’s business units to date, the adoption of these ASUs is not expected to have a material effect on the timing or amount of revenue recognized as compared to current practices. The Company is training its business units for the implementation of the new standard, and continues developing the disclosures required by the new standard. The Company is also reviewing certain contracts entered into by its business units subsequent to its initial assessment that are expected to have performance obligations remaining as of January 1, 2018 for any cumulative effect adjustments that may be required upon adoption.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Adopted as of January 1, 2017</w:t>
      </w:r>
    </w:p>
    <w:p>
      <w:pPr>
        <w:spacing w:after="0" w:line="16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 xml:space="preserve">The Company adopted ASU 2016-09, </w:t>
      </w:r>
      <w:r>
        <w:rPr>
          <w:rFonts w:ascii="Arial" w:cs="Arial" w:eastAsia="Arial" w:hAnsi="Arial"/>
          <w:sz w:val="16"/>
          <w:szCs w:val="16"/>
          <w:i w:val="1"/>
          <w:iCs w:val="1"/>
          <w:color w:val="auto"/>
        </w:rPr>
        <w:t>Compensation - Stock Compensation (Topic 718): Improvements to Employee Share-Based Payment Accounting</w:t>
      </w:r>
      <w:r>
        <w:rPr>
          <w:rFonts w:ascii="Arial" w:cs="Arial" w:eastAsia="Arial" w:hAnsi="Arial"/>
          <w:sz w:val="16"/>
          <w:szCs w:val="16"/>
          <w:color w:val="auto"/>
        </w:rPr>
        <w:t xml:space="preserve"> (“ASU 2016-09”) effective January 1, 2017. Under ASU 2016-09, excess tax benefits (“windfalls”) or tax deficiencies (“shortfalls”) are recognized in the income statement, rather than as additional paid-in-capital as under the previous guidance, and are presented as operating cash flows,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35" w:right="2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16"/>
          <w:szCs w:val="16"/>
          <w:color w:val="auto"/>
        </w:rPr>
        <w:t>rather than as a financing activity. This ASU also increased the amount of tax that can be withheld by an employer for employee tax withholdings without resulting in liability classification of an award. Payments to taxing authorities for such employee withholdings are presented as financing activities. ASU 2016-09 also allows companies to account for forfeitures of share-based payments as they occur or to estimate such amounts. The provisions of ASU 2016-09 that were applicable to the Company were adopted on a prospective basis; the retrospective requirement to classify payments to taxing authorities for employee withholdings as a financing activity was consistent with the Company’s existing methodology, therefore did not result in a change. The adoption of ASU 2016-09 is expected to result in volatility in income tax expense given that windfalls or shortfalls are recognized in income tax expense in the periods in which they occur. The other components of this ASU did not have a material effect on the consolidated financial statements. See Note 2 - Earnings Per Share, Note 9 - Stock-Based Compensation and Other Employee Benefit Plans and Note 12 - Income Taxes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under the treasury stock method, which includes the potential effect of dilutive common stock equivalents, such as issued but unvested restricted shares and/or outstanding but unexercised stock options. The Company has no remaining outstanding stock options; all options under the Company’s stock option grants were exercised in 2016. If the Company reports a loss, rather than income, the computation of diluted loss per share excludes the effect of dilutive common stock equivalents, as their effect would be anti-dilutive.</w:t>
      </w:r>
    </w:p>
    <w:p>
      <w:pPr>
        <w:spacing w:after="0" w:line="13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discussed in Note 1 - Business, Basis of Presentation and Significant Accounting Policies, the Company adopted ASU 2016-09 effective January 1, 2017 on a prospective basis. ASU 2016-09 changed the recognition of excess tax benefits or tax deficiencies upon the vesting of share-based payment awards from additional paid-in capital, within equity, to income tax benefit or expense, within the statement of operations. As a result, excess tax benefits or deficiencies under ASU 2016-09 are excluded from assumed proceeds under the treasury stock method. Previously, excess tax benefits or tax deficiencies were included within assumed proceeds. For both the three and nine month periods ended September 30, 2017, this resulted in the inclusion of approximately 0.3 million incremental shares in the Company’s total weighted average diluted shares outstanding.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For the Three Months Ended</w:t>
            </w:r>
          </w:p>
        </w:tc>
        <w:tc>
          <w:tcPr>
            <w:tcW w:w="260" w:type="dxa"/>
            <w:vAlign w:val="bottom"/>
          </w:tcPr>
          <w:p>
            <w:pPr>
              <w:spacing w:after="0"/>
              <w:rPr>
                <w:sz w:val="17"/>
                <w:szCs w:val="17"/>
                <w:color w:val="auto"/>
              </w:rPr>
            </w:pPr>
          </w:p>
        </w:tc>
        <w:tc>
          <w:tcPr>
            <w:tcW w:w="234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8"/>
              </w:rPr>
              <w:t>For the Nine Months Ended</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MasTec: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rPr>
                <w:sz w:val="20"/>
                <w:szCs w:val="20"/>
                <w:color w:val="auto"/>
              </w:rPr>
            </w:pPr>
            <w:r>
              <w:rPr>
                <w:rFonts w:ascii="Arial" w:cs="Arial" w:eastAsia="Arial" w:hAnsi="Arial"/>
                <w:sz w:val="16"/>
                <w:szCs w:val="16"/>
                <w:color w:val="auto"/>
              </w:rPr>
              <w:t xml:space="preserve">Net income - basic and diluted </w:t>
            </w:r>
            <w:r>
              <w:rPr>
                <w:rFonts w:ascii="Arial" w:cs="Arial" w:eastAsia="Arial" w:hAnsi="Arial"/>
                <w:sz w:val="21"/>
                <w:szCs w:val="21"/>
                <w:color w:val="auto"/>
                <w:vertAlign w:val="superscript"/>
              </w:rPr>
              <w:t>(a)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63,752</w:t>
            </w:r>
          </w:p>
        </w:tc>
        <w:tc>
          <w:tcPr>
            <w:tcW w:w="12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56,277</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186,390</w:t>
            </w:r>
          </w:p>
        </w:tc>
        <w:tc>
          <w:tcPr>
            <w:tcW w:w="12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77,672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Weighted average shares outstanding - basic</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80,953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80,462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80,859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80,323</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Dilutive common stock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7"/>
        </w:trPr>
        <w:tc>
          <w:tcPr>
            <w:tcW w:w="6060" w:type="dxa"/>
            <w:vAlign w:val="bottom"/>
          </w:tcPr>
          <w:p>
            <w:pPr>
              <w:ind w:left="200"/>
              <w:spacing w:after="0"/>
              <w:rPr>
                <w:sz w:val="20"/>
                <w:szCs w:val="20"/>
                <w:color w:val="auto"/>
              </w:rPr>
            </w:pPr>
            <w:r>
              <w:rPr>
                <w:rFonts w:ascii="Arial" w:cs="Arial" w:eastAsia="Arial" w:hAnsi="Arial"/>
                <w:sz w:val="16"/>
                <w:szCs w:val="16"/>
                <w:color w:val="auto"/>
              </w:rPr>
              <w:t>Weighted average shares outstanding - diluted</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82,386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81,545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82,281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81,241</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color w:val="auto"/>
              </w:rPr>
              <w:t>Additional information:</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6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Weighted average anti-dilutive common stock equivalents </w:t>
            </w:r>
            <w:r>
              <w:rPr>
                <w:rFonts w:ascii="Arial" w:cs="Arial" w:eastAsia="Arial" w:hAnsi="Arial"/>
                <w:sz w:val="21"/>
                <w:szCs w:val="21"/>
                <w:color w:val="auto"/>
                <w:vertAlign w:val="superscript"/>
              </w:rPr>
              <w:t>(b)</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as total net income less amounts attributable to non-controlling interests.</w:t>
      </w:r>
    </w:p>
    <w:p>
      <w:pPr>
        <w:spacing w:after="0" w:line="21" w:lineRule="exact"/>
        <w:rPr>
          <w:rFonts w:ascii="Arial" w:cs="Arial" w:eastAsia="Arial" w:hAnsi="Arial"/>
          <w:sz w:val="14"/>
          <w:szCs w:val="14"/>
          <w:color w:val="auto"/>
        </w:rPr>
      </w:pPr>
    </w:p>
    <w:p>
      <w:pPr>
        <w:ind w:left="420" w:hanging="412"/>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anti-dilutive common stock equivalents as calculated under the treasury stock method.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Goodwill and Other Intangible Assets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goodwill by reportable segment as of September 30, 2017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8"/>
              </w:rPr>
              <w:t>Power</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5"/>
              </w:rPr>
              <w:t>Electrical</w:t>
            </w: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4"/>
              </w:rPr>
              <w:t>Generation and</w:t>
            </w:r>
          </w:p>
        </w:tc>
        <w:tc>
          <w:tcPr>
            <w:tcW w:w="160" w:type="dxa"/>
            <w:vAlign w:val="bottom"/>
          </w:tcPr>
          <w:p>
            <w:pPr>
              <w:spacing w:after="0"/>
              <w:rPr>
                <w:sz w:val="14"/>
                <w:szCs w:val="14"/>
                <w:color w:val="auto"/>
              </w:rPr>
            </w:pPr>
          </w:p>
        </w:tc>
        <w:tc>
          <w:tcPr>
            <w:tcW w:w="860" w:type="dxa"/>
            <w:vAlign w:val="bottom"/>
          </w:tcPr>
          <w:p>
            <w:pPr>
              <w:jc w:val="right"/>
              <w:ind w:right="26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5"/>
                <w:szCs w:val="15"/>
                <w:b w:val="1"/>
                <w:bCs w:val="1"/>
                <w:color w:val="auto"/>
              </w:rPr>
              <w:t>Communications</w:t>
            </w:r>
          </w:p>
        </w:tc>
        <w:tc>
          <w:tcPr>
            <w:tcW w:w="14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b w:val="1"/>
                <w:bCs w:val="1"/>
                <w:color w:val="auto"/>
              </w:rPr>
              <w:t>Oil and Gas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Transmission</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Industrial</w:t>
            </w:r>
          </w:p>
        </w:tc>
        <w:tc>
          <w:tcPr>
            <w:tcW w:w="160" w:type="dxa"/>
            <w:vAlign w:val="bottom"/>
          </w:tcPr>
          <w:p>
            <w:pPr>
              <w:spacing w:after="0"/>
              <w:rPr>
                <w:sz w:val="17"/>
                <w:szCs w:val="17"/>
                <w:color w:val="auto"/>
              </w:rPr>
            </w:pPr>
          </w:p>
        </w:tc>
        <w:tc>
          <w:tcPr>
            <w:tcW w:w="860" w:type="dxa"/>
            <w:vAlign w:val="bottom"/>
          </w:tcPr>
          <w:p>
            <w:pPr>
              <w:jc w:val="right"/>
              <w:ind w:right="123"/>
              <w:spacing w:after="0"/>
              <w:rPr>
                <w:sz w:val="20"/>
                <w:szCs w:val="20"/>
                <w:color w:val="auto"/>
              </w:rPr>
            </w:pPr>
            <w:r>
              <w:rPr>
                <w:rFonts w:ascii="Arial" w:cs="Arial" w:eastAsia="Arial" w:hAnsi="Arial"/>
                <w:sz w:val="15"/>
                <w:szCs w:val="15"/>
                <w:b w:val="1"/>
                <w:bCs w:val="1"/>
                <w:color w:val="auto"/>
              </w:rPr>
              <w:t>Goodwill</w:t>
            </w:r>
          </w:p>
        </w:tc>
      </w:tr>
      <w:tr>
        <w:trPr>
          <w:trHeight w:val="254"/>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gross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462.4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1,210.9</w:t>
            </w:r>
          </w:p>
        </w:tc>
      </w:tr>
      <w:tr>
        <w:trPr>
          <w:trHeight w:val="246"/>
        </w:trPr>
        <w:tc>
          <w:tcPr>
            <w:tcW w:w="5040" w:type="dxa"/>
            <w:vAlign w:val="bottom"/>
          </w:tcPr>
          <w:p>
            <w:pPr>
              <w:ind w:left="180"/>
              <w:spacing w:after="0"/>
              <w:rPr>
                <w:sz w:val="20"/>
                <w:szCs w:val="20"/>
                <w:color w:val="auto"/>
              </w:rPr>
            </w:pPr>
            <w:r>
              <w:rPr>
                <w:rFonts w:ascii="Arial" w:cs="Arial" w:eastAsia="Arial" w:hAnsi="Arial"/>
                <w:sz w:val="16"/>
                <w:szCs w:val="16"/>
                <w:color w:val="auto"/>
              </w:rPr>
              <w:t>Accumulated impairment losses</w:t>
            </w:r>
          </w:p>
        </w:tc>
        <w:tc>
          <w:tcPr>
            <w:tcW w:w="14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20" w:type="dxa"/>
            <w:vAlign w:val="bottom"/>
          </w:tcPr>
          <w:p>
            <w:pPr>
              <w:jc w:val="right"/>
              <w:ind w:right="3"/>
              <w:spacing w:after="0"/>
              <w:rPr>
                <w:sz w:val="20"/>
                <w:szCs w:val="20"/>
                <w:color w:val="auto"/>
              </w:rPr>
            </w:pPr>
            <w:r>
              <w:rPr>
                <w:rFonts w:ascii="Arial" w:cs="Arial" w:eastAsia="Arial" w:hAnsi="Arial"/>
                <w:sz w:val="15"/>
                <w:szCs w:val="15"/>
                <w:color w:val="auto"/>
              </w:rPr>
              <w:t>(75.4)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(75.4)</w:t>
            </w:r>
          </w:p>
        </w:tc>
      </w:tr>
      <w:tr>
        <w:trPr>
          <w:trHeight w:val="250"/>
        </w:trPr>
        <w:tc>
          <w:tcPr>
            <w:tcW w:w="5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462.4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386.2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1,135.5</w:t>
            </w:r>
          </w:p>
        </w:tc>
      </w:tr>
    </w:tbl>
    <w:p>
      <w:pPr>
        <w:spacing w:after="0" w:line="26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For the nine month period ended September 30, 2017, additions to goodwill from new business combinations totaled $135.3 million. Currency translation effects related to goodwill and accumulated impairment losses totaled approximately $9.8 million of gains and $5.4 million of losses, respectively, for the nine month period ended September 30, 2017. For the nine month period ended September 30, 2016, additions to goodwill from accruals of acquisition-related contingent consideration totaled $5.8 million, and currency translation effects related to goodwill and accumulated impairment losses totaled $6.0 million of gains and $3.1 million of losses,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35"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color w:val="auto"/>
        </w:rPr>
        <w:t>The following table provides a reconciliation of changes in other intangible assets for the period indicated (in millions):</w:t>
      </w:r>
    </w:p>
    <w:p>
      <w:pPr>
        <w:sectPr>
          <w:pgSz w:w="11900" w:h="16838" w:orient="portrait"/>
          <w:cols w:equalWidth="0" w:num="1">
            <w:col w:w="11420"/>
          </w:cols>
          <w:pgMar w:left="240" w:top="6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gross, as of December 31, 2016</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amortization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 as of December 31, 2016</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Additions from new business combinations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expense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Currency translation adjustments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 as of September 30, 2017</w:t>
      </w:r>
    </w:p>
    <w:p>
      <w:pPr>
        <w:spacing w:after="0" w:line="11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Consists principally of trade names and non-compete agreements.</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3910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ind w:left="640"/>
              <w:spacing w:after="0"/>
              <w:rPr>
                <w:sz w:val="20"/>
                <w:szCs w:val="20"/>
                <w:color w:val="auto"/>
              </w:rPr>
            </w:pPr>
            <w:r>
              <w:rPr>
                <w:rFonts w:ascii="Arial" w:cs="Arial" w:eastAsia="Arial" w:hAnsi="Arial"/>
                <w:sz w:val="15"/>
                <w:szCs w:val="15"/>
                <w:b w:val="1"/>
                <w:bCs w:val="1"/>
                <w:color w:val="auto"/>
              </w:rPr>
              <w:t>Non-Amortizing</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Amortizing</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1"/>
              </w:rPr>
              <w:t>Customer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Relationships and</w:t>
            </w:r>
          </w:p>
        </w:tc>
        <w:tc>
          <w:tcPr>
            <w:tcW w:w="22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5"/>
                <w:szCs w:val="25"/>
                <w:b w:val="1"/>
                <w:bCs w:val="1"/>
                <w:color w:val="auto"/>
                <w:vertAlign w:val="superscript"/>
              </w:rPr>
              <w:t>(a)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Trade Names</w:t>
            </w:r>
          </w:p>
        </w:tc>
        <w:tc>
          <w:tcPr>
            <w:tcW w:w="1400" w:type="dxa"/>
            <w:vAlign w:val="bottom"/>
            <w:gridSpan w:val="3"/>
          </w:tcPr>
          <w:p>
            <w:pPr>
              <w:ind w:left="40"/>
              <w:spacing w:after="0"/>
              <w:rPr>
                <w:sz w:val="20"/>
                <w:szCs w:val="20"/>
                <w:color w:val="auto"/>
              </w:rPr>
            </w:pPr>
            <w:r>
              <w:rPr>
                <w:rFonts w:ascii="Arial" w:cs="Arial" w:eastAsia="Arial" w:hAnsi="Arial"/>
                <w:sz w:val="15"/>
                <w:szCs w:val="15"/>
                <w:b w:val="1"/>
                <w:bCs w:val="1"/>
                <w:color w:val="auto"/>
              </w:rPr>
              <w:t>Pre-Qualifications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Backlog</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6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42"/>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74.6</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195.1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323.3</w:t>
            </w:r>
          </w:p>
        </w:tc>
        <w:tc>
          <w:tcPr>
            <w:tcW w:w="0" w:type="dxa"/>
            <w:vAlign w:val="bottom"/>
          </w:tcPr>
          <w:p>
            <w:pPr>
              <w:spacing w:after="0"/>
              <w:rPr>
                <w:sz w:val="1"/>
                <w:szCs w:val="1"/>
                <w:color w:val="auto"/>
              </w:rPr>
            </w:pPr>
          </w:p>
        </w:tc>
      </w:tr>
      <w:tr>
        <w:trPr>
          <w:trHeight w:val="274"/>
        </w:trPr>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(143.6)</w:t>
            </w:r>
          </w:p>
        </w:tc>
        <w:tc>
          <w:tcPr>
            <w:tcW w:w="0" w:type="dxa"/>
            <w:vAlign w:val="bottom"/>
          </w:tcPr>
          <w:p>
            <w:pPr>
              <w:spacing w:after="0"/>
              <w:rPr>
                <w:sz w:val="1"/>
                <w:szCs w:val="1"/>
                <w:color w:val="auto"/>
              </w:rPr>
            </w:pPr>
          </w:p>
        </w:tc>
      </w:tr>
      <w:tr>
        <w:trPr>
          <w:trHeight w:val="25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74.6</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63.2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179.7</w:t>
            </w: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74"/>
        </w:trPr>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23"/>
                <w:szCs w:val="23"/>
                <w:color w:val="auto"/>
              </w:rPr>
            </w:pPr>
          </w:p>
        </w:tc>
        <w:tc>
          <w:tcPr>
            <w:tcW w:w="560" w:type="dxa"/>
            <w:vAlign w:val="bottom"/>
          </w:tcPr>
          <w:p>
            <w:pPr>
              <w:jc w:val="right"/>
              <w:ind w:right="4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50"/>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78.0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74.2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195.5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-1208405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-865505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-522605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4540" w:space="720"/>
            <w:col w:w="6160"/>
          </w:cols>
          <w:pgMar w:left="240" w:top="697" w:right="239" w:bottom="1440" w:gutter="0" w:footer="0" w:header="0"/>
          <w:type w:val="continuous"/>
        </w:sectPr>
      </w:pPr>
    </w:p>
    <w:p>
      <w:pPr>
        <w:spacing w:after="0" w:line="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Amortization expense associated with intangible assets for the three month periods ended September 30, 2017 and 2016 totaled $6.0 million and $5.2 million, respectively, and for the nine month periods ended September 30, 2017 and 2016, totaled $15.0 million and $15.7 million, respectively.</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2017 Acquisitions. </w:t>
      </w:r>
      <w:r>
        <w:rPr>
          <w:rFonts w:ascii="Arial" w:cs="Arial" w:eastAsia="Arial" w:hAnsi="Arial"/>
          <w:sz w:val="16"/>
          <w:szCs w:val="16"/>
          <w:color w:val="auto"/>
        </w:rPr>
        <w:t>During the nine month period ended September 30, 2017, MasTec completed three acquisitions, including (i) a wireline/fiber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construction contractor, which is included in the Company’s Communications segment; (ii) a heavy civil construction services company, which is included in the Company’s Power Generation and Industrial segment, and (iii) an oil and gas pipeline equipment company, which is included in the Company’s Oil and Gas segment. Determination of the estimated fair values of the net assets acquired and the estimated earn-out liabilities for these acquisitions is preliminary as of September 30, 2017, and further adjustments to management’s preliminary estimates may occur.</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summarizes the estimated fair values of consideration paid and identifiable assets acquired and liabilities assumed as of the respective dates of acquisition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Acquisition consideration:</w:t>
            </w:r>
          </w:p>
        </w:tc>
        <w:tc>
          <w:tcPr>
            <w:tcW w:w="500" w:type="dxa"/>
            <w:vAlign w:val="bottom"/>
          </w:tcPr>
          <w:p>
            <w:pPr>
              <w:spacing w:after="0"/>
              <w:rPr>
                <w:sz w:val="18"/>
                <w:szCs w:val="18"/>
                <w:color w:val="auto"/>
              </w:rPr>
            </w:pPr>
          </w:p>
        </w:tc>
        <w:tc>
          <w:tcPr>
            <w:tcW w:w="1640" w:type="dxa"/>
            <w:vAlign w:val="bottom"/>
          </w:tcPr>
          <w:p>
            <w:pPr>
              <w:jc w:val="right"/>
              <w:ind w:right="839"/>
              <w:spacing w:after="0"/>
              <w:rPr>
                <w:sz w:val="20"/>
                <w:szCs w:val="20"/>
                <w:color w:val="auto"/>
              </w:rPr>
            </w:pPr>
            <w:r>
              <w:rPr>
                <w:rFonts w:ascii="Arial" w:cs="Arial" w:eastAsia="Arial" w:hAnsi="Arial"/>
                <w:sz w:val="16"/>
                <w:szCs w:val="16"/>
                <w:b w:val="1"/>
                <w:bCs w:val="1"/>
                <w:color w:val="auto"/>
              </w:rPr>
              <w:t>2017</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118.8</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Fair value of contingent consideration (earn-out liability)</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89.6</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 transferred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208.4</w:t>
            </w:r>
          </w:p>
        </w:tc>
      </w:tr>
      <w:tr>
        <w:trPr>
          <w:trHeight w:val="231"/>
        </w:trPr>
        <w:tc>
          <w:tcPr>
            <w:tcW w:w="9280" w:type="dxa"/>
            <w:vAlign w:val="bottom"/>
          </w:tcPr>
          <w:p>
            <w:pPr>
              <w:ind w:left="4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primarily composed of accounts receivable and $2.8 million of cash acquired</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42.7</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Property and equipment</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56.9</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Amortizing intangible assets</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26.8</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Other long-term assets</w:t>
            </w:r>
          </w:p>
        </w:tc>
        <w:tc>
          <w:tcPr>
            <w:tcW w:w="500" w:type="dxa"/>
            <w:vAlign w:val="bottom"/>
          </w:tcPr>
          <w:p>
            <w:pPr>
              <w:spacing w:after="0"/>
              <w:rPr>
                <w:sz w:val="19"/>
                <w:szCs w:val="19"/>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0.5</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including current portion of capital lease obligations and long-term debt</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(28.4)</w:t>
            </w:r>
          </w:p>
        </w:tc>
      </w:tr>
      <w:tr>
        <w:trPr>
          <w:trHeight w:val="224"/>
        </w:trPr>
        <w:tc>
          <w:tcPr>
            <w:tcW w:w="9280" w:type="dxa"/>
            <w:vAlign w:val="bottom"/>
          </w:tcPr>
          <w:p>
            <w:pPr>
              <w:ind w:left="180"/>
              <w:spacing w:after="0"/>
              <w:rPr>
                <w:sz w:val="20"/>
                <w:szCs w:val="20"/>
                <w:color w:val="auto"/>
              </w:rPr>
            </w:pPr>
            <w:r>
              <w:rPr>
                <w:rFonts w:ascii="Arial" w:cs="Arial" w:eastAsia="Arial" w:hAnsi="Arial"/>
                <w:sz w:val="16"/>
                <w:szCs w:val="16"/>
                <w:color w:val="auto"/>
              </w:rPr>
              <w:t>Long-term debt, including capital lease obligations</w:t>
            </w:r>
          </w:p>
        </w:tc>
        <w:tc>
          <w:tcPr>
            <w:tcW w:w="500" w:type="dxa"/>
            <w:vAlign w:val="bottom"/>
          </w:tcPr>
          <w:p>
            <w:pPr>
              <w:spacing w:after="0"/>
              <w:rPr>
                <w:sz w:val="19"/>
                <w:szCs w:val="19"/>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(9.9)</w:t>
            </w:r>
          </w:p>
        </w:tc>
      </w:tr>
      <w:tr>
        <w:trPr>
          <w:trHeight w:val="33"/>
        </w:trPr>
        <w:tc>
          <w:tcPr>
            <w:tcW w:w="9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w:t>
            </w:r>
          </w:p>
        </w:tc>
      </w:tr>
      <w:tr>
        <w:trPr>
          <w:trHeight w:val="217"/>
        </w:trPr>
        <w:tc>
          <w:tcPr>
            <w:tcW w:w="9280" w:type="dxa"/>
            <w:vAlign w:val="bottom"/>
          </w:tcPr>
          <w:p>
            <w:pPr>
              <w:ind w:left="280"/>
              <w:spacing w:after="0"/>
              <w:rPr>
                <w:sz w:val="20"/>
                <w:szCs w:val="20"/>
                <w:color w:val="auto"/>
              </w:rPr>
            </w:pPr>
            <w:r>
              <w:rPr>
                <w:rFonts w:ascii="Arial" w:cs="Arial" w:eastAsia="Arial" w:hAnsi="Arial"/>
                <w:sz w:val="16"/>
                <w:szCs w:val="16"/>
                <w:color w:val="auto"/>
              </w:rPr>
              <w:t>Total identifiable net assets</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73.1</w:t>
            </w:r>
          </w:p>
        </w:tc>
      </w:tr>
      <w:tr>
        <w:trPr>
          <w:trHeight w:val="33"/>
        </w:trPr>
        <w:tc>
          <w:tcPr>
            <w:tcW w:w="9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135.3</w:t>
            </w:r>
          </w:p>
        </w:tc>
      </w:tr>
      <w:tr>
        <w:trPr>
          <w:trHeight w:val="217"/>
        </w:trPr>
        <w:tc>
          <w:tcPr>
            <w:tcW w:w="9280" w:type="dxa"/>
            <w:vAlign w:val="bottom"/>
          </w:tcPr>
          <w:p>
            <w:pPr>
              <w:ind w:left="280"/>
              <w:spacing w:after="0"/>
              <w:rPr>
                <w:sz w:val="20"/>
                <w:szCs w:val="20"/>
                <w:color w:val="auto"/>
              </w:rPr>
            </w:pPr>
            <w:r>
              <w:rPr>
                <w:rFonts w:ascii="Arial" w:cs="Arial" w:eastAsia="Arial" w:hAnsi="Arial"/>
                <w:sz w:val="16"/>
                <w:szCs w:val="16"/>
                <w:color w:val="auto"/>
              </w:rPr>
              <w:t>Total net assets acquired, including goodwill</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208.4</w:t>
            </w:r>
          </w:p>
        </w:tc>
      </w:tr>
      <w:tr>
        <w:trPr>
          <w:trHeight w:val="33"/>
        </w:trPr>
        <w:tc>
          <w:tcPr>
            <w:tcW w:w="92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Amortizing intangible assets related to the 2017 acquisitions are primarily composed of customer relationships, backlog and other amortizing intangible assets, which had weighted average lives of approximately 11 years, 4 years and 7 years, respectively, and 10 years in total, and will be amortized in a manner consistent with the pattern in which the related benefits are expected to be consumed. The goodwill balances for the respective acquisitions represent the estimated value of each acquired company’s geographic presence in key markets, their assembled workforce, and management team industry-specific project management expertise, as well as synergies expected to be achieved from the combined operations of the acquired companies and MasTec. Approximately $75 million of the acquired goodwill balance as of September 30, 2017 is expected to be tax deductible.</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contingent consideration included in the table above equals the acquired companies’ earnings before interest, taxes, depreciation and amortization (“EBITDA”) above certain thresholds, if applicable, for a period of five years, as set forth in the respective purchase agreements, which amounts are payable annually. The fair values of the earn-out liabilities were estimated using income approaches such as discounted cash flows or option pricing models and incorporate significant inputs not observable in the market. Key assumptions in the estimated valuations include the discount rate and probability-weighted EBITDA projections. Significant changes in any of these assumptions could result in a significantly higher or lower potential earn-out liability.</w:t>
      </w:r>
    </w:p>
    <w:p>
      <w:pPr>
        <w:sectPr>
          <w:pgSz w:w="11900" w:h="16838" w:orient="portrait"/>
          <w:cols w:equalWidth="0" w:num="1">
            <w:col w:w="11420"/>
          </w:cols>
          <w:pgMar w:left="240" w:top="697" w:right="2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697" w:right="239" w:bottom="1440" w:gutter="0" w:footer="0" w:header="0"/>
          <w:type w:val="continuous"/>
        </w:sectPr>
      </w:pPr>
    </w:p>
    <w:bookmarkStart w:id="11" w:name="page12"/>
    <w:bookmarkEnd w:id="11"/>
    <w:p>
      <w:pPr>
        <w:jc w:val="both"/>
        <w:ind w:firstLine="648"/>
        <w:spacing w:after="0" w:line="256" w:lineRule="auto"/>
        <w:rPr>
          <w:sz w:val="20"/>
          <w:szCs w:val="20"/>
          <w:color w:val="auto"/>
        </w:rPr>
      </w:pPr>
      <w:r>
        <w:rPr>
          <w:rFonts w:ascii="Arial" w:cs="Arial" w:eastAsia="Arial" w:hAnsi="Arial"/>
          <w:sz w:val="16"/>
          <w:szCs w:val="16"/>
          <w:color w:val="auto"/>
        </w:rPr>
        <w:t>For the three and nine month periods ended September 30, 2017, pro forma revenue totaled approximately $1,955.8 million and $5,077.4 million, respectively, and pro forma net income totaled approximately $64.4 million and $192.0 million, respectively. For the three and nine month periods ended September 30, 2016, pro forma revenue totaled approximately $1,634.5 million and $3,934.6 million, respectively, and pro forma net income totaled approximately $59.0 million and $81.5 million, respectively.</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above indicated unaudited pro forma financial results, which represent the results of operations of the companies acquired as if the acquired companies had been consolidated as of January 1, 2016, are provided for illustrative purposes only and do not purport to be indicative of the actual results that would have been achieved by the combined companies for the periods indicated, or of the results that may be achieved by the combined companies in the future. The unaudited supplemental pro forma financial results have been prepared by adjusting the historical results of MasTec to include the historical results of the acquired businesses described above, and then adjusted (i) to remove acquisition costs; (ii) to increase amortization expense resulting from the acquired intangible assets; (iii) to increase interest expense as a result of the cash consideration paid; (iv) to reduce interest expense from debt repaid upon acquisition; and (iv) to eliminate the effect of intercompany transactions. Additionally, the unaudited supplemental pro forma financial results do not include adjustments to reflect other cost savings or synergies that may have resulted from these acquisitions. Future results may vary significantly due to future events and transactions, as well as other factors, many of which are beyond MasTec’s control.</w:t>
      </w:r>
    </w:p>
    <w:p>
      <w:pPr>
        <w:spacing w:after="0" w:line="128"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5"/>
          <w:szCs w:val="15"/>
          <w:color w:val="auto"/>
        </w:rPr>
        <w:t>For the three and nine month periods ended September 30, 2017, acquisition-related results included in the Company’s consolidated results of operations included revenue of approximately $62.2 million and $96.1 million, respectively, and net income of approximately $3.2 million and $4.7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financial instruments include cash and cash equivalents, accounts and notes receivable, cash collateral deposited with insurance carriers, life insurance assets, cost and equity method investments, stock warrants, deferred compensation plan assets and liabilities, accounts payable and other current liabilities, acquisition-related contingent consideration, certain intangible assets and liabilities, including off-market contracts, and debt obligations.</w:t>
      </w:r>
    </w:p>
    <w:p>
      <w:pPr>
        <w:spacing w:after="0" w:line="1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12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accounts payable and other current liabilities approximate their fair values. Management believes the carrying values of notes and other receivables, cash collateral deposited with insurance carriers, deferred compensation plan assets and liabilities and outstanding balances on its credit facilities approximate their fair values.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Recurring Basis</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of September 30, 2017 and December 31, 2016, financial instruments required to be measured at fair value on a recurring basis consisted primarily of acquisition-related contingent consideration, which represents the estimated fair value of future earn-outs payable for acquisitions of businesses (“ASC 805 contingent consideration”). ASC 805 contingent consideration is based on management estimates and entity-specific assumptions and is evaluated on an ongoing basis. As of September 30, 2017 and December 31, 2016, the fair value of the Company’s ASC 805 contingent consideration totaled $104.9 million and $45.8 million, respectively, of which $18.9 million and $21.8 million, respectively, was included within other current liabilities. The fair value of the Company’s ASC 805 contingent consideration is estimated using income approaches such as discounted cash flows or option pricing models and incorporates significant inputs not observable in the market. Key assumptions include the discount rate and probability-weighted EBITDA projections. Significant changes in any of these assumptions could result in a significantly higher or lower potential earn-out liability. As of September 30, 2017, the range of potential undiscounted earn-out liabilities was estimated to be between $15 million and $170 million; however, there is no maximum payment amount.</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ASC 805 contingent consideration activity consists primarily of additions from new business combinations, payments of earn-out liabilities, changes in the expected fair value of future earn-out obligations, and, for earn-out liabilities denominated in foreign currencies, translation gains or losses. Fair value adjustments are recorded within other income or expense, and foreign currency translation activity is recorded within other comprehensive income or loss, as appropriate. For the three and nine month periods ended September 30, 2017, additions from new business combinations totaled $64.6 million and $89.6 million, respectively. There were no payments of ASC 805 contingent consideration for the three month period ended September 30, 2017, and payments totaled $18.8 million for the nine month period ended September 30, 2017. For the three and nine month periods ended September 30, 2016, payments totaled $5.3 million and $15.8 million, respectively. Foreign currency translation activity was de minimis for both the three and nine month periods ended September 30, 2017 and September 30, 2016. The Company recognized reductions in the expected fair value of future earn-out obligations totaling $3.0 million and $11.6 million for certain acquired businesses in the Communications and Electrical Transmission segments for the three and nine month periods ended September 30, 2017, respectively, and, during the first quarter of 2016, the Company recognized a net reduction in the expected fair value of future earn-out obligations of $2.3 million for certain of the Company’s western Canadian oil and gas businesses.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35"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6"/>
          <w:szCs w:val="16"/>
          <w:b w:val="1"/>
          <w:bCs w:val="1"/>
          <w:i w:val="1"/>
          <w:iCs w:val="1"/>
          <w:color w:val="auto"/>
        </w:rPr>
        <w:t>Assets and Liabilities Measured at Fair Value on a Non-Recurring Basis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Assets and liabilities recognized or disclosed at fair value on a non-recurring basis, for which remeasurement occurs in the event of an impairment or other measurement event, if applicable, include items such as cost and equity method investments, life insurance assets, long-lived assets, goodwill, other intangible assets and liabilities and debt.</w:t>
      </w:r>
    </w:p>
    <w:p>
      <w:pPr>
        <w:spacing w:after="0" w:line="1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both September 30, 2017 and December 31, 2016, the gross carrying amount of the Company’s 4.875% senior notes due 2023 (the “4.875% Senior Notes”) totaled $400 million. As of September 30, 2017 and December 31, 2016, the estimated fair value of the Company’s 4.875% Senior Notes, based on quoted market prices in active markets, a Level 1 input, totaled $407.0 million and $388.0 million, respectively.</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Cost and Equity Investees. </w:t>
      </w:r>
      <w:r>
        <w:rPr>
          <w:rFonts w:ascii="Arial" w:cs="Arial" w:eastAsia="Arial" w:hAnsi="Arial"/>
          <w:sz w:val="16"/>
          <w:szCs w:val="16"/>
          <w:color w:val="auto"/>
        </w:rPr>
        <w:t>The Company’s cost and equity investees as of September 30, 2017 are primarily composed of: (i) the Company’s equity interests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Trans-Pecos Pipeline, LLC (“TPP”) and Comanche Trail Pipeline, LLC (“CTP,” and together with TPP, the “Waha JVs”); (ii) the Company’s interests in a pre-acquisition equity method investment of Pacer Construction Holdings Corporation and its affiliated operating companies (collectively, “Pacer”); (iii) a $15 million cost investment in Cross Country Infrastructure Services, Inc. (“CCI,” previously, Cross Country Pipeline Supply, Inc.); (iv) the Company’s interests in its proportionately consolidated non-controlled contractual joint ventures; (v) the Company’s equity interests in Pensare Acquisition Corp. (“Pensare”); and (vi) certain other cost and equity method investments. See Note 15 - Related Party Transactions.</w:t>
      </w:r>
    </w:p>
    <w:p>
      <w:pPr>
        <w:spacing w:after="0" w:line="1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fair values of the Company’s cost and equity method investments are not readily observable. The Company is not aware of events or changes in circumstances that would have a significant adverse effect on the carrying values of its cost and/or equity investments as of September 30, 2017 or December 31, 2016. Cumulative undistributed earnings from equity method investees totaled $10.6 million as of September 30, 2017.</w:t>
      </w:r>
    </w:p>
    <w:p>
      <w:pPr>
        <w:spacing w:after="0" w:line="1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i w:val="1"/>
          <w:iCs w:val="1"/>
          <w:color w:val="auto"/>
        </w:rPr>
        <w:t>The Waha JVs</w:t>
      </w:r>
      <w:r>
        <w:rPr>
          <w:rFonts w:ascii="Arial" w:cs="Arial" w:eastAsia="Arial" w:hAnsi="Arial"/>
          <w:sz w:val="16"/>
          <w:szCs w:val="16"/>
          <w:color w:val="auto"/>
        </w:rPr>
        <w:t>. The Waha JVs own and operate two pipelines and a header system that transport natural gas to the Mexican border for export. These pipelines</w:t>
      </w:r>
      <w:r>
        <w:rPr>
          <w:rFonts w:ascii="Arial" w:cs="Arial" w:eastAsia="Arial" w:hAnsi="Arial"/>
          <w:sz w:val="16"/>
          <w:szCs w:val="16"/>
          <w:i w:val="1"/>
          <w:iCs w:val="1"/>
          <w:color w:val="auto"/>
        </w:rPr>
        <w:t xml:space="preserve"> </w:t>
      </w:r>
      <w:r>
        <w:rPr>
          <w:rFonts w:ascii="Arial" w:cs="Arial" w:eastAsia="Arial" w:hAnsi="Arial"/>
          <w:sz w:val="16"/>
          <w:szCs w:val="16"/>
          <w:color w:val="auto"/>
        </w:rPr>
        <w:t>commenced operations in the first half of 2017. There were no equity or other contributions to these joint ventures for the three month period ended September 30, 2017, and for the nine month period ended September 30, 2017, equity and other contributions totaled $73.3 million. As collateral for its equity commitments in the Waha JVs, the Company has issued letters of credit (the “Equity LC Amount”), of which $19 million and $91 million, respectively, were outstanding as of September 30, 2017 and December 31, 2016. Equity in earnings related to the Company’s proportionate share of income from the Waha JVs, which is included within the Company’s Other segment, totaled approximately $7.4 million and $15.1 million for the three and nine month periods ended September 30, 2017, respectively. Equity in earnings from the Waha JVs for the nine month period ended September 30, 2016 was de minimis.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Waha JVs are party to certain interest rate swaps. The Company reflects its proportionate share of any unrealized fair market value gains or losses from fluctuations in interest rates associated with these swaps within other comprehensive income or loss, as appropriate. For the three month period ended September 30, 2017, the Company’s proportionate share of unrecognized unrealized activity on these interest rate swaps was a gain of approximately $1.3 million or $0.8 million, net of tax, and for the nine month period, this activity was a loss of approximately $2.1 million, or $1.3 million, net of tax. For the three and nine month periods ended September 30, 2016, the Company’s proportionate share of unrecognized unrealized activity on these interest rate swaps was a loss of approximately $0.6 million and $21.1 million, respectively, or $0.3 million and $12.9 million, net of tax, respectively.</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Certain subsidiaries of MasTec have provided pipeline construction services to the Waha JVs. For the three and nine month periods ended September 30, 2017, revenue recognized in connection with work performed for the Waha JVs, including intercompany eliminations, totaled $3.6 million and $255.2 million, respectively, and for the three and nine month periods ended September 30, 2016, totaled $80.9 million and $142.8 million, respectively. As of September 30, 2017 and December 31, 2016, related receivables, including retainage, net of BIEC, totaled $52.2 million and $71.2 million, respectively. As of September 30, 2017 and December 31, 2016, the Company’s net investment in the Waha JVs represented an asset totaling approximately $115 million and $6 million, respectively. The Company’s net investment in the Waha JVs differs from its proportionate share of the net assets of the Waha JVs due to capitalized investment costs as well as the effect of intercompany eliminations.</w:t>
      </w:r>
    </w:p>
    <w:p>
      <w:pPr>
        <w:spacing w:after="0" w:line="1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i w:val="1"/>
          <w:iCs w:val="1"/>
          <w:color w:val="auto"/>
        </w:rPr>
        <w:t>Other investments</w:t>
      </w:r>
      <w:r>
        <w:rPr>
          <w:rFonts w:ascii="Arial" w:cs="Arial" w:eastAsia="Arial" w:hAnsi="Arial"/>
          <w:sz w:val="15"/>
          <w:szCs w:val="15"/>
          <w:color w:val="auto"/>
        </w:rPr>
        <w:t>. In connection with the 2014 acquisition of Pacer, the Company acquired equity interests in two joint ventures. There are no remaining amounts</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to be advanced in connection with these investments, and as of March 2016, all related project work had been completed. In the first quarter of 2016, revenue recognized by Pacer on behalf of these entities totaled $0.6 million. One of these entities was liquidated in 2016, and the second, which is in the final stages of liquidation, is being managed by a receiver to assist with the orderly wind-down of its operations. In the first quarter of 2016, $3.6 million of income was recognized related to changes in expected recoveries from these investments. The Company received $12.1 million of proceeds from the receiver in the first quarter of 2017. The remaining investment, for which the Company now has minimal involvement, is reviewed regularly by corporate management for potential changes in expected recovery estimates, and, during the second quarter of 2017, the Company recorded $5.8 million of expense related to changes in expected recovery amounts from this investment. The aggregate net carrying value of this investment, which represents expected recoveries under the receivership arrangement, totaled $14.8 million and $31.4 million as of September 30, 2017 and December 31, 2016, respectively, which amounts are included within other current assets.</w:t>
      </w:r>
    </w:p>
    <w:p>
      <w:pPr>
        <w:spacing w:after="0" w:line="15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During the third quarter of 2017, the Company paid approximately $2.0 million for approximately 4% of the common stock of Pensare and warrants to purchase 2.0 million shares of Pensare common stock, which is a special purpose acquisition company focusing on transactions in the telecommunications industry. The shares of common stock purchased by MasTec are not transferable or salable until one year after Pensare successfully completes a business combination transaction, with limited exceptions, as specified in the agreement. The warrants purchased by MasTec are exercisable at a purchase price of $11.50 per share after Pensare successfully completes a business combination. Both the warrants and shares expire and/or are effectively forfeitable if Pensare does not successfully complete a business combination by February 1, 2019. The warrants, which are derivative financial instruments, and the shares, which are a cost method investment, are included within other long-term assets in the Company’s consolidated financial statements as of September 30, 2017. The fair value of the warrants, as determined based on Level 3 inputs, approximated their cost basis as of September 30, 2017. The fair value of the shares is not readily determinable due to the nature of the restrictions. José R. Mas, MasTec’s Chief Executive Officer, is a director of Pensare.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20"/>
                <w:szCs w:val="20"/>
                <w:color w:val="auto"/>
              </w:rPr>
            </w:pPr>
            <w:r>
              <w:rPr>
                <w:rFonts w:ascii="Arial" w:cs="Arial" w:eastAsia="Arial" w:hAnsi="Arial"/>
                <w:sz w:val="16"/>
                <w:szCs w:val="16"/>
                <w:b w:val="1"/>
                <w:bCs w:val="1"/>
                <w:color w:val="auto"/>
              </w:rPr>
              <w:t>Note 5 - Accounts Receivable, Net of Allowance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1"/>
        </w:trPr>
        <w:tc>
          <w:tcPr>
            <w:tcW w:w="8340" w:type="dxa"/>
            <w:vAlign w:val="bottom"/>
          </w:tcPr>
          <w:p>
            <w:pPr>
              <w:ind w:left="660"/>
              <w:spacing w:after="0"/>
              <w:rPr>
                <w:sz w:val="20"/>
                <w:szCs w:val="20"/>
                <w:color w:val="auto"/>
              </w:rPr>
            </w:pPr>
            <w:r>
              <w:rPr>
                <w:rFonts w:ascii="Arial" w:cs="Arial" w:eastAsia="Arial" w:hAnsi="Arial"/>
                <w:sz w:val="16"/>
                <w:szCs w:val="16"/>
                <w:color w:val="auto"/>
                <w:w w:val="94"/>
              </w:rPr>
              <w:t>The following table provides details of accounts receivable, net of allowance, as of the dates indicated (in millions):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3"/>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billings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Retainage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268.6</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earnings in excess of billings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Accounts receivable, gross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1,543.8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1,164.4</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allowance for doubtful accounts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834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1,534.8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1,156.0</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Retainage, which has been billed, but is not due until completion of performance and acceptance by customers, is expected to be collected within one year.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Receivables expected to be collected beyond one year are recorded within other long-term assets. Provisions for doubtful accounts for each of the three month periods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2017 and 2016 totaled $0.4 million, and for the nine month periods ended September 30, 2017 and 2016, totaled $1.1 million and $2.0 million,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purchased by the customer’s bank in return for a nominal fee. These arrangements, under which amounts can vary based on levels of activity and changes in customer payment terms, improve the collection cycle time of the related receivables. The discount charge, which is included within interest expense, totaled approximately $2.1 million and $0.8 million, respectively, for the three month periods ended September 30, 2017 and 2016, and totaled approximately $4.7 million and $1.7 million, respectively, for the nine month periods ended September 30, 2017 and 2016.</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capital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146.1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1,426.1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1,182.2</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549.1</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gross amount of capitalized internal-use software, which is included within office furniture and equipment, totaled $108.7 million and $107.8 million as of September 30, 2017 and December 31, 2016, respectively. Capitalized internal-use software, net of accumulated amortization, totaled $24.8 million and $30.9 million as of September 30, 2017 and December 31, 2016, respectively. Depreciation and amortization expense associated with property and equipment for the three month periods ended September 30, 2017 and 2016 totaled $44.1 million and $37.4 million, respectively, and totaled $123.4 million and $106.5 million for the nine month periods ended September 30, 2017 and 2016,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2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Note 7 - Debt</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51"/>
        </w:trPr>
        <w:tc>
          <w:tcPr>
            <w:tcW w:w="8920" w:type="dxa"/>
            <w:vAlign w:val="bottom"/>
            <w:gridSpan w:val="5"/>
          </w:tcPr>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3"/>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24"/>
                <w:szCs w:val="24"/>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December 31,</w:t>
            </w:r>
          </w:p>
        </w:tc>
      </w:tr>
      <w:tr>
        <w:trPr>
          <w:trHeight w:val="210"/>
        </w:trPr>
        <w:tc>
          <w:tcPr>
            <w:tcW w:w="52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Description</w:t>
            </w:r>
          </w:p>
        </w:tc>
        <w:tc>
          <w:tcPr>
            <w:tcW w:w="366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Date</w:t>
            </w: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credit facility:</w:t>
            </w:r>
          </w:p>
        </w:tc>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February 22, 2022</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gridSpan w:val="2"/>
          </w:tcPr>
          <w:p>
            <w:pPr>
              <w:ind w:left="180"/>
              <w:spacing w:after="0"/>
              <w:rPr>
                <w:sz w:val="20"/>
                <w:szCs w:val="20"/>
                <w:color w:val="auto"/>
              </w:rPr>
            </w:pPr>
            <w:r>
              <w:rPr>
                <w:rFonts w:ascii="Arial" w:cs="Arial" w:eastAsia="Arial" w:hAnsi="Arial"/>
                <w:sz w:val="16"/>
                <w:szCs w:val="16"/>
                <w:color w:val="auto"/>
              </w:rPr>
              <w:t>Revolving loans</w:t>
            </w:r>
          </w:p>
        </w:tc>
        <w:tc>
          <w:tcPr>
            <w:tcW w:w="3660" w:type="dxa"/>
            <w:vAlign w:val="bottom"/>
            <w:gridSpan w:val="3"/>
          </w:tcPr>
          <w:p>
            <w:pPr>
              <w:ind w:left="356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279.9</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Term loan</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237.5</w:t>
            </w: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4.875% Senior Notes</w:t>
            </w: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March 15, 2023</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400.0</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 weighted average interest rate of 3.5%</w:t>
            </w:r>
          </w:p>
        </w:tc>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 installments through September 1, 2022</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98.6</w:t>
            </w: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Notes payable and other debt obligations</w:t>
            </w:r>
          </w:p>
        </w:tc>
        <w:tc>
          <w:tcPr>
            <w:tcW w:w="3660" w:type="dxa"/>
            <w:vAlign w:val="bottom"/>
            <w:gridSpan w:val="3"/>
          </w:tcPr>
          <w:p>
            <w:pPr>
              <w:ind w:left="20"/>
              <w:spacing w:after="0"/>
              <w:rPr>
                <w:sz w:val="20"/>
                <w:szCs w:val="20"/>
                <w:color w:val="auto"/>
              </w:rPr>
            </w:pPr>
            <w:r>
              <w:rPr>
                <w:rFonts w:ascii="Arial" w:cs="Arial" w:eastAsia="Arial" w:hAnsi="Arial"/>
                <w:sz w:val="16"/>
                <w:szCs w:val="16"/>
                <w:color w:val="auto"/>
              </w:rPr>
              <w:t>Varies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19.8</w:t>
            </w:r>
          </w:p>
        </w:tc>
      </w:tr>
      <w:tr>
        <w:trPr>
          <w:trHeight w:val="33"/>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long-term debt obligations</w:t>
            </w:r>
          </w:p>
        </w:tc>
        <w:tc>
          <w:tcPr>
            <w:tcW w:w="3660" w:type="dxa"/>
            <w:vAlign w:val="bottom"/>
            <w:tcBorders>
              <w:bottom w:val="single" w:sz="8" w:color="CCEEFF"/>
            </w:tcBorders>
            <w:gridSpan w:val="3"/>
            <w:shd w:val="clear" w:color="auto" w:fill="CCEEFF"/>
          </w:tcPr>
          <w:p>
            <w:pPr>
              <w:ind w:left="35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1,035.8</w:t>
            </w:r>
          </w:p>
        </w:tc>
      </w:tr>
      <w:tr>
        <w:trPr>
          <w:trHeight w:val="237"/>
        </w:trPr>
        <w:tc>
          <w:tcPr>
            <w:tcW w:w="5260" w:type="dxa"/>
            <w:vAlign w:val="bottom"/>
            <w:gridSpan w:val="2"/>
          </w:tcPr>
          <w:p>
            <w:pPr>
              <w:ind w:left="280"/>
              <w:spacing w:after="0"/>
              <w:rPr>
                <w:sz w:val="20"/>
                <w:szCs w:val="20"/>
                <w:color w:val="auto"/>
              </w:rPr>
            </w:pPr>
            <w:r>
              <w:rPr>
                <w:rFonts w:ascii="Arial" w:cs="Arial" w:eastAsia="Arial" w:hAnsi="Arial"/>
                <w:sz w:val="16"/>
                <w:szCs w:val="16"/>
                <w:color w:val="auto"/>
              </w:rPr>
              <w:t>Less unamortized deferred financing costs</w:t>
            </w: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debt, net of deferred financing costs</w:t>
            </w:r>
          </w:p>
        </w:tc>
        <w:tc>
          <w:tcPr>
            <w:tcW w:w="3660" w:type="dxa"/>
            <w:vAlign w:val="bottom"/>
            <w:tcBorders>
              <w:bottom w:val="single" w:sz="8" w:color="CCEEFF"/>
            </w:tcBorders>
            <w:gridSpan w:val="3"/>
            <w:shd w:val="clear" w:color="auto" w:fill="CCEEFF"/>
          </w:tcPr>
          <w:p>
            <w:pPr>
              <w:ind w:left="35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1,026.0</w:t>
            </w:r>
          </w:p>
        </w:tc>
      </w:tr>
      <w:tr>
        <w:trPr>
          <w:trHeight w:val="217"/>
        </w:trPr>
        <w:tc>
          <w:tcPr>
            <w:tcW w:w="5260" w:type="dxa"/>
            <w:vAlign w:val="bottom"/>
            <w:gridSpan w:val="2"/>
          </w:tcPr>
          <w:p>
            <w:pPr>
              <w:ind w:left="280"/>
              <w:spacing w:after="0"/>
              <w:rPr>
                <w:sz w:val="20"/>
                <w:szCs w:val="20"/>
                <w:color w:val="auto"/>
              </w:rPr>
            </w:pPr>
            <w:r>
              <w:rPr>
                <w:rFonts w:ascii="Arial" w:cs="Arial" w:eastAsia="Arial" w:hAnsi="Arial"/>
                <w:sz w:val="16"/>
                <w:szCs w:val="16"/>
                <w:color w:val="auto"/>
              </w:rPr>
              <w:t>Current portion of long-term debt</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64.6</w:t>
            </w:r>
          </w:p>
        </w:tc>
      </w:tr>
      <w:tr>
        <w:trPr>
          <w:trHeight w:val="33"/>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Long-term debt</w:t>
            </w:r>
          </w:p>
        </w:tc>
        <w:tc>
          <w:tcPr>
            <w:tcW w:w="354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961.4</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The Company has a senior secured credit facility (the “Credit Facility”), which was amended and restated on February 22, 2017. The Company refers to its amended and restated credit facility as the “2017 Credit Facility,” and to its previous credit facility as the “2016 Credit Facility.” The 2017 Credit Facility increased the Company’s aggregate borrowing commitments from approximately $1.2 billion to $1.5 billion, which amount is composed of $1.1 billion of revolving commitments and a term loan in the aggregate principal amount of $400 million. The amended and restated credit facility also extended the Credit Facility’s maturity date to February 22, 2022. As of September 30, 2017, term loans in the aggregate principal amount of $400 million were drawn under the 2017 Credit Facility. The term loan is subject to amortization in quarterly principal installments that commence in December 2017, which as of September 30, 2017, amounted to $3.1 million, which amount is subject to adjustment for additional term loans and, if applicable, for certain prepayments. As of December 31, 2016, term loans in the aggregate principal amount of $238 million were outstanding.</w:t>
      </w:r>
    </w:p>
    <w:p>
      <w:pPr>
        <w:spacing w:after="0" w:line="1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2017 Credit Facility also increased the amount the Company can borrow either in Canadian dollars and/or Mexican pesos up to an aggregate equivalent amount of $300 million. The maximum amount available for letters of credit under the 2017 Credit Facility is $650 million, of which up to $200 million can be denominated in either Canadian dollars and/or Mexican pesos. The Credit Facility also provides for swing line loans of up to $75 million, and, subject to certain conditions, the Company has the option to increase revolving commitments and/or establish additional term loan tranches up to an aggregate amount of $250 million. Subject to the terms and conditions described in the Credit Facility, these additional term loan tranches may rank equal or junior in respect of right of payment and/or collateral to the Credit Facility, and may have terms and pricing that differ from the 2017 Credit Facility. Borrowings under the Credit Facility are used for working capital requirements, capital expenditures and other corporate purposes, including investments in equity or other investees, potential acquisitions or other strategic arrangements, and the repurchase or prepayment of indebtedness.</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Outstanding revolving loans and the term loan under the Credit Facility bear interest, at the Company’s option, at a rate equal to either (a) a Eurocurrency Rate, as defined in the 2017 Credit Facility, plus a margin of 1.25% to 2.00% (under the 2016 Credit Facility, the margin was from 1.00% to 2.00%), or (b) a Base Rate, as defined in the 2017 Credit Facility, plus a margin of 0.25% to 1.00% (under the 2016 Credit Facility, the margin was from 0.00% to 1.00%). The Base Rate equals the highest of (i) the Federal Funds Rate, as defined in the Credit Facility, plus 0.50%, (ii) Bank of America’s prime rate, and (iii) the Eurocurrency Rate plus 1.00%. Financial standby letters of credit and commercial letters of credit issued under the 2017 Credit Facility are subject to a letter of credit fee of 1.25% to 2.00% (under the 2016 Credit Facility, the letter of credit fee was from 1.00% to 2.00%), and performance standby letters of credit are subject to a letter of credit fee of 0.50% to 1.00% under the Credit Facility. The Company must also pay a commitment fee to the lenders of 0.20% to 0.40% on any unused availability under the Credit Facility. In each of the foregoing cases, the applicable margin or fee is based on the Company’s Consolidated Leverage Ratio, as defined in the Credit Facility, as of the then most recent fiscal quarter.</w:t>
      </w:r>
    </w:p>
    <w:p>
      <w:pPr>
        <w:spacing w:after="0" w:line="12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of September 30, 2017 and December 31, 2016, outstanding revolving loans, which included $171 million and $119 million, respectively, of borrowings denominated in foreign currencies, accrued interest at weighted average rates of approximately 2.96% and 3.71% per annum, respectively. The term loan accrued interest at a rate of 2.86% and 2.77% as of September 30, 2017 and December 31, 2016, respectively. Letters of credit of approximately $189.1 million and $314.3 million were issued as of September 30, 2017 and December 31, 2016, respectively. As of September 30, 2017 and December 31, 2016, letters of credit fees accrued at 0.750% and 1.00% per annum, respectively, for performance standby letters of credit, and at 1.625% and 2.00% per annum, respectively, for financial standby letters of credit. Outstanding letters of credit mature at various dates and most have automatic renewal provisions, subject to prior notice of cancellation. As of September 30, 2017 and December 31, 2016, availability for revolving loans totaled $610.3 million and $405.9 million, respectively, or up to $460.9 million and $335.7 million, respectively, for new letters of credit. Revolving loan borrowing capacity included $129.4 million and $80.9 million of availability in either Canadian dollars or Mexican pesos as of September 30, 2017 and December 31, 2016, respectively. The unused facility fee as of September 30, 2017 and December 31, 2016 accrued at a rate of 0.30% and 0.40%,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828" w:right="239" w:bottom="1440" w:gutter="0" w:footer="0" w:header="0"/>
        </w:sectPr>
      </w:pPr>
    </w:p>
    <w:bookmarkStart w:id="15" w:name="page16"/>
    <w:bookmarkEnd w:id="15"/>
    <w:p>
      <w:pPr>
        <w:jc w:val="both"/>
        <w:ind w:firstLine="648"/>
        <w:spacing w:after="0" w:line="267" w:lineRule="auto"/>
        <w:rPr>
          <w:sz w:val="20"/>
          <w:szCs w:val="20"/>
          <w:color w:val="auto"/>
        </w:rPr>
      </w:pPr>
      <w:r>
        <w:rPr>
          <w:rFonts w:ascii="Arial" w:cs="Arial" w:eastAsia="Arial" w:hAnsi="Arial"/>
          <w:sz w:val="15"/>
          <w:szCs w:val="15"/>
          <w:color w:val="auto"/>
        </w:rPr>
        <w:t>The Credit Facility is guaranteed by certain subsidiaries of the Company (the “Guarantor Subsidiaries”) and the obligations under the Credit Facility are secured by substantially all of the Company’s and the Guarantor Subsidiaries’ respective assets, subject to certain exceptions. The Credit Facility requires that the Company maintain a Maximum Consolidated Leverage Ratio, as defined in the Credit Facility, of 3.50 (subject to the Acquisition Adjustment described below). The Credit Facility also requires that the Company maintain a Minimum Consolidated Interest Coverage Ratio, as defined in the Credit Facility, of 3.00. The Credit Facility provides that, for purposes of calculating the Consolidated Leverage Ratio, certain cash charges may be added back to the calculation of Consolidated EBITDA, as defined in the Credit Facility, and funded indebtedness excludes undrawn standby performance letters of credit. Additionally, notwithstanding the terms discussed above, subject to certain conditions, if a permitted acquisition or series of permitted acquisitions having consideration exceeding $50 million occurs during a fiscal quarter, the Consolidated Leverage Ratio may be temporarily increased to up to 3.75 during such fiscal quarter and the subsequent two fiscal quarters. Such right may be exercised no more than two times during the term of the Credit Facility. Subject to customary exceptions, the Credit Facility limits the borrowers’ and the Guarantor Subsidiaries’ ability to engage in certain activities, including acquisitions, mergers and consolidations, debt incurrence, investments, capital expenditures, asset sales, debt prepayments, lien incurrence and the making of distributions or repurchases of capital stock. However, distributions payable solely in capital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with respect to the collateral securing the Credit Facility obligations.</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Other Credit Facilities</w:t>
      </w:r>
      <w:r>
        <w:rPr>
          <w:rFonts w:ascii="Arial" w:cs="Arial" w:eastAsia="Arial" w:hAnsi="Arial"/>
          <w:sz w:val="16"/>
          <w:szCs w:val="16"/>
          <w:color w:val="auto"/>
        </w:rPr>
        <w:t>. The Company has other credit facilities that support the working capital requirements of its foreign operations. Borrowings under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facilities, which have varying dates of maturity and are generally renewed on an annual basis, are denominated in Canadian dollars. As September 30, 2017 and December 31, 2016, maximum borrowing capacity totaled Canadian $20.0 million and $40.0 million, respectively, or approximately $16.0 million and $29.8 million, respectively. As of September 30, 2017 and December 31, 2016, outstanding borrowings totaled approximately $5.4 million and $13.4 million, respectively, and accrued interest at a weighted average rate of approximately 4.0% and 3.6%, respectively. Outstanding borrowings that are not renewed are repaid with borrowings under the Company’s senior secured credit facility. Accordingly, the carrying amounts of the Company’s borrowings under its other credit facilities, which are included within notes payable and other debt obligations in the table above, are classified within long-term debt in the Company’s consolidated balance sheets. The Company’s other credit facilities are subject to customary provisions and covenants.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Guarantees and Covenants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4.875% Senior Notes are senior unsecured unsubordinated obligations and rank equal in right of payment with existing and future unsubordinated debt, and rank senior in right of payment to existing and future subordinated debt and are fully and unconditionally guaranteed on an unsecured, unsubordinated, joint and several basis by certain of the Company’s existing and future 100%-owned direct and indirect domestic subsidiaries that are each guarantors of the Company’s Credit Facility or other outstanding indebtedness. See Note 16 - Supplemental Guarantor Condensed Unaudited Consolidating Financial Information.</w:t>
      </w:r>
    </w:p>
    <w:p>
      <w:pPr>
        <w:spacing w:after="0" w:line="133" w:lineRule="exact"/>
        <w:rPr>
          <w:sz w:val="20"/>
          <w:szCs w:val="20"/>
          <w:color w:val="auto"/>
        </w:rPr>
      </w:pPr>
    </w:p>
    <w:p>
      <w:pPr>
        <w:ind w:left="340" w:right="1160" w:firstLine="324"/>
        <w:spacing w:after="0" w:line="458" w:lineRule="auto"/>
        <w:rPr>
          <w:sz w:val="20"/>
          <w:szCs w:val="20"/>
          <w:color w:val="auto"/>
        </w:rPr>
      </w:pPr>
      <w:r>
        <w:rPr>
          <w:rFonts w:ascii="Arial" w:cs="Arial" w:eastAsia="Arial" w:hAnsi="Arial"/>
          <w:sz w:val="16"/>
          <w:szCs w:val="16"/>
          <w:color w:val="auto"/>
        </w:rPr>
        <w:t xml:space="preserve">MasTec was in compliance with the provisions and covenants of its outstanding debt instruments as of September 30, 2017 and December 31, 2016. </w:t>
      </w:r>
      <w:r>
        <w:rPr>
          <w:rFonts w:ascii="Arial" w:cs="Arial" w:eastAsia="Arial" w:hAnsi="Arial"/>
          <w:sz w:val="16"/>
          <w:szCs w:val="16"/>
          <w:b w:val="1"/>
          <w:bCs w:val="1"/>
          <w:i w:val="1"/>
          <w:iCs w:val="1"/>
          <w:color w:val="auto"/>
        </w:rPr>
        <w:t>Additional Information</w:t>
      </w:r>
    </w:p>
    <w:p>
      <w:pPr>
        <w:jc w:val="both"/>
        <w:ind w:right="20" w:firstLine="648"/>
        <w:spacing w:after="0" w:line="256" w:lineRule="auto"/>
        <w:rPr>
          <w:sz w:val="20"/>
          <w:szCs w:val="20"/>
          <w:color w:val="auto"/>
        </w:rPr>
      </w:pPr>
      <w:r>
        <w:rPr>
          <w:rFonts w:ascii="Arial" w:cs="Arial" w:eastAsia="Arial" w:hAnsi="Arial"/>
          <w:sz w:val="16"/>
          <w:szCs w:val="16"/>
          <w:color w:val="auto"/>
        </w:rPr>
        <w:t>As of September 30, 2017 and December 31, 2016, accrued interest payable, which is recorded within other accrued expenses in the consolidated balance sheets, totaled $4.1 million and $8.5 million, respectively. Additionally, in connection with the 2017 Credit Facility amendment, the Company paid approximately $6 million in financing costs for the nine month period ended September 30, 2017. For additional information pertaining to the Company’s debt instruments, including its 4.875% Senior Notes, see Note 7 - Debt in the Company’s 2016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Capital Leases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enters into agreements that provide lease financing for machinery and equipment. The gross amount of assets held under capital leases as of September 30, 2017 and December 31, 2016, which are included within property and equipment, net, totaled $404.1 million and $294.9 million, respectively. Assets held under capital leases, net of accumulated depreciation, totaled $269.6 million and $177.5 million as of September 30, 2017 and December 31, 2016, respectively.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In the ordinary course of business, the Company enters into non-cancelable operating leases for certain of its facility, vehicle and equipment needs, including related party leases. See Note 15 - Related Party Transactions. Rent and related expense for operating leases that have non-cancelable terms in excess of one year totaled approximately $25.4 million and $25.9 million for the three month periods ended September 30, 2017 and 2016, respectively, and totaled $77.6 million and $74.8 million for the nine month periods ended September 30, 2017 and 2016, respectively. The Company also incurred rent and related expense for facilities, vehicles and equipment having original terms of one year or less totaling approximately $159.4 million and $96.7 million for the three month periods ended September 30, 2017 and 2016, respectively, and totaling $347.8 million and $213.9 million for the nine month periods ended September 30,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stock-based compensation plans, under which shares of the Company’s common stock are reserved for issuance. Under all stock-based compensation plans in effect as of September 30, 2017, including employee stock purchase plans, there were approximately 4.9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35" w:right="239" w:bottom="1440" w:gutter="0" w:footer="0" w:header="0"/>
        </w:sectPr>
      </w:pPr>
    </w:p>
    <w:bookmarkStart w:id="16" w:name="page17"/>
    <w:bookmarkEnd w:id="16"/>
    <w:p>
      <w:pPr>
        <w:jc w:val="both"/>
        <w:spacing w:after="0" w:line="315" w:lineRule="auto"/>
        <w:rPr>
          <w:sz w:val="20"/>
          <w:szCs w:val="20"/>
          <w:color w:val="auto"/>
        </w:rPr>
      </w:pPr>
      <w:r>
        <w:rPr>
          <w:rFonts w:ascii="Arial" w:cs="Arial" w:eastAsia="Arial" w:hAnsi="Arial"/>
          <w:sz w:val="14"/>
          <w:szCs w:val="14"/>
          <w:color w:val="auto"/>
        </w:rPr>
        <w:t>shares available for future grant. In March 2017, the Company’s board of directors adopted the Amended and Restated 2013 Incentive Compensation Plan (the “Amended 2013 ICP”), which was effective as of January 1, 2017 and changed the amount of tax the Company can withhold for employee tax withholdings on share-based awards, as provided under ASU 2016-09. The Company adopted ASU 2016-09 as of January 1, 2017, as discussed in Note 1 - Business, Basis of Presentation and Significant Accounting Policies.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MasTec grants restricted stock awards and restricted stock units (together “restricted shares”), which are valued based on the closing market share price of MasTec common stock (the “market price”) on the date of grant. During the restriction period, holders of restricted stock awards are entitled to vote the shares. Total unearned compensation related to restricted shares as of September 30, 2017 was approximately $15.8 million, which is expected to be recognized over a weighted average period of approximately 1.1 years. The intrinsic value of restricted shares that vested, which is based on the market price on the date of vesting, totaled $0.1 million for both the three month periods ended September 30, 2017 and 2016, and totaled $11.9 million and $1.5 million for the nine month periods ended September 30, 2017 and 2016,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Per Share Weighted</w:t>
            </w:r>
          </w:p>
        </w:tc>
      </w:tr>
      <w:tr>
        <w:trPr>
          <w:trHeight w:val="203"/>
        </w:trPr>
        <w:tc>
          <w:tcPr>
            <w:tcW w:w="8340" w:type="dxa"/>
            <w:vAlign w:val="bottom"/>
          </w:tcPr>
          <w:p>
            <w:pPr>
              <w:spacing w:after="0"/>
              <w:rPr>
                <w:sz w:val="17"/>
                <w:szCs w:val="17"/>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Restricted</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Average Grant Date</w:t>
            </w: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color w:val="auto"/>
                <w:vertAlign w:val="superscript"/>
              </w:rPr>
              <w:t>(a)</w:t>
            </w:r>
          </w:p>
        </w:tc>
        <w:tc>
          <w:tcPr>
            <w:tcW w:w="1620" w:type="dxa"/>
            <w:vAlign w:val="bottom"/>
            <w:gridSpan w:val="2"/>
          </w:tcPr>
          <w:p>
            <w:pPr>
              <w:ind w:left="52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21"/>
                <w:szCs w:val="21"/>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December 31, 2016</w:t>
            </w:r>
          </w:p>
        </w:tc>
        <w:tc>
          <w:tcPr>
            <w:tcW w:w="15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193,348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39.47</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(304,211)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40.72</w:t>
            </w: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(30,041)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20.24</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restricted shares, as of September 30, 2017</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1,829,682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Includes 39,050 and 43,300 restricted stock units as of September 30, 2017 </w:t>
      </w:r>
      <w:r>
        <w:rPr>
          <w:rFonts w:ascii="Arial" w:cs="Arial" w:eastAsia="Arial" w:hAnsi="Arial"/>
          <w:sz w:val="16"/>
          <w:szCs w:val="16"/>
          <w:color w:val="auto"/>
        </w:rPr>
        <w:t>and</w:t>
      </w:r>
      <w:r>
        <w:rPr>
          <w:rFonts w:ascii="Arial" w:cs="Arial" w:eastAsia="Arial" w:hAnsi="Arial"/>
          <w:sz w:val="14"/>
          <w:szCs w:val="14"/>
          <w:color w:val="auto"/>
        </w:rPr>
        <w:t xml:space="preserve"> December 31, 2016,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 Options</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previously granted options to purchase its common stock to employees and members of the Board of Directors and affiliates under various stock option plans. During 2016, all stock options that were outstanding under previous stock option grants were exercised. The intrinsic value of options exercised, which is based on the difference between the exercise price and the market share price of the Company’s common stock on the date of exercise, totaled $0.5 million and $1.8 million for the three and nine month periods ended September 30, 2016, respectively. Net of shares withheld in cashless option exercises, there were no proceeds from option exercises for the three month period ended September 30, 2016, and for the nine month period ended September 30, 2016, proceeds totaled $1.9 million.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Employee Stock Purchase Plans</w:t>
      </w:r>
    </w:p>
    <w:p>
      <w:pPr>
        <w:spacing w:after="0" w:line="16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certain employee stock purchase plans (collectively, “ESPPs”) under which shares of the Company's common stock are available for purchase by eligible employees. The following table provides details pertaining to the Company’s ESPPs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Nine Months Ended September 30</w:t>
            </w:r>
          </w:p>
        </w:tc>
      </w:tr>
      <w:tr>
        <w:trPr>
          <w:trHeight w:val="33"/>
        </w:trPr>
        <w:tc>
          <w:tcPr>
            <w:tcW w:w="8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Cash proceeds </w:t>
            </w:r>
            <w:r>
              <w:rPr>
                <w:rFonts w:ascii="Arial" w:cs="Arial" w:eastAsia="Arial" w:hAnsi="Arial"/>
                <w:sz w:val="15"/>
                <w:szCs w:val="15"/>
                <w:color w:val="auto"/>
              </w:rPr>
              <w:t>(in millions)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Common shares issued</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68,789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115,556</w:t>
            </w:r>
          </w:p>
        </w:tc>
      </w:tr>
      <w:tr>
        <w:trPr>
          <w:trHeight w:val="33"/>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price per share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Weighted average per share grant date fair value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4.58</w:t>
            </w:r>
          </w:p>
        </w:tc>
      </w:tr>
    </w:tbl>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Non-Cash Stock-Based Compensation Expense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non-cash stock-based compensation expense and related tax effects for the periods indicated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760" w:type="dxa"/>
            <w:vAlign w:val="bottom"/>
            <w:gridSpan w:val="6"/>
          </w:tcPr>
          <w:p>
            <w:pPr>
              <w:ind w:left="34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0"/>
        </w:trPr>
        <w:tc>
          <w:tcPr>
            <w:tcW w:w="6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stock-based compensation expense</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66"/>
        </w:trPr>
        <w:tc>
          <w:tcPr>
            <w:tcW w:w="6060" w:type="dxa"/>
            <w:vAlign w:val="bottom"/>
          </w:tcPr>
          <w:p>
            <w:pPr>
              <w:ind w:left="40"/>
              <w:spacing w:after="0"/>
              <w:rPr>
                <w:sz w:val="20"/>
                <w:szCs w:val="20"/>
                <w:color w:val="auto"/>
              </w:rPr>
            </w:pPr>
            <w:r>
              <w:rPr>
                <w:rFonts w:ascii="Arial" w:cs="Arial" w:eastAsia="Arial" w:hAnsi="Arial"/>
                <w:sz w:val="15"/>
                <w:szCs w:val="15"/>
                <w:b w:val="1"/>
                <w:bCs w:val="1"/>
                <w:color w:val="auto"/>
              </w:rPr>
              <w:t>Income Tax Effects:</w:t>
            </w: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effect of non-cash stock-based compensation</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311"/>
        </w:trPr>
        <w:tc>
          <w:tcPr>
            <w:tcW w:w="6060" w:type="dxa"/>
            <w:vAlign w:val="bottom"/>
          </w:tcPr>
          <w:p>
            <w:pPr>
              <w:ind w:left="180"/>
              <w:spacing w:after="0"/>
              <w:rPr>
                <w:sz w:val="20"/>
                <w:szCs w:val="20"/>
                <w:color w:val="auto"/>
              </w:rPr>
            </w:pPr>
            <w:r>
              <w:rPr>
                <w:rFonts w:ascii="Arial" w:cs="Arial" w:eastAsia="Arial" w:hAnsi="Arial"/>
                <w:sz w:val="16"/>
                <w:szCs w:val="16"/>
                <w:color w:val="auto"/>
              </w:rPr>
              <w:t xml:space="preserve">Excess tax benefit from non-cash stock-based compensation </w:t>
            </w:r>
            <w:r>
              <w:rPr>
                <w:rFonts w:ascii="Arial" w:cs="Arial" w:eastAsia="Arial" w:hAnsi="Arial"/>
                <w:sz w:val="21"/>
                <w:szCs w:val="21"/>
                <w:color w:val="auto"/>
                <w:vertAlign w:val="superscript"/>
              </w:rPr>
              <w:t>(a)</w:t>
            </w: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24"/>
                <w:szCs w:val="24"/>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w:t>
            </w:r>
          </w:p>
        </w:tc>
      </w:tr>
    </w:tbl>
    <w:p>
      <w:pPr>
        <w:jc w:val="both"/>
        <w:ind w:left="420" w:hanging="412"/>
        <w:spacing w:after="0" w:line="252" w:lineRule="auto"/>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Excess tax benefits represent cash flows from tax deductions in excess of the tax effect of compensation expense associated with share-based payment arrangements. For the nine month period ended September 30, 2017, the Company incurred a net tax deficiency of $0.1 million related to the vesting of share-based payment awards and excess tax benefits were de minimis. As discussed in Note 1 - Business, Basis of Presentation and Significant Accounting Policies, the Company adopted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35" w:right="239" w:bottom="1440" w:gutter="0" w:footer="0" w:header="0"/>
        </w:sectPr>
      </w:pPr>
    </w:p>
    <w:bookmarkStart w:id="17" w:name="page18"/>
    <w:bookmarkEnd w:id="17"/>
    <w:p>
      <w:pPr>
        <w:ind w:left="420"/>
        <w:spacing w:after="0" w:line="414" w:lineRule="auto"/>
        <w:rPr>
          <w:sz w:val="20"/>
          <w:szCs w:val="20"/>
          <w:color w:val="auto"/>
        </w:rPr>
      </w:pPr>
      <w:r>
        <w:rPr>
          <w:rFonts w:ascii="Arial" w:cs="Arial" w:eastAsia="Arial" w:hAnsi="Arial"/>
          <w:sz w:val="14"/>
          <w:szCs w:val="14"/>
          <w:color w:val="auto"/>
        </w:rPr>
        <w:t>ASU 2016-09 effective January 1, 2017 on a prospective basis. ASU 2016-09 changed the required presentation of excess tax benefits in the consolidated statement of cash flows from financing activities to operating activities. Excess tax benefits for the comparative prior year period are classified as cash flows from financing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b w:val="1"/>
          <w:bCs w:val="1"/>
          <w:i w:val="1"/>
          <w:iCs w:val="1"/>
          <w:color w:val="auto"/>
        </w:rPr>
        <w:t xml:space="preserve">Multiemployer Plans. </w:t>
      </w:r>
      <w:r>
        <w:rPr>
          <w:rFonts w:ascii="Arial" w:cs="Arial" w:eastAsia="Arial" w:hAnsi="Arial"/>
          <w:sz w:val="15"/>
          <w:szCs w:val="15"/>
          <w:color w:val="auto"/>
        </w:rPr>
        <w:t>Certain of MasTec’s subsidiaries, including certain subsidiaries in Canada, contribute amounts to multiemployer pension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multiemployer benefit plans and trusts, which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assessed on a “pay-as-you-go” basis based on union employee payrolls. Union payrolls cannot be determined for future periods because the number of union employees employed at a given time, and the plans in which they may participate, vary depending upon the location and number of ongoing projects at a given time and the need for union resources in connection with those projects. Total contributions to multiemployer plans, and the related number of employees covered by these plans, including with respect to the Company’s Canadian operations, for the periods indicated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Multiemployer Plans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20"/>
                <w:szCs w:val="20"/>
                <w:color w:val="auto"/>
              </w:rPr>
            </w:pPr>
          </w:p>
        </w:tc>
        <w:tc>
          <w:tcPr>
            <w:tcW w:w="2840" w:type="dxa"/>
            <w:vAlign w:val="bottom"/>
            <w:gridSpan w:val="6"/>
          </w:tcPr>
          <w:p>
            <w:pPr>
              <w:ind w:left="1020"/>
              <w:spacing w:after="0"/>
              <w:rPr>
                <w:sz w:val="20"/>
                <w:szCs w:val="20"/>
                <w:color w:val="auto"/>
              </w:rPr>
            </w:pPr>
            <w:r>
              <w:rPr>
                <w:rFonts w:ascii="Arial" w:cs="Arial" w:eastAsia="Arial" w:hAnsi="Arial"/>
                <w:sz w:val="16"/>
                <w:szCs w:val="16"/>
                <w:b w:val="1"/>
                <w:bCs w:val="1"/>
                <w:color w:val="auto"/>
                <w:w w:val="92"/>
              </w:rPr>
              <w:t xml:space="preserve">Contributions </w:t>
            </w:r>
            <w:r>
              <w:rPr>
                <w:rFonts w:ascii="Arial" w:cs="Arial" w:eastAsia="Arial" w:hAnsi="Arial"/>
                <w:sz w:val="15"/>
                <w:szCs w:val="15"/>
                <w:b w:val="1"/>
                <w:bCs w:val="1"/>
                <w:color w:val="auto"/>
                <w:w w:val="92"/>
              </w:rPr>
              <w:t>(in millions)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6"/>
                <w:szCs w:val="16"/>
                <w:b w:val="1"/>
                <w:bCs w:val="1"/>
                <w:color w:val="auto"/>
              </w:rPr>
              <w:t>Low</w:t>
            </w:r>
          </w:p>
        </w:tc>
        <w:tc>
          <w:tcPr>
            <w:tcW w:w="1160" w:type="dxa"/>
            <w:vAlign w:val="bottom"/>
            <w:gridSpan w:val="2"/>
          </w:tcPr>
          <w:p>
            <w:pPr>
              <w:ind w:left="34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Pension</w:t>
            </w:r>
          </w:p>
        </w:tc>
        <w:tc>
          <w:tcPr>
            <w:tcW w:w="1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5"/>
              </w:rPr>
              <w:t>Multiemployer</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For the Three Months Ended September 30:</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2017</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2016</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For the Nine Months Ended September 30:</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6"/>
                <w:szCs w:val="16"/>
                <w:color w:val="auto"/>
              </w:rPr>
              <w:t>2017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7,057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fluctuations in the average number of employees covered under multiemployer plans and related contributions in the table above are primarily related to higher levels of union resource-based project activity within the Company’s oil and gas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Accumulated other comprehensive loss is composed of unrealized foreign currency translation gains and losses, which relate primarily to fluctuations in foreign currency exchange rates of the Company’s foreign subsidiaries with a functional currency other than the U.S. dollar, and unrealized gains and losses from certain investment activities. For both the three and nine month periods ended September 30, 2017 and 2016, unrealized foreign currency activity related primarily to the Company’s Canadian operations, and unrealized investment activity related to interest rate swaps associated with the Waha JVs.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shares of the Company’s common stock have been repurchased under the Company’s 2016 share repurchase program.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Income Taxes</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 ended September 30, 2017, the Company recognized certain tax credits based upon the results of a study that is currently underway, which amount was determined based on management’s estimates and currently available information. Further adjustments to the amount recognized may occur as the results of the study are finalized, which is expected to occur in the fourth quarter of 2017.</w:t>
      </w:r>
    </w:p>
    <w:p>
      <w:pPr>
        <w:spacing w:after="0" w:line="15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As discussed in Note 1 - Business, Basis of Presentation and Significant Accounting Policies, effective January 1, 2017, the Company adopted ASU 2016-09, which changed the recognition requirements for excess tax benefits (“windfalls”) or tax deficiencies (“shortfalls”) from share-based payment awards. ASU 2016-09 requires windfalls or shortfalls to be recognized within income tax expense in the interim periods in which they occur, rather than as additional paid-in capital. Given that windfalls or shortfalls are recognized in income tax expense in the periods in which they occur, they are not included when estimating annual effective tax rates. The tax effect related to the vesting of share-based payment awards did not have a significant effect on the Company’s consolidated effective tax rate for the three and nine month periods ended September 30, 2017.</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As of September 30, 2017, the Company had $274.5 million of long-term deferred tax liabilities. As of December 31, 2016, current deferred tax assets, net, totaled $11.8 million and long-term deferred tax liabilities, net, totaled $178.4 million. In addition, as of September 30, 2017 and December 31, 2016, accrued income and other taxes payable, which are included within other accrued expenses, totaled $19.8 million and $40.3 million, respectively. The Company adopted </w:t>
      </w:r>
      <w:r>
        <w:rPr>
          <w:rFonts w:ascii="Arial" w:cs="Arial" w:eastAsia="Arial" w:hAnsi="Arial"/>
          <w:sz w:val="16"/>
          <w:szCs w:val="16"/>
          <w:i w:val="1"/>
          <w:iCs w:val="1"/>
          <w:color w:val="auto"/>
        </w:rPr>
        <w:t>Income Taxes (Topic 740): Balance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Sheet Classification of Deferred Taxes </w:t>
      </w:r>
      <w:r>
        <w:rPr>
          <w:rFonts w:ascii="Arial" w:cs="Arial" w:eastAsia="Arial" w:hAnsi="Arial"/>
          <w:sz w:val="16"/>
          <w:szCs w:val="16"/>
          <w:color w:val="auto"/>
        </w:rPr>
        <w:t>(“ASU 2015-17”), which changed the classification requirements for deferred tax assets and liabilities, effective January 1, 2017. ASU</w:t>
      </w:r>
      <w:r>
        <w:rPr>
          <w:rFonts w:ascii="Arial" w:cs="Arial" w:eastAsia="Arial" w:hAnsi="Arial"/>
          <w:sz w:val="16"/>
          <w:szCs w:val="16"/>
          <w:i w:val="1"/>
          <w:iCs w:val="1"/>
          <w:color w:val="auto"/>
        </w:rPr>
        <w:t xml:space="preserve"> </w:t>
      </w:r>
      <w:r>
        <w:rPr>
          <w:rFonts w:ascii="Arial" w:cs="Arial" w:eastAsia="Arial" w:hAnsi="Arial"/>
          <w:sz w:val="16"/>
          <w:szCs w:val="16"/>
          <w:color w:val="auto"/>
        </w:rPr>
        <w:t>2015-17 requires long-term classification of all deferred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34" w:right="239" w:bottom="1440" w:gutter="0" w:footer="0" w:header="0"/>
        </w:sectPr>
      </w:pPr>
    </w:p>
    <w:bookmarkStart w:id="18" w:name="page19"/>
    <w:bookmarkEnd w:id="18"/>
    <w:p>
      <w:pPr>
        <w:jc w:val="both"/>
        <w:ind w:right="20"/>
        <w:spacing w:after="0" w:line="261" w:lineRule="auto"/>
        <w:rPr>
          <w:sz w:val="20"/>
          <w:szCs w:val="20"/>
          <w:color w:val="auto"/>
        </w:rPr>
      </w:pPr>
      <w:r>
        <w:rPr>
          <w:rFonts w:ascii="Arial" w:cs="Arial" w:eastAsia="Arial" w:hAnsi="Arial"/>
          <w:sz w:val="16"/>
          <w:szCs w:val="16"/>
          <w:color w:val="auto"/>
        </w:rPr>
        <w:t>tax assets and liabilities, rather than separately classifying deferred tax assets and liabilities based on their net current and non-current amounts, as was required under the previous guidance. The Company adopted ASU 2015-17 on a prospective basis, therefore prior periods were not adjusted to conform to the current period presentation. The adoption of ASU 2015-17 did not have had a material effect on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MasTec manages its operations under five operating segments, which represent MasTec’s five reportable segments: (1) Communications; (2) Oil and Gas; (3) Electrical Transmission; (4) Power Generation and Industrial and (5) Other. This structure is generally focused on broad end-user markets for MasTec’s labor-based construction services. All five reportable segments derive their revenue from the engineering, installation and maintenance of infrastructure, primarily in North America.</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and, to a lesser extent, infrastructure for utilities, among others. MasTec performs engineering, construction and maintenance services on oil and natural gas pipelines and processing facilities for the energy and utilities industries through its Oil and Gas segment. The Electrical Transmission segment primarily serves the energy and utility industries through the engineering, construction and maintenance of electrical transmission lines and substations. The Power Generation and Industrial segment primarily serves energy, utility and other end-markets through the installation and construction of conventional and renewable power facilities, related electrical transmission infrastructure, ethanol/biofuel facilities and various types of heavy civil and industrial infrastructure. The Other segment includes equity investees, the services of which vary from those provided by the Company’s four primary segments, as well as other small business units that perform construction and other services for a variety of international end-markets.</w:t>
      </w:r>
    </w:p>
    <w:p>
      <w:pPr>
        <w:spacing w:after="0" w:line="12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Segment EBITDA is calculated in a manner consistent with consolidated EBITDA.</w:t>
      </w:r>
    </w:p>
    <w:p>
      <w:pPr>
        <w:spacing w:after="0" w:line="14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 three and nine month periods ended September 30, 2017, Other segment EBITDA included project losses of $0.4 million and $7.4 million, respectively, from a proportionately consolidated non-controlled Canadian joint venture, which is managed by a third party, and for which we have minimal direct construction involvement. For both the three and nine month periods ended September 30, 2016, Other segment EBITDA included $5.1 million of project losses on this proportionately consolidated non-controlled Canadian joint venture. For the nine month period ended September 30, 2016, EBITDA for the Oil and Gas and Electrical Transmission segments included first quarter project losses of $13.5 million and $15.1 million, respectively.</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1,762.2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1,728.0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1,161.0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2,757.2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1,454.3</w:t>
            </w: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324.7</w:t>
            </w: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1,955.8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3,792.8</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49" w:lineRule="exact"/>
        <w:rPr>
          <w:sz w:val="20"/>
          <w:szCs w:val="20"/>
          <w:color w:val="auto"/>
        </w:rPr>
      </w:pPr>
    </w:p>
    <w:p>
      <w:pPr>
        <w:ind w:left="340" w:hanging="332"/>
        <w:spacing w:after="0" w:line="27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13.0% and 11.1% of Communications segment revenue for the three month periods ended September 30, 2017 and 2016, respectively, and represented 12.6% and 10.9% for the nine month periods ended September 30, 2017 and 2016, respectively.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35"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EBITDA:</w:t>
            </w:r>
          </w:p>
        </w:tc>
        <w:tc>
          <w:tcPr>
            <w:tcW w:w="22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356.1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187.6</w:t>
            </w: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EBITDA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Depreciation and Amortization:</w:t>
            </w:r>
          </w:p>
        </w:tc>
        <w:tc>
          <w:tcPr>
            <w:tcW w:w="22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58.2</w:t>
            </w: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Electrical Transmission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Power Generation and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Consolidated depreciation and amortization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8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which may contain slight summation differences due to rounding, presents a reconciliation of consolidated income before income taxes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EBITDA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7"/>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EBITDA Reconciliation:</w:t>
            </w:r>
          </w:p>
        </w:tc>
        <w:tc>
          <w:tcPr>
            <w:tcW w:w="22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Plus: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122.2</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EBITDA</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color w:val="auto"/>
        </w:rPr>
        <w:t xml:space="preserve">Foreign Operations. </w:t>
      </w:r>
      <w:r>
        <w:rPr>
          <w:rFonts w:ascii="Arial" w:cs="Arial" w:eastAsia="Arial" w:hAnsi="Arial"/>
          <w:sz w:val="15"/>
          <w:szCs w:val="15"/>
          <w:color w:val="auto"/>
        </w:rPr>
        <w:t>MasTec operates in North America, primarily in the United States and Canada, and, to a lesser extent, in Mexico. For the three month periods</w:t>
      </w:r>
      <w:r>
        <w:rPr>
          <w:rFonts w:ascii="Arial" w:cs="Arial" w:eastAsia="Arial" w:hAnsi="Arial"/>
          <w:sz w:val="15"/>
          <w:szCs w:val="15"/>
          <w:b w:val="1"/>
          <w:bCs w:val="1"/>
          <w:color w:val="auto"/>
        </w:rPr>
        <w:t xml:space="preserve"> </w:t>
      </w:r>
      <w:r>
        <w:rPr>
          <w:rFonts w:ascii="Arial" w:cs="Arial" w:eastAsia="Arial" w:hAnsi="Arial"/>
          <w:sz w:val="15"/>
          <w:szCs w:val="15"/>
          <w:color w:val="auto"/>
        </w:rPr>
        <w:t>ended September 30, 2017 and 2016, revenue of $1.9 billion and $1.5 billion, respectively, was derived from U.S. operations, and revenue of $61.0 million and $73.8 million, respectively, was derived from foreign operations, the majority of which was from the Company’s Canadian operations. For the nine month periods ended September 30, 2017 and 2016, revenue of $4.8 billion and $3.6 billion, respectively, was derived from U.S. operations, and revenue of $160.7 million and $222.8 million, respectively, was derived from foreign operations, the majority of which was from the Company’s Canadian operations. The majority of the Company’s foreign operations during the three and nine month periods ended September 30, 2017 and 2016 were in the Company’s Oil and Gas segment. Long-lived assets held in the U.S. included property and equipment, net, of $629.2 million and $475.3 million as of September 30, 2017 and December 31, 2016, respectively, and, for the Company’s businesses in foreign countries, the majority of which are in Canada, totaled $62.2 million and $73.8 million, respectively. Intangible assets and goodwill, net, related to the Company’s U.S. operations totaled approximately $1.2 billion and $1.1 billion as of September 30, 2017 and December 31, 2016, respectively, and, for the Company’s businesses in foreign countries, the majority of which are in Canada, totaled approximately $114.3 million and $107.8 million as of September 30, 2017 and December 31, 2016, respectively. Amounts due from customers from which foreign revenue was derived accounted for approximately 6% and 8%, respectively, of the Company’s consolidated net accounts receivable position as of September 30, 2017 and December 31, 2016, which represents accounts receivable, net, less BIEC.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85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6"/>
        </w:trPr>
        <w:tc>
          <w:tcPr>
            <w:tcW w:w="60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Significant Customers</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51"/>
        </w:trPr>
        <w:tc>
          <w:tcPr>
            <w:tcW w:w="8820" w:type="dxa"/>
            <w:vAlign w:val="bottom"/>
            <w:gridSpan w:val="6"/>
          </w:tcPr>
          <w:p>
            <w:pPr>
              <w:ind w:left="660"/>
              <w:spacing w:after="0"/>
              <w:rPr>
                <w:sz w:val="20"/>
                <w:szCs w:val="20"/>
                <w:color w:val="auto"/>
              </w:rPr>
            </w:pPr>
            <w:r>
              <w:rPr>
                <w:rFonts w:ascii="Arial" w:cs="Arial" w:eastAsia="Arial" w:hAnsi="Arial"/>
                <w:sz w:val="16"/>
                <w:szCs w:val="16"/>
                <w:color w:val="auto"/>
                <w:w w:val="94"/>
              </w:rPr>
              <w:t>Revenue concentration information for significant customers as a percentage of total consolidated revenue was as follows: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3"/>
        </w:trPr>
        <w:tc>
          <w:tcPr>
            <w:tcW w:w="6060" w:type="dxa"/>
            <w:vAlign w:val="bottom"/>
          </w:tcPr>
          <w:p>
            <w:pPr>
              <w:spacing w:after="0"/>
              <w:rPr>
                <w:sz w:val="24"/>
                <w:szCs w:val="24"/>
                <w:color w:val="auto"/>
              </w:rPr>
            </w:pPr>
          </w:p>
        </w:tc>
        <w:tc>
          <w:tcPr>
            <w:tcW w:w="276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3"/>
              </w:rPr>
              <w:t>For the Three Months Ended</w:t>
            </w:r>
          </w:p>
        </w:tc>
        <w:tc>
          <w:tcPr>
            <w:tcW w:w="26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c>
          <w:tcPr>
            <w:tcW w:w="180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6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820" w:type="dxa"/>
            <w:vAlign w:val="bottom"/>
          </w:tcPr>
          <w:p>
            <w:pPr>
              <w:jc w:val="center"/>
              <w:ind w:left="339"/>
              <w:spacing w:after="0"/>
              <w:rPr>
                <w:sz w:val="20"/>
                <w:szCs w:val="20"/>
                <w:color w:val="auto"/>
              </w:rPr>
            </w:pPr>
            <w:r>
              <w:rPr>
                <w:rFonts w:ascii="Arial" w:cs="Arial" w:eastAsia="Arial" w:hAnsi="Arial"/>
                <w:sz w:val="16"/>
                <w:szCs w:val="16"/>
                <w:b w:val="1"/>
                <w:bCs w:val="1"/>
                <w:color w:val="auto"/>
                <w:w w:val="89"/>
              </w:rPr>
              <w:t>2017</w:t>
            </w:r>
          </w:p>
        </w:tc>
        <w:tc>
          <w:tcPr>
            <w:tcW w:w="18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800" w:type="dxa"/>
            <w:vAlign w:val="bottom"/>
          </w:tcPr>
          <w:p>
            <w:pPr>
              <w:jc w:val="center"/>
              <w:ind w:left="359"/>
              <w:spacing w:after="0"/>
              <w:rPr>
                <w:sz w:val="20"/>
                <w:szCs w:val="20"/>
                <w:color w:val="auto"/>
              </w:rPr>
            </w:pPr>
            <w:r>
              <w:rPr>
                <w:rFonts w:ascii="Arial" w:cs="Arial" w:eastAsia="Arial" w:hAnsi="Arial"/>
                <w:sz w:val="16"/>
                <w:szCs w:val="16"/>
                <w:b w:val="1"/>
                <w:bCs w:val="1"/>
                <w:color w:val="auto"/>
                <w:w w:val="89"/>
              </w:rPr>
              <w:t>2017</w:t>
            </w:r>
          </w:p>
        </w:tc>
        <w:tc>
          <w:tcPr>
            <w:tcW w:w="180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Energy Transfer affiliates </w:t>
            </w:r>
            <w:r>
              <w:rPr>
                <w:rFonts w:ascii="Arial" w:cs="Arial" w:eastAsia="Arial" w:hAnsi="Arial"/>
                <w:sz w:val="21"/>
                <w:szCs w:val="21"/>
                <w:color w:val="auto"/>
                <w:vertAlign w:val="superscript"/>
              </w:rPr>
              <w:t>(a)</w:t>
            </w:r>
          </w:p>
        </w:tc>
        <w:tc>
          <w:tcPr>
            <w:tcW w:w="820" w:type="dxa"/>
            <w:vAlign w:val="bottom"/>
            <w:shd w:val="clear" w:color="auto" w:fill="CCEEFF"/>
          </w:tcPr>
          <w:p>
            <w:pPr>
              <w:jc w:val="center"/>
              <w:ind w:left="359"/>
              <w:spacing w:after="0"/>
              <w:rPr>
                <w:sz w:val="20"/>
                <w:szCs w:val="20"/>
                <w:color w:val="auto"/>
              </w:rPr>
            </w:pPr>
            <w:r>
              <w:rPr>
                <w:rFonts w:ascii="Arial" w:cs="Arial" w:eastAsia="Arial" w:hAnsi="Arial"/>
                <w:sz w:val="16"/>
                <w:szCs w:val="16"/>
                <w:color w:val="auto"/>
                <w:w w:val="93"/>
              </w:rPr>
              <w:t>49%</w:t>
            </w:r>
          </w:p>
        </w:tc>
        <w:tc>
          <w:tcPr>
            <w:tcW w:w="1820" w:type="dxa"/>
            <w:vAlign w:val="bottom"/>
            <w:gridSpan w:val="3"/>
            <w:shd w:val="clear" w:color="auto" w:fill="CCEEFF"/>
          </w:tcPr>
          <w:p>
            <w:pPr>
              <w:jc w:val="center"/>
              <w:ind w:left="479"/>
              <w:spacing w:after="0"/>
              <w:rPr>
                <w:sz w:val="20"/>
                <w:szCs w:val="20"/>
                <w:color w:val="auto"/>
              </w:rPr>
            </w:pPr>
            <w:r>
              <w:rPr>
                <w:rFonts w:ascii="Arial" w:cs="Arial" w:eastAsia="Arial" w:hAnsi="Arial"/>
                <w:sz w:val="16"/>
                <w:szCs w:val="16"/>
                <w:color w:val="auto"/>
                <w:w w:val="93"/>
              </w:rPr>
              <w:t>35%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3"/>
              </w:rPr>
              <w:t>40%</w:t>
            </w:r>
          </w:p>
        </w:tc>
        <w:tc>
          <w:tcPr>
            <w:tcW w:w="1800" w:type="dxa"/>
            <w:vAlign w:val="bottom"/>
            <w:gridSpan w:val="3"/>
            <w:shd w:val="clear" w:color="auto" w:fill="CCEEFF"/>
          </w:tcPr>
          <w:p>
            <w:pPr>
              <w:jc w:val="center"/>
              <w:ind w:left="479"/>
              <w:spacing w:after="0"/>
              <w:rPr>
                <w:sz w:val="20"/>
                <w:szCs w:val="20"/>
                <w:color w:val="auto"/>
              </w:rPr>
            </w:pPr>
            <w:r>
              <w:rPr>
                <w:rFonts w:ascii="Arial" w:cs="Arial" w:eastAsia="Arial" w:hAnsi="Arial"/>
                <w:sz w:val="16"/>
                <w:szCs w:val="16"/>
                <w:color w:val="auto"/>
                <w:w w:val="87"/>
              </w:rPr>
              <w:t>26%</w:t>
            </w:r>
          </w:p>
        </w:tc>
      </w:tr>
      <w:tr>
        <w:trPr>
          <w:trHeight w:val="311"/>
        </w:trPr>
        <w:tc>
          <w:tcPr>
            <w:tcW w:w="6060" w:type="dxa"/>
            <w:vAlign w:val="bottom"/>
          </w:tcPr>
          <w:p>
            <w:pPr>
              <w:ind w:left="180"/>
              <w:spacing w:after="0"/>
              <w:rPr>
                <w:sz w:val="20"/>
                <w:szCs w:val="20"/>
                <w:color w:val="auto"/>
              </w:rPr>
            </w:pPr>
            <w:r>
              <w:rPr>
                <w:rFonts w:ascii="Arial" w:cs="Arial" w:eastAsia="Arial" w:hAnsi="Arial"/>
                <w:sz w:val="16"/>
                <w:szCs w:val="16"/>
                <w:color w:val="auto"/>
              </w:rPr>
              <w:t>AT&amp;T (including DIRECTV</w:t>
            </w:r>
            <w:r>
              <w:rPr>
                <w:rFonts w:ascii="Arial" w:cs="Arial" w:eastAsia="Arial" w:hAnsi="Arial"/>
                <w:sz w:val="21"/>
                <w:szCs w:val="21"/>
                <w:color w:val="auto"/>
                <w:vertAlign w:val="superscript"/>
              </w:rPr>
              <w:t>®</w:t>
            </w:r>
            <w:r>
              <w:rPr>
                <w:rFonts w:ascii="Arial" w:cs="Arial" w:eastAsia="Arial" w:hAnsi="Arial"/>
                <w:sz w:val="16"/>
                <w:szCs w:val="16"/>
                <w:color w:val="auto"/>
              </w:rPr>
              <w:t xml:space="preserve">) </w:t>
            </w:r>
            <w:r>
              <w:rPr>
                <w:rFonts w:ascii="Arial" w:cs="Arial" w:eastAsia="Arial" w:hAnsi="Arial"/>
                <w:sz w:val="21"/>
                <w:szCs w:val="21"/>
                <w:color w:val="auto"/>
                <w:vertAlign w:val="superscript"/>
              </w:rPr>
              <w:t>(b)</w:t>
            </w:r>
          </w:p>
        </w:tc>
        <w:tc>
          <w:tcPr>
            <w:tcW w:w="820" w:type="dxa"/>
            <w:vAlign w:val="bottom"/>
          </w:tcPr>
          <w:p>
            <w:pPr>
              <w:jc w:val="center"/>
              <w:ind w:left="359"/>
              <w:spacing w:after="0"/>
              <w:rPr>
                <w:sz w:val="20"/>
                <w:szCs w:val="20"/>
                <w:color w:val="auto"/>
              </w:rPr>
            </w:pPr>
            <w:r>
              <w:rPr>
                <w:rFonts w:ascii="Arial" w:cs="Arial" w:eastAsia="Arial" w:hAnsi="Arial"/>
                <w:sz w:val="16"/>
                <w:szCs w:val="16"/>
                <w:color w:val="auto"/>
                <w:w w:val="93"/>
              </w:rPr>
              <w:t>21%</w:t>
            </w:r>
          </w:p>
        </w:tc>
        <w:tc>
          <w:tcPr>
            <w:tcW w:w="1820" w:type="dxa"/>
            <w:vAlign w:val="bottom"/>
            <w:gridSpan w:val="3"/>
          </w:tcPr>
          <w:p>
            <w:pPr>
              <w:jc w:val="center"/>
              <w:ind w:left="479"/>
              <w:spacing w:after="0"/>
              <w:rPr>
                <w:sz w:val="20"/>
                <w:szCs w:val="20"/>
                <w:color w:val="auto"/>
              </w:rPr>
            </w:pPr>
            <w:r>
              <w:rPr>
                <w:rFonts w:ascii="Arial" w:cs="Arial" w:eastAsia="Arial" w:hAnsi="Arial"/>
                <w:sz w:val="16"/>
                <w:szCs w:val="16"/>
                <w:color w:val="auto"/>
                <w:w w:val="93"/>
              </w:rPr>
              <w:t>30%</w:t>
            </w:r>
          </w:p>
        </w:tc>
        <w:tc>
          <w:tcPr>
            <w:tcW w:w="120" w:type="dxa"/>
            <w:vAlign w:val="bottom"/>
          </w:tcPr>
          <w:p>
            <w:pPr>
              <w:spacing w:after="0"/>
              <w:rPr>
                <w:sz w:val="24"/>
                <w:szCs w:val="24"/>
                <w:color w:val="auto"/>
              </w:rPr>
            </w:pPr>
          </w:p>
        </w:tc>
        <w:tc>
          <w:tcPr>
            <w:tcW w:w="800" w:type="dxa"/>
            <w:vAlign w:val="bottom"/>
          </w:tcPr>
          <w:p>
            <w:pPr>
              <w:jc w:val="center"/>
              <w:ind w:left="379"/>
              <w:spacing w:after="0"/>
              <w:rPr>
                <w:sz w:val="20"/>
                <w:szCs w:val="20"/>
                <w:color w:val="auto"/>
              </w:rPr>
            </w:pPr>
            <w:r>
              <w:rPr>
                <w:rFonts w:ascii="Arial" w:cs="Arial" w:eastAsia="Arial" w:hAnsi="Arial"/>
                <w:sz w:val="16"/>
                <w:szCs w:val="16"/>
                <w:color w:val="auto"/>
                <w:w w:val="93"/>
              </w:rPr>
              <w:t>25%</w:t>
            </w:r>
          </w:p>
        </w:tc>
        <w:tc>
          <w:tcPr>
            <w:tcW w:w="1800" w:type="dxa"/>
            <w:vAlign w:val="bottom"/>
            <w:gridSpan w:val="3"/>
          </w:tcPr>
          <w:p>
            <w:pPr>
              <w:jc w:val="center"/>
              <w:ind w:left="479"/>
              <w:spacing w:after="0"/>
              <w:rPr>
                <w:sz w:val="20"/>
                <w:szCs w:val="20"/>
                <w:color w:val="auto"/>
              </w:rPr>
            </w:pPr>
            <w:r>
              <w:rPr>
                <w:rFonts w:ascii="Arial" w:cs="Arial" w:eastAsia="Arial" w:hAnsi="Arial"/>
                <w:sz w:val="16"/>
                <w:szCs w:val="16"/>
                <w:color w:val="auto"/>
                <w:w w:val="87"/>
              </w:rPr>
              <w:t>34%</w:t>
            </w:r>
          </w:p>
        </w:tc>
      </w:tr>
    </w:tbl>
    <w:p>
      <w:pPr>
        <w:ind w:left="340" w:right="2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Energy Transfer affiliates is based upon various construction contracts for pipeline activities with Energy Transfer Partners L.P., and their subsidiaries and affiliates, all of which are consolidated by Energy Transfer Equity, L.P. Revenue from Energy Transfer affiliates is included in the Oil and Gas segment.</w:t>
      </w:r>
    </w:p>
    <w:p>
      <w:pPr>
        <w:jc w:val="both"/>
        <w:ind w:left="340" w:hanging="332"/>
        <w:spacing w:after="0" w:line="25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relationship with AT&amp;T is based upon multiple separate master service and other service agreements, including for installation and maintenance services, as well as construction/installation contracts for AT&amp;T’s: (i) wireless business; (ii) wireline/fiber businesses; and (iii) various install-to-the-home businesses, including DIRECTV®. Revenue from AT&amp;T is included in the Communications segment.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7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4"/>
          <w:szCs w:val="14"/>
          <w:color w:val="auto"/>
        </w:rPr>
        <w:t>MasTec is subject to a variety of legal cases, claims and other disputes that arise from time to time in the ordinary course of its business. See Note 14 - Commitments and Contingencies in the Company’s 2016 Form 10-K for additional information.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Commitments and Contingencies</w:t>
      </w:r>
    </w:p>
    <w:p>
      <w:pPr>
        <w:spacing w:after="0" w:line="16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In the ordinary course of business, the Company enters into non-cancelable operating leases for certain of its facility, vehicle and equipment needs,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party leases. See Note 8 - Lease Obligations and Note 15 - Related Party Transactions.</w:t>
      </w:r>
    </w:p>
    <w:p>
      <w:pPr>
        <w:spacing w:after="0" w:line="1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4"/>
          <w:szCs w:val="14"/>
          <w:b w:val="1"/>
          <w:bCs w:val="1"/>
          <w:color w:val="auto"/>
        </w:rPr>
        <w:t xml:space="preserve">Letters of Credit. </w:t>
      </w:r>
      <w:r>
        <w:rPr>
          <w:rFonts w:ascii="Arial" w:cs="Arial" w:eastAsia="Arial" w:hAnsi="Arial"/>
          <w:sz w:val="14"/>
          <w:szCs w:val="14"/>
          <w:color w:val="auto"/>
        </w:rPr>
        <w:t>In the ordinary course of business, the Company is required to post letters of credit for its insurance carriers, surety bond providers and in support</w:t>
      </w:r>
      <w:r>
        <w:rPr>
          <w:rFonts w:ascii="Arial" w:cs="Arial" w:eastAsia="Arial" w:hAnsi="Arial"/>
          <w:sz w:val="14"/>
          <w:szCs w:val="14"/>
          <w:b w:val="1"/>
          <w:bCs w:val="1"/>
          <w:color w:val="auto"/>
        </w:rPr>
        <w:t xml:space="preserve"> </w:t>
      </w:r>
      <w:r>
        <w:rPr>
          <w:rFonts w:ascii="Arial" w:cs="Arial" w:eastAsia="Arial" w:hAnsi="Arial"/>
          <w:sz w:val="14"/>
          <w:szCs w:val="14"/>
          <w:color w:val="auto"/>
        </w:rPr>
        <w:t>of performance under certain contracts as well as certain obligations associated with the Company’s cost and equity investees,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September 30, 2017 and December 31, 2016, there were $189.1 million and $314.3 million, respectively, of letters of credit issued under the Company’s Credit Facility. The Company is not aware of material claims relating to its outstanding letters of credit as of September 30, 2017 or December 31, 2016.</w:t>
      </w:r>
    </w:p>
    <w:p>
      <w:pPr>
        <w:spacing w:after="0" w:line="1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color w:val="auto"/>
        </w:rPr>
        <w:t xml:space="preserve">Performance and Payment Bonds. </w:t>
      </w:r>
      <w:r>
        <w:rPr>
          <w:rFonts w:ascii="Arial" w:cs="Arial" w:eastAsia="Arial" w:hAnsi="Arial"/>
          <w:sz w:val="16"/>
          <w:szCs w:val="16"/>
          <w:color w:val="auto"/>
        </w:rPr>
        <w:t>In the ordinary course of business, MasTec is required by certain customers to provide performance and payment bonds for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commitments related to projects in process. These bonds provide a guarantee to the customer that the Company will perform under the terms of a contract and that the Company will pay subcontractors and vendors. If the Company fails to perform under a contract or to pay subcontractors and vendors, the customer may demand that the surety make payments or provide services under the bond. The Company must reimburse the surety for expenses or outlays it incurs. As of September 30, 2017 and December 31, 2016, outstanding performance and payment bonds totaled $119.2 million and $72.9 million, respectively, and estimated costs to complete projects secured by these bonds totaled $51.3 million and $9.5 million as of September 30, 2017 and December 31, 2016, respectively. These amounts do not include performance and payment bonds associated with the Company’s equity investees.</w:t>
      </w:r>
    </w:p>
    <w:p>
      <w:pPr>
        <w:spacing w:after="0" w:line="13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Cost and Equity Investees and Other Entities. </w:t>
      </w:r>
      <w:r>
        <w:rPr>
          <w:rFonts w:ascii="Arial" w:cs="Arial" w:eastAsia="Arial" w:hAnsi="Arial"/>
          <w:sz w:val="15"/>
          <w:szCs w:val="15"/>
          <w:color w:val="auto"/>
        </w:rPr>
        <w:t>The Company holds a 35% undivided interest in a proportionately consolidated non-controlled Canadian contractual</w:t>
      </w:r>
      <w:r>
        <w:rPr>
          <w:rFonts w:ascii="Arial" w:cs="Arial" w:eastAsia="Arial" w:hAnsi="Arial"/>
          <w:sz w:val="15"/>
          <w:szCs w:val="15"/>
          <w:b w:val="1"/>
          <w:bCs w:val="1"/>
          <w:color w:val="auto"/>
        </w:rPr>
        <w:t xml:space="preserve"> </w:t>
      </w:r>
      <w:r>
        <w:rPr>
          <w:rFonts w:ascii="Arial" w:cs="Arial" w:eastAsia="Arial" w:hAnsi="Arial"/>
          <w:sz w:val="15"/>
          <w:szCs w:val="15"/>
          <w:color w:val="auto"/>
        </w:rPr>
        <w:t>joint venture that was underway when the Company acquired Pacer in 2014, whose sole activity involves the construction of a bridge, a business in which the Company does not otherwise engage. This joint venture, which is managed by a third party, and for which the Company has minimal direct construction involvement, automatically terminates upon completion of the project. The Company also holds undivided interests, ranging from 85% to 90% in seven proportionately consolidated non-controlled contractual joint ventures that provide infrastructure construction services for electrical transmission projects.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September 30, 2017, the Company was not aware of circumstances that would reasonably lead to material future claims against it in connection with these arrangements.</w:t>
      </w:r>
    </w:p>
    <w:p>
      <w:pPr>
        <w:spacing w:after="0" w:line="13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The Company has other investment arrangements, as discussed in Note 4 - Fair Value of Financial Instruments and Note 15 - Related Party Transactions. From time to time, the Company may incur costs or provide financing, performance, financial and/or other guarantees to or in connection with its investees.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Self-Insurance. </w:t>
      </w:r>
      <w:r>
        <w:rPr>
          <w:rFonts w:ascii="Arial" w:cs="Arial" w:eastAsia="Arial" w:hAnsi="Arial"/>
          <w:sz w:val="16"/>
          <w:szCs w:val="16"/>
          <w:color w:val="auto"/>
        </w:rPr>
        <w:t>MasTec maintains insurance policies for workers’ compensation, general liability and automobile liability, which are subject to per claim</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deductibles. The Company also maintains excess umbrella coverage. As of September 30, 2017 and December 31, 2016, MasTec’s liability for unpaid claims and associated expenses, including incurred but not reported losses related to these policies, totaled $98.5 million and $85.8 million, respectively, of which $67.5 million and $55.2 million, respectively, were reflected within other long-term liabilities in the consolidated balance sheets.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7" w:right="2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6"/>
          <w:szCs w:val="16"/>
          <w:color w:val="auto"/>
        </w:rPr>
        <w:t>MasTec also maintains an insurance policy with respect to employee group medical claims, which is subject to annual per employee maximum losses. MasTec’s liability for employee group medical claims totaled $2.6 million as of both September 30, 2017 and December 31, 2016.</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The Company is required to post letters of credit and provide cash collateral to certain of its insurance carriers and to provide surety bonds in certain states. Insurance-related letters of credit for the Company’s workers’ compensation, general liability and automobile liability policies amounted to $84.6 million and $85.1 million as of September 30, 2017 and December 31, 2016, respectively. In addition, cash collateral deposited with insurance carriers, which is included within other long-term assets, amounted to $1.5 million for these policies as of both September 30, 2017 and December 31, 2016. Outstanding surety bonds related to workers’ compensation self-insurance programs amounted to $13.7 million and $13.5 million as of September 30, 2017 and December 31, 2016, respectively.</w:t>
      </w:r>
    </w:p>
    <w:p>
      <w:pPr>
        <w:spacing w:after="0" w:line="1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color w:val="auto"/>
        </w:rPr>
        <w:t xml:space="preserve">Employment Agreements. </w:t>
      </w:r>
      <w:r>
        <w:rPr>
          <w:rFonts w:ascii="Arial" w:cs="Arial" w:eastAsia="Arial" w:hAnsi="Arial"/>
          <w:sz w:val="16"/>
          <w:szCs w:val="16"/>
          <w:color w:val="auto"/>
        </w:rPr>
        <w:t>The Company has employment agreements with certain executives and other employees, which provide for compensation and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relevant employees, which vary with the level of the employees’ respective responsibility.</w:t>
      </w:r>
    </w:p>
    <w:p>
      <w:pPr>
        <w:spacing w:after="0" w:line="1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b w:val="1"/>
          <w:bCs w:val="1"/>
          <w:color w:val="auto"/>
        </w:rPr>
        <w:t xml:space="preserve">Collective Bargaining Agreements and Multiemployer Plans. </w:t>
      </w:r>
      <w:r>
        <w:rPr>
          <w:rFonts w:ascii="Arial" w:cs="Arial" w:eastAsia="Arial" w:hAnsi="Arial"/>
          <w:sz w:val="15"/>
          <w:szCs w:val="15"/>
          <w:color w:val="auto"/>
        </w:rPr>
        <w:t>As discussed in Note 10 - Other Retirement Plans, certain of MasTec’s subsidiaries are party to</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collective bargaining agreements with unions representing certain of their employees, which require the Company to pay specified wages, provide certain benefits to their union employees and contribute certain amounts to multiemployer pension and other multiemployer benefits plans and trusts. The Employee Retirement Income Security Act of 1974, as amended by the Multiemployer Pension Plan Amendments Act of 1980 (collectively, “ERISA”), which governs U.S.-registered multiemployer pension plans, subjects employers to substantial liabilities in the event of the employer’s complete or partial withdrawal from, or upon termination of, such plans. The Company currently contributes, and in the past, has contributed to, plans that are underfunded, and, therefore, could have potential liability associated with a voluntary or involuntary withdrawal from, or termination of, these plans. As described in the Company’s 2016 Form 10-K, the Company, along with other members of the Pipe Line Contractors Association (the “PLCA”), voluntarily withdrew from the Central States Southeast and Southwest Areas Pension Fund (“Central States”) in November 2011, for which the Company established and paid a $6.4 million withdrawal liability. The Company is in arbitration to determine if there is any remaining amount owed on this withdrawal liability, and during the third quarter of 2017, the Company recognized $0.6 million of expense in connection with the expected settlement of this matter.</w:t>
      </w:r>
    </w:p>
    <w:p>
      <w:pPr>
        <w:spacing w:after="0" w:line="1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Other than the Company’s 2011 withdrawal from Central States and certain other underfunded plans, as described in the Company’s 2016 Form 10-K, the Company does not have plans to withdraw from, and is not aware of circumstances that would reasonably lead to material claims against it in connection with these plans. However, there can be no assurance that the Company will not be assessed liabilities in the future.</w:t>
      </w:r>
    </w:p>
    <w:p>
      <w:pPr>
        <w:spacing w:after="0" w:line="1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Based upon the information available to the Company from plan administrators as of September 30, 2017, several of the multiemployer pension plans in which it participates are underfunded and, as a result, the Company could be required to increase its contributions, including in the form of a surcharge on future benefit contributions. The amount of additional funds the Company may be obligated to contribute in the future cannot be estimated, as these amounts are based on future levels of work of the union employees covered by these plans, investment returns and the level of underfunding of such plans.</w:t>
      </w:r>
    </w:p>
    <w:p>
      <w:pPr>
        <w:spacing w:after="0" w:line="1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the Company to indemnity claims, liabilities and related litigation. As of September 30, 2017 and December 31, 2016, the Company was not aware of any material asserted or unasserted claims in connection with these indemnity obligations.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color w:val="auto"/>
        </w:rPr>
        <w:t xml:space="preserve">Other Guarantees. </w:t>
      </w:r>
      <w:r>
        <w:rPr>
          <w:rFonts w:ascii="Arial" w:cs="Arial" w:eastAsia="Arial" w:hAnsi="Arial"/>
          <w:sz w:val="15"/>
          <w:szCs w:val="15"/>
          <w:color w:val="auto"/>
        </w:rPr>
        <w:t>In the ordinary course of its business, from time to time, MasTec guarantees the obligations of its subsidiaries, including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contracts with customers, certain lease obligations and in some states, obligations in connection with obtaining contractors’ licenses. MasTec has also issued performance and other guarantees in connection with certain of its equity investees. MasTec also generally warrants the work it performs for a one to two year period following substantial completion of a project. Much of the work performed by the Company is evaluated for defects shortly after the work is completed. Accrued warranty claims are, and historically have been, de minimis. However, if warranty claims occur, the Company could be required to repair or replace warrantied items, or, if customers elect to repair or replace the warrantied item using the services of another provider, the Company could be required to pay for the cost of the repair or replacement.</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color w:val="auto"/>
        </w:rPr>
        <w:t xml:space="preserve">Concentrations of Risk. </w:t>
      </w:r>
      <w:r>
        <w:rPr>
          <w:rFonts w:ascii="Arial" w:cs="Arial" w:eastAsia="Arial" w:hAnsi="Arial"/>
          <w:sz w:val="16"/>
          <w:szCs w:val="16"/>
          <w:color w:val="auto"/>
        </w:rPr>
        <w:t>The Company had approximately 455 customers for the nine month period ended September 30, 2017. As of September 30, 2017 and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2016, one customer accounted for approximately 44% and 24%, respectively, of the Company’s consolidated net accounts receivable position, which represents accounts receivable, net, less BIEC. As of September 30, 2017 and December 31, 2016, a separate customer accounted for approximately 13% and 17%, respectively, of the Company’s consolidated net accounts receivable position. In addition, the Company derived 83% and 80%, respectively, of its revenue from its top ten customers for the three month periods ended September 30, 2017 and 2016, and derived 80% and 76% of its revenues, respectively, from its top ten customers for the nine month periods ended September 30, 2017 and 2016.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For the three month periods ended September 30, 2017 and 2016, revenue recognized by the Company’s Pacer subsidiary for work performed for a contractual joint venture in which it holds a 35% undivided interest totaled $0.6 million and $0.2 million, respectively, and for the nine month periods ended September 30, 2017 and 2016, totaled $0.9 million and $0.8 million, respectively. As of September 30, 2017 and December 31, 2016, receivables from this contractual joint venture totaled $0.9 million and $0.7 million, respectively. Related performance guarantees, which are based on the original full contract value, as of both September 30, 2017 and December 31, 2016, totaled Canadian $132.1 million (or approximately $105.9 million and $98.3 million, respectively). In connection with this contractual joint venture, the Company provided project-related financing of $2.7 million and $5.9 million, respectively, for the three and nine month periods ended September 30, 2017, and $0.8 million and $5.6 million, respectively, for the three and nine month periods ended September 30, 2016. As of September 30, 2017, there were no additional amounts committed to this entity.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35" w:right="239" w:bottom="1440" w:gutter="0" w:footer="0" w:header="0"/>
        </w:sectPr>
      </w:pPr>
    </w:p>
    <w:bookmarkStart w:id="22" w:name="page23"/>
    <w:bookmarkEnd w:id="22"/>
    <w:p>
      <w:pPr>
        <w:jc w:val="both"/>
        <w:ind w:firstLine="648"/>
        <w:spacing w:after="0" w:line="251" w:lineRule="auto"/>
        <w:rPr>
          <w:sz w:val="20"/>
          <w:szCs w:val="20"/>
          <w:color w:val="auto"/>
        </w:rPr>
      </w:pPr>
      <w:r>
        <w:rPr>
          <w:rFonts w:ascii="Arial" w:cs="Arial" w:eastAsia="Arial" w:hAnsi="Arial"/>
          <w:sz w:val="16"/>
          <w:szCs w:val="16"/>
          <w:color w:val="auto"/>
        </w:rPr>
        <w:t>In connection with an April 2017 acquisition, the Company acquired a 40% interest in an entity, valued at $0.4 million, which is accounted for as an equity method investment. The Company has a subcontracting arrangement with this entity. For the nine month period ended September 30, 2017, the Company incurred $0.2 million of expenses under this subcontracting arrangement, and there were no amounts outstanding as of September 30, 2017. During the nine month period ended September 30, 2017, the Company advanced $0.3 million to this entity, net, of which $0.3 million was outstanding as of September 30, 2017. The acquired company had a vendor financing arrangement with an entity that was owned by a member of subsidiary management, which arrangement was completed in the third quarter of 2017. The payments made under this arrangement for the three and nine month periods ended September 30, 2017 totaled $1.4 million and $5.3 million, respectively, and no amounts were outstanding as of September 30, 2017.</w:t>
      </w:r>
    </w:p>
    <w:p>
      <w:pPr>
        <w:spacing w:after="0" w:line="13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color w:val="auto"/>
        </w:rPr>
        <w:t>MasTec purchases, rents and leases equipment used in its business from a number of different vendors on a non-exclusive basis, including CCI, in which the Company has a cost method investment. Juan Carlos Mas, who is the brother of Jorge Mas, Chairman of MasTec’s Board of Directors, and José R. Mas, serves as the chairman of CCI. For the three month periods ended September 30, 2017 and 2016, MasTec paid CCI approximately $22.9 million and $10.0 million, respectively, for equipment supplies, rentals, leases and servicing. For the nine month periods ended September 30, 2017 and 2016, MasTec paid CCI approximately $34.9 million and $13.7 million, respectively, net of rebates. As of September 30, 2017 and December 31, 2016, related payables totaled approximately $6.1 million and $1.5 million, respectively.</w:t>
      </w:r>
    </w:p>
    <w:p>
      <w:pPr>
        <w:spacing w:after="0" w:line="1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 periods ended September 30, 2017 and 2016, MasTec incurred $39.2 million and $5.6 million, respectively, of expenses under this subcontracting arrangement, and for the nine month periods ended September 30, 2017 and 2016, MasTec incurred $54.8 million and $8.8 million, respectively. During the third quarter of 2016, the Company sold equipment totaling $0.3 million to this entity. As of September 30, 2017 and December 31, 2016, related amounts payable totaled $20.1 million and $0.1 million, respectively.</w:t>
      </w:r>
    </w:p>
    <w:p>
      <w:pPr>
        <w:spacing w:after="0" w:line="1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MasTec leases employees to a customer in which Jorge Mas and José R. Mas own a majority interest. For both three month periods ended September 30, 2017 and 2016, MasTec charged approximately $0.2 million to this customer, and for both the nine month periods ended September 30, 2017 and 2016, charged $0.6 million. As of both September 30, 2017 and December 31, 2016, outstanding receivables from employee leasing arrangements with this customer totaled $0.2 million. The Company also provides satellite communication services to this customer. For both the three month periods ended September 30, 2017 and 2016, revenue from satellite communication services provided to this customer totaled approximately $0.2 million, and for the nine month periods ended September 30, 2017 and 2016, satellite communication revenues totaled $0.6 million and $0.7 million, respectively. As of September 30, 2017 and December 31, 2016, receivables from this arrangement totaled approximately $0.3 million and $0.4 million, respectively.</w:t>
      </w:r>
    </w:p>
    <w:p>
      <w:pPr>
        <w:spacing w:after="0" w:line="13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MasTec has a leasing arrangement with an independent third party that leases an aircraft from a Company owned by Jorge Mas. For the three month periods ended September 30, 2017 and 2016, MasTec paid $0.5 million and $0.7 million, respectively, under this leasing arrangement, and for the nine month periods ended September 30, 2017 and 2016, MasTec paid $1.5 million and $2.0 million, respectively. As of both September 30, 2017 and December 31, 2016, related amounts payable were de minimis.</w:t>
      </w:r>
    </w:p>
    <w:p>
      <w:pPr>
        <w:spacing w:after="0" w:line="9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the three month periods ended September 30, 2017 and 2016, related party lease payments for operational facilities and equipment, which are primarily associated with members of subsidiary management, totaled approximately $11.3 million and $12.5 million, respectively, and for the nine month periods ended September 30, 2017 and 2016, related party lease payments totaled approximately $38.4 million and $31.6 million, respectively. Payables associated with related party leases totaled approximately $0.6 million and $0.3 million as of September 30, 2017 and December 31, 2016, respectively. Additionally, payments for various types of supplies and services, including ancillary construction services, project-related site restoration and marketing and business development activities associated with members of subsidiary management totaled approximately $26.4 million and $7.4 million for the three month periods ended September 30, 2017 and 2016, respectively, and totaled $41.0 million and $14.2 million for the nine month periods ended September 30, 2017 and 2016, respectively. As of September 30, 2017 and December 31, 2016, associated amounts payable totaled approximately $0.8 million and $3.7 million, respectively. In addition, MasTec performs construction services for an entity associated with a member of subsidiary management. Revenue from this arrangement totaled $1.0 million for the three month period ended September 30, 2017, and related receivables totaled $0.5 million as of September 30, 2017. The oil and gas pipeline equipment company that was acquired by MasTec in the third quarter of 2017 was formerly owned by a member of subsidiary management. MasTec previously leased equipment from this company. The Company paid $40.6 million in cash and $57.3 million of contingent consideration in connection with this acquisition.</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certain members of management of several of the Company’s subsidiaries, primarily in our Oil and Gas segment, and the Company has a subcontracting arrangement with one of these entities for the performance of ancillary oil and gas construction services, which transactions are eliminated in consolidation. The Company made distributions of earnings of $1.3 million in the first quarter of 2017 to holders of its non-controlling interests.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MasTec has split dollar life insurance agreements with each of José R. Mas and Jorge Mas. In connection with the split dollar agreement for José R. Mas, the Company made no payments in either of the three month periods ended September 30, 2017 and 2016, and paid $0.7 million in each of the nine month periods ended September 30, 2017 and 2016. In connection with the split dollar agreement for Jorge Mas, the Company paid $0.6 million for both the three month periods ended September 30, 2017 and 2016, and paid $1.1 million for both the nine month periods ended September 30, 2017 and 2016. As of September 30, 2017 and December 31, 2016, life insurance assets associated with these agreements totaled $16.6 million and $14.8 million, respectively, which amount is included within other long-term assets.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35"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Note 16 – Supplemental Guarantor Condensed Unaudited Consolidating Financial Information</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4.875% Senior Notes are fully and unconditionally guaranteed on an unsecured, unsubordinated, joint and several basis by certain of the Company’s existing and future 100%-owned direct and indirect domestic subsidiaries that are each guarantors of the Credit Facility or other outstanding indebtedness (the “Guarantor Subsidiaries”). The Company’s subsidiaries organized outside of the United States and certain domestic subsidiaries (collectively, the “Non-Guarantor Subsidiaries”) do not guarantee these notes. A Guarantor Subsidiary’s guarantee is subject to release in certain customary circumstances, including upon the sale of a majority of the capital stock or substantially all of the assets of such Guarantor Subsidiary; if the Guarantor Subsidiary’s guarantee under the Company’s Credit Facility and other indebtedness is released or discharged (other than due to payment under such guarantee); or when the requirements for legal defeasance are satisfied or the obligations are discharged in accordance with the related indentures.</w:t>
      </w:r>
    </w:p>
    <w:p>
      <w:pPr>
        <w:spacing w:after="0" w:line="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supplemental financial information sets forth the condensed unaudited consolidating balance sheets and the condensed unaudited consolidating statements of operations and comprehensive income (loss) and cash flows for MasTec, Inc., the Guarantor Subsidiaries on a combined basis, the Non-Guarantor Subsidiaries on a combined basis and the eliminations necessary to arrive at the information for the Company as reported on a consolidated basis. Eliminations represent adjustments to eliminate investments in subsidiaries and intercompany balances and transactions between or among MasTec, Inc., the Guarantor Subsidiaries and the Non-Guarantor Subsidiaries. Investments in subsidiaries are accounted for using the equity method for this presentation.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7"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September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1,860.3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130.3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1,955.8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1,640.3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1,726.2</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66.4</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107.6</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64.2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63.8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54.8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64.2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63.8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54.8</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9.2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(64.1)</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63.8</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65.2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65.7</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Three Months Ended September 30,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1,493.9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1,586.2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1,282.3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1,369.0</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42.6</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67.1</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losses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95.3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56.5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56.3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58.7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(56.7)</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56.5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0.3</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56.3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58.7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(56.7)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56.3</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58.7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54.7</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689" w:right="23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CONDENSED UNAUDITED CONSOLIDATING STATEMENTS OF OPERATIONS AND COMPREHENSIVE INCOME (LOSS)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4,763.4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5,004.1</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4,097.7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4,323.6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138.4</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187.7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202.0</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45.0</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284.2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31.8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314.3</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(126.2)</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188.2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186.4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179.3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9.9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188.2</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186.4</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179.3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(187.5)</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186.4</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187.5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189.3</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3,792.8</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Costs of revenue, excluding depreciation and amortization</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3,054.5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3,321.6</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122.2</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General and administrative expenses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195.0</w:t>
            </w:r>
          </w:p>
        </w:tc>
      </w:tr>
      <w:tr>
        <w:trPr>
          <w:trHeight w:val="27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expense (income),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83.8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37.9</w:t>
            </w:r>
          </w:p>
        </w:tc>
      </w:tr>
      <w:tr>
        <w:trPr>
          <w:trHeight w:val="266"/>
        </w:trPr>
        <w:tc>
          <w:tcPr>
            <w:tcW w:w="5260" w:type="dxa"/>
            <w:vAlign w:val="bottom"/>
          </w:tcPr>
          <w:p>
            <w:pPr>
              <w:ind w:left="40"/>
              <w:spacing w:after="0"/>
              <w:rPr>
                <w:sz w:val="20"/>
                <w:szCs w:val="20"/>
                <w:color w:val="auto"/>
              </w:rPr>
            </w:pPr>
            <w:r>
              <w:rPr>
                <w:rFonts w:ascii="Arial" w:cs="Arial" w:eastAsia="Arial" w:hAnsi="Arial"/>
                <w:sz w:val="15"/>
                <w:szCs w:val="15"/>
                <w:color w:val="auto"/>
              </w:rPr>
              <w:t>Equity in earnings of unconsolidated affiliates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net</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(Loss) income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132.4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Benefit from (provision for) income taxes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w:t>
            </w:r>
          </w:p>
        </w:tc>
      </w:tr>
      <w:tr>
        <w:trPr>
          <w:trHeight w:val="250"/>
        </w:trPr>
        <w:tc>
          <w:tcPr>
            <w:tcW w:w="5260" w:type="dxa"/>
            <w:vAlign w:val="bottom"/>
          </w:tcPr>
          <w:p>
            <w:pPr>
              <w:ind w:left="180"/>
              <w:spacing w:after="0"/>
              <w:rPr>
                <w:sz w:val="20"/>
                <w:szCs w:val="20"/>
                <w:color w:val="auto"/>
              </w:rPr>
            </w:pPr>
            <w:r>
              <w:rPr>
                <w:rFonts w:ascii="Arial" w:cs="Arial" w:eastAsia="Arial" w:hAnsi="Arial"/>
                <w:sz w:val="15"/>
                <w:szCs w:val="15"/>
                <w:color w:val="auto"/>
              </w:rPr>
              <w:t>Net (loss) income before equity in income from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78.1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 income from subsidiaries, net of tax</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income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77.7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79.9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(78.8)</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78.1</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non-controlling interests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0.4</w:t>
            </w: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income (loss) attributable to MasTec,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77.7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79.9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(78.8)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77.7</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69.2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69.6</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89"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CONDENSED UNAUDITED CONSOLIDATING BALANCE SHEETS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September 30 2017</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1,576.0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259.8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(88.1)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1,747.7</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691.4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1,330.9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172.1</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1,295.5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4,238.4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1,334.2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(2,926.0)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3,942.2</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1,002.2</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1,181.1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1,192.3</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432.0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444.7</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2,595.6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2,639.1</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1,295.5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1,642.8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1,202.6</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(2,837.9)</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1,303.0</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1,295.5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4,238.4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1,334.2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(2,926.0)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3,942.2</w:t>
            </w: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w:t>
            </w:r>
          </w:p>
        </w:tc>
        <w:tc>
          <w:tcPr>
            <w:tcW w:w="126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2016</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5"/>
                <w:szCs w:val="15"/>
                <w:b w:val="1"/>
                <w:bCs w:val="1"/>
                <w:color w:val="auto"/>
              </w:rPr>
              <w:t>MasTec, Inc.</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Subsidiaries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Assets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1,256.3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175.8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1,402.5</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549.1</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Goodwill and other intangible assets,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1,037.4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1,175.6</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Investments in and advances to consolidated affiliates,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625.9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(2,571.0)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long-term assets</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55.9</w:t>
            </w:r>
          </w:p>
        </w:tc>
      </w:tr>
      <w:tr>
        <w:trPr>
          <w:trHeight w:val="254"/>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3,401.5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1,285.7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(2,600.6)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3,183.1</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Liabilities and equity</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109.9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840.0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938.7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961.4</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long-term liabilities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256.2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278.1</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1,954.6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2,079.5</w:t>
            </w:r>
          </w:p>
        </w:tc>
      </w:tr>
      <w:tr>
        <w:trPr>
          <w:trHeight w:val="250"/>
        </w:trPr>
        <w:tc>
          <w:tcPr>
            <w:tcW w:w="5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1,446.9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1,131.2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(2,571.0)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1,103.6</w:t>
            </w:r>
          </w:p>
        </w:tc>
      </w:tr>
      <w:tr>
        <w:trPr>
          <w:trHeight w:val="250"/>
        </w:trPr>
        <w:tc>
          <w:tcPr>
            <w:tcW w:w="5260" w:type="dxa"/>
            <w:vAlign w:val="bottom"/>
          </w:tcPr>
          <w:p>
            <w:pPr>
              <w:ind w:left="280"/>
              <w:spacing w:after="0"/>
              <w:rPr>
                <w:sz w:val="20"/>
                <w:szCs w:val="20"/>
                <w:color w:val="auto"/>
              </w:rPr>
            </w:pPr>
            <w:r>
              <w:rPr>
                <w:rFonts w:ascii="Arial" w:cs="Arial" w:eastAsia="Arial" w:hAnsi="Arial"/>
                <w:sz w:val="15"/>
                <w:szCs w:val="15"/>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1,096.5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3,401.5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1,285.7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3,183.1</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89"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CONDENSED UNAUDITED CONSOLIDATING STATEMENTS OF CASH FLOWS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2017</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178.6</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13.6</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(77.1)</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13.4</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(249.4)</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1,988.1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2,002.4</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(1,840.4)</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(60.8)</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Distributions to non-controlling interests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cash (used in) provided by financing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114.5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75.6</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r>
      <w:tr>
        <w:trPr>
          <w:trHeight w:val="266"/>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5.1</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38.8</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43.8</w:t>
            </w: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Arial" w:cs="Arial" w:eastAsia="Arial" w:hAnsi="Arial"/>
                <w:sz w:val="15"/>
                <w:szCs w:val="15"/>
                <w:b w:val="1"/>
                <w:bCs w:val="1"/>
                <w:color w:val="auto"/>
              </w:rPr>
              <w:t>Guarantor</w:t>
            </w:r>
          </w:p>
        </w:tc>
        <w:tc>
          <w:tcPr>
            <w:tcW w:w="1260" w:type="dxa"/>
            <w:vAlign w:val="bottom"/>
            <w:gridSpan w:val="3"/>
          </w:tcPr>
          <w:p>
            <w:pPr>
              <w:ind w:left="60"/>
              <w:spacing w:after="0"/>
              <w:rPr>
                <w:sz w:val="20"/>
                <w:szCs w:val="20"/>
                <w:color w:val="auto"/>
              </w:rPr>
            </w:pPr>
            <w:r>
              <w:rPr>
                <w:rFonts w:ascii="Arial" w:cs="Arial" w:eastAsia="Arial" w:hAnsi="Arial"/>
                <w:sz w:val="15"/>
                <w:szCs w:val="15"/>
                <w:b w:val="1"/>
                <w:bCs w:val="1"/>
                <w:color w:val="auto"/>
              </w:rPr>
              <w:t>Non-Guarantor</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02"/>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For the Nine Months Ended September 30, 2016</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MasTec, Inc.</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1"/>
              </w:rPr>
              <w:t>Subsidiaries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MasTec, Inc.</w:t>
            </w:r>
          </w:p>
        </w:tc>
      </w:tr>
      <w:tr>
        <w:trPr>
          <w:trHeight w:val="254"/>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127.1</w:t>
            </w:r>
          </w:p>
        </w:tc>
      </w:tr>
      <w:tr>
        <w:trPr>
          <w:trHeight w:val="260"/>
        </w:trPr>
        <w:tc>
          <w:tcPr>
            <w:tcW w:w="5260" w:type="dxa"/>
            <w:vAlign w:val="bottom"/>
          </w:tcPr>
          <w:p>
            <w:pPr>
              <w:ind w:left="40"/>
              <w:spacing w:after="0"/>
              <w:rPr>
                <w:sz w:val="20"/>
                <w:szCs w:val="20"/>
                <w:color w:val="auto"/>
              </w:rPr>
            </w:pPr>
            <w:r>
              <w:rPr>
                <w:rFonts w:ascii="Arial" w:cs="Arial" w:eastAsia="Arial" w:hAnsi="Arial"/>
                <w:sz w:val="15"/>
                <w:szCs w:val="15"/>
                <w:color w:val="auto"/>
              </w:rPr>
              <w:t>Cash flows from investing activities:</w:t>
            </w: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paid for acquisitions, net of cash acquired</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(89.1)</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sale of property and equipment</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Payments for other investments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other investments</w:t>
            </w: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(94.1)</w:t>
            </w:r>
          </w:p>
        </w:tc>
      </w:tr>
      <w:tr>
        <w:trPr>
          <w:trHeight w:val="268"/>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flows from financing activities:</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credit facilities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1,093.8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1,186.8</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Repayments of credit facilities</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(1,149.9)</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Repayments of other borrowings and capital lease obligations</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Payments of acquisition-related contingent consideration</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r>
      <w:tr>
        <w:trPr>
          <w:trHeight w:val="266"/>
        </w:trPr>
        <w:tc>
          <w:tcPr>
            <w:tcW w:w="5260" w:type="dxa"/>
            <w:vAlign w:val="bottom"/>
          </w:tcPr>
          <w:p>
            <w:pPr>
              <w:ind w:left="180"/>
              <w:spacing w:after="0"/>
              <w:rPr>
                <w:sz w:val="20"/>
                <w:szCs w:val="20"/>
                <w:color w:val="auto"/>
              </w:rPr>
            </w:pPr>
            <w:r>
              <w:rPr>
                <w:rFonts w:ascii="Arial" w:cs="Arial" w:eastAsia="Arial" w:hAnsi="Arial"/>
                <w:sz w:val="15"/>
                <w:szCs w:val="15"/>
                <w:color w:val="auto"/>
              </w:rPr>
              <w:t>Proceeds from stock-based awards, net</w:t>
            </w:r>
          </w:p>
        </w:tc>
        <w:tc>
          <w:tcPr>
            <w:tcW w:w="1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3.9</w:t>
            </w:r>
          </w:p>
        </w:tc>
      </w:tr>
      <w:tr>
        <w:trPr>
          <w:trHeight w:val="274"/>
        </w:trPr>
        <w:tc>
          <w:tcPr>
            <w:tcW w:w="5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financing activities,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w:t>
            </w:r>
          </w:p>
        </w:tc>
      </w:tr>
      <w:tr>
        <w:trPr>
          <w:trHeight w:val="26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financing activities and advances (to) from consolidated affiliates</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w:t>
            </w:r>
          </w:p>
        </w:tc>
      </w:tr>
      <w:tr>
        <w:trPr>
          <w:trHeight w:val="250"/>
        </w:trPr>
        <w:tc>
          <w:tcPr>
            <w:tcW w:w="5260" w:type="dxa"/>
            <w:vAlign w:val="bottom"/>
          </w:tcPr>
          <w:p>
            <w:pPr>
              <w:ind w:left="40"/>
              <w:spacing w:after="0"/>
              <w:rPr>
                <w:sz w:val="20"/>
                <w:szCs w:val="20"/>
                <w:color w:val="auto"/>
              </w:rPr>
            </w:pPr>
            <w:r>
              <w:rPr>
                <w:rFonts w:ascii="Arial" w:cs="Arial" w:eastAsia="Arial" w:hAnsi="Arial"/>
                <w:sz w:val="15"/>
                <w:szCs w:val="15"/>
                <w:color w:val="auto"/>
              </w:rPr>
              <w:t>Effect of currency translation on cash</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4.4</w:t>
            </w: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 beginning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5.0</w:t>
            </w: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9.4</w:t>
            </w:r>
          </w:p>
        </w:tc>
      </w:tr>
    </w:tbl>
    <w:p>
      <w:pPr>
        <w:spacing w:after="0" w:line="200" w:lineRule="exact"/>
        <w:rPr>
          <w:sz w:val="20"/>
          <w:szCs w:val="20"/>
          <w:color w:val="auto"/>
        </w:rPr>
      </w:pPr>
    </w:p>
    <w:p>
      <w:pPr>
        <w:sectPr>
          <w:pgSz w:w="11900" w:h="16838" w:orient="portrait"/>
          <w:cols w:equalWidth="0" w:num="1">
            <w:col w:w="11420"/>
          </w:cols>
          <w:pgMar w:left="240" w:top="527"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52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for our existing operations and do not include the potential impact of any future acquisitions or dispositions.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and other factors, some of which are beyond our control, are difficult to predict, and could cause actual results to differ materially from those expressed or forecasted in the forward-looking statements.</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2016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following is a discussion of our business, financial position and results of operations as of and for the three and nine month periods ended September 30, 2017 and 2016. This discussion and analysis should be read in conjunction with the audited consolidated financial statements, accompanying notes and Management’s Discussion and Analysis of Financial Condition and Results of Operations (“MD&amp;A”) contained in our 2016 Form 10-K. In this MD&amp;A, “$” means U.S. dollars unless specified otherwise.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We are a leading infrastructure construction company operating mainly throughout North America across a range of industries. Our primary activities include the engineering, building, installation, maintenance and upgrade of communications, energy and utility infrastructure, such as: wireless, wireline/fiber, install-to-the-home and customer fulfillment activities; petroleum and natural gas pipeline infrastructure; electrical utility transmission and distribution; conventional and renewable power generation; heavy civil and industrial infrastructure. Our customers are primarily in these industries. Including our predecessor companies, we have been in business for almost 90 years. We offer our services primarily under the MasTec service mark and, as of September 30, 2017, we had approximately 21,500 employees and 415 locations. We have been consistently ranked among the top specialty contractors by Engineering News-Record for the past several years.</w:t>
      </w:r>
    </w:p>
    <w:p>
      <w:pPr>
        <w:spacing w:after="0" w:line="12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provide our services to a diversified base of customers. We often provide services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 Revenue from non-recurring, project specific work may experience greater variability than master service and other service agreement work due to the need to replace the revenue as projects are completed. If we are not able to replace work from completed projects with new project work, we may not be able to maintain our current revenue levels or our current level of capacity and resource utilization. We actively review our backlog of project work and take appropriate action to minimize such exposure.</w:t>
      </w:r>
    </w:p>
    <w:p>
      <w:pPr>
        <w:spacing w:after="0" w:line="13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manage our operations under five operating segments, which represent our five reportable segments: (1) Communications; (2) Oil and Gas; (3) Electrical Transmission; (4) Power Generation and Industrial and (5) Other. This structure is generally focused on broad end-user markets for our labor-based construction services. See Note 13 - Segments and Related Information and Note 14 - Commitments and Contingencies in the notes to the condensed unaudited consolidated financial statements, which are incorporated by reference, for segment related information as well as operating results by segment and significant customer concentrations.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includes our proportionate share of estimated revenue from proportionately consolidated non-controlled joint ventures. Estimated backlog for work under master service and other service agreements is determined based on historical trends, anticipated seasonal impacts, experience from similar projects and estimates of customer demand based on communications with our customers. We expect to realize approximately 25% of our September 30, 2017 estimated backlog in 2017. The following table presents 18-month backlog by reportable segment, as of the dates indicated: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3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6740" w:type="dxa"/>
            <w:vAlign w:val="bottom"/>
          </w:tcPr>
          <w:p>
            <w:pPr>
              <w:ind w:left="180"/>
              <w:spacing w:after="0"/>
              <w:rPr>
                <w:sz w:val="20"/>
                <w:szCs w:val="20"/>
                <w:color w:val="auto"/>
              </w:rPr>
            </w:pPr>
            <w:r>
              <w:rPr>
                <w:rFonts w:ascii="Arial" w:cs="Arial" w:eastAsia="Arial" w:hAnsi="Arial"/>
                <w:sz w:val="16"/>
                <w:szCs w:val="16"/>
                <w:b w:val="1"/>
                <w:bCs w:val="1"/>
                <w:color w:val="auto"/>
              </w:rPr>
              <w:t>Reportable Segment (in millions):</w:t>
            </w: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Communications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3,125</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Oil and Gas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1,134</w:t>
            </w:r>
          </w:p>
        </w:tc>
      </w:tr>
      <w:tr>
        <w:trPr>
          <w:trHeight w:val="33"/>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Electrical Transmission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Power Generation and Industrial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116</w:t>
            </w:r>
          </w:p>
        </w:tc>
      </w:tr>
      <w:tr>
        <w:trPr>
          <w:trHeight w:val="33"/>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6740" w:type="dxa"/>
            <w:vAlign w:val="bottom"/>
          </w:tcPr>
          <w:p>
            <w:pPr>
              <w:ind w:left="680"/>
              <w:spacing w:after="0"/>
              <w:rPr>
                <w:sz w:val="20"/>
                <w:szCs w:val="20"/>
                <w:color w:val="auto"/>
              </w:rPr>
            </w:pPr>
            <w:r>
              <w:rPr>
                <w:rFonts w:ascii="Arial" w:cs="Arial" w:eastAsia="Arial" w:hAnsi="Arial"/>
                <w:sz w:val="16"/>
                <w:szCs w:val="16"/>
                <w:color w:val="auto"/>
              </w:rPr>
              <w:t>Estimated 18-month backlog</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4,651</w:t>
            </w:r>
          </w:p>
        </w:tc>
      </w:tr>
      <w:tr>
        <w:trPr>
          <w:trHeight w:val="33"/>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Approximately 65% of our backlog as of September 30, 2017 is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delays, regulatory factors and/or other project-related factors. These changes could cause estimated revenue to be realized in periods later than originally expected, or not at all. In the past, we have occasionally experienced postponements, cancellations and reductions in expected future work from master service agreements due to changes in our customers’ spending plans, as well as on construction projects due to market volatility and regulatory factors. There can be no assurance as to our customers’ requirements or the accuracy of our estimates. As a result, our backlog as of any particular date is an uncertain indicator of future revenue and earnings.</w:t>
      </w:r>
    </w:p>
    <w:p>
      <w:pPr>
        <w:spacing w:after="0" w:line="2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Subsequent to September 30, 2017, we were granted a large pipeline construction project award with an expected contract value of over $1.5 billion, which is expected to be reflected in backlog at year-end 2017.</w:t>
      </w:r>
    </w:p>
    <w:p>
      <w:pPr>
        <w:spacing w:after="0" w:line="1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Backlog is not a term recognized under U.S. GAAP; however, it is a common measurement used in our industry. Our methodology for determining backlog may not, however, be comparable to the methodologies used by others.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We closely monitor the effects that changes in economic and market conditions may have on our customers. General economic and market conditions can negatively affect demand for our customers’ products and services, which can lead to rationalization of our customers’ capital and maintenance budgets in certain end-markets. Fluctuations in market prices for oil, gas and other fuel sources can affect demand for our services, in particular, on pipeline and power generation construction services. These fluctuations, as well as the highly competitive nature of our industry, can result, and in the past, have resulted, in lower bids and lower profit on the services we provide. In the face of increased pricing pressure, we strive to maintain our profit margins through productivity improvements and cost reduction programs. Other market, regulatory and industry factors, such as (i) changes to our customers’ capital spending plans; (ii) mergers and acquisitions among the customers we serve; (iii) access to capital for customers in the industries we serve; (iv) new or changing regulatory requirements or other governmental policy uncertainty; (v) economic, market or political developments; and (vi) changes in technology, tax and other incentives could also increase or reduce demand for our services. While we actively monitor economic, industry and market factors that could affect our business, we cannot predict the effect that changes in such factors may have on our future results of operations, liquidity and cash flows, and we may be unable to fully mitigate, or benefit from, such changes.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Seasonality and Cyclical Nature of Business</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revenue and results of operations can be subject to seasonal and other variations. These variations are influenced by weather, customer spending patterns, bidding seasons, project schedules and timing, in particular, for large non-recurring projects and holidays. Typically, our revenue is lowest in the first quarter of the year because cold, snowy or wet conditions cause project delays. Revenue in the second quarter is typically higher than in the first quarter, as some projects begin, but continued cold and wet weather can often impact second quarter productivity. The third and fourth quarters are typically the most productive quarters of the year, as a greater number of projects are underway and weather is normally more accommodating to construction projects. In the fourth quarter, many projects tend to be completed by customers seeking to spend their capital budgets before the end of the year, which generally has a positive impact on our revenue. However, the holiday season and inclement weather can cause delays, which can reduce revenue and increase costs on affected projects. Any quarter may be positively or negatively affected by adverse or unusual weather patterns, including warm winter weather, excessive rainfall or natural catastrophes such as hurricanes or other severe weather, making it difficult to predict quarterly revenue and margin variations.</w:t>
      </w:r>
    </w:p>
    <w:p>
      <w:pPr>
        <w:spacing w:after="0" w:line="301" w:lineRule="exact"/>
        <w:rPr>
          <w:sz w:val="20"/>
          <w:szCs w:val="20"/>
          <w:color w:val="auto"/>
        </w:rPr>
      </w:pPr>
    </w:p>
    <w:p>
      <w:pPr>
        <w:jc w:val="both"/>
        <w:ind w:firstLine="233"/>
        <w:spacing w:after="0" w:line="270" w:lineRule="auto"/>
        <w:rPr>
          <w:sz w:val="20"/>
          <w:szCs w:val="20"/>
          <w:color w:val="auto"/>
        </w:rPr>
      </w:pPr>
      <w:r>
        <w:rPr>
          <w:rFonts w:ascii="Arial" w:cs="Arial" w:eastAsia="Arial" w:hAnsi="Arial"/>
          <w:sz w:val="15"/>
          <w:szCs w:val="15"/>
          <w:color w:val="auto"/>
        </w:rPr>
        <w:t>Additionally, our industry can be highly cyclical. Fluctuations in end-user demand within the industries we serve, or in the supply of services within those industries, can impact demand for our services. As a result, our business may be adversely affected by industry declines or by delays in new projects. Variations in project schedules or unanticipated changes in project schedules, in particular, in connection with large construction and installation projects, can create fluctuations in revenue, which may adversely affect us in a given period, even if not in total. In addition, revenue from master service and other service agreements, while generally predictable, can be subject to volatility. The financial condition of our customers and their access to capital; variations in project margins; regional, national and global economic, political and market conditions; regulatory or environmental influences; and acquisitions, dispositions or strategic investments/other arrangements can also materially affect quarterly results in a given period. Accordingly, our operating results in any particular period may not be indicative of the results that can be expected for any other period.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This discussion and analysis of our financial condition and results of operations is based upon our condensed unaudited consolidated financial statements, which have been prepared in accordance with U.S. GAAP. The preparation of our consolidated financial statements requires the use of estimates and assumptions that affect the amounts reported in our condensed unaudited consolidated financial statements and the accompanying notes.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93" w:right="239" w:bottom="1440" w:gutter="0" w:footer="0" w:header="0"/>
        </w:sectPr>
      </w:pPr>
    </w:p>
    <w:bookmarkStart w:id="30" w:name="page31"/>
    <w:bookmarkEnd w:id="30"/>
    <w:p>
      <w:pPr>
        <w:jc w:val="both"/>
        <w:spacing w:after="0" w:line="267" w:lineRule="auto"/>
        <w:rPr>
          <w:sz w:val="20"/>
          <w:szCs w:val="20"/>
          <w:color w:val="auto"/>
        </w:rPr>
      </w:pPr>
      <w:r>
        <w:rPr>
          <w:rFonts w:ascii="Arial" w:cs="Arial" w:eastAsia="Arial" w:hAnsi="Arial"/>
          <w:sz w:val="15"/>
          <w:szCs w:val="15"/>
          <w:color w:val="auto"/>
        </w:rPr>
        <w:t>We base our estimates on historical experience and on various other assumptions that we believe to be reasonable under the circumstances, the results of which form the basis of making judgments about our operating results, including the results of percentage-of-completion projects, and the carrying values of assets and liabilities that are not readily apparent from other sources. Given that management estimates, by their nature, involve judgments regarding future uncertainties, actual results may differ from these estimates if conditions change or if certain key assumptions used in making these estimates ultimately prove to be inaccurate. Our accounting policies and critical accounting estimates are reviewed periodically by the Audit Committee of the Board of Directors. Refer to Note 1 - Business, Basis of Presentation and Significant Accounting Policies in the notes to our condensed unaudited consolidated financial statements, which is incorporated by reference, and to our 2016 Form 10-K for discussion of our significant accounting policies. During the third quarter of 2017, we performed a quantitative assessment of the goodwill and an indefinite-lived pre-qualification intangible asset associated with certain of our operating segments in conjunction with our quarterly review of reporting units for indicators of impairment. Based on the results of these assessments, we determined that the estimated fair value of our Electrical Transmission operating segment exceeded its carrying value by approximately 10%, and that the fair values of two of our reporting units and the indefinite-lived pre-qualification intangible asset in our Oil and Gas segment, for which the carrying values totaled approximately $130 million, exceeded their carrying values by approximately 10% for each. Significant changes in assumptions or estimates, such as a reduction in profitability and/or cash flows, could result in non-cash goodwill and indefinite-lived intangible asset impairment charges in the future.</w:t>
      </w:r>
    </w:p>
    <w:p>
      <w:pPr>
        <w:spacing w:after="0" w:line="12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believe that our accounting estimates pertaining to: revenue recognition for percentage-of-completion projects, including project profit or loss, which we define as project revenue less project costs of revenue, including project-related depreciation; allowances for doubtful accounts; fair value estimates, including those related to business acquisitions, valuations of goodwill and indefinite-lived intangible assets; estimated liabilities for future earn-out obligations; fair values of financial instruments; income taxes; self-insurance liabilities;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impact of certain items, which are described in the comparison of results section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8"/>
          </w:tcPr>
          <w:p>
            <w:pPr>
              <w:jc w:val="center"/>
              <w:ind w:right="120"/>
              <w:spacing w:after="0"/>
              <w:rPr>
                <w:sz w:val="20"/>
                <w:szCs w:val="20"/>
                <w:color w:val="auto"/>
              </w:rPr>
            </w:pPr>
            <w:r>
              <w:rPr>
                <w:rFonts w:ascii="Arial" w:cs="Arial" w:eastAsia="Arial" w:hAnsi="Arial"/>
                <w:sz w:val="15"/>
                <w:szCs w:val="15"/>
                <w:b w:val="1"/>
                <w:bCs w:val="1"/>
                <w:color w:val="auto"/>
                <w:w w:val="93"/>
              </w:rPr>
              <w:t>For the 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220"/>
              <w:spacing w:after="0"/>
              <w:rPr>
                <w:sz w:val="20"/>
                <w:szCs w:val="20"/>
                <w:color w:val="auto"/>
              </w:rPr>
            </w:pPr>
            <w:r>
              <w:rPr>
                <w:rFonts w:ascii="Arial" w:cs="Arial" w:eastAsia="Arial" w:hAnsi="Arial"/>
                <w:sz w:val="15"/>
                <w:szCs w:val="15"/>
                <w:b w:val="1"/>
                <w:bCs w:val="1"/>
                <w:color w:val="auto"/>
                <w:w w:val="94"/>
              </w:rPr>
              <w:t>For the Nine Months Ended</w:t>
            </w:r>
          </w:p>
        </w:tc>
        <w:tc>
          <w:tcPr>
            <w:tcW w:w="660" w:type="dxa"/>
            <w:vAlign w:val="bottom"/>
          </w:tcPr>
          <w:p>
            <w:pPr>
              <w:spacing w:after="0"/>
              <w:rPr>
                <w:sz w:val="14"/>
                <w:szCs w:val="14"/>
                <w:color w:val="auto"/>
              </w:rPr>
            </w:pPr>
          </w:p>
        </w:tc>
      </w:tr>
      <w:tr>
        <w:trPr>
          <w:trHeight w:val="202"/>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5"/>
                <w:szCs w:val="15"/>
                <w:b w:val="1"/>
                <w:bCs w:val="1"/>
                <w:color w:val="auto"/>
                <w:w w:val="91"/>
              </w:rPr>
              <w:t>September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5"/>
                <w:szCs w:val="15"/>
                <w:b w:val="1"/>
                <w:bCs w:val="1"/>
                <w:color w:val="auto"/>
                <w:w w:val="91"/>
              </w:rPr>
              <w:t>September 30</w:t>
            </w:r>
          </w:p>
        </w:tc>
        <w:tc>
          <w:tcPr>
            <w:tcW w:w="660" w:type="dxa"/>
            <w:vAlign w:val="bottom"/>
            <w:tcBorders>
              <w:bottom w:val="single" w:sz="8" w:color="auto"/>
            </w:tcBorders>
          </w:tcPr>
          <w:p>
            <w:pPr>
              <w:spacing w:after="0"/>
              <w:rPr>
                <w:sz w:val="17"/>
                <w:szCs w:val="17"/>
                <w:color w:val="auto"/>
              </w:rPr>
            </w:pPr>
          </w:p>
        </w:tc>
      </w:tr>
      <w:tr>
        <w:trPr>
          <w:trHeight w:val="235"/>
        </w:trPr>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3"/>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1,955.8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1,586.2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5,004.1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3,792.8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w w:val="93"/>
              </w:rPr>
              <w:t>Costs of revenue, excluding depreciation and 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1,726.2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97"/>
              </w:rPr>
              <w:t>1,369.0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4,323.6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w w:val="97"/>
              </w:rPr>
              <w:t>3,321.6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87.6 %</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17"/>
        </w:trPr>
        <w:tc>
          <w:tcPr>
            <w:tcW w:w="3900" w:type="dxa"/>
            <w:vAlign w:val="bottom"/>
          </w:tcPr>
          <w:p>
            <w:pPr>
              <w:ind w:left="120"/>
              <w:spacing w:after="0"/>
              <w:rPr>
                <w:sz w:val="20"/>
                <w:szCs w:val="20"/>
                <w:color w:val="auto"/>
              </w:rPr>
            </w:pPr>
            <w:r>
              <w:rPr>
                <w:rFonts w:ascii="Arial" w:cs="Arial" w:eastAsia="Arial" w:hAnsi="Arial"/>
                <w:sz w:val="16"/>
                <w:szCs w:val="16"/>
                <w:color w:val="auto"/>
              </w:rPr>
              <w:t>Income before income taxes</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31"/>
        </w:trPr>
        <w:tc>
          <w:tcPr>
            <w:tcW w:w="39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17"/>
        </w:trPr>
        <w:tc>
          <w:tcPr>
            <w:tcW w:w="3900" w:type="dxa"/>
            <w:vAlign w:val="bottom"/>
          </w:tcPr>
          <w:p>
            <w:pPr>
              <w:ind w:left="120"/>
              <w:spacing w:after="0"/>
              <w:rPr>
                <w:sz w:val="20"/>
                <w:szCs w:val="20"/>
                <w:color w:val="auto"/>
              </w:rPr>
            </w:pPr>
            <w:r>
              <w:rPr>
                <w:rFonts w:ascii="Arial" w:cs="Arial" w:eastAsia="Arial" w:hAnsi="Arial"/>
                <w:sz w:val="16"/>
                <w:szCs w:val="16"/>
                <w:color w:val="auto"/>
              </w:rPr>
              <w:t>Net income attributable to MasTec, Inc.</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186.4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condensed unaudited consolidated financial statements, which is incorporated by reference. Our reportable segments are: (1) Communications; (2) Oil and Gas; (3) Electrical Transmission; (4) Power Generation and Industrial and (5) Other. Management’s review of reportable segment results includes analyses of trends in revenue, EBITDA and EBITDA margin. We calculate EBITDA for segment reporting purposes consistent with our consolidated EBITDA calculation. See the discussion of our non-U.S. GAAP financial measures, including certain adjusted non-U.S. GAAP measures, as described, following the comparison of results discussion below. The following table presents revenue, EBITDA and EBITDA margin by reportable segment for the periods indicated (dollar amounts in millions):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9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5"/>
          </w:tcPr>
          <w:p>
            <w:pPr>
              <w:ind w:left="4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20" w:type="dxa"/>
            <w:vAlign w:val="bottom"/>
            <w:gridSpan w:val="10"/>
          </w:tcPr>
          <w:p>
            <w:pPr>
              <w:jc w:val="center"/>
              <w:ind w:right="460"/>
              <w:spacing w:after="0"/>
              <w:rPr>
                <w:sz w:val="20"/>
                <w:szCs w:val="20"/>
                <w:color w:val="auto"/>
              </w:rPr>
            </w:pPr>
            <w:r>
              <w:rPr>
                <w:rFonts w:ascii="Arial" w:cs="Arial" w:eastAsia="Arial" w:hAnsi="Arial"/>
                <w:sz w:val="16"/>
                <w:szCs w:val="16"/>
                <w:b w:val="1"/>
                <w:bCs w:val="1"/>
                <w:color w:val="auto"/>
              </w:rPr>
              <w:t>EBITDA and EBITDA Margin</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180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Borders>
              <w:bottom w:val="single" w:sz="8" w:color="auto"/>
            </w:tcBorders>
            <w:gridSpan w:val="1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1620" w:type="dxa"/>
            <w:vAlign w:val="bottom"/>
          </w:tcPr>
          <w:p>
            <w:pPr>
              <w:spacing w:after="0"/>
              <w:rPr>
                <w:sz w:val="18"/>
                <w:szCs w:val="18"/>
                <w:color w:val="auto"/>
              </w:rPr>
            </w:pPr>
          </w:p>
        </w:tc>
        <w:tc>
          <w:tcPr>
            <w:tcW w:w="180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2"/>
              </w:rPr>
              <w:t>For the Three Months</w:t>
            </w:r>
          </w:p>
        </w:tc>
        <w:tc>
          <w:tcPr>
            <w:tcW w:w="100" w:type="dxa"/>
            <w:vAlign w:val="bottom"/>
          </w:tcPr>
          <w:p>
            <w:pPr>
              <w:spacing w:after="0"/>
              <w:rPr>
                <w:sz w:val="18"/>
                <w:szCs w:val="18"/>
                <w:color w:val="auto"/>
              </w:rPr>
            </w:pPr>
          </w:p>
        </w:tc>
        <w:tc>
          <w:tcPr>
            <w:tcW w:w="16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Nine Months</w:t>
            </w:r>
          </w:p>
        </w:tc>
        <w:tc>
          <w:tcPr>
            <w:tcW w:w="3080" w:type="dxa"/>
            <w:vAlign w:val="bottom"/>
            <w:gridSpan w:val="12"/>
          </w:tcPr>
          <w:p>
            <w:pPr>
              <w:ind w:left="80"/>
              <w:spacing w:after="0"/>
              <w:rPr>
                <w:sz w:val="20"/>
                <w:szCs w:val="20"/>
                <w:color w:val="auto"/>
              </w:rPr>
            </w:pPr>
            <w:r>
              <w:rPr>
                <w:rFonts w:ascii="Arial" w:cs="Arial" w:eastAsia="Arial" w:hAnsi="Arial"/>
                <w:sz w:val="16"/>
                <w:szCs w:val="16"/>
                <w:b w:val="1"/>
                <w:bCs w:val="1"/>
                <w:color w:val="auto"/>
                <w:w w:val="97"/>
              </w:rPr>
              <w:t>For the Three Months Ended September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0"/>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0"/>
              </w:rPr>
              <w:t>Ended September 30</w:t>
            </w:r>
          </w:p>
        </w:tc>
        <w:tc>
          <w:tcPr>
            <w:tcW w:w="100" w:type="dxa"/>
            <w:vAlign w:val="bottom"/>
          </w:tcPr>
          <w:p>
            <w:pPr>
              <w:spacing w:after="0"/>
              <w:rPr>
                <w:sz w:val="18"/>
                <w:szCs w:val="18"/>
                <w:color w:val="auto"/>
              </w:rPr>
            </w:pPr>
          </w:p>
        </w:tc>
        <w:tc>
          <w:tcPr>
            <w:tcW w:w="1680" w:type="dxa"/>
            <w:vAlign w:val="bottom"/>
            <w:gridSpan w:val="5"/>
          </w:tcPr>
          <w:p>
            <w:pPr>
              <w:ind w:left="20"/>
              <w:spacing w:after="0"/>
              <w:rPr>
                <w:sz w:val="20"/>
                <w:szCs w:val="20"/>
                <w:color w:val="auto"/>
              </w:rPr>
            </w:pPr>
            <w:r>
              <w:rPr>
                <w:rFonts w:ascii="Arial" w:cs="Arial" w:eastAsia="Arial" w:hAnsi="Arial"/>
                <w:sz w:val="16"/>
                <w:szCs w:val="16"/>
                <w:b w:val="1"/>
                <w:bCs w:val="1"/>
                <w:color w:val="auto"/>
              </w:rPr>
              <w:t>Ended September 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30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10"/>
          </w:tcPr>
          <w:p>
            <w:pPr>
              <w:jc w:val="right"/>
              <w:ind w:right="19"/>
              <w:spacing w:after="0"/>
              <w:rPr>
                <w:sz w:val="20"/>
                <w:szCs w:val="20"/>
                <w:color w:val="auto"/>
              </w:rPr>
            </w:pPr>
            <w:r>
              <w:rPr>
                <w:rFonts w:ascii="Arial" w:cs="Arial" w:eastAsia="Arial" w:hAnsi="Arial"/>
                <w:sz w:val="16"/>
                <w:szCs w:val="16"/>
                <w:b w:val="1"/>
                <w:bCs w:val="1"/>
                <w:color w:val="auto"/>
                <w:w w:val="91"/>
              </w:rPr>
              <w:t>For the Nine Months Ended September 30</w:t>
            </w:r>
          </w:p>
        </w:tc>
      </w:tr>
      <w:tr>
        <w:trPr>
          <w:trHeight w:val="33"/>
        </w:trPr>
        <w:tc>
          <w:tcPr>
            <w:tcW w:w="1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r>
      <w:tr>
        <w:trPr>
          <w:trHeight w:val="231"/>
        </w:trPr>
        <w:tc>
          <w:tcPr>
            <w:tcW w:w="1620" w:type="dxa"/>
            <w:vAlign w:val="bottom"/>
          </w:tcPr>
          <w:p>
            <w:pPr>
              <w:ind w:left="40"/>
              <w:spacing w:after="0"/>
              <w:rPr>
                <w:sz w:val="20"/>
                <w:szCs w:val="20"/>
                <w:color w:val="auto"/>
              </w:rPr>
            </w:pPr>
            <w:r>
              <w:rPr>
                <w:rFonts w:ascii="Arial" w:cs="Arial" w:eastAsia="Arial" w:hAnsi="Arial"/>
                <w:sz w:val="16"/>
                <w:szCs w:val="16"/>
                <w:b w:val="1"/>
                <w:bCs w:val="1"/>
                <w:color w:val="auto"/>
                <w:w w:val="96"/>
              </w:rPr>
              <w:t>Reportable Segment:</w:t>
            </w:r>
          </w:p>
        </w:tc>
        <w:tc>
          <w:tcPr>
            <w:tcW w:w="120" w:type="dxa"/>
            <w:vAlign w:val="bottom"/>
          </w:tcPr>
          <w:p>
            <w:pPr>
              <w:spacing w:after="0"/>
              <w:rPr>
                <w:sz w:val="20"/>
                <w:szCs w:val="20"/>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1,728.0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190.9</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Oil and Gas</w:t>
            </w:r>
          </w:p>
        </w:tc>
        <w:tc>
          <w:tcPr>
            <w:tcW w:w="1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1,161.0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736.0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2,757.2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1,454.3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108.1</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117.8</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16.0 %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356.1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187.6</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12.9 %</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Electrical Transmission</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20"/>
        </w:trPr>
        <w:tc>
          <w:tcPr>
            <w:tcW w:w="1620" w:type="dxa"/>
            <w:vAlign w:val="bottom"/>
          </w:tcPr>
          <w:p>
            <w:pPr>
              <w:ind w:left="40"/>
              <w:spacing w:after="0"/>
              <w:rPr>
                <w:sz w:val="20"/>
                <w:szCs w:val="20"/>
                <w:color w:val="auto"/>
              </w:rPr>
            </w:pPr>
            <w:r>
              <w:rPr>
                <w:rFonts w:ascii="Arial" w:cs="Arial" w:eastAsia="Arial" w:hAnsi="Arial"/>
                <w:sz w:val="16"/>
                <w:szCs w:val="16"/>
                <w:color w:val="auto"/>
                <w:w w:val="97"/>
              </w:rPr>
              <w:t>Power Generation and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162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1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123.6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6.1</w:t>
            </w: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13.8</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4.3 %</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Eliminations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(22.0)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NA</w:t>
            </w:r>
          </w:p>
        </w:tc>
      </w:tr>
      <w:tr>
        <w:trPr>
          <w:trHeight w:val="217"/>
        </w:trPr>
        <w:tc>
          <w:tcPr>
            <w:tcW w:w="1620" w:type="dxa"/>
            <w:vAlign w:val="bottom"/>
          </w:tcPr>
          <w:p>
            <w:pPr>
              <w:ind w:left="180"/>
              <w:spacing w:after="0"/>
              <w:rPr>
                <w:sz w:val="20"/>
                <w:szCs w:val="20"/>
                <w:color w:val="auto"/>
              </w:rPr>
            </w:pPr>
            <w:r>
              <w:rPr>
                <w:rFonts w:ascii="Arial" w:cs="Arial" w:eastAsia="Arial" w:hAnsi="Arial"/>
                <w:sz w:val="16"/>
                <w:szCs w:val="16"/>
                <w:color w:val="auto"/>
                <w:w w:val="93"/>
              </w:rPr>
              <w:t>Consolidated Results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1,955.8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7"/>
              </w:rPr>
              <w:t>1,586.2</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5,004.1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3,792.8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175.3</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151.0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292.6</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33"/>
        </w:trPr>
        <w:tc>
          <w:tcPr>
            <w:tcW w:w="1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discussion and analysis of our results of operations should be read in conjunction with our condensed unaudited consolidated financial statements and notes thereto in Item 1 of this Quarterly Report on Form 10-Q (this “Form 10-Q”).</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September 30, 2017 Compared to Three Months Ended September 30, 2016</w:t>
      </w:r>
    </w:p>
    <w:p>
      <w:pPr>
        <w:spacing w:after="0" w:line="16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 period ended September 30, 2017, consolidated revenue increased to $1,956 million from $1,586 million, an increase of $370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23%, as compared with the same period in 2016, driven largely by our Oil and Gas segment, for which revenue increased by $425 million, or 58%, offset, in part by lower revenue in our Power Generation and Industrial, Electrical Transmission and Communications segments, of $61 million in total, or 7%. Organic revenue increased by approximately $308 million, or 19%, and acquisitions contributed $62 million in revenue.</w:t>
      </w:r>
    </w:p>
    <w:p>
      <w:pPr>
        <w:spacing w:after="0" w:line="127"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4"/>
          <w:szCs w:val="14"/>
          <w:b w:val="1"/>
          <w:bCs w:val="1"/>
          <w:i w:val="1"/>
          <w:iCs w:val="1"/>
          <w:color w:val="auto"/>
        </w:rPr>
        <w:t>Communications Segment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Communications revenue was $610 million for the three month period ended September 30, 2017, as compared with $624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period in 2016, a decrease of $14 million, or 2%. Acquisitions contributed $38 million of revenue, which was offset by a decrease in organic revenue of $51 million, or 8%. The decrease in organic revenue was primarily driven by lower levels of install-to-the-home and customer fulfillment revenue in 2017, as previously disclosed.</w:t>
      </w:r>
    </w:p>
    <w:p>
      <w:pPr>
        <w:spacing w:after="0" w:line="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$1,161 million for three month period ended September 30, 2017, as compared with $736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2016, an increase of $425 million, or 58%. The increase in Oil and Gas revenue was driven primarily by an increase in multiple large long-haul pipeline construction projects.</w:t>
      </w:r>
    </w:p>
    <w:p>
      <w:pPr>
        <w:spacing w:after="0" w:line="12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$82 million for the three month period ended September 30, 2017, as compared with $102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2016, a decrease of $20 million, or 20%, driven primarily by project activity and timing.</w:t>
      </w:r>
    </w:p>
    <w:p>
      <w:pPr>
        <w:spacing w:after="0" w:line="1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Power Generation and Industrial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Generation and Industrial revenue was $97 million for the three month period ended September 30, 2017,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$124 million for the same period in 2016, a decrease of $27 million, or 22%. Acquisitions contributed $25 million of revenue, which was offset by a decrease in organic revenue of $51 million, or 42%. The decrease in organic revenue was driven primarily by lower levels of renewable power project activity and timing.</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totaled $11 million for the three month period ended September 30, 2017, as compared with $8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2016, an increase of approximately $3 million, or 40%, driven primarily by increased levels of activity from our oil and gas operations in Mexico, offset by a decrease in revenue from a proportionately consolidated non-controlled Canadian joint venture.</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$357 million, or 26%, to $1,726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three month period ended September 30, 2017, as compared with $1,369 million for the same period in 2016. Higher revenue contributed $319 million of an increase in costs of revenue, excluding depreciation and amortization, whereas decreased productivity resulted in an increase of approximately $38 million. Costs of revenue, excluding depreciation and amortization, as a percentage of revenue increased by approximately 200 basis points, from 86.3% of revenue for the three month period ended September 30, 2016 to 88.3% of revenue for the same period in 2017. The basis point increase was driven by reduced project efficiencies and mix in our Oil and Gas segment, offset, in part, by improved project efficiencies and mix in our Communications, Electrical Transmission and Power Generation and Industrial segments. Additionally, costs of revenue, excluding depreciation and amortization, improved in our Other segment for the three month period ended September 30, 2017 as compared with the same period in 2016 due to a reduction in project losses on a proportionately consolidated non-controlled Canadian joint venture, which totaled $0.4 million for the three month period ended September 30, 2017 as compared with $5 million in the prior year period. This project, which is managed by a third party and for which we have minimal direct construction involvement, has experienced delays, which has extended the timeline and resulted in project losses.</w:t>
      </w:r>
    </w:p>
    <w:p>
      <w:pPr>
        <w:spacing w:after="0" w:line="12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$50 million, or 2.6% of revenue, for the three month period ended September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$43 million, or 2.7% of revenue, in 2016, an increase of $8 million, or 18%. Acquisitions contributed $4 million of incremental depreciation and amortization for the three month period ended September 30, 2017 as compared with the same period in 2016. As a percentage of revenue, depreciation and amortization decreased slightly due primarily to higher levels of revenue.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44" w:right="239" w:bottom="1440" w:gutter="0" w:footer="0" w:header="0"/>
        </w:sectPr>
      </w:pPr>
    </w:p>
    <w:bookmarkStart w:id="32" w:name="page33"/>
    <w:bookmarkEnd w:id="32"/>
    <w:p>
      <w:pPr>
        <w:jc w:val="both"/>
        <w:ind w:firstLine="324"/>
        <w:spacing w:after="0" w:line="250" w:lineRule="auto"/>
        <w:rPr>
          <w:sz w:val="20"/>
          <w:szCs w:val="20"/>
          <w:color w:val="auto"/>
        </w:rPr>
      </w:pPr>
      <w:r>
        <w:rPr>
          <w:rFonts w:ascii="Arial" w:cs="Arial" w:eastAsia="Arial" w:hAnsi="Arial"/>
          <w:sz w:val="16"/>
          <w:szCs w:val="16"/>
          <w:b w:val="1"/>
          <w:bCs w:val="1"/>
          <w:i w:val="1"/>
          <w:iCs w:val="1"/>
          <w:color w:val="auto"/>
        </w:rPr>
        <w:t>General and administrative expenses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were $66 million, or 3.4% of revenue, for the three month period ended September 30,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with $67 million, or 4.2% of revenue, for the same period in 2016, a decrease of $1 million, or 1%. Acquisitions contributed $6 million of incremental general and administrative expenses for the three month period ended September 30, 2017, whereas general and administrative expenses in the prior year period included certain restructuring charges of approximately $5 million related to our efforts to streamline our western Canadian oil and gas and our electrical transmission operations, which efforts were substantially completed in 2016. Excluding the effects of the above mentioned items, administrative expenses decreased by $2 million as compared with the same period in the prior year due primarily to the timing of legal matters and other settlements. Overall, general and administrative expenses as a percentage of revenue decreased by 80 basis points for the three month period ended September 30, 2017 as compared with the same period in the prior year, due primarily to improvements in overhead cost utilization from higher levels of revenue.</w:t>
      </w:r>
    </w:p>
    <w:p>
      <w:pPr>
        <w:spacing w:after="0" w:line="14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$18 million, or 0.9% of revenue, for the three month period ended September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$13 million, or 0.8% of revenue, in 2016. The increase in interest expense was primarily due to higher levels of financing costs, including discount charges on financing arrangements, as well as an increase in interest expense on our Credit Facility in the third quarter of 2017 as compared with 2016.</w:t>
      </w:r>
    </w:p>
    <w:p>
      <w:pPr>
        <w:spacing w:after="0" w:line="1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 period ended September 30, 2017, equity in earnings from unconsolidated affiliates was $7 million and related primarily to our investments in the Waha JVs, which commenced operations in 2017.</w:t>
      </w:r>
    </w:p>
    <w:p>
      <w:pPr>
        <w:spacing w:after="0" w:line="12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consists primarily of gains or losses from sales of, or changes in estimated recoveries from, assets and investments, certain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legal/other settlements, gains or losses from changes to estimated earn-out accruals, and certain restructuring charges related to losses on disposal of excess fixed assets. For the three month period ended September 30, 2017, other income, net, was $5 million, as compared with $1 million for the same period in the prior year. Other income, net, for the three month period ended September 30, 2017 included approximately $3 million of income from changes to estimated earn-out accruals. Gains on sales of equipment, net, totaled $2 million and $1 million for the three month periods ended September 30, 2017 and 2016, respectively.</w:t>
      </w:r>
    </w:p>
    <w:p>
      <w:pPr>
        <w:spacing w:after="0" w:line="12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$43 million for the three month period ended September 30, 2017 as compared with $39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prior year. In the third quarter of 2017, we had pre-tax income of $108 million as compared with $95 million for the same period in the prior year. Our effective tax rate for the three month period ended September 30, 2017 decreased versus the same period in 2016, primarily due to tax credits that were recognized during the third quarter of 2017, offset by the effect of losses in foreign jurisdictions.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color w:val="auto"/>
        </w:rPr>
        <w:t>EBITDA for our Communications segment was $65 million, or 10.7% of revenue, for the three month period ended September 30,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compared with $63 million, or 10.1% of revenue, for the same period in 2016, an increase of approximately $3 million, or 4%. The increase was primarily due to production efficiencies.</w:t>
      </w:r>
    </w:p>
    <w:p>
      <w:pPr>
        <w:spacing w:after="0" w:line="1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b w:val="1"/>
          <w:bCs w:val="1"/>
          <w:i w:val="1"/>
          <w:iCs w:val="1"/>
          <w:color w:val="auto"/>
        </w:rPr>
        <w:t xml:space="preserve">Oil and Gas Segment. </w:t>
      </w:r>
      <w:r>
        <w:rPr>
          <w:rFonts w:ascii="Arial" w:cs="Arial" w:eastAsia="Arial" w:hAnsi="Arial"/>
          <w:sz w:val="15"/>
          <w:szCs w:val="15"/>
          <w:color w:val="auto"/>
        </w:rPr>
        <w:t>EBITDA for our Oil and Gas segment was $108 million, or 9.3% of revenue, for the three month period ended September 30, 2017,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$118 million, or 16.0% of revenue, for the same period in 2016, a decrease in EBITDA of $10 million, or approximately 8%. Higher revenue contributed an increase in EBITDA of $68 million, which was offset by a decrease in EBITDA from lower EBITDA margins due to reduced project efficiencies and mix.</w:t>
      </w:r>
    </w:p>
    <w:p>
      <w:pPr>
        <w:spacing w:after="0" w:line="11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Electrical Transmission Segment. </w:t>
      </w:r>
      <w:r>
        <w:rPr>
          <w:rFonts w:ascii="Arial" w:cs="Arial" w:eastAsia="Arial" w:hAnsi="Arial"/>
          <w:sz w:val="15"/>
          <w:szCs w:val="15"/>
          <w:color w:val="auto"/>
        </w:rPr>
        <w:t>EBITDA for our Electrical Transmission segment was $5 million, or 5.5% of revenue, for the three 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30, 2017, as compared with EBITDA of negative $8 million, or negative 8.1% of revenue, for the same period in 2016, for an improvement in EBITDA of $13 million. The improvement in Electrical Transmission EBITDA was due primarily to a combination of project efficiencies and mix, the non-recurrence of approximately $4 million of restructuring charges for the three month period ended September 30, 2016, and improved cost and overhead utilization.</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Power Generation and Industrial Segment. </w:t>
      </w:r>
      <w:r>
        <w:rPr>
          <w:rFonts w:ascii="Arial" w:cs="Arial" w:eastAsia="Arial" w:hAnsi="Arial"/>
          <w:sz w:val="16"/>
          <w:szCs w:val="16"/>
          <w:color w:val="auto"/>
        </w:rPr>
        <w:t>EBITDA for our Power Generation and Industrial segment was $9 million, or 9.6% of revenue, for the three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September 30, 2017, as compared with EBITDA of $6 million, or 4.9% of revenue, for the same period in 2016, an improvement in EBITDA of $3 million, or 52%. As a percentage of revenue, segment EBITDA improved by approximately 470 basis points as compared with the same period in the prior year due to improved project efficiencies and mix, offset, in part, by reduced cost and overhead utilization due to lower revenue.</w:t>
      </w:r>
    </w:p>
    <w:p>
      <w:pPr>
        <w:spacing w:after="0" w:line="1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 xml:space="preserve">Other Segment. </w:t>
      </w:r>
      <w:r>
        <w:rPr>
          <w:rFonts w:ascii="Arial" w:cs="Arial" w:eastAsia="Arial" w:hAnsi="Arial"/>
          <w:sz w:val="15"/>
          <w:szCs w:val="15"/>
          <w:color w:val="auto"/>
        </w:rPr>
        <w:t>EBITDA from Other businesses was $10 million for the three month period ended September 30, 2017, as compared with EBITDA of negative $3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2016, an improvement of $13 million. Other segment EBITDA for the three month period ended September 30, 2017 included $7 million of equity in earnings from unconsolidated affiliates related to our investments in the Waha JVs, which commenced operations in the first half of 2017, and, for the three month periods ended September 30, 2017 and 2016, included losses of $0.4 million and $5 million, respectively, on a proportionately consolidated non-controlled Canadian joint venture. The remaining improvement in Other segment EBITDA was driven by an increase in EBITDA from our oil and gas operations in Mexico.</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$22 million for the three month period ended September 30, 2017, as compared with EBITDA of negative $24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2016, for an increase in EBITDA of $2 million. Corporate EBITDA for the three month period ended September 30, 2017 included approximately $3 million of income from changes to estimated earn-out accruals. For the three month period ended September 30, 2017, other corporate expenses increased as compared with the prior year period primarily as a result of costs related to the timing of legal matters and other settlements.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73"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Nine Months Ended September 30, 2017 Compared to Nine Months Ended September 30, 2016</w:t>
      </w:r>
    </w:p>
    <w:p>
      <w:pPr>
        <w:spacing w:after="0" w:line="167"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5"/>
          <w:szCs w:val="15"/>
          <w:b w:val="1"/>
          <w:bCs w:val="1"/>
          <w:i w:val="1"/>
          <w:iCs w:val="1"/>
          <w:color w:val="auto"/>
        </w:rPr>
        <w:t>Revenue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 period ended September 30, 2017, consolidated revenue increased to $5,004 million from $3,793 million, an increase of $1,211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32%, as compared with the same period in 2016. Oil and Gas revenue increased by $1,303 million, or 90%, Communications revenue increased by $34 million, or 2%, whereas Power Generation and Industrial revenue decreased by $121 million, or 37%, Electrical Transmission revenue decreased by $6 million, or 2%, and Other segment revenue decreased by $1 million, or 4%. Organic revenue increased by approximately $1,115 million, or 29%, and acquisitions contributed $96 million in revenue.</w:t>
      </w:r>
    </w:p>
    <w:p>
      <w:pPr>
        <w:spacing w:after="0" w:line="1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Communications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Communications revenue was $1,762 million for the nine month period ended September 30, 2017, as compared with $1,728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same period in 2016, an increase of $34 million, or 2%. Acquisitions contributed $71 million of revenue, which was offset by a decrease in organic revenue of $37 million. The decrease in organic revenue was primarily driven by lower levels of install-to-the-home and customer fulfillment revenue in 2017, as previously disclosed.</w:t>
      </w:r>
    </w:p>
    <w:p>
      <w:pPr>
        <w:spacing w:after="0" w:line="10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$2,757 million for nine month period ended September 30, 2017, as compared with $1,454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2016, an increase of $1,303 million, or 90%. The increase in Oil and Gas revenue was driven primarily by an increase in multiple large long-haul pipeline construction projects.</w:t>
      </w:r>
    </w:p>
    <w:p>
      <w:pPr>
        <w:spacing w:after="0" w:line="12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Electrical Transmission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Electrical Transmission revenue was $277 million for the nine month period ended September 30, 2017, as compared with $284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2016, a decrease of $6 million, or 2%, due primarily to project activity and timing.</w:t>
      </w:r>
    </w:p>
    <w:p>
      <w:pPr>
        <w:spacing w:after="0" w:line="1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5"/>
          <w:szCs w:val="15"/>
          <w:b w:val="1"/>
          <w:bCs w:val="1"/>
          <w:i w:val="1"/>
          <w:iCs w:val="1"/>
          <w:color w:val="auto"/>
        </w:rPr>
        <w:t>Power Generation and Industrial Segment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Generation and Industrial revenue was $204 million for the nine month period ended September 30, 2017,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$325 million for the same period in 2016, a decrease of $121 million, or 37%. Acquisitions contributed $25 million of revenue, which was offset by a decrease in organic revenue of $145 million. The decrease in organic revenue was driven primarily by lower levels of renewable power project activity and timing.</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Other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segment revenue totaled $14 million for the nine month period ended September 30, 2017, as compared with $15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2016, a decrease of approximately $1 million, or 4%, driven by a reduction in revenue from a proportionately consolidated non-controlled Canadian joint venture, offset, in part, by increased levels of activity from our oil and gas operations in Mexico.</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approximately $1,002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to $4,324 million for the nine month period ended September 30, 2017, as compared with $3,322 million for the same period in 2016. Higher revenue contributed $1,061 million of an increase in costs of revenue, excluding depreciation and amortization, whereas improved productivity resulted in a decrease of approximately $59 million. Costs of revenue, excluding depreciation and amortization, as a percentage of revenue decreased by approximately 120 basis points, from 87.6% of revenue for the nine month period ended September 30, 2016 to 86.4% of revenue for the same period in 2017. This basis point improvement was driven primarily by our Electrical Transmission and Power Generation and Industrial segments, which benefited from improved project efficiencies, close-outs and mix, as well as the non-recurrence of certain first quarter 2016 project losses. These improvements were offset, in part, by reduced project efficiencies and mix in our Oil and Gas and Communications segments. Additionally, project losses on a proportionately consolidated non-controlled Canadian joint venture in our Other segment totaled $7 million for the nine month period ended September 30, 2017 as compared with $5 million for the same period in the prior year.</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was $138 million, or 2.8% of revenue, for the nine month period ended September 30, 2017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$122 million, or 3.2% of revenue, in 2016, an increase of $16 million, or 13%. Acquisitions contributed $6 million of incremental depreciation and amortization for the nine month period ended September 30, 2017 as compared with the same period in 2016. As a percentage of revenue, depreciation and amortization decreased by approximately 50 basis points, due primarily to higher levels of revenue.</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were $202 million, or 4.0% of revenue, for the nine month period ended September 30, 2017,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$195 million, or 5.1% of revenue, for the same period in 2016, an increase of $7 million, or 4%. Acquisitions contributed $10 million of incremental general and administrative expenses for the nine month period ended September 30, 2017, whereas general and administrative expenses for the same period in the prior year included certain restructuring charges of approximately $11 million related to our efforts to streamline our western Canadian oil and gas and our electrical transmission operations, which efforts were substantially completed in 2016. Excluding the effects of the above mentioned items, various administrative expenses increased by approximately $8 million for the nine month period ended September 30, 2017, driven primarily by costs related to the timing of legal matters and other settlements as well as costs associated with growth initiatives. Overall, for the nine month period ended September 30, 2017, general and administrative expenses as a percentage of revenue improved 110 basis points as compared with the same period in the prior year, due primarily to improvements in overhead cost utilization from higher levels of revenue.</w:t>
      </w:r>
    </w:p>
    <w:p>
      <w:pPr>
        <w:spacing w:after="0" w:line="128"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4"/>
          <w:szCs w:val="14"/>
          <w:b w:val="1"/>
          <w:bCs w:val="1"/>
          <w:i w:val="1"/>
          <w:iCs w:val="1"/>
          <w:color w:val="auto"/>
        </w:rPr>
        <w:t xml:space="preserve">Interest expense, net. </w:t>
      </w:r>
      <w:r>
        <w:rPr>
          <w:rFonts w:ascii="Arial" w:cs="Arial" w:eastAsia="Arial" w:hAnsi="Arial"/>
          <w:sz w:val="14"/>
          <w:szCs w:val="14"/>
          <w:color w:val="auto"/>
        </w:rPr>
        <w:t>Interest expense, net of interest income, was $45 million, or 0.9% of revenue, for the nine month period ended September 30, 2017 as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$38 million, or 1.0% of revenue, in 2016. The increase was primarily due to higher levels of financing costs, including discount charges on financing arrangements, as well as an increase in interest expense on our Credit Facility for the nine month period ended September 30, 2017 as compared with the same period in 2016.</w:t>
      </w:r>
    </w:p>
    <w:p>
      <w:pPr>
        <w:spacing w:after="0" w:line="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w:t>
      </w:r>
      <w:r>
        <w:rPr>
          <w:rFonts w:ascii="Arial" w:cs="Arial" w:eastAsia="Arial" w:hAnsi="Arial"/>
          <w:sz w:val="16"/>
          <w:szCs w:val="16"/>
          <w:color w:val="auto"/>
        </w:rPr>
        <w:t>Equity in earnings or losses of unconsolidated affiliates includes our share of income or losses from equity investees.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 period ended September 30, 2017, equity in earnings from unconsolidated affiliates was $15 million, and related primarily to our investments in the Waha JVs, which commenced operations in 2017. Equity in earnings from unconsolidated affiliates for the nine month period ended September 30, 2016 was approximately $4 million and related to expected recoveries from our interests in certain pre-acquisition equity method investments of Pacer, of which the remaining investment as of September 30, 2017 is in the final stages of liquidation and is being managed by a receiver.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9" w:right="239" w:bottom="1440" w:gutter="0" w:footer="0" w:header="0"/>
        </w:sectPr>
      </w:pPr>
    </w:p>
    <w:bookmarkStart w:id="34" w:name="page35"/>
    <w:bookmarkEnd w:id="34"/>
    <w:p>
      <w:pPr>
        <w:jc w:val="both"/>
        <w:ind w:firstLine="324"/>
        <w:spacing w:after="0" w:line="250"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consists primarily of gains or losses from sales of, or changes in estimated recoveries from, assets and investments,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legal/other settlements, gains or losses from changes to estimated earn-out accruals, and certain restructuring charges related to losses on disposal of excess fixed assets. For the nine month period ended September 30, 2017, other income, net, was $4 million. Other income, net, for the nine month period ended September 30, 2017 included $12 million of expenses related to changes in expected recovery amounts for an investment that is in the final stages of liquidation, as well as reduced recovery expectations on a long-term note receivable due to recent bankruptcy proceedings for a former customer, offset by $12 million of income from changes to estimated earn-out accruals. Other income, net, for the nine month period ended September 30, 2016 totaled $13 million, and included approximately $10 million related to a settlement in connection with a previously acquired business, $3 million of restructuring charges related to estimated losses on the planned disposal of fixed assets held-for-sale and $3 million of income from changes to estimated earn-out accruals. Gains on sales of equipment, net, totaled approximately $4 million and $3 million for the nine month periods ended September 30, 2017 and 2016, respectively.</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Income tax expense was $126 million for the nine month period ended September 30, 2017 as compared with $54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prior year. For the nine month period ended September 30, 2017, we had pre-tax income of $314 million as compared with $132 million for the same period in the prior year. Our effective tax rate for the nine month period ended September 30, 2017 decreased versus the same period in 2016, primarily due to tax credits that were recognized during the third quarter of 2017, offset by the effect of losses in foreign jurisdictions.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$173 million, or 9.8% of revenue, for the nine month period ended September 30, 2017,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$191 million, or 11.0% of revenue, for the same period in 2016, a decrease of approximately $18 million, or 9%. This decrease was primarily due to: (i) the non-recurrence of a first quarter 2016 gain from a settlement in connection with a previously acquired business; (ii) production inefficiencies; (iii) certain other expense reduction efforts, as well as timing of legal matters and other settlements; (iv) offset, in part, by a benefit from higher revenue.</w:t>
      </w:r>
    </w:p>
    <w:p>
      <w:pPr>
        <w:spacing w:after="0" w:line="11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$356 million, or 12.9% of revenue, for the nine month period ended September 30, 2017,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$188 million, or 12.9% of revenue, for the same period in 2016, an increase of $168 million, or approximately 90%, driven primarily by higher revenue. As a percentage of revenue, segment EBITDA was flat for the nine month periods ended September 30, 2017 as compared with the same period in 2016. The effect of reduced project efficiencies and mix for the nine month period ended September 30, 2017 was partially offset by the non-recurrence of a first quarter 2016 project loss of approximately $13 million on a western Canadian oil and gas project and the non-recurrence of approximately $7 million of 2016 restructuring charges related to efforts to streamline our western Canadian oil and gas operations.</w:t>
      </w:r>
    </w:p>
    <w:p>
      <w:pPr>
        <w:spacing w:after="0" w:line="1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Electrical Transmission Segment. </w:t>
      </w:r>
      <w:r>
        <w:rPr>
          <w:rFonts w:ascii="Arial" w:cs="Arial" w:eastAsia="Arial" w:hAnsi="Arial"/>
          <w:sz w:val="16"/>
          <w:szCs w:val="16"/>
          <w:color w:val="auto"/>
        </w:rPr>
        <w:t>EBITDA for our Electrical Transmission segment was $11 million, or 4.0% of revenue, for the nine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2017, as compared with EBITDA of negative $42 million, or negative 14.8% of revenue, for the same period in 2016, an increase in EBITDA of $53 million. The improvement in Electrical Transmission EBITDA was due to a combination of project efficiencies and mix, improved cost and overhead utilization due to higher levels of revenue, the non-recurrence of a first quarter 2016 project loss of approximately $15 million on a large transmission project, and the non-recurrence of approximately $7 million of 2016 restructuring charges related to efforts to streamline our operations.</w:t>
      </w:r>
    </w:p>
    <w:p>
      <w:pPr>
        <w:spacing w:after="0" w:line="13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b w:val="1"/>
          <w:bCs w:val="1"/>
          <w:i w:val="1"/>
          <w:iCs w:val="1"/>
          <w:color w:val="auto"/>
        </w:rPr>
        <w:t xml:space="preserve">Power Generation and Industrial Segment. </w:t>
      </w:r>
      <w:r>
        <w:rPr>
          <w:rFonts w:ascii="Arial" w:cs="Arial" w:eastAsia="Arial" w:hAnsi="Arial"/>
          <w:sz w:val="15"/>
          <w:szCs w:val="15"/>
          <w:color w:val="auto"/>
        </w:rPr>
        <w:t>EBITDA for our Power Generation and Industrial segment was $15 million, or 7.3% of revenue, for the nine month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ended September 30, 2017, as compared with EBITDA of $14 million, or 4.3% of revenue, for the same period in 2016, an increase in EBITDA of $1 million, or 7% As a percentage of revenue, segment EBITDA improved by approximately 300 basis points for the nine month period ended September 30, 2017 as compared with the same period in the prior year due to improved project efficiencies and mix, offset, in part, by reduced cost and overhead utilization due to lower revenue.</w:t>
      </w:r>
    </w:p>
    <w:p>
      <w:pPr>
        <w:spacing w:after="0" w:line="1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Other Segment. </w:t>
      </w:r>
      <w:r>
        <w:rPr>
          <w:rFonts w:ascii="Arial" w:cs="Arial" w:eastAsia="Arial" w:hAnsi="Arial"/>
          <w:sz w:val="14"/>
          <w:szCs w:val="14"/>
          <w:color w:val="auto"/>
        </w:rPr>
        <w:t>EBITDA from Other businesses was approximately $12 million for the nine month period ended September 30, 2017, as compared with EBITDA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negative $3 million for the same period in 2016, an increase in EBITDA of $14 million. Other segment EBITDA for the nine month period ended September 30, 2017 included $15 million of equity in earnings from unconsolidated affiliates related to our investments in the Waha JVs, which commenced operations in the first half of 2017. For the nine month periods ended September 30, 2017 and 2016, Other segment EBITDA included losses of $7 million and $5 million, respectively, on a proportionately consolidated non-controlled Canadian joint venture. The remaining improvement in Other segment EBITDA was driven by an increase in EBITDA from our oil and gas operations in Mexico.</w:t>
      </w:r>
    </w:p>
    <w:p>
      <w:pPr>
        <w:spacing w:after="0" w:line="1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Corporate. </w:t>
      </w:r>
      <w:r>
        <w:rPr>
          <w:rFonts w:ascii="Arial" w:cs="Arial" w:eastAsia="Arial" w:hAnsi="Arial"/>
          <w:sz w:val="15"/>
          <w:szCs w:val="15"/>
          <w:color w:val="auto"/>
        </w:rPr>
        <w:t>Corporate EBITDA was negative $69 million for the nine month period ended September 30, 2017, as compared with EBITDA of negative $55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same period in 2016, for a decrease in EBITDA of $14 million. Corporate EBITDA for the nine month period ended September 30, 2017 included approximately $12 million of expenses related to changes in expected recovery amounts for an investment that is in the final stages of liquidation, as well as reduced recovery expectations on a long-term note receivable due to recent bankruptcy proceedings for a former customer, offset by approximately $12 million of income from changes to estimated earn-out accruals. For the nine month period ended September 30, 2017, other corporate expenses increased as compared with the same period in the prior year, due primarily to costs related to the timing of legal matters and other settlements, as well as costs associated with growth initiatives, including incentive and compensation expense.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Operations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See Note 13 - Segments and Related Information in the notes to the condensed unaudited consolidated financial statements, which is incorporated by reference.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73"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5"/>
          <w:szCs w:val="15"/>
          <w:color w:val="auto"/>
        </w:rPr>
        <w:t>As appropriate, we supplement our reported U.S. GAAP financial information with certain non-U.S. GAAP financial measures, including earnings before interest, income taxes, depreciation and amortization (“EBITDA”). In addition, we have presented “Adjusted EBITDA,” as well as adjusted net income (“Adjusted Net Income”) and adjusted diluted earnings per share (“Adjusted Diluted Earnings Per Share”). The “adjusted” non-U.S. GAAP measures exclude, as applicable to the particular periods, non-cash stock-based compensation expense, certain restructuring charges, project results, which for the periods presented, were losses, from a proportionately consolidated non-controlled Canadian joint venture that was underway when we acquired Pacer in 2014, and whose sole activity involves the construction of a bridge, a business in which we do not otherwise engage, is managed by a third party, and for which we have minimal direct construction involvement and automatically terminates upon completion of the project, and charges or recoveries from multi-employer pension plan withdrawals, and, for Adjusted Net Income and Adjusted Diluted Earnings Per Share, the tax effects of the adjusted items, including non-cash stock based compensation. The definitions of EBITDA and Adjusted EBITDA above are not the same as in our Credit Facility or in the indenture governing our notes; therefore, EBITDA and Adjusted EBITDA as presented in this discussion should not be used for purposes of determining our compliance with the covenants contained in our debt instruments.</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and, for non-cash stock-based compensation expense, can also be subject to volatility from changes in the market price per share of our common stock or variations in the value of shares granted. Additionally, these measures provide a baseline for analyzing trends in our underlying business.</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1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following table presents a reconciliation of net income to EBITDA and Adjusted EBITDA, in dollar and percentage of revenue terms, for the periods indicated (dollar amounts in millions). The tables below may contain slight summation differences due to rounding.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gridSpan w:val="11"/>
          </w:tcPr>
          <w:p>
            <w:pPr>
              <w:ind w:left="40"/>
              <w:spacing w:after="0"/>
              <w:rPr>
                <w:sz w:val="20"/>
                <w:szCs w:val="20"/>
                <w:color w:val="auto"/>
              </w:rPr>
            </w:pPr>
            <w:r>
              <w:rPr>
                <w:rFonts w:ascii="Arial" w:cs="Arial" w:eastAsia="Arial" w:hAnsi="Arial"/>
                <w:sz w:val="16"/>
                <w:szCs w:val="16"/>
                <w:b w:val="1"/>
                <w:bCs w:val="1"/>
                <w:color w:val="auto"/>
                <w:w w:val="99"/>
              </w:rPr>
              <w:t>For the Three Months Ended September 30</w:t>
            </w:r>
          </w:p>
        </w:tc>
        <w:tc>
          <w:tcPr>
            <w:tcW w:w="160" w:type="dxa"/>
            <w:vAlign w:val="bottom"/>
          </w:tcPr>
          <w:p>
            <w:pPr>
              <w:spacing w:after="0"/>
              <w:rPr>
                <w:sz w:val="18"/>
                <w:szCs w:val="18"/>
                <w:color w:val="auto"/>
              </w:rPr>
            </w:pPr>
          </w:p>
        </w:tc>
        <w:tc>
          <w:tcPr>
            <w:tcW w:w="3180" w:type="dxa"/>
            <w:vAlign w:val="bottom"/>
            <w:gridSpan w:val="10"/>
          </w:tcPr>
          <w:p>
            <w:pPr>
              <w:jc w:val="right"/>
              <w:ind w:right="119"/>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462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20"/>
        </w:trPr>
        <w:tc>
          <w:tcPr>
            <w:tcW w:w="4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9"/>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withdrawals</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4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EBITDA to Adjusted EBITDA and Adjusted EBITDA margin by reportable segment, for the periods indicated is as follows:</w:t>
      </w:r>
    </w:p>
    <w:p>
      <w:pPr>
        <w:spacing w:after="0" w:line="3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693"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11"/>
          </w:tcPr>
          <w:p>
            <w:pPr>
              <w:ind w:left="60"/>
              <w:spacing w:after="0"/>
              <w:rPr>
                <w:sz w:val="20"/>
                <w:szCs w:val="20"/>
                <w:color w:val="auto"/>
              </w:rPr>
            </w:pPr>
            <w:r>
              <w:rPr>
                <w:rFonts w:ascii="Arial" w:cs="Arial" w:eastAsia="Arial" w:hAnsi="Arial"/>
                <w:sz w:val="16"/>
                <w:szCs w:val="16"/>
                <w:b w:val="1"/>
                <w:bCs w:val="1"/>
                <w:color w:val="auto"/>
              </w:rPr>
              <w:t>For the Three Months Ended September 30</w:t>
            </w:r>
          </w:p>
        </w:tc>
        <w:tc>
          <w:tcPr>
            <w:tcW w:w="180" w:type="dxa"/>
            <w:vAlign w:val="bottom"/>
          </w:tcPr>
          <w:p>
            <w:pPr>
              <w:spacing w:after="0"/>
              <w:rPr>
                <w:sz w:val="18"/>
                <w:szCs w:val="18"/>
                <w:color w:val="auto"/>
              </w:rPr>
            </w:pPr>
          </w:p>
        </w:tc>
        <w:tc>
          <w:tcPr>
            <w:tcW w:w="3220" w:type="dxa"/>
            <w:vAlign w:val="bottom"/>
            <w:gridSpan w:val="10"/>
          </w:tcPr>
          <w:p>
            <w:pPr>
              <w:jc w:val="right"/>
              <w:ind w:right="139"/>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33"/>
        </w:trPr>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33"/>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0"/>
        </w:trPr>
        <w:tc>
          <w:tcPr>
            <w:tcW w:w="4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Charges (recoveries) from multi-employer pension plan</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9"/>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withdrawals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45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8.5 %</w:t>
            </w:r>
          </w:p>
        </w:tc>
      </w:tr>
      <w:tr>
        <w:trPr>
          <w:trHeight w:val="33"/>
        </w:trPr>
        <w:tc>
          <w:tcPr>
            <w:tcW w:w="4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Reportable Segment: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Communications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11.1 %</w:t>
            </w:r>
          </w:p>
        </w:tc>
      </w:tr>
      <w:tr>
        <w:trPr>
          <w:trHeight w:val="33"/>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Oil and Gas</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Electrical Transmission</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9"/>
              </w:rPr>
              <w:t>(12.2)%</w:t>
            </w:r>
          </w:p>
        </w:tc>
      </w:tr>
      <w:tr>
        <w:trPr>
          <w:trHeight w:val="33"/>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Power Generation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9"/>
              </w:rPr>
              <w:t>133.3%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17.2 %</w:t>
            </w:r>
          </w:p>
        </w:tc>
      </w:tr>
      <w:tr>
        <w:trPr>
          <w:trHeight w:val="33"/>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NA</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NA</w:t>
            </w:r>
          </w:p>
        </w:tc>
      </w:tr>
      <w:tr>
        <w:trPr>
          <w:trHeight w:val="217"/>
        </w:trPr>
        <w:tc>
          <w:tcPr>
            <w:tcW w:w="45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322.8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8.5 %</w:t>
            </w:r>
          </w:p>
        </w:tc>
      </w:tr>
      <w:tr>
        <w:trPr>
          <w:trHeight w:val="33"/>
        </w:trPr>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Net Income and Adjusted Diluted Earnings Per Share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tables below, which may contain slight summation differences due to rounding, reconcile reported net income and reported diluted earnings per share, the most directly comparable U.S. GAAP financial measures, to Adjusted Net Income and Adjusted Diluted Earnings Per Share.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0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1"/>
              </w:rPr>
              <w:t>For the Three Months Ended September 30</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2017</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Diluted Earnings</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Diluted Earnings</w:t>
            </w: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Per Share</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Per Share</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0.69</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0.06</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r>
      <w:tr>
        <w:trPr>
          <w:trHeight w:val="284"/>
        </w:trPr>
        <w:tc>
          <w:tcPr>
            <w:tcW w:w="5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0.81</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582"/>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2017</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Diluted Earnings</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Diluted Earnings</w:t>
            </w: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Per Share</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Per Share</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Reported 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0.17</w:t>
            </w:r>
          </w:p>
        </w:tc>
      </w:tr>
      <w:tr>
        <w:trPr>
          <w:trHeight w:val="33"/>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Project results from non-controlled joint venture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Charges (recoveries) from multi-employer pension plan withdrawals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 pre-tax</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r>
      <w:tr>
        <w:trPr>
          <w:trHeight w:val="284"/>
        </w:trPr>
        <w:tc>
          <w:tcPr>
            <w:tcW w:w="5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non-U.S. GAAP measure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41" w:lineRule="exact"/>
        <w:rPr>
          <w:sz w:val="20"/>
          <w:szCs w:val="20"/>
          <w:color w:val="auto"/>
        </w:rPr>
      </w:pPr>
    </w:p>
    <w:p>
      <w:pPr>
        <w:jc w:val="both"/>
        <w:ind w:left="420" w:hanging="412"/>
        <w:spacing w:after="0" w:line="278" w:lineRule="auto"/>
        <w:tabs>
          <w:tab w:leader="none" w:pos="420" w:val="left"/>
        </w:tabs>
        <w:numPr>
          <w:ilvl w:val="0"/>
          <w:numId w:val="7"/>
        </w:numPr>
        <w:rPr>
          <w:rFonts w:ascii="Arial" w:cs="Arial" w:eastAsia="Arial" w:hAnsi="Arial"/>
          <w:sz w:val="13"/>
          <w:szCs w:val="13"/>
          <w:color w:val="auto"/>
        </w:rPr>
      </w:pPr>
      <w:r>
        <w:rPr>
          <w:rFonts w:ascii="Arial" w:cs="Arial" w:eastAsia="Arial" w:hAnsi="Arial"/>
          <w:sz w:val="14"/>
          <w:szCs w:val="14"/>
          <w:color w:val="auto"/>
        </w:rPr>
        <w:t>Represents the tax effect of the adjusted items that are subject to tax, including the tax effects of share-based compensation expense. Tax effects are determined based on the tax treatment of the related items, the incremental statutory tax rate of the jurisdictions pertaining to each adjustment, and taking into consideration their effect on pre-tax income. For both the three and nine month periods ended September 30, 2017, our consolidated effective tax rate, as reported, was 40%, and as adjusted, was 39%. For the three and nine month periods ended September 30, 2016, our consolidated effective tax rate, as reported, was 41% for both, and as adjusted, was 39% and 40%,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earn-out obligations, cost and equity investee funding requirements, debt service, income taxes and share repurchase programs. We also evaluate opportunities for strategic acquisitions and investments from time to time, and we may consider opportunities to borrow additional funds, or to repurchase, refinance or retire outstanding debt or repurchase additional shares of our outstanding common stock in the future, any of which may require our use of cash.</w:t>
      </w:r>
    </w:p>
    <w:p>
      <w:pPr>
        <w:spacing w:after="0" w:line="13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nine month period ended September 30, 2017, we spent $83 million on capital expenditures, or $70 million, net of asset disposals,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incurred approximately $131 million of equipment purchases under capital lease and other financing arrangements. We estimate that we will spend approximately $105 million on capital expenditures, or approximately $90 million, net of asset disposals in 2017, and expect to incur approximately $155 million of equipment purchases under capital lease or other financing arrangements. Actual capital expenditures may increase or decrease in the future depending upon business activity levels, as well as ongoing assessments of equipment lease versus buy decisions based on short and long-term equipment requirements.</w:t>
      </w:r>
    </w:p>
    <w:p>
      <w:pPr>
        <w:spacing w:after="0" w:line="1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Acquisitions and Acquisition-Related Contingent Consideration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typically utilize cash for our strategic acquisitions of other businesses, and for the nine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September 30, 2017, we used $116 million of cash for this purpose. In addition, in most of our acquisitions, we have agreed to make future earn-out payments to the sellers, which are contingent upon the future earnings performance of the acquired businesses. Certain earn-out payments may be paid in either cash or, under specific circumstances, MasTec common stock, or a combination thereof, at our option. Potential future earn-out obligations are measured at their estimated fair value as of the date of acquisition, with subsequent changes in fair value recorded in earnings as a component of other income or expense. The estimated total value of earn-out obligations recorded as liabilities as of September 30,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706" w:right="239" w:bottom="1440" w:gutter="0" w:footer="0" w:header="0"/>
        </w:sectPr>
      </w:pPr>
    </w:p>
    <w:bookmarkStart w:id="38" w:name="page39"/>
    <w:bookmarkEnd w:id="38"/>
    <w:p>
      <w:pPr>
        <w:jc w:val="both"/>
        <w:spacing w:after="0" w:line="278" w:lineRule="auto"/>
        <w:rPr>
          <w:sz w:val="20"/>
          <w:szCs w:val="20"/>
          <w:color w:val="auto"/>
        </w:rPr>
      </w:pPr>
      <w:r>
        <w:rPr>
          <w:rFonts w:ascii="Arial" w:cs="Arial" w:eastAsia="Arial" w:hAnsi="Arial"/>
          <w:sz w:val="15"/>
          <w:szCs w:val="15"/>
          <w:color w:val="auto"/>
        </w:rPr>
        <w:t>2017 was approximately $105 million. Of this amount, $15 million represents the liability for earn-out obligations that have been earned. The remainder, approximately $90 million, is management’s estimate of potential earn-out obligations that are contingent upon future performance. There were no payments related to earn-out obligations for the three month period ended September 30, 2017, and for the nine month period ended September 30, 2017, we made payments of $19 million. For the three and nine month periods ended September 30, 2016, we made payments of $5 million and $20 million, respectively, related to earn-out obligations.</w:t>
      </w:r>
    </w:p>
    <w:p>
      <w:pPr>
        <w:spacing w:after="0" w:line="1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Tax payments, net of tax refunds, were approximately $78 million and $15 million, respectively, for the nine month periods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and 2016. Tax payments, which are made quarterly, vary with changes in taxable income and earnings based on estimates of full year taxable income activity and estimated tax rates.</w:t>
      </w:r>
    </w:p>
    <w:p>
      <w:pPr>
        <w:spacing w:after="0" w:line="12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5"/>
          <w:szCs w:val="15"/>
          <w:b w:val="1"/>
          <w:bCs w:val="1"/>
          <w:i w:val="1"/>
          <w:iCs w:val="1"/>
          <w:color w:val="auto"/>
        </w:rPr>
        <w:t xml:space="preserve">Working Capital. </w:t>
      </w:r>
      <w:r>
        <w:rPr>
          <w:rFonts w:ascii="Arial" w:cs="Arial" w:eastAsia="Arial" w:hAnsi="Arial"/>
          <w:sz w:val="15"/>
          <w:szCs w:val="15"/>
          <w:color w:val="auto"/>
        </w:rPr>
        <w:t>We need working capital to support seasonal variations in our business, primarily due to the effect of weather conditions on external construction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maintenance work and the spending patterns of our customers, both of which influence the timing of associated 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12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Working capital requirements also tend to increase when we commence multiple projects or particularly large projects because labor, including subcontractor costs, and certain other costs, including inventory, become payable before the receivables resulting from work performed are collected. The timing of billing milestones and project close-outs can contribute to changes in unbilled revenue. As of September 30, 2017, we expect that substantially all of our CIEB will be billed to customers in the normal course of business within the next 12 months. Accounts receivable balances, which consist of contract billings as well as CIEB and retainage, increased to $1.5 billion as of September 30, 2017 from $1.2 billion as of December 31, 2016 due to higher levels of quarterly revenue, as well as the ramp-up of various projects, primarily in our oil and gas business.</w:t>
      </w:r>
    </w:p>
    <w:p>
      <w:pPr>
        <w:spacing w:after="0" w:line="13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anticipate that funds generated from operations, borrowings under our Credit Facility and our cash balances will be sufficient to meet our working capital requirements, anticipated capital expenditures, debt service obligations, insurance and performance collateral requirements, letter of credit needs, earn-out obligations, required income tax payments, acquisition and other investment funding requirements and other liquidity needs for at least the next 12 months.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Sources and Uses of Cash</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of September 30, 2017, we had $746 million in working capital, defined as current assets less current liabilities, as compared with $562 million as of December 31, 2016, an increase of approximately $183 million. Total cash and cash equivalents of $44 million as of September 30, 2017 increased by $5 million from total cash and cash equivalents of $39 million as of December 31, 2016.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ind w:left="660"/>
              <w:spacing w:after="0"/>
              <w:rPr>
                <w:sz w:val="20"/>
                <w:szCs w:val="20"/>
                <w:color w:val="auto"/>
              </w:rPr>
            </w:pPr>
            <w:r>
              <w:rPr>
                <w:rFonts w:ascii="Arial" w:cs="Arial" w:eastAsia="Arial" w:hAnsi="Arial"/>
                <w:sz w:val="16"/>
                <w:szCs w:val="16"/>
                <w:color w:val="auto"/>
              </w:rPr>
              <w:t>Sources and uses of cash are summarized below (in millions):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5"/>
        </w:trPr>
        <w:tc>
          <w:tcPr>
            <w:tcW w:w="8340" w:type="dxa"/>
            <w:vAlign w:val="bottom"/>
          </w:tcPr>
          <w:p>
            <w:pPr>
              <w:spacing w:after="0"/>
              <w:rPr>
                <w:sz w:val="24"/>
                <w:szCs w:val="24"/>
                <w:color w:val="auto"/>
              </w:rPr>
            </w:pPr>
          </w:p>
        </w:tc>
        <w:tc>
          <w:tcPr>
            <w:tcW w:w="308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For the Nine Months Ended September 30</w:t>
            </w: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(94.1)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4"/>
          <w:szCs w:val="14"/>
          <w:b w:val="1"/>
          <w:bCs w:val="1"/>
          <w:i w:val="1"/>
          <w:iCs w:val="1"/>
          <w:color w:val="auto"/>
        </w:rPr>
        <w:t xml:space="preserve">Operating Activities. </w:t>
      </w:r>
      <w:r>
        <w:rPr>
          <w:rFonts w:ascii="Arial" w:cs="Arial" w:eastAsia="Arial" w:hAnsi="Arial"/>
          <w:sz w:val="14"/>
          <w:szCs w:val="14"/>
          <w:color w:val="auto"/>
        </w:rPr>
        <w:t>Cash flow from operations is primarily influenced by changes in the timing of demand for our services and operating margins, but can also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affected by working capital needs associated with the various types of services we provide. Working capital is affected by changes in accounts receivable, CIEB, accounts payable and accrued expenses and BIEC, all of which tend to be related. These working capital items are affected by changes in revenue resulting from both the timing and the volume of work performed, by variability in the timing of customer billings and collections of receivables, as well as settlement of payables and other obligations. Net cash provided by operating activities for the nine month period ended September 30, 2017 was $179 million, as compared with approximately $127 million of net cash provided by operating activities for the same period in 2016. The increase in cash flow from operating activities was driven by an increase in net income of $110 million due to growth in revenue and an increase in the effect of non-cash adjustments of $107 million, partially offset by a decrease in the effect of net changes in assets and liabilities of $165 million.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35" w:right="239" w:bottom="1440" w:gutter="0" w:footer="0" w:header="0"/>
        </w:sectPr>
      </w:pPr>
    </w:p>
    <w:bookmarkStart w:id="39" w:name="page40"/>
    <w:bookmarkEnd w:id="39"/>
    <w:p>
      <w:pPr>
        <w:jc w:val="both"/>
        <w:ind w:firstLine="648"/>
        <w:spacing w:after="0" w:line="252" w:lineRule="auto"/>
        <w:rPr>
          <w:sz w:val="20"/>
          <w:szCs w:val="20"/>
          <w:color w:val="auto"/>
        </w:rPr>
      </w:pPr>
      <w:r>
        <w:rPr>
          <w:rFonts w:ascii="Arial" w:cs="Arial" w:eastAsia="Arial" w:hAnsi="Arial"/>
          <w:sz w:val="16"/>
          <w:szCs w:val="16"/>
          <w:color w:val="auto"/>
        </w:rPr>
        <w:t>Our days sales outstanding (“DSO”), net of BIEC, was 67 as of September 30, 2017, as compared with 68 as of December 31, 2016 and 61 as of September 30, 2016. DSO, net of BIEC, is calculated as accounts receivable, net, less BIEC, divided by average daily revenue for the most recently completed quarter as of the balance sheet date. DSOs can fluctuate from period to period due to the timing of collections and settlements, changes in project and customer mix and the effect of working capital initiatives. Other than matters subject to litigation, we do not anticipate material collection issues related to our outstanding accounts receivable balances, nor do we have material amounts due from customers experiencing financial difficulties. We expect to collect substantially all of our outstanding accounts receivable, net, within the next twelve months.</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Net cash used in investing activities increased by $155 million to $249 million for the nine month period ended September 30, 2017 from $94</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nine month period ended September 30, 2016. For the nine month period ended September 30, 2017, payments for acquisitions, net of cash acquired, totaled $116 million due to our 2017 acquisitions, an increase of $112 million as compared with the same period in 2016. Payments for other investments, net, which relates primarily to activity associated with cost and equity investees, was $64 million for the nine month period ended September 30, 2017, as compared with $8 million for the same period in 2016, representing an increase in cash used in investing activities of approximately $56 million. Payments for other investments for the nine month period ended September 30, 2017 related to our equity investment in the Waha JVs, for which we have $19 million in letters of credit issued as collateral as of September 30, 2017, as described in Note 4 - Fair Value of Financial Instruments in the notes to the condensed unaudited consolidated financial statements, which is incorporated by reference. Proceeds from other investments for the nine month period ended September 30, 2017 related to recoveries from an equity method investment that is in the final stages of liquidation and is being managed by a receiver. Additionally, for the nine month period ended September 30, 2017, we spent $83 million on capital expenditures, or $70 million, net of asset disposals, as compared with capital expenditures, net of asset disposals, of $82 million for the same period in the prior year, for a decrease in cash used in investing activities of $12 million.</w:t>
      </w:r>
    </w:p>
    <w:p>
      <w:pPr>
        <w:spacing w:after="0" w:line="1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provided by financing activities for the nine month period ended September 30, 2017 was $76 million, as compared with $28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net cash used in financing activities for the nine month period ended September 30, 2016, for an increase in cash provided by financing activities of $103 million. Credit facility related activity, net, for the nine month period ended September 30, 2017, totaled $162 million of borrowings, net of repayments, as compared to $37 million for the nine month period ended September 30, 2016, for an increase in cash provided by credit facility-related activities, net, of $125 million, which increase was partially offset by payments of $6 million for Credit Facility-related financing costs. Payments of acquisition-related contingent consideration for the nine month periods ended September 30, 2017 and 2016 were generally flat, totaling $19 million in 2017 as compared with $20 million in 2016.</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Secured Credit Facility</w:t>
      </w:r>
    </w:p>
    <w:p>
      <w:pPr>
        <w:spacing w:after="0" w:line="16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5"/>
          <w:szCs w:val="15"/>
          <w:color w:val="auto"/>
        </w:rPr>
        <w:t>We have a senior secured credit facility that we refer to as our “Credit Facility,” which was amended and restated in February 2017. As of September 30, 2017, the Credit Facility has aggregate borrowing commitments of approximately $1.5 billion, composed of $1.1 billion of revolving commitments and an outstanding term loan in the aggregate principal amount of $400 million. Borrowings under the Credit Facility are used for working capital requirements, capital expenditures and other corporate purposes, including investments in equity or other investees, potential acquisitions or other strategic arrangements, and the repurchase or prepayment of indebtedness.</w:t>
      </w:r>
    </w:p>
    <w:p>
      <w:pPr>
        <w:spacing w:after="0" w:line="1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are dependent upon borrowings and letters of credit under the Credit Facility to fund our operations. Should we be unable to comply with the terms and conditions of the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condensed unaudited consolidated financial statements, which is incorporated by reference.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4.875% Senior Notes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outstanding $400 million of 4.875% senior notes due March 15, 2023 (our “4.875% Senior Notes”), which were issued in 2013 in a registered public offering. The 4.875% Senior Notes are guaranteed by certain of our subsidiaries and are subject to certain provisions and covenants, as more fully described in Note 7 - Debt and Note 17 - Supplemental Guarantor Condensed Consolidating Financial Information in the notes to the audited consolidated financial statements included in our 2016 Form 10-K. Also see Note 16 - Supplemental Guarantor Condensed Unaudited Consolidating Financial Information in the notes to the condensed unaudited consolidated financial statements in this Form 10-Q, which are incorporated by reference.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September 30, 2017.</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2016 Form 10-K. Also see Note 7 - Debt in the notes to the condensed unaudited consolidated financial statements in this Form 10-Q for current period balances and discussion, which is incorporated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letter of credit obligations, surety and performance and payment bonds entered into in the normal course of business, self-insurance liabilities, liabilities associated with multiemployer pension plans, liabilities associated with certain indemnification and guarantee arrangements and obligations relating to our cost and equity investees, including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35" w:right="239" w:bottom="1440" w:gutter="0" w:footer="0" w:header="0"/>
        </w:sectPr>
      </w:pPr>
    </w:p>
    <w:bookmarkStart w:id="40" w:name="page41"/>
    <w:bookmarkEnd w:id="40"/>
    <w:p>
      <w:pPr>
        <w:jc w:val="both"/>
        <w:spacing w:after="0" w:line="275" w:lineRule="auto"/>
        <w:rPr>
          <w:sz w:val="20"/>
          <w:szCs w:val="20"/>
          <w:color w:val="auto"/>
        </w:rPr>
      </w:pPr>
      <w:r>
        <w:rPr>
          <w:rFonts w:ascii="Arial" w:cs="Arial" w:eastAsia="Arial" w:hAnsi="Arial"/>
          <w:sz w:val="16"/>
          <w:szCs w:val="16"/>
          <w:color w:val="auto"/>
        </w:rPr>
        <w:t>variable interest entities. Refer to Note 14 - Commitments and Contingencies, Note 4 - Fair Value of Financial Instruments and Note 15 - Related Party Transactions in the notes to the condensed unaudited consolidated financial statements, which are incorporated by reference.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The primary inflationary factors affecting our operations are labor and fuel costs, and to a lesser extent, material costs. In times of low unemployment, our labor costs may increase due to shortages in the supply of skilled labor. Additionally, the prices of oil and gas are subject to unexpected fluctuations due to events outside of our control, including geopolitical events and fluctuations in global supply and demand, which have recently caused volatility in the oil markets. We closely monitor inflationary factors and any impact they may have on our operating results or financial condition.</w:t>
      </w:r>
    </w:p>
    <w:p>
      <w:pPr>
        <w:spacing w:after="0" w:line="237" w:lineRule="exact"/>
        <w:rPr>
          <w:sz w:val="20"/>
          <w:szCs w:val="20"/>
          <w:color w:val="auto"/>
        </w:rPr>
      </w:pPr>
    </w:p>
    <w:p>
      <w:pPr>
        <w:ind w:right="4840"/>
        <w:spacing w:after="0" w:line="46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As of September 30, 2017, our variable interest rate debt was primarily related to our Credit Facility. Interest on outstanding revolving loans and our Term Loan under our Credit Facility accrues at variable rates based, at our option, on a Eurocurrency rate, as defined in the Credit Facility, plus a margin, or a base rate, as defined in the Credit Facility, plus a margin. As of September 30, 2017, we had $301 million aggregate principal amount of outstanding revolving loans under our Credit Facility with a weighted average interest rate of 2.96% and a term loan with a balance of $400 million with an interest rate of 2.86%. A 100 basis point increase in the applicable interest rates under our credit facilities would have increased our interest expense by approximately $5 million for the nine month period ended September 30, 2017.</w:t>
      </w:r>
    </w:p>
    <w:p>
      <w:pPr>
        <w:spacing w:after="0" w:line="1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As of September 30, 2017, our fixed interest rate debt primarily included $400 million aggregate principal amount of 4.875% Senior Notes and an aggregate $187 million of capital lease obligations and notes payable, which accrued interest at a weighted average interest rate of approximately 3.4% as of September 30, 2017. None of this debt subjects us to interest rate risk, but we may be subject to changes in interest rates if and when we refinance this debt at maturity or otherwise.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5"/>
          <w:szCs w:val="15"/>
          <w:color w:val="auto"/>
        </w:rPr>
        <w:t>Our foreign operations are primarily in Canada. Revenue generated from foreign operations represented 3% of our total revenue for the nine month period ended September 30, 2017. Revenue and expense related to our foreign operations are, for the most part, denominated in the functional currency of the foreign operation, which minimizes the impact that fluctuations in exchange rates would have on net income or loss. We are subject to fluctuations in foreign currency exchange rates when transactions are denominated in currencies other than the functional currencies. Such transactions were not material to our operations for the three or nine month periods ended September 30, 2017. Translation gains or losses, which are recorded in other comprehensive income or loss, result from translation of the assets and liabilities of our foreign subsidiaries into U.S. dollars. For the three and nine month periods ended September 30, 2017, foreign currency translation effects totaled approximately $0.6 million and $2.4 million of gains, respectively, and related primarily to our Canadian operations.</w:t>
      </w:r>
    </w:p>
    <w:p>
      <w:pPr>
        <w:spacing w:after="0" w:line="127"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4"/>
          <w:szCs w:val="14"/>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September 30, 2017. We may enter into foreign currency derivative contracts in the future to manage such exposure.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discussed in Note 4 - Fair Value of Financial Instruments in the notes to the condensed unaudited consolidated financial statements, which is incorporated by reference, we have certain investments that may be subject to market risk and could be subject to volatility based on market conditions.</w:t>
      </w: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5"/>
          <w:szCs w:val="15"/>
          <w:color w:val="auto"/>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Based on management’s evaluation, our Chief Executive Officer and Chief Financial Officer concluded that our disclosure controls and procedures were effective at the reasonable assurance level as of September 30, 2017.</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7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There have been no changes in the Company’s internal control over financial reporting during the quarter ended September 30, 2017 that have materially affected, or are reasonably likely to materially affect, the Company’s internal control over financial reporting.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97" w:right="239" w:bottom="1440" w:gutter="0" w:footer="0" w:header="0"/>
        </w:sectPr>
      </w:pPr>
    </w:p>
    <w:bookmarkStart w:id="41" w:name="page42"/>
    <w:bookmarkEnd w:id="41"/>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Legacy Litigation</w:t>
      </w:r>
    </w:p>
    <w:p>
      <w:pPr>
        <w:spacing w:after="0" w:line="171"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Refer to Note 14 – Commitments and Contingencies in the notes to our condensed unaudited consolidated financial statements included in this Quarterly Report on Form 10-Q, which is incorporated by reference in this Item 1, for a discussion of any recent material developments related to our legal proceedings since the filing of our 2016 Form 10-K.</w:t>
      </w:r>
    </w:p>
    <w:p>
      <w:pPr>
        <w:spacing w:after="0" w:line="23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There have been no material changes to either the cautionary statement regarding forward-looking statements or to any of the risk factors disclosed in our 2016 Form 10-K, as updated by our Quarterly Report on Form 10-Q.</w:t>
      </w:r>
    </w:p>
    <w:p>
      <w:pPr>
        <w:spacing w:after="0" w:line="22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UNREGISTERED SALES OF EQUITY SECURITIES AND USE OF PROCEEDS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September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2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Purchased as Part of Publicly</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Paid per Share</w:t>
            </w:r>
          </w:p>
        </w:tc>
        <w:tc>
          <w:tcPr>
            <w:tcW w:w="120" w:type="dxa"/>
            <w:vAlign w:val="bottom"/>
            <w:vMerge w:val="restart"/>
          </w:tcPr>
          <w:p>
            <w:pPr>
              <w:spacing w:after="0"/>
              <w:rPr>
                <w:sz w:val="7"/>
                <w:szCs w:val="7"/>
                <w:color w:val="auto"/>
              </w:rPr>
            </w:pPr>
          </w:p>
        </w:tc>
        <w:tc>
          <w:tcPr>
            <w:tcW w:w="22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 xml:space="preserve">Announced Program </w:t>
            </w:r>
            <w:r>
              <w:rPr>
                <w:rFonts w:ascii="Arial" w:cs="Arial" w:eastAsia="Arial" w:hAnsi="Arial"/>
                <w:sz w:val="21"/>
                <w:szCs w:val="21"/>
                <w:b w:val="1"/>
                <w:bCs w:val="1"/>
                <w:color w:val="auto"/>
                <w:vertAlign w:val="superscript"/>
              </w:rPr>
              <w:t>(b)</w:t>
            </w:r>
          </w:p>
        </w:tc>
        <w:tc>
          <w:tcPr>
            <w:tcW w:w="120" w:type="dxa"/>
            <w:vAlign w:val="bottom"/>
          </w:tcPr>
          <w:p>
            <w:pPr>
              <w:spacing w:after="0"/>
              <w:rPr>
                <w:sz w:val="7"/>
                <w:szCs w:val="7"/>
                <w:color w:val="auto"/>
              </w:rPr>
            </w:pPr>
          </w:p>
        </w:tc>
        <w:tc>
          <w:tcPr>
            <w:tcW w:w="22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Purchased under the Program</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July 1 through July 31</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August 1 through August 31</w:t>
            </w:r>
          </w:p>
        </w:tc>
        <w:tc>
          <w:tcPr>
            <w:tcW w:w="1380" w:type="dxa"/>
            <w:vAlign w:val="bottom"/>
          </w:tcPr>
          <w:p>
            <w:pPr>
              <w:jc w:val="right"/>
              <w:ind w:right="43"/>
              <w:spacing w:after="0"/>
              <w:rPr>
                <w:sz w:val="20"/>
                <w:szCs w:val="20"/>
                <w:color w:val="auto"/>
              </w:rPr>
            </w:pPr>
            <w:r>
              <w:rPr>
                <w:rFonts w:ascii="Arial" w:cs="Arial" w:eastAsia="Arial" w:hAnsi="Arial"/>
                <w:sz w:val="16"/>
                <w:szCs w:val="16"/>
                <w:color w:val="auto"/>
              </w:rPr>
              <w:t>462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1 through September 30</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c>
          <w:tcPr>
            <w:tcW w:w="0" w:type="dxa"/>
            <w:vAlign w:val="bottom"/>
          </w:tcPr>
          <w:p>
            <w:pPr>
              <w:spacing w:after="0"/>
              <w:rPr>
                <w:sz w:val="1"/>
                <w:szCs w:val="1"/>
                <w:color w:val="auto"/>
              </w:rPr>
            </w:pPr>
          </w:p>
        </w:tc>
      </w:tr>
      <w:tr>
        <w:trPr>
          <w:trHeight w:val="21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20955</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20955</wp:posOffset>
            </wp:positionV>
            <wp:extent cx="875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Reflects share repurchases associated with certain employee elections under compensation and benefit programs.</w:t>
      </w:r>
    </w:p>
    <w:p>
      <w:pPr>
        <w:spacing w:after="0" w:line="21" w:lineRule="exact"/>
        <w:rPr>
          <w:rFonts w:ascii="Arial" w:cs="Arial" w:eastAsia="Arial" w:hAnsi="Arial"/>
          <w:sz w:val="14"/>
          <w:szCs w:val="14"/>
          <w:color w:val="auto"/>
        </w:rPr>
      </w:pPr>
    </w:p>
    <w:p>
      <w:pPr>
        <w:ind w:left="420" w:hanging="412"/>
        <w:spacing w:after="0" w:line="263" w:lineRule="auto"/>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 shares were purchased for the three months ended September 30, 2017 under the Company’s $100 million 2016 share repurchase program, which was publicly announced on February 26, 2016 and does not have an expiration date.</w:t>
      </w:r>
    </w:p>
    <w:p>
      <w:pPr>
        <w:spacing w:after="0" w:line="240"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6"/>
          <w:szCs w:val="16"/>
          <w:color w:val="auto"/>
        </w:rPr>
        <w:t>See the Exhibit Index following the signatures page to this Form 10-Q for a list of exhibits filed or furnished with this Form 10-Q, which Exhibit Index is incorporated herein by reference.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801" w:right="239" w:bottom="1440" w:gutter="0" w:footer="0" w:header="0"/>
        </w:sectPr>
      </w:pPr>
    </w:p>
    <w:bookmarkStart w:id="42" w:name="page43"/>
    <w:bookmarkEnd w:id="42"/>
    <w:p>
      <w:pPr>
        <w:jc w:val="center"/>
        <w:ind w:left="340"/>
        <w:spacing w:after="0"/>
        <w:rPr>
          <w:sz w:val="20"/>
          <w:szCs w:val="20"/>
          <w:color w:val="auto"/>
        </w:rPr>
      </w:pPr>
      <w:r>
        <w:rPr>
          <w:rFonts w:ascii="Arial" w:cs="Arial" w:eastAsia="Arial" w:hAnsi="Arial"/>
          <w:sz w:val="16"/>
          <w:szCs w:val="16"/>
          <w:b w:val="1"/>
          <w:bCs w:val="1"/>
          <w:color w:val="auto"/>
        </w:rPr>
        <w:t>SIGNATURES</w:t>
      </w:r>
    </w:p>
    <w:p>
      <w:pPr>
        <w:spacing w:after="0" w:line="198"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21"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MASTEC, INC.</w:t>
      </w:r>
    </w:p>
    <w:p>
      <w:pPr>
        <w:spacing w:after="0" w:line="86"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4"/>
          <w:szCs w:val="14"/>
          <w:color w:val="auto"/>
        </w:rPr>
        <w:t>November 2, 2017</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José R. Mas</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1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34925</wp:posOffset>
            </wp:positionV>
            <wp:extent cx="2452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6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George L. Pita</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72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Exhibit Index</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520"/>
        </w:trPr>
        <w:tc>
          <w:tcPr>
            <w:tcW w:w="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5"/>
              </w:rPr>
              <w:t>Exhibit No.</w:t>
            </w:r>
          </w:p>
        </w:tc>
        <w:tc>
          <w:tcPr>
            <w:tcW w:w="4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6"/>
                <w:szCs w:val="16"/>
                <w:color w:val="auto"/>
              </w:rPr>
              <w:t>Description</w:t>
            </w: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20" w:type="dxa"/>
            <w:vAlign w:val="bottom"/>
            <w:tcBorders>
              <w:bottom w:val="single" w:sz="8" w:color="0000FF"/>
            </w:tcBorders>
            <w:gridSpan w:val="9"/>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Eighteenth Supplemental Indenture, dated as of November 1, 2017, by and among MasTec Inc., MasTec, Inc.’s subsidiary parties thereto, as guarantors,</w:t>
              </w:r>
            </w:hyperlink>
          </w:p>
        </w:tc>
      </w:tr>
      <w:tr>
        <w:trPr>
          <w:trHeight w:val="183"/>
        </w:trPr>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80" w:type="dxa"/>
            <w:vAlign w:val="bottom"/>
            <w:tcBorders>
              <w:bottom w:val="single" w:sz="8" w:color="0000FF"/>
            </w:tcBorders>
            <w:gridSpan w:val="3"/>
          </w:tcPr>
          <w:p>
            <w:pPr>
              <w:spacing w:after="0" w:line="183" w:lineRule="exact"/>
              <w:rPr>
                <w:rFonts w:ascii="Arial" w:cs="Arial" w:eastAsia="Arial" w:hAnsi="Arial"/>
                <w:sz w:val="16"/>
                <w:szCs w:val="16"/>
                <w:color w:val="0000FF"/>
                <w:w w:val="91"/>
              </w:rPr>
            </w:pPr>
            <w:hyperlink w:anchor="page45">
              <w:r>
                <w:rPr>
                  <w:rFonts w:ascii="Arial" w:cs="Arial" w:eastAsia="Arial" w:hAnsi="Arial"/>
                  <w:sz w:val="16"/>
                  <w:szCs w:val="16"/>
                  <w:color w:val="0000FF"/>
                  <w:w w:val="91"/>
                </w:rPr>
                <w:t>and U.S. Bank National Association, as trustee.</w:t>
              </w:r>
            </w:hyperlink>
          </w:p>
        </w:tc>
        <w:tc>
          <w:tcPr>
            <w:tcW w:w="6940" w:type="dxa"/>
            <w:vAlign w:val="bottom"/>
            <w:gridSpan w:val="6"/>
          </w:tcPr>
          <w:p>
            <w:pPr>
              <w:spacing w:after="0"/>
              <w:rPr>
                <w:sz w:val="15"/>
                <w:szCs w:val="15"/>
                <w:color w:val="auto"/>
              </w:rPr>
            </w:pPr>
          </w:p>
        </w:tc>
      </w:tr>
      <w:tr>
        <w:trPr>
          <w:trHeight w:val="237"/>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20" w:type="dxa"/>
            <w:vAlign w:val="bottom"/>
            <w:gridSpan w:val="9"/>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Computation of Ratio of Earnings to Fixed Charges</w:t>
              </w:r>
            </w:hyperlink>
          </w:p>
        </w:tc>
      </w:tr>
      <w:tr>
        <w:trPr>
          <w:trHeight w:val="20"/>
        </w:trPr>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80" w:type="dxa"/>
            <w:vAlign w:val="bottom"/>
            <w:tcBorders>
              <w:bottom w:val="single" w:sz="8" w:color="0000FF"/>
            </w:tcBorders>
            <w:gridSpan w:val="8"/>
          </w:tcPr>
          <w:p>
            <w:pPr>
              <w:spacing w:after="0"/>
              <w:rPr>
                <w:rFonts w:ascii="Arial" w:cs="Arial" w:eastAsia="Arial" w:hAnsi="Arial"/>
                <w:sz w:val="16"/>
                <w:szCs w:val="16"/>
                <w:color w:val="0000FF"/>
                <w:w w:val="92"/>
              </w:rPr>
            </w:pPr>
            <w:hyperlink w:anchor="page51">
              <w:r>
                <w:rPr>
                  <w:rFonts w:ascii="Arial" w:cs="Arial" w:eastAsia="Arial" w:hAnsi="Arial"/>
                  <w:sz w:val="16"/>
                  <w:szCs w:val="16"/>
                  <w:color w:val="0000FF"/>
                  <w:w w:val="92"/>
                </w:rPr>
                <w:t>Certifications required by Section 302(a) of the Sarbanes-Oxley Act of 2002</w:t>
              </w:r>
            </w:hyperlink>
          </w:p>
        </w:tc>
        <w:tc>
          <w:tcPr>
            <w:tcW w:w="5040" w:type="dxa"/>
            <w:vAlign w:val="bottom"/>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96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52">
              <w:r>
                <w:rPr>
                  <w:rFonts w:ascii="Arial" w:cs="Arial" w:eastAsia="Arial" w:hAnsi="Arial"/>
                  <w:sz w:val="16"/>
                  <w:szCs w:val="16"/>
                  <w:color w:val="0000FF"/>
                  <w:w w:val="92"/>
                </w:rPr>
                <w:t>Certifications required by Section 302(a) of the Sarbanes-Oxley Act of 2002</w:t>
              </w:r>
            </w:hyperlink>
          </w:p>
        </w:tc>
        <w:tc>
          <w:tcPr>
            <w:tcW w:w="5060" w:type="dxa"/>
            <w:vAlign w:val="bottom"/>
            <w:gridSpan w:val="2"/>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53">
              <w:r>
                <w:rPr>
                  <w:rFonts w:ascii="Arial" w:cs="Arial" w:eastAsia="Arial" w:hAnsi="Arial"/>
                  <w:sz w:val="16"/>
                  <w:szCs w:val="16"/>
                  <w:color w:val="0000FF"/>
                  <w:w w:val="92"/>
                </w:rPr>
                <w:t>Certifications required by Section 906 of the Sarbanes-Oxley Act of 2002</w:t>
              </w:r>
            </w:hyperlink>
          </w:p>
        </w:tc>
        <w:tc>
          <w:tcPr>
            <w:tcW w:w="5220" w:type="dxa"/>
            <w:vAlign w:val="bottom"/>
            <w:gridSpan w:val="3"/>
          </w:tcPr>
          <w:p>
            <w:pPr>
              <w:spacing w:after="0"/>
              <w:rPr>
                <w:sz w:val="21"/>
                <w:szCs w:val="21"/>
                <w:color w:val="auto"/>
              </w:rPr>
            </w:pPr>
          </w:p>
        </w:tc>
      </w:tr>
      <w:tr>
        <w:trPr>
          <w:trHeight w:val="250"/>
        </w:trPr>
        <w:tc>
          <w:tcPr>
            <w:tcW w:w="82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78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54">
              <w:r>
                <w:rPr>
                  <w:rFonts w:ascii="Arial" w:cs="Arial" w:eastAsia="Arial" w:hAnsi="Arial"/>
                  <w:sz w:val="16"/>
                  <w:szCs w:val="16"/>
                  <w:color w:val="0000FF"/>
                  <w:w w:val="92"/>
                </w:rPr>
                <w:t>Certifications required by Section 906 of the Sarbanes-Oxley Act of 2002</w:t>
              </w:r>
            </w:hyperlink>
          </w:p>
        </w:tc>
        <w:tc>
          <w:tcPr>
            <w:tcW w:w="5240" w:type="dxa"/>
            <w:vAlign w:val="bottom"/>
            <w:gridSpan w:val="4"/>
          </w:tcPr>
          <w:p>
            <w:pPr>
              <w:spacing w:after="0"/>
              <w:rPr>
                <w:sz w:val="21"/>
                <w:szCs w:val="21"/>
                <w:color w:val="auto"/>
              </w:rPr>
            </w:pPr>
          </w:p>
        </w:tc>
      </w:tr>
      <w:tr>
        <w:trPr>
          <w:trHeight w:val="285"/>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101.INS*</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101.SCH*</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Schema</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101.CAL*</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9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101.DEF*</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57"/>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101.LAB*</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w:t>
            </w:r>
          </w:p>
        </w:tc>
      </w:tr>
      <w:tr>
        <w:trPr>
          <w:trHeight w:val="270"/>
        </w:trPr>
        <w:tc>
          <w:tcPr>
            <w:tcW w:w="1300" w:type="dxa"/>
            <w:vAlign w:val="bottom"/>
            <w:gridSpan w:val="4"/>
          </w:tcPr>
          <w:p>
            <w:pPr>
              <w:ind w:left="40"/>
              <w:spacing w:after="0"/>
              <w:rPr>
                <w:sz w:val="20"/>
                <w:szCs w:val="20"/>
                <w:color w:val="auto"/>
              </w:rPr>
            </w:pPr>
            <w:r>
              <w:rPr>
                <w:rFonts w:ascii="Arial" w:cs="Arial" w:eastAsia="Arial" w:hAnsi="Arial"/>
                <w:sz w:val="16"/>
                <w:szCs w:val="16"/>
                <w:color w:val="auto"/>
              </w:rPr>
              <w:t>101.PRE*</w:t>
            </w:r>
          </w:p>
        </w:tc>
        <w:tc>
          <w:tcPr>
            <w:tcW w:w="1002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43"/>
        </w:trPr>
        <w:tc>
          <w:tcPr>
            <w:tcW w:w="1300" w:type="dxa"/>
            <w:vAlign w:val="bottom"/>
            <w:gridSpan w:val="4"/>
          </w:tcPr>
          <w:p>
            <w:pPr>
              <w:spacing w:after="0"/>
              <w:rPr>
                <w:sz w:val="20"/>
                <w:szCs w:val="20"/>
                <w:color w:val="auto"/>
              </w:rPr>
            </w:pPr>
            <w:r>
              <w:rPr>
                <w:rFonts w:ascii="Arial" w:cs="Arial" w:eastAsia="Arial" w:hAnsi="Arial"/>
                <w:sz w:val="16"/>
                <w:szCs w:val="16"/>
                <w:color w:val="auto"/>
              </w:rPr>
              <w:t>______________</w:t>
            </w: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40" w:type="dxa"/>
            <w:vAlign w:val="bottom"/>
          </w:tcPr>
          <w:p>
            <w:pPr>
              <w:spacing w:after="0"/>
              <w:rPr>
                <w:sz w:val="21"/>
                <w:szCs w:val="21"/>
                <w:color w:val="auto"/>
              </w:rPr>
            </w:pPr>
          </w:p>
        </w:tc>
      </w:tr>
    </w:tbl>
    <w:p>
      <w:pPr>
        <w:spacing w:after="0" w:line="28"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523" w:right="339" w:bottom="1440" w:gutter="0" w:footer="0" w:header="0"/>
        </w:sectPr>
      </w:pPr>
    </w:p>
    <w:bookmarkStart w:id="44" w:name="page45"/>
    <w:bookmarkEnd w:id="44"/>
    <w:p>
      <w:pPr>
        <w:ind w:left="10420"/>
        <w:spacing w:after="0"/>
        <w:rPr>
          <w:sz w:val="20"/>
          <w:szCs w:val="20"/>
          <w:color w:val="auto"/>
        </w:rPr>
      </w:pPr>
      <w:r>
        <w:rPr>
          <w:rFonts w:ascii="Arial" w:cs="Arial" w:eastAsia="Arial" w:hAnsi="Arial"/>
          <w:sz w:val="19"/>
          <w:szCs w:val="19"/>
          <w:b w:val="1"/>
          <w:bCs w:val="1"/>
          <w:color w:val="auto"/>
        </w:rPr>
        <w:t>Exhibit 4.1</w:t>
      </w:r>
    </w:p>
    <w:p>
      <w:pPr>
        <w:spacing w:after="0" w:line="3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EIGHTEENTH SUPPLEMENTAL INDENTURE (this “</w:t>
      </w:r>
      <w:r>
        <w:rPr>
          <w:rFonts w:ascii="Arial" w:cs="Arial" w:eastAsia="Arial" w:hAnsi="Arial"/>
          <w:sz w:val="22"/>
          <w:szCs w:val="22"/>
          <w:u w:val="single" w:color="auto"/>
          <w:color w:val="auto"/>
        </w:rPr>
        <w:t>Eighteenth Supplemental Indenture</w:t>
      </w:r>
      <w:r>
        <w:rPr>
          <w:rFonts w:ascii="Arial" w:cs="Arial" w:eastAsia="Arial" w:hAnsi="Arial"/>
          <w:sz w:val="22"/>
          <w:szCs w:val="22"/>
          <w:color w:val="auto"/>
        </w:rPr>
        <w:t>”), dated as of November 1, 2017, among CASH CONSTRUCTION COMPANY, INC., a Texas corporation (“</w:t>
      </w:r>
      <w:r>
        <w:rPr>
          <w:rFonts w:ascii="Arial" w:cs="Arial" w:eastAsia="Arial" w:hAnsi="Arial"/>
          <w:sz w:val="22"/>
          <w:szCs w:val="22"/>
          <w:u w:val="single" w:color="auto"/>
          <w:color w:val="auto"/>
        </w:rPr>
        <w:t>Cash Construction</w:t>
      </w:r>
      <w:r>
        <w:rPr>
          <w:rFonts w:ascii="Arial" w:cs="Arial" w:eastAsia="Arial" w:hAnsi="Arial"/>
          <w:sz w:val="22"/>
          <w:szCs w:val="22"/>
          <w:color w:val="auto"/>
        </w:rPr>
        <w:t>”), and PRETEC DIRECTIONAL DRILLING, LLC, a Florida limited liability company (“</w:t>
      </w:r>
      <w:r>
        <w:rPr>
          <w:rFonts w:ascii="Arial" w:cs="Arial" w:eastAsia="Arial" w:hAnsi="Arial"/>
          <w:sz w:val="22"/>
          <w:szCs w:val="22"/>
          <w:u w:val="single" w:color="auto"/>
          <w:color w:val="auto"/>
        </w:rPr>
        <w:t>Pretec</w:t>
      </w:r>
      <w:r>
        <w:rPr>
          <w:rFonts w:ascii="Arial" w:cs="Arial" w:eastAsia="Arial" w:hAnsi="Arial"/>
          <w:sz w:val="22"/>
          <w:szCs w:val="22"/>
          <w:color w:val="auto"/>
        </w:rPr>
        <w:t>” and, together with Cash Construction, the “</w:t>
      </w:r>
      <w:r>
        <w:rPr>
          <w:rFonts w:ascii="Arial" w:cs="Arial" w:eastAsia="Arial" w:hAnsi="Arial"/>
          <w:sz w:val="22"/>
          <w:szCs w:val="22"/>
          <w:u w:val="single" w:color="auto"/>
          <w:color w:val="auto"/>
        </w:rPr>
        <w:t>New</w:t>
      </w:r>
      <w:r>
        <w:rPr>
          <w:rFonts w:ascii="Arial" w:cs="Arial" w:eastAsia="Arial" w:hAnsi="Arial"/>
          <w:sz w:val="22"/>
          <w:szCs w:val="22"/>
          <w:color w:val="auto"/>
        </w:rPr>
        <w:t xml:space="preserve"> </w:t>
      </w:r>
      <w:r>
        <w:rPr>
          <w:rFonts w:ascii="Arial" w:cs="Arial" w:eastAsia="Arial" w:hAnsi="Arial"/>
          <w:sz w:val="22"/>
          <w:szCs w:val="22"/>
          <w:u w:val="single" w:color="auto"/>
          <w:color w:val="auto"/>
        </w:rPr>
        <w:t>Guarantors</w:t>
      </w:r>
      <w:r>
        <w:rPr>
          <w:rFonts w:ascii="Arial" w:cs="Arial" w:eastAsia="Arial" w:hAnsi="Arial"/>
          <w:sz w:val="22"/>
          <w:szCs w:val="22"/>
          <w:color w:val="auto"/>
        </w:rPr>
        <w:t>”), MASTEC, INC., a Florida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U.S. BANK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6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WHEREAS the Company has heretofore executed and delivered to the Trustee an indenture (as amended, supplemented or otherwise modified, the “</w:t>
      </w:r>
      <w:r>
        <w:rPr>
          <w:rFonts w:ascii="Arial" w:cs="Arial" w:eastAsia="Arial" w:hAnsi="Arial"/>
          <w:sz w:val="19"/>
          <w:szCs w:val="19"/>
          <w:u w:val="single" w:color="auto"/>
          <w:color w:val="auto"/>
        </w:rPr>
        <w:t>Indenture</w:t>
      </w:r>
      <w:r>
        <w:rPr>
          <w:rFonts w:ascii="Arial" w:cs="Arial" w:eastAsia="Arial" w:hAnsi="Arial"/>
          <w:sz w:val="19"/>
          <w:szCs w:val="19"/>
          <w:color w:val="auto"/>
        </w:rPr>
        <w:t>”) dated as of June 5, 2009, providing for (i) the issuance by the Company from time to time of its senior debt securities evidencing its unsecured and unsubordinated indebtedness, in an unlimited aggregate principal amount, in one or more series and (ii) the guaranty of such securities by the guarantors party thereto;</w:t>
      </w:r>
    </w:p>
    <w:p>
      <w:pPr>
        <w:spacing w:after="0" w:line="1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WHEREAS the Company has heretofore supplemented the Indenture by, among other things, executing and delivering to the Trustee (i) the Fifth Supplemental Indenture, dated as of March 18, 2013 (the “</w:t>
      </w:r>
      <w:r>
        <w:rPr>
          <w:rFonts w:ascii="Arial" w:cs="Arial" w:eastAsia="Arial" w:hAnsi="Arial"/>
          <w:sz w:val="19"/>
          <w:szCs w:val="19"/>
          <w:u w:val="single" w:color="auto"/>
          <w:color w:val="auto"/>
        </w:rPr>
        <w:t>Fifth Supplemental Indenture</w:t>
      </w:r>
      <w:r>
        <w:rPr>
          <w:rFonts w:ascii="Arial" w:cs="Arial" w:eastAsia="Arial" w:hAnsi="Arial"/>
          <w:sz w:val="19"/>
          <w:szCs w:val="19"/>
          <w:color w:val="auto"/>
        </w:rPr>
        <w:t>”), by and among the Company, the guarantors party thereto and the Trustee, relating to the Company’s 4.875% Senior Notes due 2023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81" w:lineRule="auto"/>
        <w:tabs>
          <w:tab w:leader="none" w:pos="336"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Sixth Supplemental Indenture, dated as of September 30, 2013, by and among the Company, the guarantors party thereto and the Trustee, relating to the joinder of certain subsidiaries of the Company as subsidiary guarantors, (iii) the Seventh Supplemental Indenture, dated as of November 11, 2013, by and among the Company, the guarantors party thereto and the Trustee, relating to the joinder of certain subsidiaries of the Company as subsidiary guarantors, (iv) the Tenth Supplemental Indenture, dated as of July 10, 2014, by and among the Company, the guarantors party thereto and the Trustee, relating to the joinder of certain subsidiaries of the Company as subsidiary guarantors, (v) the Eleventh Supplemental Indenture, dated as of August 8, 2014, by and among the Company, the guarantors party thereto and the Trustee, relating to the joinder of certain subsidiaries as subsidiary guarantors, (vi) the Twelfth Supplemental Indenture, dated as of December 8, 2014, relating to the joinder of certain subsidiaries of the Company as subsidiary guarantors, (vii) the Thirteenth Supplemental Indenture, dated as of April 10, 2015, relating to certain amendments to the Indenture, (viii) the Fourteenth Supplemental Indenture, dated as of January 7, 2016, relating to the joinder of certain subsidiaries of the Company as subsidiary guarantors, (ix) the Fifteenth Supplemental Indenture, dated as of September 1, 2016, relating to the joinder of certain subsidiaries of the Company as subsidiary guarantors, (x) the Sixteenth Supplemental Indenture, dated as of March 7, 2017, relating to the joinder of certain subsidiaries of the Company as subsidiary guarantors, and</w:t>
      </w:r>
    </w:p>
    <w:p>
      <w:pPr>
        <w:spacing w:after="0" w:line="10" w:lineRule="exact"/>
        <w:rPr>
          <w:rFonts w:ascii="Arial" w:cs="Arial" w:eastAsia="Arial" w:hAnsi="Arial"/>
          <w:sz w:val="19"/>
          <w:szCs w:val="19"/>
          <w:color w:val="auto"/>
        </w:rPr>
      </w:pPr>
    </w:p>
    <w:p>
      <w:pPr>
        <w:ind w:firstLine="8"/>
        <w:spacing w:after="0" w:line="246" w:lineRule="auto"/>
        <w:tabs>
          <w:tab w:leader="none" w:pos="40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Seventeenth Supplemental Indenture, dated as of July 28, 2017, relating to the joinder of certain subsidiaries of the Company as subsidiary guarantors;</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Section 4.15 of the Fifth Supplemental Indenture provides that under certain circumstances, the Company is required to cause the New Guarantors to execute and deliver to the Trustee a supplemental indenture pursuant to which the New Guarantors shall unconditionally guarantee all the Company’s obligations under the Notes and the Indenture on the terms and conditions set forth herein (the “</w:t>
      </w:r>
      <w:r>
        <w:rPr>
          <w:rFonts w:ascii="Arial" w:cs="Arial" w:eastAsia="Arial" w:hAnsi="Arial"/>
          <w:sz w:val="22"/>
          <w:szCs w:val="22"/>
          <w:u w:val="single" w:color="auto"/>
          <w:color w:val="auto"/>
        </w:rPr>
        <w:t>Guarantee</w:t>
      </w:r>
      <w:r>
        <w:rPr>
          <w:rFonts w:ascii="Arial" w:cs="Arial" w:eastAsia="Arial" w:hAnsi="Arial"/>
          <w:sz w:val="22"/>
          <w:szCs w:val="22"/>
          <w:color w:val="auto"/>
        </w:rPr>
        <w:t>”); and</w:t>
      </w:r>
    </w:p>
    <w:p>
      <w:pPr>
        <w:sectPr>
          <w:pgSz w:w="11900" w:h="16838" w:orient="portrait"/>
          <w:cols w:equalWidth="0" w:num="1">
            <w:col w:w="11420"/>
          </w:cols>
          <w:pgMar w:left="240" w:top="369" w:right="239" w:bottom="1440" w:gutter="0" w:footer="0" w:header="0"/>
        </w:sectPr>
      </w:pPr>
    </w:p>
    <w:bookmarkStart w:id="45" w:name="page46"/>
    <w:bookmarkEnd w:id="45"/>
    <w:p>
      <w:pPr>
        <w:jc w:val="both"/>
        <w:ind w:firstLine="648"/>
        <w:spacing w:after="0" w:line="287" w:lineRule="auto"/>
        <w:rPr>
          <w:sz w:val="20"/>
          <w:szCs w:val="20"/>
          <w:color w:val="auto"/>
        </w:rPr>
      </w:pPr>
      <w:r>
        <w:rPr>
          <w:rFonts w:ascii="Arial" w:cs="Arial" w:eastAsia="Arial" w:hAnsi="Arial"/>
          <w:sz w:val="21"/>
          <w:szCs w:val="21"/>
          <w:color w:val="auto"/>
        </w:rPr>
        <w:t>WHEREAS pursuant to Section 901 of the Indenture and Section 9.01 of the Fifth Supplemental Indenture, the Trustee, the Company and the New Guarantors are each authorized to execute and deliver this Supplemental Indenture.</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each of the New Guarantors, the Company and the Trustee mutually covenant and agree for the equal and ratable benefit of the holders of the Notes as follows:</w:t>
      </w:r>
    </w:p>
    <w:p>
      <w:pPr>
        <w:spacing w:after="0" w:line="18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Defined terms used herein without definition shall have the meanings assigned to them in the Indenture.</w:t>
      </w:r>
    </w:p>
    <w:p>
      <w:pPr>
        <w:spacing w:after="0" w:line="254" w:lineRule="exact"/>
        <w:rPr>
          <w:rFonts w:ascii="Arial" w:cs="Arial" w:eastAsia="Arial" w:hAnsi="Arial"/>
          <w:sz w:val="19"/>
          <w:szCs w:val="19"/>
          <w:color w:val="auto"/>
        </w:rPr>
      </w:pPr>
    </w:p>
    <w:p>
      <w:pPr>
        <w:jc w:val="both"/>
        <w:ind w:left="660" w:hanging="328"/>
        <w:spacing w:after="0" w:line="248"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Each of the New Guarantors hereby agrees, jointly and severally with all existing guarantors (if any), to (i) provide an unconditional guarantee on the terms and subject to the conditions set forth in (A) Article Seventeen of the Indenture and (B) Article Eleven of the Fifth Supplemental Indenture and (ii) be bound by all other applicable provisions of the Indenture applicable to a Subsidiary Guarantor and to perform all of the obligations and agreements of a Subsidiary Guarantor under the Indenture.</w:t>
      </w:r>
    </w:p>
    <w:p>
      <w:pPr>
        <w:spacing w:after="0" w:line="192" w:lineRule="exact"/>
        <w:rPr>
          <w:rFonts w:ascii="Arial" w:cs="Arial" w:eastAsia="Arial" w:hAnsi="Arial"/>
          <w:sz w:val="22"/>
          <w:szCs w:val="22"/>
          <w:color w:val="auto"/>
        </w:rPr>
      </w:pPr>
    </w:p>
    <w:p>
      <w:pPr>
        <w:jc w:val="both"/>
        <w:ind w:left="660" w:hanging="328"/>
        <w:spacing w:after="0" w:line="292"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recourse for the payment of the principal of, premium, if any, or interest on any of the notes or for any claim based thereon or otherwise in respect thereof, and no recourse under or upon any obligation, covenant or agreement of any obligor in this Indenture, or in any of the Notes or Guarantees or because of the creation of any Indebtedness represented thereby, shall be had against any incorporator, stockholder, officer, director, employee or controlling person of the Company or of any Subsidiary or of any successor Person thereof. Each Holder, by accepting the Notes, waives and releases all such liability. The waiver and release are part of the consideration for the issuance of the Notes. Such waiver may not be effective to waive liabilities under the federal securities laws.</w:t>
      </w:r>
    </w:p>
    <w:p>
      <w:pPr>
        <w:spacing w:after="0" w:line="151" w:lineRule="exact"/>
        <w:rPr>
          <w:rFonts w:ascii="Arial" w:cs="Arial" w:eastAsia="Arial" w:hAnsi="Arial"/>
          <w:sz w:val="19"/>
          <w:szCs w:val="19"/>
          <w:color w:val="auto"/>
        </w:rPr>
      </w:pPr>
    </w:p>
    <w:p>
      <w:pPr>
        <w:ind w:left="660" w:right="2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to any of the New Guarantors shall be given as provided in Section 13.02 of the Fifth Supplemental Indenture.</w:t>
      </w:r>
    </w:p>
    <w:p>
      <w:pPr>
        <w:spacing w:after="0" w:line="174"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Ratification of Indenture; Supplemental Indentures Part of Indenture</w:t>
      </w:r>
      <w:r>
        <w:rPr>
          <w:rFonts w:ascii="Arial" w:cs="Arial" w:eastAsia="Arial" w:hAnsi="Arial"/>
          <w:sz w:val="22"/>
          <w:szCs w:val="22"/>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Securities heretofore or hereafter authenticated and delivered shall be bound hereby.</w:t>
      </w:r>
    </w:p>
    <w:p>
      <w:pPr>
        <w:spacing w:after="0" w:line="182"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THIS SUPPLEMENTAL INDENTURE SHALL BE GOVERNED BY, AND CONSTRUED IN</w:t>
      </w:r>
    </w:p>
    <w:p>
      <w:pPr>
        <w:spacing w:after="0" w:line="2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b w:val="1"/>
          <w:bCs w:val="1"/>
          <w:color w:val="auto"/>
        </w:rPr>
        <w:t>ACCORDANCE WITH, THE LAWS OF THE STATE OF NEW YORK.</w:t>
      </w:r>
    </w:p>
    <w:p>
      <w:pPr>
        <w:spacing w:after="0" w:line="201"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Trustee Makes No Representation</w:t>
      </w:r>
      <w:r>
        <w:rPr>
          <w:rFonts w:ascii="Arial" w:cs="Arial" w:eastAsia="Arial" w:hAnsi="Arial"/>
          <w:sz w:val="22"/>
          <w:szCs w:val="22"/>
          <w:color w:val="auto"/>
        </w:rPr>
        <w:t>. The Trustee makes no representation as to the validity or sufficiency of this Supplemental Indenture.</w:t>
      </w:r>
    </w:p>
    <w:p>
      <w:pPr>
        <w:spacing w:after="0" w:line="174"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5660" w:hanging="126"/>
        <w:spacing w:after="0"/>
        <w:tabs>
          <w:tab w:leader="none" w:pos="56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20"/>
          </w:cols>
          <w:pgMar w:left="240" w:top="375" w:right="239" w:bottom="1440" w:gutter="0" w:footer="0" w:header="0"/>
        </w:sectPr>
      </w:pPr>
    </w:p>
    <w:bookmarkStart w:id="46" w:name="page47"/>
    <w:bookmarkEnd w:id="46"/>
    <w:p>
      <w:pPr>
        <w:ind w:left="328" w:hanging="328"/>
        <w:spacing w:after="0"/>
        <w:tabs>
          <w:tab w:leader="none" w:pos="328"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effect the construction thereof.</w:t>
      </w:r>
    </w:p>
    <w:p>
      <w:pPr>
        <w:spacing w:after="0" w:line="254" w:lineRule="exact"/>
        <w:rPr>
          <w:rFonts w:ascii="Arial" w:cs="Arial" w:eastAsia="Arial" w:hAnsi="Arial"/>
          <w:sz w:val="19"/>
          <w:szCs w:val="19"/>
          <w:color w:val="auto"/>
        </w:rPr>
      </w:pPr>
    </w:p>
    <w:p>
      <w:pPr>
        <w:ind w:left="328" w:hanging="328"/>
        <w:spacing w:after="0" w:line="263" w:lineRule="auto"/>
        <w:tabs>
          <w:tab w:leader="none" w:pos="328"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Recitals and Statements.</w:t>
      </w:r>
      <w:r>
        <w:rPr>
          <w:rFonts w:ascii="Arial" w:cs="Arial" w:eastAsia="Arial" w:hAnsi="Arial"/>
          <w:sz w:val="22"/>
          <w:szCs w:val="22"/>
          <w:color w:val="auto"/>
        </w:rPr>
        <w:t xml:space="preserve"> The recitals and statements contained herein are deemed to be solely those of the New Guarantors and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3" w:lineRule="exact"/>
        <w:rPr>
          <w:rFonts w:ascii="Arial" w:cs="Arial" w:eastAsia="Arial" w:hAnsi="Arial"/>
          <w:sz w:val="22"/>
          <w:szCs w:val="22"/>
          <w:color w:val="auto"/>
        </w:rPr>
      </w:pPr>
    </w:p>
    <w:p>
      <w:pPr>
        <w:ind w:left="5328" w:hanging="126"/>
        <w:spacing w:after="0"/>
        <w:tabs>
          <w:tab w:leader="none" w:pos="5328" w:val="left"/>
        </w:tabs>
        <w:numPr>
          <w:ilvl w:val="1"/>
          <w:numId w:val="14"/>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088"/>
          </w:cols>
          <w:pgMar w:left="572" w:top="375" w:right="239" w:bottom="1440" w:gutter="0" w:footer="0" w:header="0"/>
        </w:sectPr>
      </w:pPr>
    </w:p>
    <w:bookmarkStart w:id="47" w:name="page48"/>
    <w:bookmarkEnd w:id="47"/>
    <w:p>
      <w:pPr>
        <w:ind w:firstLine="324"/>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CASH CONSTRUCTION COMPANY, INC.</w:t>
      </w:r>
    </w:p>
    <w:p>
      <w:pPr>
        <w:spacing w:after="0" w:line="200" w:lineRule="exact"/>
        <w:rPr>
          <w:sz w:val="20"/>
          <w:szCs w:val="20"/>
          <w:color w:val="auto"/>
        </w:rPr>
      </w:pPr>
    </w:p>
    <w:p>
      <w:pPr>
        <w:spacing w:after="0" w:line="317" w:lineRule="exact"/>
        <w:rPr>
          <w:sz w:val="20"/>
          <w:szCs w:val="20"/>
          <w:color w:val="auto"/>
        </w:rPr>
      </w:pPr>
    </w:p>
    <w:p>
      <w:pPr>
        <w:ind w:left="422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486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Paul DiMarco</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PRETEC DIRECTIONAL DRILLING, LLC</w:t>
      </w:r>
    </w:p>
    <w:p>
      <w:pPr>
        <w:spacing w:after="0" w:line="200" w:lineRule="exact"/>
        <w:rPr>
          <w:sz w:val="20"/>
          <w:szCs w:val="20"/>
          <w:color w:val="auto"/>
        </w:rPr>
      </w:pPr>
    </w:p>
    <w:p>
      <w:pPr>
        <w:spacing w:after="0" w:line="317"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22"/>
          <w:szCs w:val="22"/>
          <w:color w:val="auto"/>
        </w:rPr>
        <w:t>By:</w:t>
        <w:tab/>
        <w:t>/s/ Robert E.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-17780</wp:posOffset>
            </wp:positionV>
            <wp:extent cx="1642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27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Robert E. Apple</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 Vice President</w:t>
      </w: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MASTEC, INC.</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-17780</wp:posOffset>
            </wp:positionV>
            <wp:extent cx="1514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 George L. Pita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Executive Vice President, Chief Financial Officer and Principal</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Accounting Officer</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Eighteenth Supplemental Indenture</w:t>
      </w:r>
      <w:r>
        <w:rPr>
          <w:rFonts w:ascii="Arial" w:cs="Arial" w:eastAsia="Arial" w:hAnsi="Arial"/>
          <w:sz w:val="18"/>
          <w:szCs w:val="18"/>
          <w:color w:val="auto"/>
        </w:rPr>
        <w:t>]</w:t>
      </w:r>
    </w:p>
    <w:p>
      <w:pPr>
        <w:sectPr>
          <w:pgSz w:w="11900" w:h="16838" w:orient="portrait"/>
          <w:cols w:equalWidth="0" w:num="1">
            <w:col w:w="11160"/>
          </w:cols>
          <w:pgMar w:left="240" w:top="375" w:right="499" w:bottom="1440" w:gutter="0" w:footer="0" w:header="0"/>
        </w:sectPr>
      </w:pPr>
    </w:p>
    <w:bookmarkStart w:id="48" w:name="page49"/>
    <w:bookmarkEnd w:id="48"/>
    <w:p>
      <w:pPr>
        <w:ind w:left="3020"/>
        <w:spacing w:after="0"/>
        <w:rPr>
          <w:sz w:val="20"/>
          <w:szCs w:val="20"/>
          <w:color w:val="auto"/>
        </w:rPr>
      </w:pPr>
      <w:r>
        <w:rPr>
          <w:rFonts w:ascii="Arial" w:cs="Arial" w:eastAsia="Arial" w:hAnsi="Arial"/>
          <w:sz w:val="21"/>
          <w:szCs w:val="21"/>
          <w:color w:val="auto"/>
        </w:rPr>
        <w:t>U.S. BANK NATIONAL ASSOCIATION,</w:t>
      </w:r>
    </w:p>
    <w:p>
      <w:pPr>
        <w:spacing w:after="0" w:line="33"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20"/>
        <w:spacing w:after="0"/>
        <w:tabs>
          <w:tab w:leader="none" w:pos="3580" w:val="left"/>
        </w:tabs>
        <w:rPr>
          <w:sz w:val="20"/>
          <w:szCs w:val="20"/>
          <w:color w:val="auto"/>
        </w:rPr>
      </w:pPr>
      <w:r>
        <w:rPr>
          <w:rFonts w:ascii="Arial" w:cs="Arial" w:eastAsia="Arial" w:hAnsi="Arial"/>
          <w:sz w:val="22"/>
          <w:szCs w:val="22"/>
          <w:color w:val="auto"/>
        </w:rPr>
        <w:t>By:</w:t>
        <w:tab/>
        <w:t>/s/ 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-17780</wp:posOffset>
            </wp:positionV>
            <wp:extent cx="1804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4035" cy="8890"/>
                    </a:xfrm>
                    <a:prstGeom prst="rect">
                      <a:avLst/>
                    </a:prstGeom>
                    <a:noFill/>
                  </pic:spPr>
                </pic:pic>
              </a:graphicData>
            </a:graphic>
          </wp:anchor>
        </w:drawing>
      </w:r>
    </w:p>
    <w:p>
      <w:pPr>
        <w:spacing w:after="0" w:line="2"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Name: Donald T. Hurrelbrink</w:t>
      </w:r>
    </w:p>
    <w:p>
      <w:pPr>
        <w:spacing w:after="0" w:line="4" w:lineRule="exact"/>
        <w:rPr>
          <w:sz w:val="20"/>
          <w:szCs w:val="20"/>
          <w:color w:val="auto"/>
        </w:rPr>
      </w:pPr>
    </w:p>
    <w:p>
      <w:pPr>
        <w:ind w:left="36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Eighteenth Supplemental Indenture</w:t>
      </w:r>
      <w:r>
        <w:rPr>
          <w:rFonts w:ascii="Arial" w:cs="Arial" w:eastAsia="Arial" w:hAnsi="Arial"/>
          <w:sz w:val="16"/>
          <w:szCs w:val="16"/>
          <w:color w:val="auto"/>
        </w:rPr>
        <w:t>]</w:t>
      </w:r>
    </w:p>
    <w:p>
      <w:pPr>
        <w:sectPr>
          <w:pgSz w:w="11900" w:h="16838" w:orient="portrait"/>
          <w:cols w:equalWidth="0" w:num="1">
            <w:col w:w="9019"/>
          </w:cols>
          <w:pgMar w:left="1440" w:top="631"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ind w:left="360"/>
              <w:spacing w:after="0"/>
              <w:rPr>
                <w:sz w:val="20"/>
                <w:szCs w:val="20"/>
                <w:color w:val="auto"/>
              </w:rPr>
            </w:pPr>
            <w:r>
              <w:rPr>
                <w:rFonts w:ascii="Arial" w:cs="Arial" w:eastAsia="Arial" w:hAnsi="Arial"/>
                <w:sz w:val="16"/>
                <w:szCs w:val="16"/>
                <w:b w:val="1"/>
                <w:bCs w:val="1"/>
                <w:color w:val="auto"/>
                <w:w w:val="92"/>
              </w:rPr>
              <w:t>Exhibit 12.1</w:t>
            </w:r>
          </w:p>
        </w:tc>
        <w:tc>
          <w:tcPr>
            <w:tcW w:w="0" w:type="dxa"/>
            <w:vAlign w:val="bottom"/>
          </w:tcPr>
          <w:p>
            <w:pPr>
              <w:spacing w:after="0"/>
              <w:rPr>
                <w:sz w:val="1"/>
                <w:szCs w:val="1"/>
                <w:color w:val="auto"/>
              </w:rPr>
            </w:pPr>
          </w:p>
        </w:tc>
      </w:tr>
      <w:tr>
        <w:trPr>
          <w:trHeight w:val="357"/>
        </w:trPr>
        <w:tc>
          <w:tcPr>
            <w:tcW w:w="8540" w:type="dxa"/>
            <w:vAlign w:val="bottom"/>
            <w:gridSpan w:val="3"/>
          </w:tcPr>
          <w:p>
            <w:pPr>
              <w:ind w:left="3420"/>
              <w:spacing w:after="0"/>
              <w:rPr>
                <w:sz w:val="20"/>
                <w:szCs w:val="20"/>
                <w:color w:val="auto"/>
              </w:rPr>
            </w:pPr>
            <w:r>
              <w:rPr>
                <w:rFonts w:ascii="Arial" w:cs="Arial" w:eastAsia="Arial" w:hAnsi="Arial"/>
                <w:sz w:val="16"/>
                <w:szCs w:val="16"/>
                <w:b w:val="1"/>
                <w:bCs w:val="1"/>
                <w:color w:val="auto"/>
              </w:rPr>
              <w:t>COMPUTATION OF RATIO OF EARNINGS TO FIXED CHARGES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4140" w:type="dxa"/>
            <w:vAlign w:val="bottom"/>
            <w:gridSpan w:val="2"/>
          </w:tcPr>
          <w:p>
            <w:pPr>
              <w:jc w:val="right"/>
              <w:ind w:right="1559"/>
              <w:spacing w:after="0"/>
              <w:rPr>
                <w:sz w:val="20"/>
                <w:szCs w:val="20"/>
                <w:color w:val="auto"/>
              </w:rPr>
            </w:pPr>
            <w:r>
              <w:rPr>
                <w:rFonts w:ascii="Arial" w:cs="Arial" w:eastAsia="Arial" w:hAnsi="Arial"/>
                <w:sz w:val="16"/>
                <w:szCs w:val="16"/>
                <w:b w:val="1"/>
                <w:bCs w:val="1"/>
                <w:color w:val="auto"/>
              </w:rPr>
              <w:t>(dollar amounts 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120" w:type="dxa"/>
            <w:vAlign w:val="bottom"/>
            <w:gridSpan w:val="6"/>
          </w:tcPr>
          <w:p>
            <w:pPr>
              <w:ind w:left="60"/>
              <w:spacing w:after="0"/>
              <w:rPr>
                <w:sz w:val="20"/>
                <w:szCs w:val="20"/>
                <w:color w:val="auto"/>
              </w:rPr>
            </w:pPr>
            <w:r>
              <w:rPr>
                <w:rFonts w:ascii="Arial" w:cs="Arial" w:eastAsia="Arial" w:hAnsi="Arial"/>
                <w:sz w:val="16"/>
                <w:szCs w:val="16"/>
                <w:b w:val="1"/>
                <w:bCs w:val="1"/>
                <w:color w:val="auto"/>
                <w:w w:val="95"/>
              </w:rPr>
              <w:t>For the Nine Months Ended September 30</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3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before income taxes</w:t>
            </w:r>
          </w:p>
        </w:tc>
        <w:tc>
          <w:tcPr>
            <w:tcW w:w="41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60"/>
              <w:spacing w:after="0"/>
              <w:rPr>
                <w:sz w:val="20"/>
                <w:szCs w:val="20"/>
                <w:color w:val="auto"/>
              </w:rPr>
            </w:pPr>
            <w:r>
              <w:rPr>
                <w:rFonts w:ascii="Arial" w:cs="Arial" w:eastAsia="Arial" w:hAnsi="Arial"/>
                <w:sz w:val="16"/>
                <w:szCs w:val="16"/>
                <w:color w:val="auto"/>
              </w:rPr>
              <w:t>Add: Fixed charges</w:t>
            </w:r>
          </w:p>
        </w:tc>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186,966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134,944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Undistributed earnings from equity method investees</w:t>
            </w:r>
          </w:p>
        </w:tc>
        <w:tc>
          <w:tcPr>
            <w:tcW w:w="3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280"/>
              <w:spacing w:after="0"/>
              <w:rPr>
                <w:sz w:val="20"/>
                <w:szCs w:val="20"/>
                <w:color w:val="auto"/>
              </w:rPr>
            </w:pPr>
            <w:r>
              <w:rPr>
                <w:rFonts w:ascii="Arial" w:cs="Arial" w:eastAsia="Arial" w:hAnsi="Arial"/>
                <w:sz w:val="16"/>
                <w:szCs w:val="16"/>
                <w:color w:val="auto"/>
              </w:rPr>
              <w:t>Total earnings</w:t>
            </w:r>
          </w:p>
        </w:tc>
        <w:tc>
          <w:tcPr>
            <w:tcW w:w="38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486,191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charges:</w:t>
            </w:r>
          </w:p>
        </w:tc>
        <w:tc>
          <w:tcPr>
            <w:tcW w:w="3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60"/>
              <w:spacing w:after="0"/>
              <w:rPr>
                <w:sz w:val="20"/>
                <w:szCs w:val="20"/>
                <w:color w:val="auto"/>
              </w:rPr>
            </w:pPr>
            <w:r>
              <w:rPr>
                <w:rFonts w:ascii="Arial" w:cs="Arial" w:eastAsia="Arial" w:hAnsi="Arial"/>
                <w:sz w:val="16"/>
                <w:szCs w:val="16"/>
                <w:color w:val="auto"/>
              </w:rPr>
              <w:t>Interest expense</w:t>
            </w:r>
          </w:p>
        </w:tc>
        <w:tc>
          <w:tcPr>
            <w:tcW w:w="41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45,140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Estimate of interest expense within rental expense</w:t>
            </w:r>
          </w:p>
        </w:tc>
        <w:tc>
          <w:tcPr>
            <w:tcW w:w="3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141,826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40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38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186,966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3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40" w:top="55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2, 2017</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/s</w:t>
      </w:r>
      <w:r>
        <w:rPr>
          <w:rFonts w:ascii="Arial" w:cs="Arial" w:eastAsia="Arial" w:hAnsi="Arial"/>
          <w:sz w:val="16"/>
          <w:szCs w:val="16"/>
          <w:i w:val="1"/>
          <w:iCs w:val="1"/>
          <w:color w:val="auto"/>
        </w:rPr>
        <w:t>/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498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George L. Pita, certify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and 15d-15(e)) and internal control over financial reporting (as defined in Exchange Act Rules 13a-15(f) and 15d-15(f)) for the registrant and have:</w:t>
      </w:r>
    </w:p>
    <w:p>
      <w:pPr>
        <w:spacing w:after="0" w:line="180" w:lineRule="exact"/>
        <w:rPr>
          <w:sz w:val="20"/>
          <w:szCs w:val="20"/>
          <w:color w:val="auto"/>
        </w:rPr>
      </w:pPr>
    </w:p>
    <w:p>
      <w:pPr>
        <w:jc w:val="both"/>
        <w:ind w:left="980" w:hanging="486"/>
        <w:spacing w:after="0" w:line="26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6"/>
          <w:szCs w:val="16"/>
          <w:color w:val="auto"/>
        </w:rPr>
      </w:pPr>
    </w:p>
    <w:p>
      <w:pPr>
        <w:jc w:val="both"/>
        <w:ind w:left="980" w:hanging="486"/>
        <w:spacing w:after="0" w:line="26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980" w:right="20" w:hanging="486"/>
        <w:spacing w:after="0" w:line="275"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980" w:hanging="486"/>
        <w:spacing w:after="0" w:line="275"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6"/>
          <w:szCs w:val="16"/>
          <w:color w:val="auto"/>
        </w:rPr>
        <w:t>Date:</w:t>
        <w:tab/>
        <w:t>November 2, 2017</w:t>
      </w:r>
    </w:p>
    <w:p>
      <w:pPr>
        <w:spacing w:after="0" w:line="200" w:lineRule="exact"/>
        <w:rPr>
          <w:sz w:val="20"/>
          <w:szCs w:val="20"/>
          <w:color w:val="auto"/>
        </w:rPr>
      </w:pPr>
    </w:p>
    <w:p>
      <w:pPr>
        <w:spacing w:after="0" w:line="210"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34925</wp:posOffset>
            </wp:positionV>
            <wp:extent cx="2718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420"/>
          </w:cols>
          <w:pgMar w:left="240" w:top="58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September 30, 2017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2, 2017</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José R. Mas</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Executive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2017, or as a separate disclosure document of the Company or the certifying officers.</w:t>
      </w:r>
    </w:p>
    <w:p>
      <w:pPr>
        <w:sectPr>
          <w:pgSz w:w="11900" w:h="16838" w:orient="portrait"/>
          <w:cols w:equalWidth="0" w:num="1">
            <w:col w:w="11420"/>
          </w:cols>
          <w:pgMar w:left="240" w:top="58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September 30, 2017 as filed with the Securities and Exchange Commission on the date hereof (the “Report”), I, George L. Pita, Chief Financial Officer of MasTec, Inc., certify, pursuant to 18 U.S.C. Section 1350, as adopted pursuant to Section 906 of the Sarbanes-Oxley Act of 2002, that, to the best of my knowledge:</w:t>
      </w:r>
    </w:p>
    <w:p>
      <w:pPr>
        <w:spacing w:after="0" w:line="156"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0"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2, 2017</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/s/ George L. Pita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34925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6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George L. Pita</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(Principal Financial and Accounting Officer)</w:t>
      </w:r>
    </w:p>
    <w:p>
      <w:pPr>
        <w:spacing w:after="0" w:line="23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September 30, 2017, or as a separate disclosure document of the Company or the certifying officers.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Roman"/>
      <w:start w:val="11"/>
    </w:lvl>
  </w:abstractNum>
  <w:abstractNum w:abstractNumId="12">
    <w:nsid w:val="4E6AFB66"/>
    <w:multiLevelType w:val="hybridMultilevel"/>
    <w:lvl w:ilvl="0">
      <w:lvlJc w:val="left"/>
      <w:lvlText w:val="%1."/>
      <w:numFmt w:val="decimal"/>
      <w:start w:val="1"/>
    </w:lvl>
    <w:lvl w:ilvl="1">
      <w:lvlJc w:val="left"/>
      <w:lvlText w:val="-"/>
      <w:numFmt w:val="bullet"/>
      <w:start w:val="1"/>
    </w:lvl>
  </w:abstractNum>
  <w:abstractNum w:abstractNumId="13">
    <w:nsid w:val="25E45D32"/>
    <w:multiLevelType w:val="hybridMultilevel"/>
    <w:lvl w:ilvl="0">
      <w:lvlJc w:val="left"/>
      <w:lvlText w:val="%1."/>
      <w:numFmt w:val="decimal"/>
      <w:start w:val="9"/>
    </w:lvl>
    <w:lvl w:ilvl="1">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2019-12-29T03:30:48Z</dcterms:created>
  <dcterms:modified xsi:type="dcterms:W3CDTF">2019-12-29T03:30:48Z</dcterms:modified>
</cp:coreProperties>
</file>