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SECURITIES AND EXCHANGE COMMISSION</w:t>
      </w:r>
    </w:p>
    <w:p>
      <w:pPr>
        <w:spacing w:after="0" w:line="11"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4428"/>
        <w:spacing w:after="0"/>
        <w:rPr>
          <w:sz w:val="20"/>
          <w:szCs w:val="20"/>
          <w:color w:val="auto"/>
        </w:rPr>
      </w:pPr>
      <w:r>
        <w:rPr>
          <w:rFonts w:ascii="Arial" w:cs="Arial" w:eastAsia="Arial" w:hAnsi="Arial"/>
          <w:sz w:val="11"/>
          <w:szCs w:val="11"/>
          <w:color w:val="auto"/>
        </w:rPr>
        <w:t>_____________________________________________</w:t>
      </w:r>
    </w:p>
    <w:p>
      <w:pPr>
        <w:spacing w:after="0" w:line="15" w:lineRule="exact"/>
        <w:rPr>
          <w:sz w:val="24"/>
          <w:szCs w:val="24"/>
          <w:color w:val="auto"/>
        </w:rPr>
      </w:pPr>
    </w:p>
    <w:p>
      <w:pPr>
        <w:jc w:val="center"/>
        <w:ind w:right="12"/>
        <w:spacing w:after="0"/>
        <w:rPr>
          <w:sz w:val="20"/>
          <w:szCs w:val="20"/>
          <w:color w:val="auto"/>
        </w:rPr>
      </w:pPr>
      <w:r>
        <w:rPr>
          <w:rFonts w:ascii="Arial" w:cs="Arial" w:eastAsia="Arial" w:hAnsi="Arial"/>
          <w:sz w:val="22"/>
          <w:szCs w:val="22"/>
          <w:b w:val="1"/>
          <w:bCs w:val="1"/>
          <w:color w:val="auto"/>
        </w:rPr>
        <w:t>Form 10-Q</w:t>
      </w:r>
    </w:p>
    <w:p>
      <w:pPr>
        <w:spacing w:after="0" w:line="21" w:lineRule="exact"/>
        <w:rPr>
          <w:sz w:val="24"/>
          <w:szCs w:val="24"/>
          <w:color w:val="auto"/>
        </w:rPr>
      </w:pPr>
    </w:p>
    <w:p>
      <w:pPr>
        <w:ind w:left="4428"/>
        <w:spacing w:after="0"/>
        <w:rPr>
          <w:sz w:val="20"/>
          <w:szCs w:val="20"/>
          <w:color w:val="auto"/>
        </w:rPr>
      </w:pPr>
      <w:r>
        <w:rPr>
          <w:rFonts w:ascii="Arial" w:cs="Arial" w:eastAsia="Arial" w:hAnsi="Arial"/>
          <w:sz w:val="11"/>
          <w:szCs w:val="11"/>
          <w:color w:val="auto"/>
        </w:rPr>
        <w:t>_____________________________________________</w:t>
      </w:r>
    </w:p>
    <w:p>
      <w:pPr>
        <w:ind w:left="8"/>
        <w:spacing w:after="0" w:line="233" w:lineRule="auto"/>
        <w:rPr>
          <w:sz w:val="20"/>
          <w:szCs w:val="20"/>
          <w:color w:val="auto"/>
        </w:rPr>
      </w:pPr>
      <w:r>
        <w:rPr>
          <w:rFonts w:ascii="Arial" w:cs="Arial" w:eastAsia="Arial" w:hAnsi="Arial"/>
          <w:sz w:val="11"/>
          <w:szCs w:val="11"/>
          <w:b w:val="1"/>
          <w:bCs w:val="1"/>
          <w:color w:val="auto"/>
        </w:rPr>
        <w:t>(Mark One)</w:t>
      </w:r>
    </w:p>
    <w:p>
      <w:pPr>
        <w:ind w:left="248" w:hanging="248"/>
        <w:spacing w:after="0"/>
        <w:tabs>
          <w:tab w:leader="none" w:pos="248" w:val="left"/>
        </w:tabs>
        <w:numPr>
          <w:ilvl w:val="0"/>
          <w:numId w:val="1"/>
        </w:numPr>
        <w:rPr>
          <w:rFonts w:ascii="MS PGothic" w:cs="MS PGothic" w:eastAsia="MS PGothic" w:hAnsi="MS PGothic"/>
          <w:sz w:val="11"/>
          <w:szCs w:val="1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9"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26"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OR</w:t>
      </w:r>
    </w:p>
    <w:p>
      <w:pPr>
        <w:spacing w:after="0" w:line="4"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1"/>
          <w:szCs w:val="1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 w:lineRule="exact"/>
        <w:rPr>
          <w:rFonts w:ascii="MS PGothic" w:cs="MS PGothic" w:eastAsia="MS PGothic" w:hAnsi="MS PGothic"/>
          <w:sz w:val="11"/>
          <w:szCs w:val="11"/>
          <w:color w:val="auto"/>
        </w:rPr>
      </w:pPr>
    </w:p>
    <w:p>
      <w:pPr>
        <w:ind w:left="4468"/>
        <w:spacing w:after="0"/>
        <w:rPr>
          <w:rFonts w:ascii="MS PGothic" w:cs="MS PGothic" w:eastAsia="MS PGothic" w:hAnsi="MS PGothic"/>
          <w:sz w:val="11"/>
          <w:szCs w:val="11"/>
          <w:color w:val="auto"/>
        </w:rPr>
      </w:pPr>
      <w:r>
        <w:rPr>
          <w:rFonts w:ascii="Arial" w:cs="Arial" w:eastAsia="Arial" w:hAnsi="Arial"/>
          <w:sz w:val="14"/>
          <w:szCs w:val="14"/>
          <w:b w:val="1"/>
          <w:bCs w:val="1"/>
          <w:color w:val="auto"/>
        </w:rPr>
        <w:t>For the transition period from __ to __</w:t>
      </w:r>
    </w:p>
    <w:p>
      <w:pPr>
        <w:spacing w:after="0" w:line="34" w:lineRule="exact"/>
        <w:rPr>
          <w:sz w:val="24"/>
          <w:szCs w:val="24"/>
          <w:color w:val="auto"/>
        </w:rPr>
      </w:pPr>
    </w:p>
    <w:tbl>
      <w:tblPr>
        <w:tblLayout w:type="fixed"/>
        <w:tblInd w:w="1708"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Commission File Number 001-08106</w:t>
            </w: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36"/>
        </w:trPr>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40" w:type="dxa"/>
            <w:vAlign w:val="bottom"/>
            <w:gridSpan w:val="3"/>
          </w:tcPr>
          <w:p>
            <w:pPr>
              <w:jc w:val="right"/>
              <w:ind w:right="520"/>
              <w:spacing w:after="0"/>
              <w:rPr>
                <w:sz w:val="20"/>
                <w:szCs w:val="20"/>
                <w:color w:val="auto"/>
              </w:rPr>
            </w:pPr>
            <w:r>
              <w:rPr>
                <w:rFonts w:ascii="Arial" w:cs="Arial" w:eastAsia="Arial" w:hAnsi="Arial"/>
                <w:sz w:val="11"/>
                <w:szCs w:val="11"/>
                <w:color w:val="auto"/>
                <w:w w:val="98"/>
              </w:rPr>
              <w:t>_____________________________________________</w:t>
            </w:r>
          </w:p>
        </w:tc>
        <w:tc>
          <w:tcPr>
            <w:tcW w:w="50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666"/>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40" w:type="dxa"/>
            <w:vAlign w:val="bottom"/>
            <w:gridSpan w:val="3"/>
          </w:tcPr>
          <w:p>
            <w:pPr>
              <w:jc w:val="center"/>
              <w:ind w:right="240"/>
              <w:spacing w:after="0"/>
              <w:rPr>
                <w:sz w:val="20"/>
                <w:szCs w:val="20"/>
                <w:color w:val="auto"/>
              </w:rPr>
            </w:pPr>
            <w:r>
              <w:rPr>
                <w:rFonts w:ascii="Arial" w:cs="Arial" w:eastAsia="Arial" w:hAnsi="Arial"/>
                <w:sz w:val="29"/>
                <w:szCs w:val="29"/>
                <w:b w:val="1"/>
                <w:bCs w:val="1"/>
                <w:color w:val="auto"/>
                <w:w w:val="90"/>
              </w:rPr>
              <w:t>MasTec, Inc.</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6"/>
        </w:trPr>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40" w:type="dxa"/>
            <w:vAlign w:val="bottom"/>
            <w:gridSpan w:val="3"/>
          </w:tcPr>
          <w:p>
            <w:pPr>
              <w:jc w:val="center"/>
              <w:ind w:right="240"/>
              <w:spacing w:after="0"/>
              <w:rPr>
                <w:sz w:val="20"/>
                <w:szCs w:val="20"/>
                <w:color w:val="auto"/>
              </w:rPr>
            </w:pPr>
            <w:r>
              <w:rPr>
                <w:rFonts w:ascii="Arial" w:cs="Arial" w:eastAsia="Arial" w:hAnsi="Arial"/>
                <w:sz w:val="11"/>
                <w:szCs w:val="11"/>
                <w:b w:val="1"/>
                <w:bCs w:val="1"/>
                <w:i w:val="1"/>
                <w:iCs w:val="1"/>
                <w:color w:val="auto"/>
                <w:w w:val="85"/>
              </w:rPr>
              <w:t>(Exact name of registrant as specified in its charter)</w:t>
            </w:r>
          </w:p>
        </w:tc>
        <w:tc>
          <w:tcPr>
            <w:tcW w:w="50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207"/>
        </w:trPr>
        <w:tc>
          <w:tcPr>
            <w:tcW w:w="500" w:type="dxa"/>
            <w:vAlign w:val="bottom"/>
          </w:tcPr>
          <w:p>
            <w:pPr>
              <w:spacing w:after="0"/>
              <w:rPr>
                <w:sz w:val="18"/>
                <w:szCs w:val="18"/>
                <w:color w:val="auto"/>
              </w:rPr>
            </w:pPr>
          </w:p>
        </w:tc>
        <w:tc>
          <w:tcPr>
            <w:tcW w:w="194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8"/>
              </w:rPr>
              <w:t>Florida</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80" w:type="dxa"/>
            <w:vAlign w:val="bottom"/>
            <w:gridSpan w:val="2"/>
          </w:tcPr>
          <w:p>
            <w:pPr>
              <w:jc w:val="right"/>
              <w:ind w:right="770"/>
              <w:spacing w:after="0"/>
              <w:rPr>
                <w:sz w:val="20"/>
                <w:szCs w:val="20"/>
                <w:color w:val="auto"/>
              </w:rPr>
            </w:pPr>
            <w:r>
              <w:rPr>
                <w:rFonts w:ascii="Arial" w:cs="Arial" w:eastAsia="Arial" w:hAnsi="Arial"/>
                <w:sz w:val="11"/>
                <w:szCs w:val="11"/>
                <w:b w:val="1"/>
                <w:bCs w:val="1"/>
                <w:color w:val="auto"/>
              </w:rPr>
              <w:t>65-0829355</w:t>
            </w:r>
          </w:p>
        </w:tc>
      </w:tr>
      <w:tr>
        <w:trPr>
          <w:trHeight w:val="120"/>
        </w:trPr>
        <w:tc>
          <w:tcPr>
            <w:tcW w:w="2440" w:type="dxa"/>
            <w:vAlign w:val="bottom"/>
            <w:gridSpan w:val="3"/>
          </w:tcPr>
          <w:p>
            <w:pPr>
              <w:jc w:val="center"/>
              <w:ind w:right="200"/>
              <w:spacing w:after="0"/>
              <w:rPr>
                <w:sz w:val="20"/>
                <w:szCs w:val="20"/>
                <w:color w:val="auto"/>
              </w:rPr>
            </w:pPr>
            <w:r>
              <w:rPr>
                <w:rFonts w:ascii="Arial" w:cs="Arial" w:eastAsia="Arial" w:hAnsi="Arial"/>
                <w:sz w:val="9"/>
                <w:szCs w:val="9"/>
                <w:b w:val="1"/>
                <w:bCs w:val="1"/>
                <w:i w:val="1"/>
                <w:iCs w:val="1"/>
                <w:color w:val="auto"/>
                <w:w w:val="87"/>
              </w:rPr>
              <w:t>(State or other jurisdiction of incorporation or organization)</w:t>
            </w: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180" w:type="dxa"/>
            <w:vAlign w:val="bottom"/>
            <w:gridSpan w:val="2"/>
          </w:tcPr>
          <w:p>
            <w:pPr>
              <w:jc w:val="center"/>
              <w:spacing w:after="0"/>
              <w:rPr>
                <w:sz w:val="20"/>
                <w:szCs w:val="20"/>
                <w:color w:val="auto"/>
              </w:rPr>
            </w:pPr>
            <w:r>
              <w:rPr>
                <w:rFonts w:ascii="Arial" w:cs="Arial" w:eastAsia="Arial" w:hAnsi="Arial"/>
                <w:sz w:val="9"/>
                <w:szCs w:val="9"/>
                <w:b w:val="1"/>
                <w:bCs w:val="1"/>
                <w:i w:val="1"/>
                <w:iCs w:val="1"/>
                <w:color w:val="auto"/>
                <w:w w:val="90"/>
              </w:rPr>
              <w:t>(I.R.S. Employer Identification No.)</w:t>
            </w:r>
          </w:p>
        </w:tc>
      </w:tr>
      <w:tr>
        <w:trPr>
          <w:trHeight w:val="250"/>
        </w:trPr>
        <w:tc>
          <w:tcPr>
            <w:tcW w:w="24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8"/>
              </w:rPr>
              <w:t>800 S. Douglas Road, 12th Floor</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144"/>
        </w:trPr>
        <w:tc>
          <w:tcPr>
            <w:tcW w:w="500" w:type="dxa"/>
            <w:vAlign w:val="bottom"/>
          </w:tcPr>
          <w:p>
            <w:pPr>
              <w:spacing w:after="0"/>
              <w:rPr>
                <w:sz w:val="12"/>
                <w:szCs w:val="12"/>
                <w:color w:val="auto"/>
              </w:rPr>
            </w:pPr>
          </w:p>
        </w:tc>
        <w:tc>
          <w:tcPr>
            <w:tcW w:w="19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Coral Gables, Florida</w:t>
            </w: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80" w:type="dxa"/>
            <w:vAlign w:val="bottom"/>
            <w:gridSpan w:val="2"/>
          </w:tcPr>
          <w:p>
            <w:pPr>
              <w:jc w:val="right"/>
              <w:ind w:right="910"/>
              <w:spacing w:after="0"/>
              <w:rPr>
                <w:sz w:val="20"/>
                <w:szCs w:val="20"/>
                <w:color w:val="auto"/>
              </w:rPr>
            </w:pPr>
            <w:r>
              <w:rPr>
                <w:rFonts w:ascii="Arial" w:cs="Arial" w:eastAsia="Arial" w:hAnsi="Arial"/>
                <w:sz w:val="11"/>
                <w:szCs w:val="11"/>
                <w:b w:val="1"/>
                <w:bCs w:val="1"/>
                <w:color w:val="auto"/>
              </w:rPr>
              <w:t>33134</w:t>
            </w:r>
          </w:p>
        </w:tc>
      </w:tr>
      <w:tr>
        <w:trPr>
          <w:trHeight w:val="120"/>
        </w:trPr>
        <w:tc>
          <w:tcPr>
            <w:tcW w:w="2440" w:type="dxa"/>
            <w:vAlign w:val="bottom"/>
            <w:gridSpan w:val="3"/>
          </w:tcPr>
          <w:p>
            <w:pPr>
              <w:jc w:val="center"/>
              <w:ind w:right="200"/>
              <w:spacing w:after="0"/>
              <w:rPr>
                <w:sz w:val="20"/>
                <w:szCs w:val="20"/>
                <w:color w:val="auto"/>
              </w:rPr>
            </w:pPr>
            <w:r>
              <w:rPr>
                <w:rFonts w:ascii="Arial" w:cs="Arial" w:eastAsia="Arial" w:hAnsi="Arial"/>
                <w:sz w:val="9"/>
                <w:szCs w:val="9"/>
                <w:b w:val="1"/>
                <w:bCs w:val="1"/>
                <w:i w:val="1"/>
                <w:iCs w:val="1"/>
                <w:color w:val="auto"/>
                <w:w w:val="85"/>
              </w:rPr>
              <w:t>(Address of principal executive offices)</w:t>
            </w: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tcPr>
          <w:p>
            <w:pPr>
              <w:jc w:val="center"/>
              <w:ind w:right="430"/>
              <w:spacing w:after="0"/>
              <w:rPr>
                <w:sz w:val="20"/>
                <w:szCs w:val="20"/>
                <w:color w:val="auto"/>
              </w:rPr>
            </w:pPr>
            <w:r>
              <w:rPr>
                <w:rFonts w:ascii="Arial" w:cs="Arial" w:eastAsia="Arial" w:hAnsi="Arial"/>
                <w:sz w:val="9"/>
                <w:szCs w:val="9"/>
                <w:b w:val="1"/>
                <w:bCs w:val="1"/>
                <w:i w:val="1"/>
                <w:iCs w:val="1"/>
                <w:color w:val="auto"/>
                <w:w w:val="89"/>
              </w:rPr>
              <w:t>(Zip Code)</w:t>
            </w:r>
          </w:p>
        </w:tc>
      </w:tr>
      <w:tr>
        <w:trPr>
          <w:trHeight w:val="187"/>
        </w:trPr>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40" w:type="dxa"/>
            <w:vAlign w:val="bottom"/>
            <w:gridSpan w:val="3"/>
          </w:tcPr>
          <w:p>
            <w:pPr>
              <w:jc w:val="right"/>
              <w:ind w:right="1400"/>
              <w:spacing w:after="0"/>
              <w:rPr>
                <w:sz w:val="20"/>
                <w:szCs w:val="20"/>
                <w:color w:val="auto"/>
              </w:rPr>
            </w:pPr>
            <w:r>
              <w:rPr>
                <w:rFonts w:ascii="Arial" w:cs="Arial" w:eastAsia="Arial" w:hAnsi="Arial"/>
                <w:sz w:val="11"/>
                <w:szCs w:val="11"/>
                <w:b w:val="1"/>
                <w:bCs w:val="1"/>
                <w:color w:val="auto"/>
              </w:rPr>
              <w:t>(305) 599-1800</w:t>
            </w: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22"/>
        </w:trPr>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40" w:type="dxa"/>
            <w:vAlign w:val="bottom"/>
            <w:gridSpan w:val="3"/>
          </w:tcPr>
          <w:p>
            <w:pPr>
              <w:jc w:val="center"/>
              <w:ind w:right="220"/>
              <w:spacing w:after="0"/>
              <w:rPr>
                <w:sz w:val="20"/>
                <w:szCs w:val="20"/>
                <w:color w:val="auto"/>
              </w:rPr>
            </w:pPr>
            <w:r>
              <w:rPr>
                <w:rFonts w:ascii="Arial" w:cs="Arial" w:eastAsia="Arial" w:hAnsi="Arial"/>
                <w:sz w:val="10"/>
                <w:szCs w:val="10"/>
                <w:b w:val="1"/>
                <w:bCs w:val="1"/>
                <w:i w:val="1"/>
                <w:iCs w:val="1"/>
                <w:color w:val="auto"/>
                <w:w w:val="82"/>
              </w:rPr>
              <w:t>(Registrant’s telephone number, including area code)</w:t>
            </w:r>
          </w:p>
        </w:tc>
        <w:tc>
          <w:tcPr>
            <w:tcW w:w="50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293"/>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7"/>
              </w:rPr>
              <w:t>Securities registered pursuant to Section 12(b) of the Act:</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5"/>
        </w:trPr>
        <w:tc>
          <w:tcPr>
            <w:tcW w:w="5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87"/>
              </w:rPr>
              <w:t>Title of each class</w:t>
            </w: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20" w:type="dxa"/>
            <w:vAlign w:val="bottom"/>
            <w:gridSpan w:val="2"/>
          </w:tcPr>
          <w:p>
            <w:pPr>
              <w:jc w:val="center"/>
              <w:ind w:right="1420"/>
              <w:spacing w:after="0"/>
              <w:rPr>
                <w:sz w:val="20"/>
                <w:szCs w:val="20"/>
                <w:color w:val="auto"/>
              </w:rPr>
            </w:pPr>
            <w:r>
              <w:rPr>
                <w:rFonts w:ascii="Arial" w:cs="Arial" w:eastAsia="Arial" w:hAnsi="Arial"/>
                <w:sz w:val="9"/>
                <w:szCs w:val="9"/>
                <w:b w:val="1"/>
                <w:bCs w:val="1"/>
                <w:color w:val="auto"/>
                <w:w w:val="89"/>
              </w:rPr>
              <w:t>Trading symbol(s)</w:t>
            </w:r>
          </w:p>
        </w:tc>
        <w:tc>
          <w:tcPr>
            <w:tcW w:w="2180" w:type="dxa"/>
            <w:vAlign w:val="bottom"/>
            <w:gridSpan w:val="2"/>
          </w:tcPr>
          <w:p>
            <w:pPr>
              <w:jc w:val="center"/>
              <w:ind w:left="450"/>
              <w:spacing w:after="0"/>
              <w:rPr>
                <w:sz w:val="20"/>
                <w:szCs w:val="20"/>
                <w:color w:val="auto"/>
              </w:rPr>
            </w:pPr>
            <w:r>
              <w:rPr>
                <w:rFonts w:ascii="Arial" w:cs="Arial" w:eastAsia="Arial" w:hAnsi="Arial"/>
                <w:sz w:val="9"/>
                <w:szCs w:val="9"/>
                <w:b w:val="1"/>
                <w:bCs w:val="1"/>
                <w:color w:val="auto"/>
                <w:w w:val="88"/>
              </w:rPr>
              <w:t>Name of each exchange on which registered</w:t>
            </w:r>
          </w:p>
        </w:tc>
      </w:tr>
      <w:tr>
        <w:trPr>
          <w:trHeight w:val="20"/>
        </w:trPr>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147"/>
        </w:trPr>
        <w:tc>
          <w:tcPr>
            <w:tcW w:w="2440" w:type="dxa"/>
            <w:vAlign w:val="bottom"/>
            <w:gridSpan w:val="3"/>
          </w:tcPr>
          <w:p>
            <w:pPr>
              <w:jc w:val="center"/>
              <w:ind w:right="760"/>
              <w:spacing w:after="0"/>
              <w:rPr>
                <w:sz w:val="20"/>
                <w:szCs w:val="20"/>
                <w:color w:val="auto"/>
              </w:rPr>
            </w:pPr>
            <w:r>
              <w:rPr>
                <w:rFonts w:ascii="Arial" w:cs="Arial" w:eastAsia="Arial" w:hAnsi="Arial"/>
                <w:sz w:val="11"/>
                <w:szCs w:val="11"/>
                <w:b w:val="1"/>
                <w:bCs w:val="1"/>
                <w:color w:val="auto"/>
                <w:w w:val="88"/>
              </w:rPr>
              <w:t>Common Stock, $0.10 Par Value</w:t>
            </w:r>
          </w:p>
        </w:tc>
        <w:tc>
          <w:tcPr>
            <w:tcW w:w="1120" w:type="dxa"/>
            <w:vAlign w:val="bottom"/>
          </w:tcPr>
          <w:p>
            <w:pPr>
              <w:spacing w:after="0"/>
              <w:rPr>
                <w:sz w:val="12"/>
                <w:szCs w:val="12"/>
                <w:color w:val="auto"/>
              </w:rPr>
            </w:pPr>
          </w:p>
        </w:tc>
        <w:tc>
          <w:tcPr>
            <w:tcW w:w="2120" w:type="dxa"/>
            <w:vAlign w:val="bottom"/>
            <w:gridSpan w:val="2"/>
          </w:tcPr>
          <w:p>
            <w:pPr>
              <w:jc w:val="center"/>
              <w:ind w:right="1420"/>
              <w:spacing w:after="0"/>
              <w:rPr>
                <w:sz w:val="20"/>
                <w:szCs w:val="20"/>
                <w:color w:val="auto"/>
              </w:rPr>
            </w:pPr>
            <w:r>
              <w:rPr>
                <w:rFonts w:ascii="Arial" w:cs="Arial" w:eastAsia="Arial" w:hAnsi="Arial"/>
                <w:sz w:val="11"/>
                <w:szCs w:val="11"/>
                <w:b w:val="1"/>
                <w:bCs w:val="1"/>
                <w:color w:val="auto"/>
              </w:rPr>
              <w:t>MTZ</w:t>
            </w:r>
          </w:p>
        </w:tc>
        <w:tc>
          <w:tcPr>
            <w:tcW w:w="5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w w:val="8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3265170</wp:posOffset>
            </wp:positionH>
            <wp:positionV relativeFrom="paragraph">
              <wp:posOffset>-1623695</wp:posOffset>
            </wp:positionV>
            <wp:extent cx="65278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780" cy="125730"/>
                    </a:xfrm>
                    <a:prstGeom prst="rect">
                      <a:avLst/>
                    </a:prstGeom>
                    <a:noFill/>
                  </pic:spPr>
                </pic:pic>
              </a:graphicData>
            </a:graphic>
          </wp:anchor>
        </w:drawing>
      </w:r>
    </w:p>
    <w:p>
      <w:pPr>
        <w:sectPr>
          <w:pgSz w:w="11900" w:h="16838" w:orient="portrait"/>
          <w:cols w:equalWidth="0" w:num="1">
            <w:col w:w="11308"/>
          </w:cols>
          <w:pgMar w:left="292" w:top="623" w:right="299" w:bottom="1440" w:gutter="0" w:footer="0" w:header="0"/>
        </w:sectPr>
      </w:pPr>
    </w:p>
    <w:p>
      <w:pPr>
        <w:spacing w:after="0" w:line="251" w:lineRule="exact"/>
        <w:rPr>
          <w:sz w:val="24"/>
          <w:szCs w:val="24"/>
          <w:color w:val="auto"/>
        </w:rPr>
      </w:pPr>
    </w:p>
    <w:p>
      <w:pPr>
        <w:jc w:val="both"/>
        <w:ind w:left="8" w:firstLine="122"/>
        <w:spacing w:after="0" w:line="369" w:lineRule="auto"/>
        <w:rPr>
          <w:sz w:val="20"/>
          <w:szCs w:val="20"/>
          <w:color w:val="auto"/>
        </w:rPr>
      </w:pPr>
      <w:r>
        <w:rPr>
          <w:rFonts w:ascii="Arial" w:cs="Arial" w:eastAsia="Arial" w:hAnsi="Arial"/>
          <w:sz w:val="9"/>
          <w:szCs w:val="9"/>
          <w:color w:val="auto"/>
        </w:rPr>
        <w:t>Indicate by check mark whether the registrant (1) has filed all reports required reports), and (2) has been subject to such filing requirements for the past 90 days.</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ind w:hanging="80"/>
        <w:spacing w:after="0" w:line="138" w:lineRule="exact"/>
        <w:rPr>
          <w:sz w:val="20"/>
          <w:szCs w:val="20"/>
          <w:color w:val="auto"/>
        </w:rPr>
      </w:pPr>
      <w:r>
        <w:rPr>
          <w:rFonts w:ascii="Arial" w:cs="Arial" w:eastAsia="Arial" w:hAnsi="Arial"/>
          <w:sz w:val="11"/>
          <w:szCs w:val="11"/>
          <w:color w:val="auto"/>
        </w:rPr>
        <w:t xml:space="preserve">to be filed by Section 13 or 15(d) of the Securities Exchange Act of 1934 during the preceding 12 months (or for such shorter period that the registrant was required to file such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7" w:lineRule="exact"/>
        <w:rPr>
          <w:sz w:val="24"/>
          <w:szCs w:val="24"/>
          <w:color w:val="auto"/>
        </w:rPr>
      </w:pPr>
    </w:p>
    <w:p>
      <w:pPr>
        <w:sectPr>
          <w:pgSz w:w="11900" w:h="16838" w:orient="portrait"/>
          <w:cols w:equalWidth="0" w:num="2">
            <w:col w:w="3548" w:space="120"/>
            <w:col w:w="7640"/>
          </w:cols>
          <w:pgMar w:left="292" w:top="623" w:right="299" w:bottom="1440" w:gutter="0" w:footer="0" w:header="0"/>
          <w:type w:val="continuous"/>
        </w:sectPr>
      </w:pPr>
    </w:p>
    <w:p>
      <w:pPr>
        <w:ind w:left="8" w:firstLine="111"/>
        <w:spacing w:after="0" w:line="138"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7" w:lineRule="exact"/>
        <w:rPr>
          <w:sz w:val="24"/>
          <w:szCs w:val="24"/>
          <w:color w:val="auto"/>
        </w:rPr>
      </w:pPr>
    </w:p>
    <w:p>
      <w:pPr>
        <w:ind w:left="8" w:firstLine="123"/>
        <w:spacing w:after="0" w:line="25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828" w:type="dxa"/>
        <w:tblCellMar>
          <w:top w:w="0" w:type="dxa"/>
          <w:left w:w="0" w:type="dxa"/>
          <w:bottom w:w="0" w:type="dxa"/>
          <w:right w:w="0" w:type="dxa"/>
        </w:tblCellMar>
      </w:tblPr>
      <w:tr>
        <w:trPr>
          <w:trHeight w:val="168"/>
        </w:trPr>
        <w:tc>
          <w:tcPr>
            <w:tcW w:w="21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68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rPr>
              <w:t>☑</w:t>
            </w:r>
          </w:p>
        </w:tc>
        <w:tc>
          <w:tcPr>
            <w:tcW w:w="3640" w:type="dxa"/>
            <w:vAlign w:val="bottom"/>
          </w:tcPr>
          <w:p>
            <w:pPr>
              <w:ind w:left="1460"/>
              <w:spacing w:after="0"/>
              <w:rPr>
                <w:sz w:val="20"/>
                <w:szCs w:val="20"/>
                <w:color w:val="auto"/>
              </w:rPr>
            </w:pPr>
            <w:r>
              <w:rPr>
                <w:rFonts w:ascii="Arial" w:cs="Arial" w:eastAsia="Arial" w:hAnsi="Arial"/>
                <w:sz w:val="11"/>
                <w:szCs w:val="11"/>
                <w:color w:val="auto"/>
              </w:rPr>
              <w:t>Accelerated filer</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2120" w:type="dxa"/>
            <w:vAlign w:val="bottom"/>
          </w:tcPr>
          <w:p>
            <w:pPr>
              <w:spacing w:after="0"/>
              <w:rPr>
                <w:sz w:val="20"/>
                <w:szCs w:val="20"/>
                <w:color w:val="auto"/>
              </w:rPr>
            </w:pPr>
            <w:r>
              <w:rPr>
                <w:rFonts w:ascii="Arial" w:cs="Arial" w:eastAsia="Arial" w:hAnsi="Arial"/>
                <w:sz w:val="11"/>
                <w:szCs w:val="11"/>
                <w:color w:val="auto"/>
              </w:rPr>
              <w:t>Non-accelerated filer</w:t>
            </w:r>
          </w:p>
        </w:tc>
        <w:tc>
          <w:tcPr>
            <w:tcW w:w="2680" w:type="dxa"/>
            <w:vAlign w:val="bottom"/>
          </w:tcPr>
          <w:p>
            <w:pPr>
              <w:ind w:left="1140"/>
              <w:spacing w:after="0" w:line="111" w:lineRule="exact"/>
              <w:rPr>
                <w:sz w:val="20"/>
                <w:szCs w:val="20"/>
                <w:color w:val="auto"/>
              </w:rPr>
            </w:pPr>
            <w:r>
              <w:rPr>
                <w:rFonts w:ascii="MS PGothic" w:cs="MS PGothic" w:eastAsia="MS PGothic" w:hAnsi="MS PGothic"/>
                <w:sz w:val="11"/>
                <w:szCs w:val="11"/>
                <w:color w:val="auto"/>
              </w:rPr>
              <w:t>☐</w:t>
            </w:r>
          </w:p>
        </w:tc>
        <w:tc>
          <w:tcPr>
            <w:tcW w:w="3640" w:type="dxa"/>
            <w:vAlign w:val="bottom"/>
          </w:tcPr>
          <w:p>
            <w:pPr>
              <w:ind w:left="1460"/>
              <w:spacing w:after="0"/>
              <w:rPr>
                <w:sz w:val="20"/>
                <w:szCs w:val="20"/>
                <w:color w:val="auto"/>
              </w:rPr>
            </w:pPr>
            <w:r>
              <w:rPr>
                <w:rFonts w:ascii="Arial" w:cs="Arial" w:eastAsia="Arial" w:hAnsi="Arial"/>
                <w:sz w:val="11"/>
                <w:szCs w:val="11"/>
                <w:color w:val="auto"/>
              </w:rPr>
              <w:t>Smaller reporting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2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640" w:type="dxa"/>
            <w:vAlign w:val="bottom"/>
          </w:tcPr>
          <w:p>
            <w:pPr>
              <w:ind w:left="1460"/>
              <w:spacing w:after="0"/>
              <w:rPr>
                <w:sz w:val="20"/>
                <w:szCs w:val="20"/>
                <w:color w:val="auto"/>
              </w:rPr>
            </w:pPr>
            <w:r>
              <w:rPr>
                <w:rFonts w:ascii="Arial" w:cs="Arial" w:eastAsia="Arial" w:hAnsi="Arial"/>
                <w:sz w:val="11"/>
                <w:szCs w:val="11"/>
                <w:color w:val="auto"/>
              </w:rPr>
              <w:t>Emerging growth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39" w:lineRule="exact"/>
        <w:rPr>
          <w:sz w:val="24"/>
          <w:szCs w:val="24"/>
          <w:color w:val="auto"/>
        </w:rPr>
      </w:pPr>
    </w:p>
    <w:p>
      <w:pPr>
        <w:ind w:left="108"/>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95" w:lineRule="exact"/>
        <w:rPr>
          <w:sz w:val="24"/>
          <w:szCs w:val="24"/>
          <w:color w:val="auto"/>
        </w:rPr>
      </w:pPr>
    </w:p>
    <w:p>
      <w:pPr>
        <w:ind w:left="108"/>
        <w:spacing w:after="0" w:line="127" w:lineRule="exact"/>
        <w:tabs>
          <w:tab w:leader="none" w:pos="4647" w:val="left"/>
        </w:tabs>
        <w:rPr>
          <w:sz w:val="20"/>
          <w:szCs w:val="20"/>
          <w:color w:val="auto"/>
        </w:rPr>
      </w:pPr>
      <w:r>
        <w:rPr>
          <w:rFonts w:ascii="Arial" w:cs="Arial" w:eastAsia="Arial" w:hAnsi="Arial"/>
          <w:sz w:val="11"/>
          <w:szCs w:val="11"/>
          <w:color w:val="auto"/>
        </w:rPr>
        <w:t>Indicate by check mark whether the registrant is a shell company (as defined in Rule 12b-2 of the Act.)</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92" w:lineRule="exact"/>
        <w:rPr>
          <w:sz w:val="24"/>
          <w:szCs w:val="24"/>
          <w:color w:val="auto"/>
        </w:rPr>
      </w:pPr>
    </w:p>
    <w:p>
      <w:pPr>
        <w:ind w:left="108"/>
        <w:spacing w:after="0"/>
        <w:rPr>
          <w:sz w:val="20"/>
          <w:szCs w:val="20"/>
          <w:color w:val="auto"/>
        </w:rPr>
      </w:pPr>
      <w:r>
        <w:rPr>
          <w:rFonts w:ascii="Arial" w:cs="Arial" w:eastAsia="Arial" w:hAnsi="Arial"/>
          <w:sz w:val="11"/>
          <w:szCs w:val="11"/>
          <w:color w:val="auto"/>
        </w:rPr>
        <w:t>As of August 2, 2021, MasTec, Inc. had 74,314,887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311150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2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520" w:type="dxa"/>
            <w:vAlign w:val="bottom"/>
          </w:tcPr>
          <w:p>
            <w:pPr>
              <w:jc w:val="center"/>
              <w:ind w:right="2566"/>
              <w:spacing w:after="0"/>
              <w:rPr>
                <w:sz w:val="20"/>
                <w:szCs w:val="20"/>
                <w:color w:val="auto"/>
              </w:rPr>
            </w:pPr>
            <w:r>
              <w:rPr>
                <w:rFonts w:ascii="Arial" w:cs="Arial" w:eastAsia="Arial" w:hAnsi="Arial"/>
                <w:sz w:val="11"/>
                <w:szCs w:val="11"/>
                <w:b w:val="1"/>
                <w:bCs w:val="1"/>
                <w:color w:val="auto"/>
                <w:w w:val="99"/>
              </w:rPr>
              <w:t>MASTEC, INC.</w:t>
            </w: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520" w:type="dxa"/>
            <w:vAlign w:val="bottom"/>
          </w:tcPr>
          <w:p>
            <w:pPr>
              <w:jc w:val="center"/>
              <w:ind w:right="2566"/>
              <w:spacing w:after="0"/>
              <w:rPr>
                <w:sz w:val="20"/>
                <w:szCs w:val="20"/>
                <w:color w:val="auto"/>
              </w:rPr>
            </w:pPr>
            <w:r>
              <w:rPr>
                <w:rFonts w:ascii="Arial" w:cs="Arial" w:eastAsia="Arial" w:hAnsi="Arial"/>
                <w:sz w:val="11"/>
                <w:szCs w:val="11"/>
                <w:b w:val="1"/>
                <w:bCs w:val="1"/>
                <w:color w:val="auto"/>
                <w:w w:val="96"/>
              </w:rPr>
              <w:t>FORM 10-Q</w:t>
            </w: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0"/>
        </w:trPr>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80" w:type="dxa"/>
            <w:vAlign w:val="bottom"/>
            <w:gridSpan w:val="2"/>
          </w:tcPr>
          <w:p>
            <w:pPr>
              <w:jc w:val="center"/>
              <w:ind w:right="1306"/>
              <w:spacing w:after="0"/>
              <w:rPr>
                <w:sz w:val="20"/>
                <w:szCs w:val="20"/>
                <w:color w:val="auto"/>
              </w:rPr>
            </w:pPr>
            <w:r>
              <w:rPr>
                <w:rFonts w:ascii="Arial" w:cs="Arial" w:eastAsia="Arial" w:hAnsi="Arial"/>
                <w:sz w:val="11"/>
                <w:szCs w:val="11"/>
                <w:b w:val="1"/>
                <w:bCs w:val="1"/>
                <w:color w:val="auto"/>
                <w:w w:val="95"/>
              </w:rPr>
              <w:t>QUARTER ENDED JUNE 30, 2021</w:t>
            </w: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89"/>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2"/>
          </w:tcPr>
          <w:p>
            <w:pPr>
              <w:jc w:val="center"/>
              <w:ind w:right="1326"/>
              <w:spacing w:after="0"/>
              <w:rPr>
                <w:sz w:val="20"/>
                <w:szCs w:val="20"/>
                <w:color w:val="auto"/>
              </w:rPr>
            </w:pPr>
            <w:r>
              <w:rPr>
                <w:rFonts w:ascii="Arial" w:cs="Arial" w:eastAsia="Arial" w:hAnsi="Arial"/>
                <w:sz w:val="11"/>
                <w:szCs w:val="11"/>
                <w:b w:val="1"/>
                <w:bCs w:val="1"/>
                <w:color w:val="auto"/>
                <w:w w:val="97"/>
              </w:rPr>
              <w:t>TABLE OF CONTENTS</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0"/>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77"/>
              </w:rPr>
              <w:t>Page</w:t>
            </w:r>
          </w:p>
        </w:tc>
        <w:tc>
          <w:tcPr>
            <w:tcW w:w="140" w:type="dxa"/>
            <w:vAlign w:val="bottom"/>
          </w:tcPr>
          <w:p>
            <w:pPr>
              <w:spacing w:after="0"/>
              <w:rPr>
                <w:sz w:val="24"/>
                <w:szCs w:val="24"/>
                <w:color w:val="auto"/>
              </w:rPr>
            </w:pPr>
          </w:p>
        </w:tc>
      </w:tr>
      <w:tr>
        <w:trPr>
          <w:trHeight w:val="124"/>
        </w:trPr>
        <w:tc>
          <w:tcPr>
            <w:tcW w:w="8720" w:type="dxa"/>
            <w:vAlign w:val="bottom"/>
            <w:gridSpan w:val="23"/>
          </w:tcPr>
          <w:p>
            <w:pPr>
              <w:ind w:left="140"/>
              <w:spacing w:after="0" w:line="124" w:lineRule="exact"/>
              <w:rPr>
                <w:rFonts w:ascii="Arial" w:cs="Arial" w:eastAsia="Arial" w:hAnsi="Arial"/>
                <w:sz w:val="11"/>
                <w:szCs w:val="11"/>
                <w:color w:val="0000FF"/>
              </w:rPr>
            </w:pPr>
            <w:hyperlink w:anchor="page2">
              <w:r>
                <w:rPr>
                  <w:rFonts w:ascii="Arial" w:cs="Arial" w:eastAsia="Arial" w:hAnsi="Arial"/>
                  <w:sz w:val="11"/>
                  <w:szCs w:val="11"/>
                  <w:color w:val="0000FF"/>
                </w:rPr>
                <w:t>Part I. FINANCIAL INFORMATION</w:t>
              </w:r>
            </w:hyperlink>
          </w:p>
        </w:tc>
        <w:tc>
          <w:tcPr>
            <w:tcW w:w="2440" w:type="dxa"/>
            <w:vAlign w:val="bottom"/>
            <w:gridSpan w:val="3"/>
          </w:tcPr>
          <w:p>
            <w:pPr>
              <w:jc w:val="right"/>
              <w:spacing w:after="0" w:line="124" w:lineRule="exact"/>
              <w:rPr>
                <w:rFonts w:ascii="Arial" w:cs="Arial" w:eastAsia="Arial" w:hAnsi="Arial"/>
                <w:sz w:val="11"/>
                <w:szCs w:val="11"/>
                <w:u w:val="single" w:color="auto"/>
                <w:color w:val="0000FF"/>
              </w:rPr>
            </w:pPr>
            <w:hyperlink w:anchor="page2">
              <w:r>
                <w:rPr>
                  <w:rFonts w:ascii="Arial" w:cs="Arial" w:eastAsia="Arial" w:hAnsi="Arial"/>
                  <w:sz w:val="11"/>
                  <w:szCs w:val="11"/>
                  <w:u w:val="single" w:color="auto"/>
                  <w:color w:val="0000FF"/>
                </w:rPr>
                <w:t>3</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3">
              <w:r>
                <w:rPr>
                  <w:rFonts w:ascii="Arial" w:cs="Arial" w:eastAsia="Arial" w:hAnsi="Arial"/>
                  <w:sz w:val="11"/>
                  <w:szCs w:val="11"/>
                  <w:color w:val="0000FF"/>
                </w:rPr>
                <w:t>Item 1</w:t>
              </w:r>
            </w:hyperlink>
          </w:p>
        </w:tc>
        <w:tc>
          <w:tcPr>
            <w:tcW w:w="7400" w:type="dxa"/>
            <w:vAlign w:val="bottom"/>
            <w:gridSpan w:val="17"/>
          </w:tcPr>
          <w:p>
            <w:pPr>
              <w:spacing w:after="0" w:line="124" w:lineRule="exact"/>
              <w:rPr>
                <w:rFonts w:ascii="Arial" w:cs="Arial" w:eastAsia="Arial" w:hAnsi="Arial"/>
                <w:sz w:val="11"/>
                <w:szCs w:val="11"/>
                <w:color w:val="0000FF"/>
              </w:rPr>
            </w:pPr>
            <w:hyperlink w:anchor="page3">
              <w:r>
                <w:rPr>
                  <w:rFonts w:ascii="Arial" w:cs="Arial" w:eastAsia="Arial" w:hAnsi="Arial"/>
                  <w:sz w:val="11"/>
                  <w:szCs w:val="11"/>
                  <w:color w:val="0000FF"/>
                </w:rPr>
                <w:t>Financial Statements (Unaudited)</w:t>
              </w:r>
            </w:hyperlink>
          </w:p>
        </w:tc>
        <w:tc>
          <w:tcPr>
            <w:tcW w:w="2440" w:type="dxa"/>
            <w:vAlign w:val="bottom"/>
            <w:gridSpan w:val="3"/>
          </w:tcPr>
          <w:p>
            <w:pPr>
              <w:jc w:val="right"/>
              <w:spacing w:after="0" w:line="124" w:lineRule="exact"/>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3</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tcBorders>
              <w:bottom w:val="single" w:sz="8" w:color="0000FF"/>
            </w:tcBorders>
            <w:gridSpan w:val="11"/>
          </w:tcPr>
          <w:p>
            <w:pPr>
              <w:spacing w:after="0" w:line="124" w:lineRule="exact"/>
              <w:rPr>
                <w:rFonts w:ascii="Arial" w:cs="Arial" w:eastAsia="Arial" w:hAnsi="Arial"/>
                <w:sz w:val="11"/>
                <w:szCs w:val="11"/>
                <w:color w:val="0000FF"/>
                <w:w w:val="87"/>
              </w:rPr>
            </w:pPr>
            <w:hyperlink w:anchor="page3">
              <w:r>
                <w:rPr>
                  <w:rFonts w:ascii="Arial" w:cs="Arial" w:eastAsia="Arial" w:hAnsi="Arial"/>
                  <w:sz w:val="11"/>
                  <w:szCs w:val="11"/>
                  <w:color w:val="0000FF"/>
                  <w:w w:val="87"/>
                </w:rPr>
                <w:t>Consolidated Statements of Operations</w:t>
              </w:r>
            </w:hyperlink>
          </w:p>
        </w:tc>
        <w:tc>
          <w:tcPr>
            <w:tcW w:w="5700" w:type="dxa"/>
            <w:vAlign w:val="bottom"/>
            <w:gridSpan w:val="6"/>
          </w:tcPr>
          <w:p>
            <w:pPr>
              <w:spacing w:after="0"/>
              <w:rPr>
                <w:sz w:val="10"/>
                <w:szCs w:val="10"/>
                <w:color w:val="auto"/>
              </w:rPr>
            </w:pPr>
          </w:p>
        </w:tc>
        <w:tc>
          <w:tcPr>
            <w:tcW w:w="2440" w:type="dxa"/>
            <w:vAlign w:val="bottom"/>
            <w:gridSpan w:val="3"/>
          </w:tcPr>
          <w:p>
            <w:pPr>
              <w:jc w:val="right"/>
              <w:spacing w:after="0" w:line="124" w:lineRule="exact"/>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3</w:t>
              </w:r>
            </w:hyperlink>
          </w:p>
        </w:tc>
        <w:tc>
          <w:tcPr>
            <w:tcW w:w="14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60" w:type="dxa"/>
            <w:vAlign w:val="bottom"/>
            <w:tcBorders>
              <w:bottom w:val="single" w:sz="8" w:color="0000FF"/>
            </w:tcBorders>
            <w:gridSpan w:val="13"/>
          </w:tcPr>
          <w:p>
            <w:pPr>
              <w:spacing w:after="0" w:line="124" w:lineRule="exact"/>
              <w:rPr>
                <w:rFonts w:ascii="Arial" w:cs="Arial" w:eastAsia="Arial" w:hAnsi="Arial"/>
                <w:sz w:val="11"/>
                <w:szCs w:val="11"/>
                <w:color w:val="0000FF"/>
                <w:w w:val="88"/>
              </w:rPr>
            </w:pPr>
            <w:hyperlink w:anchor="page3">
              <w:r>
                <w:rPr>
                  <w:rFonts w:ascii="Arial" w:cs="Arial" w:eastAsia="Arial" w:hAnsi="Arial"/>
                  <w:sz w:val="11"/>
                  <w:szCs w:val="11"/>
                  <w:color w:val="0000FF"/>
                  <w:w w:val="88"/>
                </w:rPr>
                <w:t>Consolidated Statements of Comprehensive Income</w:t>
              </w:r>
            </w:hyperlink>
          </w:p>
        </w:tc>
        <w:tc>
          <w:tcPr>
            <w:tcW w:w="5140" w:type="dxa"/>
            <w:vAlign w:val="bottom"/>
            <w:gridSpan w:val="4"/>
          </w:tcPr>
          <w:p>
            <w:pPr>
              <w:spacing w:after="0"/>
              <w:rPr>
                <w:sz w:val="10"/>
                <w:szCs w:val="10"/>
                <w:color w:val="auto"/>
              </w:rPr>
            </w:pPr>
          </w:p>
        </w:tc>
        <w:tc>
          <w:tcPr>
            <w:tcW w:w="2440" w:type="dxa"/>
            <w:vAlign w:val="bottom"/>
            <w:gridSpan w:val="3"/>
          </w:tcPr>
          <w:p>
            <w:pPr>
              <w:jc w:val="right"/>
              <w:spacing w:after="0" w:line="124" w:lineRule="exact"/>
              <w:rPr>
                <w:rFonts w:ascii="Arial" w:cs="Arial" w:eastAsia="Arial" w:hAnsi="Arial"/>
                <w:sz w:val="11"/>
                <w:szCs w:val="11"/>
                <w:u w:val="single" w:color="auto"/>
                <w:color w:val="0000FF"/>
              </w:rPr>
            </w:pPr>
            <w:hyperlink w:anchor="page3">
              <w:r>
                <w:rPr>
                  <w:rFonts w:ascii="Arial" w:cs="Arial" w:eastAsia="Arial" w:hAnsi="Arial"/>
                  <w:sz w:val="11"/>
                  <w:szCs w:val="11"/>
                  <w:u w:val="single" w:color="auto"/>
                  <w:color w:val="0000FF"/>
                </w:rPr>
                <w:t>4</w:t>
              </w:r>
            </w:hyperlink>
          </w:p>
        </w:tc>
        <w:tc>
          <w:tcPr>
            <w:tcW w:w="14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tcBorders>
              <w:bottom w:val="single" w:sz="8" w:color="0000FF"/>
            </w:tcBorders>
            <w:gridSpan w:val="8"/>
          </w:tcPr>
          <w:p>
            <w:pPr>
              <w:spacing w:after="0" w:line="124" w:lineRule="exact"/>
              <w:rPr>
                <w:rFonts w:ascii="Arial" w:cs="Arial" w:eastAsia="Arial" w:hAnsi="Arial"/>
                <w:sz w:val="11"/>
                <w:szCs w:val="11"/>
                <w:color w:val="0000FF"/>
                <w:w w:val="85"/>
              </w:rPr>
            </w:pPr>
            <w:hyperlink w:anchor="page4">
              <w:r>
                <w:rPr>
                  <w:rFonts w:ascii="Arial" w:cs="Arial" w:eastAsia="Arial" w:hAnsi="Arial"/>
                  <w:sz w:val="11"/>
                  <w:szCs w:val="11"/>
                  <w:color w:val="0000FF"/>
                  <w:w w:val="85"/>
                </w:rPr>
                <w:t>Consolidated Balance Sheets</w:t>
              </w:r>
            </w:hyperlink>
          </w:p>
        </w:tc>
        <w:tc>
          <w:tcPr>
            <w:tcW w:w="6140" w:type="dxa"/>
            <w:vAlign w:val="bottom"/>
            <w:gridSpan w:val="9"/>
          </w:tcPr>
          <w:p>
            <w:pPr>
              <w:spacing w:after="0"/>
              <w:rPr>
                <w:sz w:val="10"/>
                <w:szCs w:val="10"/>
                <w:color w:val="auto"/>
              </w:rPr>
            </w:pPr>
          </w:p>
        </w:tc>
        <w:tc>
          <w:tcPr>
            <w:tcW w:w="2440" w:type="dxa"/>
            <w:vAlign w:val="bottom"/>
            <w:gridSpan w:val="3"/>
          </w:tcPr>
          <w:p>
            <w:pPr>
              <w:jc w:val="right"/>
              <w:spacing w:after="0" w:line="124" w:lineRule="exact"/>
              <w:rPr>
                <w:rFonts w:ascii="Arial" w:cs="Arial" w:eastAsia="Arial" w:hAnsi="Arial"/>
                <w:sz w:val="11"/>
                <w:szCs w:val="11"/>
                <w:u w:val="single" w:color="auto"/>
                <w:color w:val="0000FF"/>
              </w:rPr>
            </w:pPr>
            <w:hyperlink w:anchor="page4">
              <w:r>
                <w:rPr>
                  <w:rFonts w:ascii="Arial" w:cs="Arial" w:eastAsia="Arial" w:hAnsi="Arial"/>
                  <w:sz w:val="11"/>
                  <w:szCs w:val="11"/>
                  <w:u w:val="single" w:color="auto"/>
                  <w:color w:val="0000FF"/>
                </w:rPr>
                <w:t>5</w:t>
              </w:r>
            </w:hyperlink>
          </w:p>
        </w:tc>
        <w:tc>
          <w:tcPr>
            <w:tcW w:w="14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0" w:type="dxa"/>
            <w:vAlign w:val="bottom"/>
            <w:gridSpan w:val="17"/>
          </w:tcPr>
          <w:p>
            <w:pPr>
              <w:spacing w:after="0" w:line="124" w:lineRule="exact"/>
              <w:rPr>
                <w:rFonts w:ascii="Arial" w:cs="Arial" w:eastAsia="Arial" w:hAnsi="Arial"/>
                <w:sz w:val="11"/>
                <w:szCs w:val="11"/>
                <w:color w:val="0000FF"/>
              </w:rPr>
            </w:pPr>
            <w:hyperlink w:anchor="page5">
              <w:r>
                <w:rPr>
                  <w:rFonts w:ascii="Arial" w:cs="Arial" w:eastAsia="Arial" w:hAnsi="Arial"/>
                  <w:sz w:val="11"/>
                  <w:szCs w:val="11"/>
                  <w:color w:val="0000FF"/>
                </w:rPr>
                <w:t>Consolidated Statements of Equity</w:t>
              </w:r>
            </w:hyperlink>
          </w:p>
        </w:tc>
        <w:tc>
          <w:tcPr>
            <w:tcW w:w="2440" w:type="dxa"/>
            <w:vAlign w:val="bottom"/>
            <w:gridSpan w:val="3"/>
          </w:tcPr>
          <w:p>
            <w:pPr>
              <w:jc w:val="right"/>
              <w:spacing w:after="0" w:line="124" w:lineRule="exact"/>
              <w:rPr>
                <w:rFonts w:ascii="Arial" w:cs="Arial" w:eastAsia="Arial" w:hAnsi="Arial"/>
                <w:sz w:val="11"/>
                <w:szCs w:val="11"/>
                <w:u w:val="single" w:color="auto"/>
                <w:color w:val="0000FF"/>
              </w:rPr>
            </w:pPr>
            <w:hyperlink w:anchor="page5">
              <w:r>
                <w:rPr>
                  <w:rFonts w:ascii="Arial" w:cs="Arial" w:eastAsia="Arial" w:hAnsi="Arial"/>
                  <w:sz w:val="11"/>
                  <w:szCs w:val="11"/>
                  <w:u w:val="single" w:color="auto"/>
                  <w:color w:val="0000FF"/>
                </w:rPr>
                <w:t>6</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0" w:type="dxa"/>
            <w:vAlign w:val="bottom"/>
            <w:gridSpan w:val="17"/>
          </w:tcPr>
          <w:p>
            <w:pPr>
              <w:spacing w:after="0" w:line="124" w:lineRule="exact"/>
              <w:rPr>
                <w:rFonts w:ascii="Arial" w:cs="Arial" w:eastAsia="Arial" w:hAnsi="Arial"/>
                <w:sz w:val="11"/>
                <w:szCs w:val="11"/>
                <w:color w:val="0000FF"/>
              </w:rPr>
            </w:pPr>
            <w:hyperlink w:anchor="page7">
              <w:r>
                <w:rPr>
                  <w:rFonts w:ascii="Arial" w:cs="Arial" w:eastAsia="Arial" w:hAnsi="Arial"/>
                  <w:sz w:val="11"/>
                  <w:szCs w:val="11"/>
                  <w:color w:val="0000FF"/>
                </w:rPr>
                <w:t>Consolidated Statements of Cash Flows</w:t>
              </w:r>
            </w:hyperlink>
          </w:p>
        </w:tc>
        <w:tc>
          <w:tcPr>
            <w:tcW w:w="2440" w:type="dxa"/>
            <w:vAlign w:val="bottom"/>
            <w:gridSpan w:val="3"/>
          </w:tcPr>
          <w:p>
            <w:pPr>
              <w:jc w:val="right"/>
              <w:spacing w:after="0" w:line="124" w:lineRule="exact"/>
              <w:rPr>
                <w:rFonts w:ascii="Arial" w:cs="Arial" w:eastAsia="Arial" w:hAnsi="Arial"/>
                <w:sz w:val="11"/>
                <w:szCs w:val="11"/>
                <w:u w:val="single" w:color="auto"/>
                <w:color w:val="0000FF"/>
              </w:rPr>
            </w:pPr>
            <w:hyperlink w:anchor="page7">
              <w:r>
                <w:rPr>
                  <w:rFonts w:ascii="Arial" w:cs="Arial" w:eastAsia="Arial" w:hAnsi="Arial"/>
                  <w:sz w:val="11"/>
                  <w:szCs w:val="11"/>
                  <w:u w:val="single" w:color="auto"/>
                  <w:color w:val="0000FF"/>
                </w:rPr>
                <w:t>8</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0" w:type="dxa"/>
            <w:vAlign w:val="bottom"/>
            <w:gridSpan w:val="17"/>
          </w:tcPr>
          <w:p>
            <w:pPr>
              <w:spacing w:after="0" w:line="124" w:lineRule="exact"/>
              <w:rPr>
                <w:rFonts w:ascii="Arial" w:cs="Arial" w:eastAsia="Arial" w:hAnsi="Arial"/>
                <w:sz w:val="11"/>
                <w:szCs w:val="11"/>
                <w:color w:val="0000FF"/>
              </w:rPr>
            </w:pPr>
            <w:hyperlink w:anchor="page8">
              <w:r>
                <w:rPr>
                  <w:rFonts w:ascii="Arial" w:cs="Arial" w:eastAsia="Arial" w:hAnsi="Arial"/>
                  <w:sz w:val="11"/>
                  <w:szCs w:val="11"/>
                  <w:color w:val="0000FF"/>
                </w:rPr>
                <w:t>Notes to Consolidated Financial Statements (Unaudited)</w:t>
              </w:r>
            </w:hyperlink>
          </w:p>
        </w:tc>
        <w:tc>
          <w:tcPr>
            <w:tcW w:w="2440" w:type="dxa"/>
            <w:vAlign w:val="bottom"/>
            <w:gridSpan w:val="3"/>
          </w:tcPr>
          <w:p>
            <w:pPr>
              <w:jc w:val="right"/>
              <w:spacing w:after="0" w:line="124" w:lineRule="exact"/>
              <w:rPr>
                <w:rFonts w:ascii="Arial" w:cs="Arial" w:eastAsia="Arial" w:hAnsi="Arial"/>
                <w:sz w:val="11"/>
                <w:szCs w:val="11"/>
                <w:u w:val="single" w:color="auto"/>
                <w:color w:val="0000FF"/>
              </w:rPr>
            </w:pPr>
            <w:hyperlink w:anchor="page8">
              <w:r>
                <w:rPr>
                  <w:rFonts w:ascii="Arial" w:cs="Arial" w:eastAsia="Arial" w:hAnsi="Arial"/>
                  <w:sz w:val="11"/>
                  <w:szCs w:val="11"/>
                  <w:u w:val="single" w:color="auto"/>
                  <w:color w:val="0000FF"/>
                </w:rPr>
                <w:t>9</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26">
              <w:r>
                <w:rPr>
                  <w:rFonts w:ascii="Arial" w:cs="Arial" w:eastAsia="Arial" w:hAnsi="Arial"/>
                  <w:sz w:val="11"/>
                  <w:szCs w:val="11"/>
                  <w:color w:val="0000FF"/>
                </w:rPr>
                <w:t>Item 2</w:t>
              </w:r>
            </w:hyperlink>
          </w:p>
        </w:tc>
        <w:tc>
          <w:tcPr>
            <w:tcW w:w="7400" w:type="dxa"/>
            <w:vAlign w:val="bottom"/>
            <w:gridSpan w:val="17"/>
          </w:tcPr>
          <w:p>
            <w:pPr>
              <w:spacing w:after="0" w:line="124" w:lineRule="exact"/>
              <w:rPr>
                <w:rFonts w:ascii="Arial" w:cs="Arial" w:eastAsia="Arial" w:hAnsi="Arial"/>
                <w:sz w:val="11"/>
                <w:szCs w:val="11"/>
                <w:color w:val="0000FF"/>
              </w:rPr>
            </w:pPr>
            <w:hyperlink w:anchor="page26">
              <w:r>
                <w:rPr>
                  <w:rFonts w:ascii="Arial" w:cs="Arial" w:eastAsia="Arial" w:hAnsi="Arial"/>
                  <w:sz w:val="11"/>
                  <w:szCs w:val="11"/>
                  <w:color w:val="0000FF"/>
                </w:rPr>
                <w:t>Management’s Discussion and Analysis of Financial Condition and Results of Operations</w:t>
              </w:r>
            </w:hyperlink>
          </w:p>
        </w:tc>
        <w:tc>
          <w:tcPr>
            <w:tcW w:w="2440" w:type="dxa"/>
            <w:vAlign w:val="bottom"/>
            <w:gridSpan w:val="3"/>
          </w:tcPr>
          <w:p>
            <w:pPr>
              <w:jc w:val="right"/>
              <w:spacing w:after="0" w:line="124" w:lineRule="exact"/>
              <w:rPr>
                <w:rFonts w:ascii="Arial" w:cs="Arial" w:eastAsia="Arial" w:hAnsi="Arial"/>
                <w:sz w:val="11"/>
                <w:szCs w:val="11"/>
                <w:color w:val="0000FF"/>
              </w:rPr>
            </w:pPr>
            <w:hyperlink w:anchor="page26">
              <w:r>
                <w:rPr>
                  <w:rFonts w:ascii="Arial" w:cs="Arial" w:eastAsia="Arial" w:hAnsi="Arial"/>
                  <w:sz w:val="11"/>
                  <w:szCs w:val="11"/>
                  <w:color w:val="0000FF"/>
                </w:rPr>
                <w:t>26</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Item 3</w:t>
              </w:r>
            </w:hyperlink>
          </w:p>
        </w:tc>
        <w:tc>
          <w:tcPr>
            <w:tcW w:w="7400" w:type="dxa"/>
            <w:vAlign w:val="bottom"/>
            <w:gridSpan w:val="17"/>
          </w:tcPr>
          <w:p>
            <w:pPr>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Quantitative and Qualitative Disclosures About Market Risk</w:t>
              </w:r>
            </w:hyperlink>
          </w:p>
        </w:tc>
        <w:tc>
          <w:tcPr>
            <w:tcW w:w="2440" w:type="dxa"/>
            <w:vAlign w:val="bottom"/>
            <w:gridSpan w:val="3"/>
          </w:tcPr>
          <w:p>
            <w:pPr>
              <w:jc w:val="right"/>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38</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478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Item 4</w:t>
              </w:r>
            </w:hyperlink>
          </w:p>
        </w:tc>
        <w:tc>
          <w:tcPr>
            <w:tcW w:w="7400" w:type="dxa"/>
            <w:vAlign w:val="bottom"/>
            <w:gridSpan w:val="17"/>
          </w:tcPr>
          <w:p>
            <w:pPr>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Controls and Procedures</w:t>
              </w:r>
            </w:hyperlink>
          </w:p>
        </w:tc>
        <w:tc>
          <w:tcPr>
            <w:tcW w:w="2440" w:type="dxa"/>
            <w:vAlign w:val="bottom"/>
            <w:gridSpan w:val="3"/>
          </w:tcPr>
          <w:p>
            <w:pPr>
              <w:jc w:val="right"/>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38</w:t>
              </w:r>
            </w:hyperlink>
          </w:p>
        </w:tc>
        <w:tc>
          <w:tcPr>
            <w:tcW w:w="14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8720" w:type="dxa"/>
            <w:vAlign w:val="bottom"/>
            <w:gridSpan w:val="23"/>
          </w:tcPr>
          <w:p>
            <w:pPr>
              <w:ind w:left="140"/>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Part II. OTHER INFORMATION</w:t>
              </w:r>
            </w:hyperlink>
          </w:p>
        </w:tc>
        <w:tc>
          <w:tcPr>
            <w:tcW w:w="2440" w:type="dxa"/>
            <w:vAlign w:val="bottom"/>
            <w:gridSpan w:val="3"/>
          </w:tcPr>
          <w:p>
            <w:pPr>
              <w:jc w:val="right"/>
              <w:spacing w:after="0" w:line="124" w:lineRule="exact"/>
              <w:rPr>
                <w:rFonts w:ascii="Arial" w:cs="Arial" w:eastAsia="Arial" w:hAnsi="Arial"/>
                <w:sz w:val="11"/>
                <w:szCs w:val="11"/>
                <w:color w:val="0000FF"/>
              </w:rPr>
            </w:pPr>
            <w:hyperlink w:anchor="page38">
              <w:r>
                <w:rPr>
                  <w:rFonts w:ascii="Arial" w:cs="Arial" w:eastAsia="Arial" w:hAnsi="Arial"/>
                  <w:sz w:val="11"/>
                  <w:szCs w:val="11"/>
                  <w:color w:val="0000FF"/>
                </w:rPr>
                <w:t>39</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Item 1</w:t>
              </w:r>
            </w:hyperlink>
          </w:p>
        </w:tc>
        <w:tc>
          <w:tcPr>
            <w:tcW w:w="7400" w:type="dxa"/>
            <w:vAlign w:val="bottom"/>
            <w:gridSpan w:val="17"/>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Legal Proceedings</w:t>
              </w:r>
            </w:hyperlink>
          </w:p>
        </w:tc>
        <w:tc>
          <w:tcPr>
            <w:tcW w:w="2440" w:type="dxa"/>
            <w:vAlign w:val="bottom"/>
            <w:gridSpan w:val="3"/>
          </w:tcPr>
          <w:p>
            <w:pPr>
              <w:jc w:val="right"/>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39</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Item 1A</w:t>
              </w:r>
            </w:hyperlink>
          </w:p>
        </w:tc>
        <w:tc>
          <w:tcPr>
            <w:tcW w:w="7400" w:type="dxa"/>
            <w:vAlign w:val="bottom"/>
            <w:gridSpan w:val="17"/>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Risk Factors</w:t>
              </w:r>
            </w:hyperlink>
          </w:p>
        </w:tc>
        <w:tc>
          <w:tcPr>
            <w:tcW w:w="2440" w:type="dxa"/>
            <w:vAlign w:val="bottom"/>
            <w:gridSpan w:val="3"/>
          </w:tcPr>
          <w:p>
            <w:pPr>
              <w:jc w:val="right"/>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39</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gridSpan w:val="2"/>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Item 2</w:t>
              </w:r>
            </w:hyperlink>
          </w:p>
        </w:tc>
        <w:tc>
          <w:tcPr>
            <w:tcW w:w="700" w:type="dxa"/>
            <w:vAlign w:val="bottom"/>
            <w:gridSpan w:val="2"/>
          </w:tcPr>
          <w:p>
            <w:pPr>
              <w:spacing w:after="0"/>
              <w:rPr>
                <w:sz w:val="10"/>
                <w:szCs w:val="10"/>
                <w:color w:val="auto"/>
              </w:rPr>
            </w:pPr>
          </w:p>
        </w:tc>
        <w:tc>
          <w:tcPr>
            <w:tcW w:w="7400" w:type="dxa"/>
            <w:vAlign w:val="bottom"/>
            <w:gridSpan w:val="17"/>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Unregistered Sales of Equity Securities and Use of Proceeds</w:t>
              </w:r>
            </w:hyperlink>
          </w:p>
        </w:tc>
        <w:tc>
          <w:tcPr>
            <w:tcW w:w="2440" w:type="dxa"/>
            <w:vAlign w:val="bottom"/>
            <w:gridSpan w:val="3"/>
          </w:tcPr>
          <w:p>
            <w:pPr>
              <w:jc w:val="right"/>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39</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60" w:type="dxa"/>
            <w:vAlign w:val="bottom"/>
            <w:gridSpan w:val="12"/>
            <w:shd w:val="clear" w:color="auto" w:fill="0000FF"/>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Item 4</w:t>
              </w:r>
            </w:hyperlink>
          </w:p>
        </w:tc>
        <w:tc>
          <w:tcPr>
            <w:tcW w:w="7400" w:type="dxa"/>
            <w:vAlign w:val="bottom"/>
            <w:gridSpan w:val="17"/>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Mine Safety Disclosures</w:t>
              </w:r>
            </w:hyperlink>
          </w:p>
        </w:tc>
        <w:tc>
          <w:tcPr>
            <w:tcW w:w="2440" w:type="dxa"/>
            <w:vAlign w:val="bottom"/>
            <w:gridSpan w:val="3"/>
          </w:tcPr>
          <w:p>
            <w:pPr>
              <w:jc w:val="right"/>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39</w:t>
              </w:r>
            </w:hyperlink>
          </w:p>
        </w:tc>
        <w:tc>
          <w:tcPr>
            <w:tcW w:w="14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Item 6</w:t>
              </w:r>
            </w:hyperlink>
          </w:p>
        </w:tc>
        <w:tc>
          <w:tcPr>
            <w:tcW w:w="7400" w:type="dxa"/>
            <w:vAlign w:val="bottom"/>
            <w:gridSpan w:val="17"/>
          </w:tcPr>
          <w:p>
            <w:pPr>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Exhibits</w:t>
              </w:r>
            </w:hyperlink>
          </w:p>
        </w:tc>
        <w:tc>
          <w:tcPr>
            <w:tcW w:w="2440" w:type="dxa"/>
            <w:vAlign w:val="bottom"/>
            <w:gridSpan w:val="3"/>
          </w:tcPr>
          <w:p>
            <w:pPr>
              <w:jc w:val="right"/>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39</w:t>
              </w:r>
            </w:hyperlink>
          </w:p>
        </w:tc>
        <w:tc>
          <w:tcPr>
            <w:tcW w:w="140" w:type="dxa"/>
            <w:vAlign w:val="bottom"/>
          </w:tcPr>
          <w:p>
            <w:pPr>
              <w:spacing w:after="0"/>
              <w:rPr>
                <w:sz w:val="10"/>
                <w:szCs w:val="10"/>
                <w:color w:val="auto"/>
              </w:rPr>
            </w:pPr>
          </w:p>
        </w:tc>
      </w:tr>
      <w:tr>
        <w:trPr>
          <w:trHeight w:val="20"/>
        </w:trPr>
        <w:tc>
          <w:tcPr>
            <w:tcW w:w="26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1320" w:type="dxa"/>
            <w:vAlign w:val="bottom"/>
            <w:gridSpan w:val="6"/>
          </w:tcPr>
          <w:p>
            <w:pPr>
              <w:ind w:left="140"/>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SIGNATURES</w:t>
              </w:r>
            </w:hyperlink>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440" w:type="dxa"/>
            <w:vAlign w:val="bottom"/>
            <w:gridSpan w:val="3"/>
          </w:tcPr>
          <w:p>
            <w:pPr>
              <w:jc w:val="right"/>
              <w:spacing w:after="0" w:line="124" w:lineRule="exact"/>
              <w:rPr>
                <w:rFonts w:ascii="Arial" w:cs="Arial" w:eastAsia="Arial" w:hAnsi="Arial"/>
                <w:sz w:val="11"/>
                <w:szCs w:val="11"/>
                <w:color w:val="0000FF"/>
              </w:rPr>
            </w:pPr>
            <w:hyperlink w:anchor="page39">
              <w:r>
                <w:rPr>
                  <w:rFonts w:ascii="Arial" w:cs="Arial" w:eastAsia="Arial" w:hAnsi="Arial"/>
                  <w:sz w:val="11"/>
                  <w:szCs w:val="11"/>
                  <w:color w:val="0000FF"/>
                </w:rPr>
                <w:t>40</w:t>
              </w:r>
            </w:hyperlink>
          </w:p>
        </w:tc>
        <w:tc>
          <w:tcPr>
            <w:tcW w:w="140" w:type="dxa"/>
            <w:vAlign w:val="bottom"/>
          </w:tcPr>
          <w:p>
            <w:pPr>
              <w:spacing w:after="0"/>
              <w:rPr>
                <w:sz w:val="10"/>
                <w:szCs w:val="10"/>
                <w:color w:val="auto"/>
              </w:rPr>
            </w:pPr>
          </w:p>
        </w:tc>
      </w:tr>
      <w:tr>
        <w:trPr>
          <w:trHeight w:val="707"/>
        </w:trPr>
        <w:tc>
          <w:tcPr>
            <w:tcW w:w="1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7400" w:type="dxa"/>
            <w:vAlign w:val="bottom"/>
            <w:gridSpan w:val="17"/>
          </w:tcPr>
          <w:p>
            <w:pPr>
              <w:jc w:val="center"/>
              <w:ind w:left="1206"/>
              <w:spacing w:after="0"/>
              <w:rPr>
                <w:sz w:val="20"/>
                <w:szCs w:val="20"/>
                <w:color w:val="auto"/>
              </w:rPr>
            </w:pPr>
            <w:r>
              <w:rPr>
                <w:rFonts w:ascii="Arial" w:cs="Arial" w:eastAsia="Arial" w:hAnsi="Arial"/>
                <w:sz w:val="11"/>
                <w:szCs w:val="11"/>
                <w:color w:val="auto"/>
                <w:w w:val="97"/>
              </w:rPr>
              <w:t>2</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r>
      <w:tr>
        <w:trPr>
          <w:trHeight w:val="67"/>
        </w:trPr>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3520" w:type="dxa"/>
            <w:vAlign w:val="bottom"/>
            <w:tcBorders>
              <w:bottom w:val="single" w:sz="8" w:color="9A9A9A"/>
            </w:tcBorders>
          </w:tcPr>
          <w:p>
            <w:pPr>
              <w:spacing w:after="0"/>
              <w:rPr>
                <w:sz w:val="5"/>
                <w:szCs w:val="5"/>
                <w:color w:val="auto"/>
              </w:rPr>
            </w:pPr>
          </w:p>
        </w:tc>
        <w:tc>
          <w:tcPr>
            <w:tcW w:w="22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0"/>
        </w:trPr>
        <w:tc>
          <w:tcPr>
            <w:tcW w:w="440" w:type="dxa"/>
            <w:vAlign w:val="bottom"/>
          </w:tcPr>
          <w:p>
            <w:pPr>
              <w:spacing w:after="0"/>
              <w:rPr>
                <w:sz w:val="20"/>
                <w:szCs w:val="20"/>
                <w:color w:val="auto"/>
              </w:rPr>
            </w:pPr>
            <w:r>
              <w:rPr>
                <w:rFonts w:ascii="Arial" w:cs="Arial" w:eastAsia="Arial" w:hAnsi="Arial"/>
                <w:sz w:val="11"/>
                <w:szCs w:val="11"/>
                <w:b w:val="1"/>
                <w:bCs w:val="1"/>
                <w:color w:val="auto"/>
              </w:rPr>
              <w:t>PART I.</w:t>
            </w:r>
          </w:p>
        </w:tc>
        <w:tc>
          <w:tcPr>
            <w:tcW w:w="3020" w:type="dxa"/>
            <w:vAlign w:val="bottom"/>
          </w:tcPr>
          <w:p>
            <w:pPr>
              <w:ind w:left="60"/>
              <w:spacing w:after="0"/>
              <w:rPr>
                <w:sz w:val="20"/>
                <w:szCs w:val="20"/>
                <w:color w:val="auto"/>
              </w:rPr>
            </w:pPr>
            <w:r>
              <w:rPr>
                <w:rFonts w:ascii="Arial" w:cs="Arial" w:eastAsia="Arial" w:hAnsi="Arial"/>
                <w:sz w:val="11"/>
                <w:szCs w:val="11"/>
                <w:b w:val="1"/>
                <w:bCs w:val="1"/>
                <w:color w:val="auto"/>
              </w:rPr>
              <w:t>FINANCIAL INFORMATION</w:t>
            </w: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07"/>
        </w:trPr>
        <w:tc>
          <w:tcPr>
            <w:tcW w:w="440" w:type="dxa"/>
            <w:vAlign w:val="bottom"/>
          </w:tcPr>
          <w:p>
            <w:pPr>
              <w:spacing w:after="0"/>
              <w:rPr>
                <w:sz w:val="20"/>
                <w:szCs w:val="20"/>
                <w:color w:val="auto"/>
              </w:rPr>
            </w:pPr>
            <w:r>
              <w:rPr>
                <w:rFonts w:ascii="Arial" w:cs="Arial" w:eastAsia="Arial" w:hAnsi="Arial"/>
                <w:sz w:val="11"/>
                <w:szCs w:val="11"/>
                <w:b w:val="1"/>
                <w:bCs w:val="1"/>
                <w:color w:val="auto"/>
              </w:rPr>
              <w:t>ITEM 1.</w:t>
            </w:r>
          </w:p>
        </w:tc>
        <w:tc>
          <w:tcPr>
            <w:tcW w:w="3020" w:type="dxa"/>
            <w:vAlign w:val="bottom"/>
          </w:tcPr>
          <w:p>
            <w:pPr>
              <w:ind w:left="80"/>
              <w:spacing w:after="0"/>
              <w:rPr>
                <w:sz w:val="20"/>
                <w:szCs w:val="20"/>
                <w:color w:val="auto"/>
              </w:rPr>
            </w:pPr>
            <w:r>
              <w:rPr>
                <w:rFonts w:ascii="Arial" w:cs="Arial" w:eastAsia="Arial" w:hAnsi="Arial"/>
                <w:sz w:val="11"/>
                <w:szCs w:val="11"/>
                <w:b w:val="1"/>
                <w:bCs w:val="1"/>
                <w:color w:val="auto"/>
              </w:rPr>
              <w:t>FINANCIAL STATEMENTS</w:t>
            </w: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7"/>
        </w:trPr>
        <w:tc>
          <w:tcPr>
            <w:tcW w:w="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500" w:type="dxa"/>
            <w:vAlign w:val="bottom"/>
            <w:gridSpan w:val="2"/>
          </w:tcPr>
          <w:p>
            <w:pPr>
              <w:jc w:val="center"/>
              <w:ind w:left="826"/>
              <w:spacing w:after="0"/>
              <w:rPr>
                <w:sz w:val="20"/>
                <w:szCs w:val="20"/>
                <w:color w:val="auto"/>
              </w:rPr>
            </w:pPr>
            <w:r>
              <w:rPr>
                <w:rFonts w:ascii="Arial" w:cs="Arial" w:eastAsia="Arial" w:hAnsi="Arial"/>
                <w:sz w:val="11"/>
                <w:szCs w:val="11"/>
                <w:b w:val="1"/>
                <w:bCs w:val="1"/>
                <w:color w:val="auto"/>
                <w:w w:val="99"/>
              </w:rPr>
              <w:t>MASTEC, INC.</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6"/>
        </w:trPr>
        <w:tc>
          <w:tcPr>
            <w:tcW w:w="4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500" w:type="dxa"/>
            <w:vAlign w:val="bottom"/>
            <w:gridSpan w:val="2"/>
          </w:tcPr>
          <w:p>
            <w:pPr>
              <w:jc w:val="center"/>
              <w:ind w:left="826"/>
              <w:spacing w:after="0"/>
              <w:rPr>
                <w:sz w:val="20"/>
                <w:szCs w:val="20"/>
                <w:color w:val="auto"/>
              </w:rPr>
            </w:pPr>
            <w:r>
              <w:rPr>
                <w:rFonts w:ascii="Arial" w:cs="Arial" w:eastAsia="Arial" w:hAnsi="Arial"/>
                <w:sz w:val="11"/>
                <w:szCs w:val="11"/>
                <w:b w:val="1"/>
                <w:bCs w:val="1"/>
                <w:color w:val="auto"/>
                <w:w w:val="97"/>
              </w:rPr>
              <w:t>CONSOLIDATED STATEMENTS OF OPERATIONS</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0"/>
        </w:trPr>
        <w:tc>
          <w:tcPr>
            <w:tcW w:w="4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500" w:type="dxa"/>
            <w:vAlign w:val="bottom"/>
            <w:gridSpan w:val="2"/>
          </w:tcPr>
          <w:p>
            <w:pPr>
              <w:jc w:val="center"/>
              <w:ind w:left="826"/>
              <w:spacing w:after="0"/>
              <w:rPr>
                <w:sz w:val="20"/>
                <w:szCs w:val="20"/>
                <w:color w:val="auto"/>
              </w:rPr>
            </w:pPr>
            <w:r>
              <w:rPr>
                <w:rFonts w:ascii="Arial" w:cs="Arial" w:eastAsia="Arial" w:hAnsi="Arial"/>
                <w:sz w:val="11"/>
                <w:szCs w:val="11"/>
                <w:b w:val="1"/>
                <w:bCs w:val="1"/>
                <w:color w:val="auto"/>
                <w:w w:val="87"/>
              </w:rPr>
              <w:t>(unaudited - in thousands, except per share amounts)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5"/>
        </w:trPr>
        <w:tc>
          <w:tcPr>
            <w:tcW w:w="4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5"/>
          </w:tcPr>
          <w:p>
            <w:pPr>
              <w:ind w:left="40"/>
              <w:spacing w:after="0"/>
              <w:rPr>
                <w:sz w:val="20"/>
                <w:szCs w:val="20"/>
                <w:color w:val="auto"/>
              </w:rPr>
            </w:pPr>
            <w:r>
              <w:rPr>
                <w:rFonts w:ascii="Arial" w:cs="Arial" w:eastAsia="Arial" w:hAnsi="Arial"/>
                <w:sz w:val="11"/>
                <w:szCs w:val="11"/>
                <w:b w:val="1"/>
                <w:bCs w:val="1"/>
                <w:color w:val="auto"/>
              </w:rPr>
              <w:t>For the Three Months Ended June 30,</w:t>
            </w:r>
          </w:p>
        </w:tc>
        <w:tc>
          <w:tcPr>
            <w:tcW w:w="180" w:type="dxa"/>
            <w:vAlign w:val="bottom"/>
          </w:tcPr>
          <w:p>
            <w:pPr>
              <w:spacing w:after="0"/>
              <w:rPr>
                <w:sz w:val="13"/>
                <w:szCs w:val="13"/>
                <w:color w:val="auto"/>
              </w:rPr>
            </w:pPr>
          </w:p>
        </w:tc>
        <w:tc>
          <w:tcPr>
            <w:tcW w:w="204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w w:val="94"/>
              </w:rPr>
              <w:t>For the Six Months Ended June 30,</w:t>
            </w:r>
          </w:p>
        </w:tc>
      </w:tr>
      <w:tr>
        <w:trPr>
          <w:trHeight w:val="133"/>
        </w:trPr>
        <w:tc>
          <w:tcPr>
            <w:tcW w:w="440" w:type="dxa"/>
            <w:vAlign w:val="bottom"/>
            <w:tcBorders>
              <w:bottom w:val="single" w:sz="8" w:color="CCEEFF"/>
            </w:tcBorders>
          </w:tcPr>
          <w:p>
            <w:pPr>
              <w:spacing w:after="0"/>
              <w:rPr>
                <w:sz w:val="11"/>
                <w:szCs w:val="11"/>
                <w:color w:val="auto"/>
              </w:rPr>
            </w:pPr>
          </w:p>
        </w:tc>
        <w:tc>
          <w:tcPr>
            <w:tcW w:w="3020" w:type="dxa"/>
            <w:vAlign w:val="bottom"/>
            <w:tcBorders>
              <w:bottom w:val="single" w:sz="8" w:color="CCEEFF"/>
            </w:tcBorders>
          </w:tcPr>
          <w:p>
            <w:pPr>
              <w:spacing w:after="0"/>
              <w:rPr>
                <w:sz w:val="11"/>
                <w:szCs w:val="11"/>
                <w:color w:val="auto"/>
              </w:rPr>
            </w:pPr>
          </w:p>
        </w:tc>
        <w:tc>
          <w:tcPr>
            <w:tcW w:w="33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35"/>
        </w:trPr>
        <w:tc>
          <w:tcPr>
            <w:tcW w:w="440" w:type="dxa"/>
            <w:vAlign w:val="bottom"/>
            <w:shd w:val="clear" w:color="auto" w:fill="CCEEFF"/>
          </w:tcPr>
          <w:p>
            <w:pPr>
              <w:spacing w:after="0"/>
              <w:rPr>
                <w:sz w:val="20"/>
                <w:szCs w:val="20"/>
                <w:color w:val="auto"/>
              </w:rPr>
            </w:pPr>
            <w:r>
              <w:rPr>
                <w:rFonts w:ascii="Arial" w:cs="Arial" w:eastAsia="Arial" w:hAnsi="Arial"/>
                <w:sz w:val="11"/>
                <w:szCs w:val="11"/>
                <w:color w:val="auto"/>
                <w:w w:val="95"/>
              </w:rPr>
              <w:t>Revenue</w:t>
            </w:r>
          </w:p>
        </w:tc>
        <w:tc>
          <w:tcPr>
            <w:tcW w:w="3020" w:type="dxa"/>
            <w:vAlign w:val="bottom"/>
            <w:shd w:val="clear" w:color="auto" w:fill="CCEEFF"/>
          </w:tcPr>
          <w:p>
            <w:pPr>
              <w:spacing w:after="0"/>
              <w:rPr>
                <w:sz w:val="11"/>
                <w:szCs w:val="11"/>
                <w:color w:val="auto"/>
              </w:rPr>
            </w:pP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1,962,658</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1,569,297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3,738,082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2,985,901</w:t>
            </w:r>
          </w:p>
        </w:tc>
      </w:tr>
      <w:tr>
        <w:trPr>
          <w:trHeight w:val="142"/>
        </w:trPr>
        <w:tc>
          <w:tcPr>
            <w:tcW w:w="3460" w:type="dxa"/>
            <w:vAlign w:val="bottom"/>
            <w:gridSpan w:val="2"/>
          </w:tcPr>
          <w:p>
            <w:pPr>
              <w:spacing w:after="0"/>
              <w:rPr>
                <w:sz w:val="20"/>
                <w:szCs w:val="20"/>
                <w:color w:val="auto"/>
              </w:rPr>
            </w:pPr>
            <w:r>
              <w:rPr>
                <w:rFonts w:ascii="Arial" w:cs="Arial" w:eastAsia="Arial" w:hAnsi="Arial"/>
                <w:sz w:val="11"/>
                <w:szCs w:val="11"/>
                <w:color w:val="auto"/>
              </w:rPr>
              <w:t>Costs of revenue, excluding depreciation and amortization</w:t>
            </w: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1,675,232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1,341,825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3,189,091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2,568,122</w:t>
            </w:r>
          </w:p>
        </w:tc>
      </w:tr>
      <w:tr>
        <w:trPr>
          <w:trHeight w:val="14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w:t>
            </w:r>
          </w:p>
        </w:tc>
        <w:tc>
          <w:tcPr>
            <w:tcW w:w="3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87,501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57,687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166,766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110,776</w:t>
            </w:r>
          </w:p>
        </w:tc>
      </w:tr>
      <w:tr>
        <w:trPr>
          <w:trHeight w:val="142"/>
        </w:trPr>
        <w:tc>
          <w:tcPr>
            <w:tcW w:w="3460" w:type="dxa"/>
            <w:vAlign w:val="bottom"/>
            <w:gridSpan w:val="2"/>
          </w:tcPr>
          <w:p>
            <w:pPr>
              <w:spacing w:after="0"/>
              <w:rPr>
                <w:sz w:val="20"/>
                <w:szCs w:val="20"/>
                <w:color w:val="auto"/>
              </w:rPr>
            </w:pPr>
            <w:r>
              <w:rPr>
                <w:rFonts w:ascii="Arial" w:cs="Arial" w:eastAsia="Arial" w:hAnsi="Arial"/>
                <w:sz w:val="11"/>
                <w:szCs w:val="11"/>
                <w:color w:val="auto"/>
              </w:rPr>
              <w:t>Amortization of intangible assets</w:t>
            </w: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19,923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9,793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31,170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17,184</w:t>
            </w:r>
          </w:p>
        </w:tc>
      </w:tr>
      <w:tr>
        <w:trPr>
          <w:trHeight w:val="14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General and administrative expenses</w:t>
            </w:r>
          </w:p>
        </w:tc>
        <w:tc>
          <w:tcPr>
            <w:tcW w:w="3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84,960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84,959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158,068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170,473</w:t>
            </w:r>
          </w:p>
        </w:tc>
      </w:tr>
      <w:tr>
        <w:trPr>
          <w:trHeight w:val="142"/>
        </w:trPr>
        <w:tc>
          <w:tcPr>
            <w:tcW w:w="3460" w:type="dxa"/>
            <w:vAlign w:val="bottom"/>
            <w:gridSpan w:val="2"/>
          </w:tcPr>
          <w:p>
            <w:pPr>
              <w:spacing w:after="0"/>
              <w:rPr>
                <w:sz w:val="20"/>
                <w:szCs w:val="20"/>
                <w:color w:val="auto"/>
              </w:rPr>
            </w:pPr>
            <w:r>
              <w:rPr>
                <w:rFonts w:ascii="Arial" w:cs="Arial" w:eastAsia="Arial" w:hAnsi="Arial"/>
                <w:sz w:val="11"/>
                <w:szCs w:val="11"/>
                <w:color w:val="auto"/>
              </w:rPr>
              <w:t>Interest expense, net</w:t>
            </w: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13,829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14,808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26,288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31,812</w:t>
            </w:r>
          </w:p>
        </w:tc>
      </w:tr>
      <w:tr>
        <w:trPr>
          <w:trHeight w:val="146"/>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Equity in earnings of unconsolidated affiliates, net</w:t>
            </w:r>
          </w:p>
        </w:tc>
        <w:tc>
          <w:tcPr>
            <w:tcW w:w="3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(6,813)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(14,871)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(14,647)</w:t>
            </w:r>
          </w:p>
        </w:tc>
      </w:tr>
      <w:tr>
        <w:trPr>
          <w:trHeight w:val="142"/>
        </w:trPr>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income, net</w:t>
            </w:r>
          </w:p>
        </w:tc>
        <w:tc>
          <w:tcPr>
            <w:tcW w:w="3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(14,089)</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(10,527)</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(16,686)</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(11,869)</w:t>
            </w:r>
          </w:p>
        </w:tc>
      </w:tr>
      <w:tr>
        <w:trPr>
          <w:trHeight w:val="135"/>
        </w:trPr>
        <w:tc>
          <w:tcPr>
            <w:tcW w:w="34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Income before income taxes</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102,827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77,565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198,256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114,050</w:t>
            </w:r>
          </w:p>
        </w:tc>
      </w:tr>
      <w:tr>
        <w:trPr>
          <w:trHeight w:val="142"/>
        </w:trPr>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Provision for income taxes</w:t>
            </w:r>
          </w:p>
        </w:tc>
        <w:tc>
          <w:tcPr>
            <w:tcW w:w="3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(27,062)</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(20,738)</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(56,379)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(21,161)</w:t>
            </w:r>
          </w:p>
        </w:tc>
      </w:tr>
      <w:tr>
        <w:trPr>
          <w:trHeight w:val="135"/>
        </w:trPr>
        <w:tc>
          <w:tcPr>
            <w:tcW w:w="34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Net income</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75,765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56,827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141,877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92,889</w:t>
            </w:r>
          </w:p>
        </w:tc>
      </w:tr>
      <w:tr>
        <w:trPr>
          <w:trHeight w:val="131"/>
        </w:trPr>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Net income (loss) attributable to non-controlling interests</w:t>
            </w:r>
          </w:p>
        </w:tc>
        <w:tc>
          <w:tcPr>
            <w:tcW w:w="33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314</w:t>
            </w:r>
          </w:p>
        </w:tc>
        <w:tc>
          <w:tcPr>
            <w:tcW w:w="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777</w:t>
            </w:r>
          </w:p>
        </w:tc>
        <w:tc>
          <w:tcPr>
            <w:tcW w:w="10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(346)</w:t>
            </w:r>
          </w:p>
        </w:tc>
      </w:tr>
      <w:tr>
        <w:trPr>
          <w:trHeight w:val="133"/>
        </w:trPr>
        <w:tc>
          <w:tcPr>
            <w:tcW w:w="34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Net income attributable to MasTec, Inc.</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75,451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57,005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141,100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93,235</w:t>
            </w:r>
          </w:p>
        </w:tc>
      </w:tr>
      <w:tr>
        <w:trPr>
          <w:trHeight w:val="153"/>
        </w:trPr>
        <w:tc>
          <w:tcPr>
            <w:tcW w:w="4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44"/>
        </w:trPr>
        <w:tc>
          <w:tcPr>
            <w:tcW w:w="3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Earnings per share (Note 2):</w:t>
            </w:r>
          </w:p>
        </w:tc>
        <w:tc>
          <w:tcPr>
            <w:tcW w:w="3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2"/>
        </w:trPr>
        <w:tc>
          <w:tcPr>
            <w:tcW w:w="3460" w:type="dxa"/>
            <w:vAlign w:val="bottom"/>
            <w:gridSpan w:val="2"/>
          </w:tcPr>
          <w:p>
            <w:pPr>
              <w:ind w:left="80"/>
              <w:spacing w:after="0"/>
              <w:rPr>
                <w:sz w:val="20"/>
                <w:szCs w:val="20"/>
                <w:color w:val="auto"/>
              </w:rPr>
            </w:pPr>
            <w:r>
              <w:rPr>
                <w:rFonts w:ascii="Arial" w:cs="Arial" w:eastAsia="Arial" w:hAnsi="Arial"/>
                <w:sz w:val="11"/>
                <w:szCs w:val="11"/>
                <w:color w:val="auto"/>
              </w:rPr>
              <w:t>Basic earnings per share</w:t>
            </w:r>
          </w:p>
        </w:tc>
        <w:tc>
          <w:tcPr>
            <w:tcW w:w="3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1.04</w:t>
            </w:r>
          </w:p>
        </w:tc>
        <w:tc>
          <w:tcPr>
            <w:tcW w:w="8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0.79</w:t>
            </w:r>
          </w:p>
        </w:tc>
        <w:tc>
          <w:tcPr>
            <w:tcW w:w="10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1.95</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1.27</w:t>
            </w:r>
          </w:p>
        </w:tc>
      </w:tr>
      <w:tr>
        <w:trPr>
          <w:trHeight w:val="133"/>
        </w:trPr>
        <w:tc>
          <w:tcPr>
            <w:tcW w:w="346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Basic weighted average common shares outstanding</w:t>
            </w:r>
          </w:p>
        </w:tc>
        <w:tc>
          <w:tcPr>
            <w:tcW w:w="33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72,501</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72,045</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72,470</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73,392</w:t>
            </w:r>
          </w:p>
        </w:tc>
      </w:tr>
      <w:tr>
        <w:trPr>
          <w:trHeight w:val="90"/>
        </w:trPr>
        <w:tc>
          <w:tcPr>
            <w:tcW w:w="4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44"/>
        </w:trPr>
        <w:tc>
          <w:tcPr>
            <w:tcW w:w="34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Diluted earnings per share</w:t>
            </w:r>
          </w:p>
        </w:tc>
        <w:tc>
          <w:tcPr>
            <w:tcW w:w="3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w:t>
            </w:r>
          </w:p>
        </w:tc>
      </w:tr>
      <w:tr>
        <w:trPr>
          <w:trHeight w:val="131"/>
        </w:trPr>
        <w:tc>
          <w:tcPr>
            <w:tcW w:w="3460" w:type="dxa"/>
            <w:vAlign w:val="bottom"/>
            <w:gridSpan w:val="2"/>
          </w:tcPr>
          <w:p>
            <w:pPr>
              <w:ind w:left="80"/>
              <w:spacing w:after="0"/>
              <w:rPr>
                <w:sz w:val="20"/>
                <w:szCs w:val="20"/>
                <w:color w:val="auto"/>
              </w:rPr>
            </w:pPr>
            <w:r>
              <w:rPr>
                <w:rFonts w:ascii="Arial" w:cs="Arial" w:eastAsia="Arial" w:hAnsi="Arial"/>
                <w:sz w:val="11"/>
                <w:szCs w:val="11"/>
                <w:color w:val="auto"/>
              </w:rPr>
              <w:t>Diluted weighted average common shares outstanding</w:t>
            </w:r>
          </w:p>
        </w:tc>
        <w:tc>
          <w:tcPr>
            <w:tcW w:w="330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73,976</w:t>
            </w:r>
          </w:p>
        </w:tc>
        <w:tc>
          <w:tcPr>
            <w:tcW w:w="8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72,777</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73,913</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74,135</w:t>
            </w:r>
          </w:p>
        </w:tc>
      </w:tr>
    </w:tbl>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3" w:right="2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CONSOLIDATED STATEMENTS OF COMPREHENSIVE INCOME</w:t>
      </w:r>
    </w:p>
    <w:p>
      <w:pPr>
        <w:jc w:val="center"/>
        <w:ind w:right="20"/>
        <w:spacing w:after="0"/>
        <w:rPr>
          <w:sz w:val="20"/>
          <w:szCs w:val="20"/>
          <w:color w:val="auto"/>
        </w:rPr>
      </w:pPr>
      <w:r>
        <w:rPr>
          <w:rFonts w:ascii="Arial" w:cs="Arial" w:eastAsia="Arial" w:hAnsi="Arial"/>
          <w:sz w:val="11"/>
          <w:szCs w:val="11"/>
          <w:b w:val="1"/>
          <w:bCs w:val="1"/>
          <w:color w:val="auto"/>
        </w:rPr>
        <w:t>(unaudited -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60" w:type="dxa"/>
            <w:vAlign w:val="bottom"/>
          </w:tcPr>
          <w:p>
            <w:pPr>
              <w:spacing w:after="0"/>
              <w:rPr>
                <w:sz w:val="12"/>
                <w:szCs w:val="12"/>
                <w:color w:val="auto"/>
              </w:rPr>
            </w:pPr>
          </w:p>
        </w:tc>
        <w:tc>
          <w:tcPr>
            <w:tcW w:w="2320" w:type="dxa"/>
            <w:vAlign w:val="bottom"/>
            <w:gridSpan w:val="6"/>
          </w:tcPr>
          <w:p>
            <w:pPr>
              <w:ind w:left="240"/>
              <w:spacing w:after="0"/>
              <w:rPr>
                <w:sz w:val="20"/>
                <w:szCs w:val="20"/>
                <w:color w:val="auto"/>
              </w:rPr>
            </w:pPr>
            <w:r>
              <w:rPr>
                <w:rFonts w:ascii="Arial" w:cs="Arial" w:eastAsia="Arial" w:hAnsi="Arial"/>
                <w:sz w:val="11"/>
                <w:szCs w:val="11"/>
                <w:b w:val="1"/>
                <w:bCs w:val="1"/>
                <w:color w:val="auto"/>
              </w:rPr>
              <w:t>For the Three Months Ended June 30,</w:t>
            </w:r>
          </w:p>
        </w:tc>
        <w:tc>
          <w:tcPr>
            <w:tcW w:w="180" w:type="dxa"/>
            <w:vAlign w:val="bottom"/>
          </w:tcPr>
          <w:p>
            <w:pPr>
              <w:spacing w:after="0"/>
              <w:rPr>
                <w:sz w:val="12"/>
                <w:szCs w:val="12"/>
                <w:color w:val="auto"/>
              </w:rPr>
            </w:pPr>
          </w:p>
        </w:tc>
        <w:tc>
          <w:tcPr>
            <w:tcW w:w="204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w w:val="94"/>
              </w:rPr>
              <w:t>For the Six Months Ended June 30,</w:t>
            </w:r>
          </w:p>
        </w:tc>
      </w:tr>
      <w:tr>
        <w:trPr>
          <w:trHeight w:val="133"/>
        </w:trPr>
        <w:tc>
          <w:tcPr>
            <w:tcW w:w="676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35"/>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680" w:type="dxa"/>
            <w:vAlign w:val="bottom"/>
            <w:shd w:val="clear" w:color="auto" w:fill="CCEEFF"/>
          </w:tcPr>
          <w:p>
            <w:pPr>
              <w:jc w:val="right"/>
              <w:ind w:right="54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4"/>
              </w:rPr>
              <w:t>75,765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56,827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141,877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92,889</w:t>
            </w:r>
          </w:p>
        </w:tc>
      </w:tr>
      <w:tr>
        <w:trPr>
          <w:trHeight w:val="142"/>
        </w:trPr>
        <w:tc>
          <w:tcPr>
            <w:tcW w:w="6760" w:type="dxa"/>
            <w:vAlign w:val="bottom"/>
          </w:tcPr>
          <w:p>
            <w:pPr>
              <w:spacing w:after="0"/>
              <w:rPr>
                <w:sz w:val="20"/>
                <w:szCs w:val="20"/>
                <w:color w:val="auto"/>
              </w:rPr>
            </w:pPr>
            <w:r>
              <w:rPr>
                <w:rFonts w:ascii="Arial" w:cs="Arial" w:eastAsia="Arial" w:hAnsi="Arial"/>
                <w:sz w:val="11"/>
                <w:szCs w:val="11"/>
                <w:color w:val="auto"/>
              </w:rPr>
              <w:t>Other comprehensive (loss) income:</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67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Foreign currency translation gains (losses), net of tax</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(1,137)</w:t>
            </w:r>
          </w:p>
        </w:tc>
      </w:tr>
      <w:tr>
        <w:trPr>
          <w:trHeight w:val="142"/>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Unrealized (losses) gains on investment activity, net of tax</w:t>
            </w:r>
          </w:p>
        </w:tc>
        <w:tc>
          <w:tcPr>
            <w:tcW w:w="6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(1,325)</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10,374</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(24,286)</w:t>
            </w:r>
          </w:p>
        </w:tc>
      </w:tr>
      <w:tr>
        <w:trPr>
          <w:trHeight w:val="135"/>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Comprehensive income</w:t>
            </w:r>
          </w:p>
        </w:tc>
        <w:tc>
          <w:tcPr>
            <w:tcW w:w="680" w:type="dxa"/>
            <w:vAlign w:val="bottom"/>
            <w:tcBorders>
              <w:bottom w:val="single" w:sz="8" w:color="auto"/>
            </w:tcBorders>
            <w:shd w:val="clear" w:color="auto" w:fill="CCEEFF"/>
          </w:tcPr>
          <w:p>
            <w:pPr>
              <w:jc w:val="right"/>
              <w:ind w:right="546"/>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73,143</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54,662</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153,465</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67,466</w:t>
            </w:r>
          </w:p>
        </w:tc>
      </w:tr>
      <w:tr>
        <w:trPr>
          <w:trHeight w:val="131"/>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Comprehensive income (loss) attributable to non-controlling interests</w:t>
            </w:r>
          </w:p>
        </w:tc>
        <w:tc>
          <w:tcPr>
            <w:tcW w:w="6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314</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777</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w:t>
            </w:r>
          </w:p>
        </w:tc>
      </w:tr>
      <w:tr>
        <w:trPr>
          <w:trHeight w:val="133"/>
        </w:trPr>
        <w:tc>
          <w:tcPr>
            <w:tcW w:w="67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Comprehensive income attributable to MasTec, Inc.</w:t>
            </w:r>
          </w:p>
        </w:tc>
        <w:tc>
          <w:tcPr>
            <w:tcW w:w="680" w:type="dxa"/>
            <w:vAlign w:val="bottom"/>
            <w:tcBorders>
              <w:bottom w:val="single" w:sz="8" w:color="auto"/>
            </w:tcBorders>
            <w:shd w:val="clear" w:color="auto" w:fill="CCEEFF"/>
          </w:tcPr>
          <w:p>
            <w:pPr>
              <w:jc w:val="right"/>
              <w:ind w:right="546"/>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72,829</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54,840</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152,688</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67,812</w:t>
            </w:r>
          </w:p>
        </w:tc>
      </w:tr>
    </w:tbl>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BALANCE SHEETS</w:t>
      </w:r>
    </w:p>
    <w:p>
      <w:pPr>
        <w:jc w:val="center"/>
        <w:ind w:right="-39"/>
        <w:spacing w:after="0"/>
        <w:rPr>
          <w:sz w:val="20"/>
          <w:szCs w:val="20"/>
          <w:color w:val="auto"/>
        </w:rPr>
      </w:pPr>
      <w:r>
        <w:rPr>
          <w:rFonts w:ascii="Arial" w:cs="Arial" w:eastAsia="Arial" w:hAnsi="Arial"/>
          <w:sz w:val="11"/>
          <w:szCs w:val="11"/>
          <w:b w:val="1"/>
          <w:bCs w:val="1"/>
          <w:color w:val="auto"/>
        </w:rPr>
        <w:t>(unaudited - in thousands, except share information)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jc w:val="right"/>
              <w:ind w:right="36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26"/>
        </w:trPr>
        <w:tc>
          <w:tcPr>
            <w:tcW w:w="8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Assets</w:t>
            </w:r>
          </w:p>
        </w:tc>
        <w:tc>
          <w:tcPr>
            <w:tcW w:w="9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260" w:type="dxa"/>
            <w:vAlign w:val="bottom"/>
          </w:tcPr>
          <w:p>
            <w:pPr>
              <w:spacing w:after="0"/>
              <w:rPr>
                <w:sz w:val="20"/>
                <w:szCs w:val="20"/>
                <w:color w:val="auto"/>
              </w:rPr>
            </w:pPr>
            <w:r>
              <w:rPr>
                <w:rFonts w:ascii="Arial" w:cs="Arial" w:eastAsia="Arial" w:hAnsi="Arial"/>
                <w:sz w:val="11"/>
                <w:szCs w:val="11"/>
                <w:color w:val="auto"/>
              </w:rPr>
              <w:t>Current assets:</w:t>
            </w: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Cash and cash equivalents</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237,271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423,118</w:t>
            </w:r>
          </w:p>
        </w:tc>
        <w:tc>
          <w:tcPr>
            <w:tcW w:w="0" w:type="dxa"/>
            <w:vAlign w:val="bottom"/>
          </w:tcPr>
          <w:p>
            <w:pPr>
              <w:spacing w:after="0"/>
              <w:rPr>
                <w:sz w:val="1"/>
                <w:szCs w:val="1"/>
                <w:color w:val="auto"/>
              </w:rPr>
            </w:pPr>
          </w:p>
        </w:tc>
      </w:tr>
      <w:tr>
        <w:trPr>
          <w:trHeight w:val="142"/>
        </w:trPr>
        <w:tc>
          <w:tcPr>
            <w:tcW w:w="8260" w:type="dxa"/>
            <w:vAlign w:val="bottom"/>
          </w:tcPr>
          <w:p>
            <w:pPr>
              <w:ind w:left="80"/>
              <w:spacing w:after="0"/>
              <w:rPr>
                <w:sz w:val="20"/>
                <w:szCs w:val="20"/>
                <w:color w:val="auto"/>
              </w:rPr>
            </w:pPr>
            <w:r>
              <w:rPr>
                <w:rFonts w:ascii="Arial" w:cs="Arial" w:eastAsia="Arial" w:hAnsi="Arial"/>
                <w:sz w:val="11"/>
                <w:szCs w:val="11"/>
                <w:color w:val="auto"/>
              </w:rPr>
              <w:t>Accounts receivable, net of allowance</w:t>
            </w:r>
          </w:p>
        </w:tc>
        <w:tc>
          <w:tcPr>
            <w:tcW w:w="9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865,235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784,488</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Contract assets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1,103,726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969,743</w:t>
            </w:r>
          </w:p>
        </w:tc>
        <w:tc>
          <w:tcPr>
            <w:tcW w:w="0" w:type="dxa"/>
            <w:vAlign w:val="bottom"/>
          </w:tcPr>
          <w:p>
            <w:pPr>
              <w:spacing w:after="0"/>
              <w:rPr>
                <w:sz w:val="1"/>
                <w:szCs w:val="1"/>
                <w:color w:val="auto"/>
              </w:rPr>
            </w:pPr>
          </w:p>
        </w:tc>
      </w:tr>
      <w:tr>
        <w:trPr>
          <w:trHeight w:val="142"/>
        </w:trPr>
        <w:tc>
          <w:tcPr>
            <w:tcW w:w="8260" w:type="dxa"/>
            <w:vAlign w:val="bottom"/>
          </w:tcPr>
          <w:p>
            <w:pPr>
              <w:ind w:left="80"/>
              <w:spacing w:after="0"/>
              <w:rPr>
                <w:sz w:val="20"/>
                <w:szCs w:val="20"/>
                <w:color w:val="auto"/>
              </w:rPr>
            </w:pPr>
            <w:r>
              <w:rPr>
                <w:rFonts w:ascii="Arial" w:cs="Arial" w:eastAsia="Arial" w:hAnsi="Arial"/>
                <w:sz w:val="11"/>
                <w:szCs w:val="11"/>
                <w:color w:val="auto"/>
              </w:rPr>
              <w:t>Inventories, net</w:t>
            </w:r>
          </w:p>
        </w:tc>
        <w:tc>
          <w:tcPr>
            <w:tcW w:w="9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87,355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89,645</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Prepaid expenses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69,887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60,631</w:t>
            </w:r>
          </w:p>
        </w:tc>
        <w:tc>
          <w:tcPr>
            <w:tcW w:w="0" w:type="dxa"/>
            <w:vAlign w:val="bottom"/>
          </w:tcPr>
          <w:p>
            <w:pPr>
              <w:spacing w:after="0"/>
              <w:rPr>
                <w:sz w:val="1"/>
                <w:szCs w:val="1"/>
                <w:color w:val="auto"/>
              </w:rPr>
            </w:pPr>
          </w:p>
        </w:tc>
      </w:tr>
      <w:tr>
        <w:trPr>
          <w:trHeight w:val="142"/>
        </w:trPr>
        <w:tc>
          <w:tcPr>
            <w:tcW w:w="82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Other current assets</w:t>
            </w: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44,815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31,390</w:t>
            </w:r>
          </w:p>
        </w:tc>
        <w:tc>
          <w:tcPr>
            <w:tcW w:w="0" w:type="dxa"/>
            <w:vAlign w:val="bottom"/>
          </w:tcPr>
          <w:p>
            <w:pPr>
              <w:spacing w:after="0"/>
              <w:rPr>
                <w:sz w:val="1"/>
                <w:szCs w:val="1"/>
                <w:color w:val="auto"/>
              </w:rPr>
            </w:pPr>
          </w:p>
        </w:tc>
      </w:tr>
      <w:tr>
        <w:trPr>
          <w:trHeight w:val="135"/>
        </w:trPr>
        <w:tc>
          <w:tcPr>
            <w:tcW w:w="8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current assets</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9"/>
              </w:rPr>
              <w:t>2,408,289</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2,359,015</w:t>
            </w:r>
          </w:p>
        </w:tc>
        <w:tc>
          <w:tcPr>
            <w:tcW w:w="0" w:type="dxa"/>
            <w:vAlign w:val="bottom"/>
          </w:tcPr>
          <w:p>
            <w:pPr>
              <w:spacing w:after="0"/>
              <w:rPr>
                <w:sz w:val="1"/>
                <w:szCs w:val="1"/>
                <w:color w:val="auto"/>
              </w:rPr>
            </w:pPr>
          </w:p>
        </w:tc>
      </w:tr>
      <w:tr>
        <w:trPr>
          <w:trHeight w:val="131"/>
        </w:trPr>
        <w:tc>
          <w:tcPr>
            <w:tcW w:w="8260" w:type="dxa"/>
            <w:vAlign w:val="bottom"/>
          </w:tcPr>
          <w:p>
            <w:pPr>
              <w:ind w:left="80"/>
              <w:spacing w:after="0"/>
              <w:rPr>
                <w:sz w:val="20"/>
                <w:szCs w:val="20"/>
                <w:color w:val="auto"/>
              </w:rPr>
            </w:pPr>
            <w:r>
              <w:rPr>
                <w:rFonts w:ascii="Arial" w:cs="Arial" w:eastAsia="Arial" w:hAnsi="Arial"/>
                <w:sz w:val="11"/>
                <w:szCs w:val="11"/>
                <w:color w:val="auto"/>
              </w:rPr>
              <w:t>Property and equipment, net</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9"/>
              </w:rPr>
              <w:t>1,101,234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982,328</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Operating lease assets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215,554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176,573</w:t>
            </w:r>
          </w:p>
        </w:tc>
        <w:tc>
          <w:tcPr>
            <w:tcW w:w="0" w:type="dxa"/>
            <w:vAlign w:val="bottom"/>
          </w:tcPr>
          <w:p>
            <w:pPr>
              <w:spacing w:after="0"/>
              <w:rPr>
                <w:sz w:val="1"/>
                <w:szCs w:val="1"/>
                <w:color w:val="auto"/>
              </w:rPr>
            </w:pPr>
          </w:p>
        </w:tc>
      </w:tr>
      <w:tr>
        <w:trPr>
          <w:trHeight w:val="142"/>
        </w:trPr>
        <w:tc>
          <w:tcPr>
            <w:tcW w:w="8260" w:type="dxa"/>
            <w:vAlign w:val="bottom"/>
          </w:tcPr>
          <w:p>
            <w:pPr>
              <w:ind w:left="80"/>
              <w:spacing w:after="0"/>
              <w:rPr>
                <w:sz w:val="20"/>
                <w:szCs w:val="20"/>
                <w:color w:val="auto"/>
              </w:rPr>
            </w:pPr>
            <w:r>
              <w:rPr>
                <w:rFonts w:ascii="Arial" w:cs="Arial" w:eastAsia="Arial" w:hAnsi="Arial"/>
                <w:sz w:val="11"/>
                <w:szCs w:val="11"/>
                <w:color w:val="auto"/>
              </w:rPr>
              <w:t>Goodwill, net</w:t>
            </w:r>
          </w:p>
        </w:tc>
        <w:tc>
          <w:tcPr>
            <w:tcW w:w="9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9"/>
              </w:rPr>
              <w:t>1,331,699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1,243,034</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intangible assets, net</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521,033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184,043</w:t>
            </w:r>
          </w:p>
        </w:tc>
        <w:tc>
          <w:tcPr>
            <w:tcW w:w="0" w:type="dxa"/>
            <w:vAlign w:val="bottom"/>
          </w:tcPr>
          <w:p>
            <w:pPr>
              <w:spacing w:after="0"/>
              <w:rPr>
                <w:sz w:val="1"/>
                <w:szCs w:val="1"/>
                <w:color w:val="auto"/>
              </w:rPr>
            </w:pPr>
          </w:p>
        </w:tc>
      </w:tr>
      <w:tr>
        <w:trPr>
          <w:trHeight w:val="142"/>
        </w:trPr>
        <w:tc>
          <w:tcPr>
            <w:tcW w:w="82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Other long-term assets</w:t>
            </w: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323,819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282,856</w:t>
            </w:r>
          </w:p>
        </w:tc>
        <w:tc>
          <w:tcPr>
            <w:tcW w:w="0" w:type="dxa"/>
            <w:vAlign w:val="bottom"/>
          </w:tcPr>
          <w:p>
            <w:pPr>
              <w:spacing w:after="0"/>
              <w:rPr>
                <w:sz w:val="1"/>
                <w:szCs w:val="1"/>
                <w:color w:val="auto"/>
              </w:rPr>
            </w:pPr>
          </w:p>
        </w:tc>
      </w:tr>
      <w:tr>
        <w:trPr>
          <w:trHeight w:val="135"/>
        </w:trPr>
        <w:tc>
          <w:tcPr>
            <w:tcW w:w="8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assets</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9"/>
              </w:rPr>
              <w:t>5,901,628</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5,227,849</w:t>
            </w:r>
          </w:p>
        </w:tc>
        <w:tc>
          <w:tcPr>
            <w:tcW w:w="0" w:type="dxa"/>
            <w:vAlign w:val="bottom"/>
          </w:tcPr>
          <w:p>
            <w:pPr>
              <w:spacing w:after="0"/>
              <w:rPr>
                <w:sz w:val="1"/>
                <w:szCs w:val="1"/>
                <w:color w:val="auto"/>
              </w:rPr>
            </w:pPr>
          </w:p>
        </w:tc>
      </w:tr>
      <w:tr>
        <w:trPr>
          <w:trHeight w:val="122"/>
        </w:trPr>
        <w:tc>
          <w:tcPr>
            <w:tcW w:w="8260" w:type="dxa"/>
            <w:vAlign w:val="bottom"/>
          </w:tcPr>
          <w:p>
            <w:pPr>
              <w:spacing w:after="0" w:line="121" w:lineRule="exact"/>
              <w:rPr>
                <w:sz w:val="20"/>
                <w:szCs w:val="20"/>
                <w:color w:val="auto"/>
              </w:rPr>
            </w:pPr>
            <w:r>
              <w:rPr>
                <w:rFonts w:ascii="Arial" w:cs="Arial" w:eastAsia="Arial" w:hAnsi="Arial"/>
                <w:sz w:val="11"/>
                <w:szCs w:val="11"/>
                <w:color w:val="auto"/>
              </w:rPr>
              <w:t>Liabilities and equity</w:t>
            </w: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spacing w:after="0"/>
              <w:rPr>
                <w:sz w:val="20"/>
                <w:szCs w:val="20"/>
                <w:color w:val="auto"/>
              </w:rPr>
            </w:pPr>
            <w:r>
              <w:rPr>
                <w:rFonts w:ascii="Arial" w:cs="Arial" w:eastAsia="Arial" w:hAnsi="Arial"/>
                <w:sz w:val="11"/>
                <w:szCs w:val="11"/>
                <w:color w:val="auto"/>
              </w:rPr>
              <w:t>Current liabilities: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60" w:type="dxa"/>
            <w:vAlign w:val="bottom"/>
          </w:tcPr>
          <w:p>
            <w:pPr>
              <w:ind w:left="80"/>
              <w:spacing w:after="0"/>
              <w:rPr>
                <w:sz w:val="20"/>
                <w:szCs w:val="20"/>
                <w:color w:val="auto"/>
              </w:rPr>
            </w:pPr>
            <w:r>
              <w:rPr>
                <w:rFonts w:ascii="Arial" w:cs="Arial" w:eastAsia="Arial" w:hAnsi="Arial"/>
                <w:sz w:val="11"/>
                <w:szCs w:val="11"/>
                <w:color w:val="auto"/>
              </w:rPr>
              <w:t>Current portion of long-term debt, including finance leases</w:t>
            </w:r>
          </w:p>
        </w:tc>
        <w:tc>
          <w:tcPr>
            <w:tcW w:w="960" w:type="dxa"/>
            <w:vAlign w:val="bottom"/>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163,116</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145,110</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Current portion of operating lease liabilities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85,573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72,481</w:t>
            </w:r>
          </w:p>
        </w:tc>
        <w:tc>
          <w:tcPr>
            <w:tcW w:w="0" w:type="dxa"/>
            <w:vAlign w:val="bottom"/>
          </w:tcPr>
          <w:p>
            <w:pPr>
              <w:spacing w:after="0"/>
              <w:rPr>
                <w:sz w:val="1"/>
                <w:szCs w:val="1"/>
                <w:color w:val="auto"/>
              </w:rPr>
            </w:pPr>
          </w:p>
        </w:tc>
      </w:tr>
      <w:tr>
        <w:trPr>
          <w:trHeight w:val="142"/>
        </w:trPr>
        <w:tc>
          <w:tcPr>
            <w:tcW w:w="8260" w:type="dxa"/>
            <w:vAlign w:val="bottom"/>
          </w:tcPr>
          <w:p>
            <w:pPr>
              <w:ind w:left="80"/>
              <w:spacing w:after="0"/>
              <w:rPr>
                <w:sz w:val="20"/>
                <w:szCs w:val="20"/>
                <w:color w:val="auto"/>
              </w:rPr>
            </w:pPr>
            <w:r>
              <w:rPr>
                <w:rFonts w:ascii="Arial" w:cs="Arial" w:eastAsia="Arial" w:hAnsi="Arial"/>
                <w:sz w:val="11"/>
                <w:szCs w:val="11"/>
                <w:color w:val="auto"/>
              </w:rPr>
              <w:t>Accounts payable</w:t>
            </w:r>
          </w:p>
        </w:tc>
        <w:tc>
          <w:tcPr>
            <w:tcW w:w="9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629,910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571,269</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Accrued salaries and wages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210,561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135,316</w:t>
            </w:r>
          </w:p>
        </w:tc>
        <w:tc>
          <w:tcPr>
            <w:tcW w:w="0" w:type="dxa"/>
            <w:vAlign w:val="bottom"/>
          </w:tcPr>
          <w:p>
            <w:pPr>
              <w:spacing w:after="0"/>
              <w:rPr>
                <w:sz w:val="1"/>
                <w:szCs w:val="1"/>
                <w:color w:val="auto"/>
              </w:rPr>
            </w:pPr>
          </w:p>
        </w:tc>
      </w:tr>
      <w:tr>
        <w:trPr>
          <w:trHeight w:val="142"/>
        </w:trPr>
        <w:tc>
          <w:tcPr>
            <w:tcW w:w="8260" w:type="dxa"/>
            <w:vAlign w:val="bottom"/>
          </w:tcPr>
          <w:p>
            <w:pPr>
              <w:ind w:left="80"/>
              <w:spacing w:after="0"/>
              <w:rPr>
                <w:sz w:val="20"/>
                <w:szCs w:val="20"/>
                <w:color w:val="auto"/>
              </w:rPr>
            </w:pPr>
            <w:r>
              <w:rPr>
                <w:rFonts w:ascii="Arial" w:cs="Arial" w:eastAsia="Arial" w:hAnsi="Arial"/>
                <w:sz w:val="11"/>
                <w:szCs w:val="11"/>
                <w:color w:val="auto"/>
              </w:rPr>
              <w:t>Other accrued expenses</w:t>
            </w:r>
          </w:p>
        </w:tc>
        <w:tc>
          <w:tcPr>
            <w:tcW w:w="9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207,571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187,647</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Contract liabilities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238,853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228,388</w:t>
            </w:r>
          </w:p>
        </w:tc>
        <w:tc>
          <w:tcPr>
            <w:tcW w:w="0" w:type="dxa"/>
            <w:vAlign w:val="bottom"/>
          </w:tcPr>
          <w:p>
            <w:pPr>
              <w:spacing w:after="0"/>
              <w:rPr>
                <w:sz w:val="1"/>
                <w:szCs w:val="1"/>
                <w:color w:val="auto"/>
              </w:rPr>
            </w:pPr>
          </w:p>
        </w:tc>
      </w:tr>
      <w:tr>
        <w:trPr>
          <w:trHeight w:val="142"/>
        </w:trPr>
        <w:tc>
          <w:tcPr>
            <w:tcW w:w="82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Other current liabilities</w:t>
            </w: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103,407</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74,988</w:t>
            </w:r>
          </w:p>
        </w:tc>
        <w:tc>
          <w:tcPr>
            <w:tcW w:w="0" w:type="dxa"/>
            <w:vAlign w:val="bottom"/>
          </w:tcPr>
          <w:p>
            <w:pPr>
              <w:spacing w:after="0"/>
              <w:rPr>
                <w:sz w:val="1"/>
                <w:szCs w:val="1"/>
                <w:color w:val="auto"/>
              </w:rPr>
            </w:pPr>
          </w:p>
        </w:tc>
      </w:tr>
      <w:tr>
        <w:trPr>
          <w:trHeight w:val="135"/>
        </w:trPr>
        <w:tc>
          <w:tcPr>
            <w:tcW w:w="8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current liabilities</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9"/>
              </w:rPr>
              <w:t>1,638,991</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1,415,199</w:t>
            </w:r>
          </w:p>
        </w:tc>
        <w:tc>
          <w:tcPr>
            <w:tcW w:w="0" w:type="dxa"/>
            <w:vAlign w:val="bottom"/>
          </w:tcPr>
          <w:p>
            <w:pPr>
              <w:spacing w:after="0"/>
              <w:rPr>
                <w:sz w:val="1"/>
                <w:szCs w:val="1"/>
                <w:color w:val="auto"/>
              </w:rPr>
            </w:pPr>
          </w:p>
        </w:tc>
      </w:tr>
      <w:tr>
        <w:trPr>
          <w:trHeight w:val="131"/>
        </w:trPr>
        <w:tc>
          <w:tcPr>
            <w:tcW w:w="8260" w:type="dxa"/>
            <w:vAlign w:val="bottom"/>
          </w:tcPr>
          <w:p>
            <w:pPr>
              <w:ind w:left="80"/>
              <w:spacing w:after="0"/>
              <w:rPr>
                <w:sz w:val="20"/>
                <w:szCs w:val="20"/>
                <w:color w:val="auto"/>
              </w:rPr>
            </w:pPr>
            <w:r>
              <w:rPr>
                <w:rFonts w:ascii="Arial" w:cs="Arial" w:eastAsia="Arial" w:hAnsi="Arial"/>
                <w:sz w:val="11"/>
                <w:szCs w:val="11"/>
                <w:color w:val="auto"/>
              </w:rPr>
              <w:t>Long-term debt, including finance leases</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9"/>
              </w:rPr>
              <w:t>1,420,460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1,157,632</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Long-term operating lease liabilities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142,777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116,506</w:t>
            </w:r>
          </w:p>
        </w:tc>
        <w:tc>
          <w:tcPr>
            <w:tcW w:w="0" w:type="dxa"/>
            <w:vAlign w:val="bottom"/>
          </w:tcPr>
          <w:p>
            <w:pPr>
              <w:spacing w:after="0"/>
              <w:rPr>
                <w:sz w:val="1"/>
                <w:szCs w:val="1"/>
                <w:color w:val="auto"/>
              </w:rPr>
            </w:pPr>
          </w:p>
        </w:tc>
      </w:tr>
      <w:tr>
        <w:trPr>
          <w:trHeight w:val="142"/>
        </w:trPr>
        <w:tc>
          <w:tcPr>
            <w:tcW w:w="8260" w:type="dxa"/>
            <w:vAlign w:val="bottom"/>
          </w:tcPr>
          <w:p>
            <w:pPr>
              <w:ind w:left="80"/>
              <w:spacing w:after="0"/>
              <w:rPr>
                <w:sz w:val="20"/>
                <w:szCs w:val="20"/>
                <w:color w:val="auto"/>
              </w:rPr>
            </w:pPr>
            <w:r>
              <w:rPr>
                <w:rFonts w:ascii="Arial" w:cs="Arial" w:eastAsia="Arial" w:hAnsi="Arial"/>
                <w:sz w:val="11"/>
                <w:szCs w:val="11"/>
                <w:color w:val="auto"/>
              </w:rPr>
              <w:t>Deferred income taxes</w:t>
            </w:r>
          </w:p>
        </w:tc>
        <w:tc>
          <w:tcPr>
            <w:tcW w:w="9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323,950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302,938</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long-term liabilities</w:t>
            </w:r>
          </w:p>
        </w:tc>
        <w:tc>
          <w:tcPr>
            <w:tcW w:w="9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214,081</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230,049</w:t>
            </w:r>
          </w:p>
        </w:tc>
        <w:tc>
          <w:tcPr>
            <w:tcW w:w="0" w:type="dxa"/>
            <w:vAlign w:val="bottom"/>
          </w:tcPr>
          <w:p>
            <w:pPr>
              <w:spacing w:after="0"/>
              <w:rPr>
                <w:sz w:val="1"/>
                <w:szCs w:val="1"/>
                <w:color w:val="auto"/>
              </w:rPr>
            </w:pPr>
          </w:p>
        </w:tc>
      </w:tr>
      <w:tr>
        <w:trPr>
          <w:trHeight w:val="131"/>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Total liabilities</w:t>
            </w:r>
          </w:p>
        </w:tc>
        <w:tc>
          <w:tcPr>
            <w:tcW w:w="960" w:type="dxa"/>
            <w:vAlign w:val="bottom"/>
            <w:tcBorders>
              <w:bottom w:val="single" w:sz="8" w:color="auto"/>
            </w:tcBorders>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9"/>
              </w:rPr>
              <w:t>3,740,259</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3,222,324</w:t>
            </w:r>
          </w:p>
        </w:tc>
        <w:tc>
          <w:tcPr>
            <w:tcW w:w="0" w:type="dxa"/>
            <w:vAlign w:val="bottom"/>
          </w:tcPr>
          <w:p>
            <w:pPr>
              <w:spacing w:after="0"/>
              <w:rPr>
                <w:sz w:val="1"/>
                <w:szCs w:val="1"/>
                <w:color w:val="auto"/>
              </w:rPr>
            </w:pPr>
          </w:p>
        </w:tc>
      </w:tr>
      <w:tr>
        <w:trPr>
          <w:trHeight w:val="126"/>
        </w:trPr>
        <w:tc>
          <w:tcPr>
            <w:tcW w:w="82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 xml:space="preserve">Commitments and contingencies </w:t>
            </w:r>
            <w:r>
              <w:rPr>
                <w:rFonts w:ascii="Arial" w:cs="Arial" w:eastAsia="Arial" w:hAnsi="Arial"/>
                <w:sz w:val="9"/>
                <w:szCs w:val="9"/>
                <w:color w:val="auto"/>
              </w:rPr>
              <w:t>(</w:t>
            </w:r>
            <w:r>
              <w:rPr>
                <w:rFonts w:ascii="Arial" w:cs="Arial" w:eastAsia="Arial" w:hAnsi="Arial"/>
                <w:sz w:val="11"/>
                <w:szCs w:val="11"/>
                <w:color w:val="auto"/>
              </w:rPr>
              <w:t>Note 14</w:t>
            </w:r>
            <w:r>
              <w:rPr>
                <w:rFonts w:ascii="Arial" w:cs="Arial" w:eastAsia="Arial" w:hAnsi="Arial"/>
                <w:sz w:val="9"/>
                <w:szCs w:val="9"/>
                <w:color w:val="auto"/>
              </w:rPr>
              <w:t>)</w:t>
            </w:r>
          </w:p>
        </w:tc>
        <w:tc>
          <w:tcPr>
            <w:tcW w:w="9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260" w:type="dxa"/>
            <w:vAlign w:val="bottom"/>
          </w:tcPr>
          <w:p>
            <w:pPr>
              <w:spacing w:after="0"/>
              <w:rPr>
                <w:sz w:val="20"/>
                <w:szCs w:val="20"/>
                <w:color w:val="auto"/>
              </w:rPr>
            </w:pPr>
            <w:r>
              <w:rPr>
                <w:rFonts w:ascii="Arial" w:cs="Arial" w:eastAsia="Arial" w:hAnsi="Arial"/>
                <w:sz w:val="11"/>
                <w:szCs w:val="11"/>
                <w:color w:val="auto"/>
              </w:rPr>
              <w:t>Equity</w:t>
            </w: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Preferred stock, $1.00 par value: authorized shares - 5,000,000; issued and outstanding shares – none</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8260" w:type="dxa"/>
            <w:vAlign w:val="bottom"/>
          </w:tcPr>
          <w:p>
            <w:pPr>
              <w:ind w:left="80"/>
              <w:spacing w:after="0" w:line="112" w:lineRule="exact"/>
              <w:rPr>
                <w:sz w:val="20"/>
                <w:szCs w:val="20"/>
                <w:color w:val="auto"/>
              </w:rPr>
            </w:pPr>
            <w:r>
              <w:rPr>
                <w:rFonts w:ascii="Arial" w:cs="Arial" w:eastAsia="Arial" w:hAnsi="Arial"/>
                <w:sz w:val="11"/>
                <w:szCs w:val="11"/>
                <w:color w:val="auto"/>
                <w:w w:val="89"/>
              </w:rPr>
              <w:t>Common stock, $0.10 par value: authorized shares - 145,000,000; issued shares - 93,256,202 and 93,107,440 (including 1,869,208 and 1,843,041 of unvested stock awards) as of June 30,</w:t>
            </w:r>
          </w:p>
        </w:tc>
        <w:tc>
          <w:tcPr>
            <w:tcW w:w="9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9,326</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1"/>
                <w:szCs w:val="11"/>
                <w:color w:val="auto"/>
              </w:rPr>
              <w:t>9,311</w:t>
            </w:r>
          </w:p>
        </w:tc>
        <w:tc>
          <w:tcPr>
            <w:tcW w:w="0" w:type="dxa"/>
            <w:vAlign w:val="bottom"/>
          </w:tcPr>
          <w:p>
            <w:pPr>
              <w:spacing w:after="0"/>
              <w:rPr>
                <w:sz w:val="1"/>
                <w:szCs w:val="1"/>
                <w:color w:val="auto"/>
              </w:rPr>
            </w:pPr>
          </w:p>
        </w:tc>
      </w:tr>
      <w:tr>
        <w:trPr>
          <w:trHeight w:val="138"/>
        </w:trPr>
        <w:tc>
          <w:tcPr>
            <w:tcW w:w="8260" w:type="dxa"/>
            <w:vAlign w:val="bottom"/>
          </w:tcPr>
          <w:p>
            <w:pPr>
              <w:ind w:left="80"/>
              <w:spacing w:after="0"/>
              <w:rPr>
                <w:sz w:val="20"/>
                <w:szCs w:val="20"/>
                <w:color w:val="auto"/>
              </w:rPr>
            </w:pPr>
            <w:r>
              <w:rPr>
                <w:rFonts w:ascii="Arial" w:cs="Arial" w:eastAsia="Arial" w:hAnsi="Arial"/>
                <w:sz w:val="11"/>
                <w:szCs w:val="11"/>
                <w:color w:val="auto"/>
              </w:rPr>
              <w:t>2021 and December 31, 2020, respectively</w:t>
            </w:r>
          </w:p>
        </w:tc>
        <w:tc>
          <w:tcPr>
            <w:tcW w:w="9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Capital surplus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841,190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837,453</w:t>
            </w:r>
          </w:p>
        </w:tc>
        <w:tc>
          <w:tcPr>
            <w:tcW w:w="0" w:type="dxa"/>
            <w:vAlign w:val="bottom"/>
          </w:tcPr>
          <w:p>
            <w:pPr>
              <w:spacing w:after="0"/>
              <w:rPr>
                <w:sz w:val="1"/>
                <w:szCs w:val="1"/>
                <w:color w:val="auto"/>
              </w:rPr>
            </w:pPr>
          </w:p>
        </w:tc>
      </w:tr>
      <w:tr>
        <w:trPr>
          <w:trHeight w:val="142"/>
        </w:trPr>
        <w:tc>
          <w:tcPr>
            <w:tcW w:w="8260" w:type="dxa"/>
            <w:vAlign w:val="bottom"/>
          </w:tcPr>
          <w:p>
            <w:pPr>
              <w:ind w:left="80"/>
              <w:spacing w:after="0"/>
              <w:rPr>
                <w:sz w:val="20"/>
                <w:szCs w:val="20"/>
                <w:color w:val="auto"/>
              </w:rPr>
            </w:pPr>
            <w:r>
              <w:rPr>
                <w:rFonts w:ascii="Arial" w:cs="Arial" w:eastAsia="Arial" w:hAnsi="Arial"/>
                <w:sz w:val="11"/>
                <w:szCs w:val="11"/>
                <w:color w:val="auto"/>
              </w:rPr>
              <w:t>Retained earnings</w:t>
            </w:r>
          </w:p>
        </w:tc>
        <w:tc>
          <w:tcPr>
            <w:tcW w:w="9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9"/>
              </w:rPr>
              <w:t>1,974,657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1,833,557</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80"/>
              <w:spacing w:after="0"/>
              <w:rPr>
                <w:sz w:val="20"/>
                <w:szCs w:val="20"/>
                <w:color w:val="auto"/>
              </w:rPr>
            </w:pPr>
            <w:r>
              <w:rPr>
                <w:rFonts w:ascii="Arial" w:cs="Arial" w:eastAsia="Arial" w:hAnsi="Arial"/>
                <w:sz w:val="11"/>
                <w:szCs w:val="11"/>
                <w:color w:val="auto"/>
              </w:rPr>
              <w:t>Accumulated other comprehensive loss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(79,856)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(91,444)</w:t>
            </w:r>
          </w:p>
        </w:tc>
        <w:tc>
          <w:tcPr>
            <w:tcW w:w="0" w:type="dxa"/>
            <w:vAlign w:val="bottom"/>
          </w:tcPr>
          <w:p>
            <w:pPr>
              <w:spacing w:after="0"/>
              <w:rPr>
                <w:sz w:val="1"/>
                <w:szCs w:val="1"/>
                <w:color w:val="auto"/>
              </w:rPr>
            </w:pPr>
          </w:p>
        </w:tc>
      </w:tr>
      <w:tr>
        <w:trPr>
          <w:trHeight w:val="142"/>
        </w:trPr>
        <w:tc>
          <w:tcPr>
            <w:tcW w:w="82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Treasury stock, at cost: 18,941,926 shares as of both June 30, 2021 and December 31, 2020, respectively</w:t>
            </w: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(586,955)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(586,955)</w:t>
            </w:r>
          </w:p>
        </w:tc>
        <w:tc>
          <w:tcPr>
            <w:tcW w:w="0" w:type="dxa"/>
            <w:vAlign w:val="bottom"/>
          </w:tcPr>
          <w:p>
            <w:pPr>
              <w:spacing w:after="0"/>
              <w:rPr>
                <w:sz w:val="1"/>
                <w:szCs w:val="1"/>
                <w:color w:val="auto"/>
              </w:rPr>
            </w:pPr>
          </w:p>
        </w:tc>
      </w:tr>
      <w:tr>
        <w:trPr>
          <w:trHeight w:val="135"/>
        </w:trPr>
        <w:tc>
          <w:tcPr>
            <w:tcW w:w="8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MasTec, Inc. shareholders’ equity</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9"/>
              </w:rPr>
              <w:t>2,158,362</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2,001,922</w:t>
            </w:r>
          </w:p>
        </w:tc>
        <w:tc>
          <w:tcPr>
            <w:tcW w:w="0" w:type="dxa"/>
            <w:vAlign w:val="bottom"/>
          </w:tcPr>
          <w:p>
            <w:pPr>
              <w:spacing w:after="0"/>
              <w:rPr>
                <w:sz w:val="1"/>
                <w:szCs w:val="1"/>
                <w:color w:val="auto"/>
              </w:rPr>
            </w:pPr>
          </w:p>
        </w:tc>
      </w:tr>
      <w:tr>
        <w:trPr>
          <w:trHeight w:val="131"/>
        </w:trPr>
        <w:tc>
          <w:tcPr>
            <w:tcW w:w="82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Non-controlling interests</w:t>
            </w:r>
          </w:p>
        </w:tc>
        <w:tc>
          <w:tcPr>
            <w:tcW w:w="960" w:type="dxa"/>
            <w:vAlign w:val="bottom"/>
            <w:tcBorders>
              <w:bottom w:val="single" w:sz="8" w:color="auto"/>
            </w:tcBorders>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3,007</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3,603</w:t>
            </w:r>
          </w:p>
        </w:tc>
        <w:tc>
          <w:tcPr>
            <w:tcW w:w="0" w:type="dxa"/>
            <w:vAlign w:val="bottom"/>
          </w:tcPr>
          <w:p>
            <w:pPr>
              <w:spacing w:after="0"/>
              <w:rPr>
                <w:sz w:val="1"/>
                <w:szCs w:val="1"/>
                <w:color w:val="auto"/>
              </w:rPr>
            </w:pPr>
          </w:p>
        </w:tc>
      </w:tr>
      <w:tr>
        <w:trPr>
          <w:trHeight w:val="135"/>
        </w:trPr>
        <w:tc>
          <w:tcPr>
            <w:tcW w:w="8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equity</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9"/>
              </w:rPr>
              <w:t>2,161,369</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2,005,525</w:t>
            </w:r>
          </w:p>
        </w:tc>
        <w:tc>
          <w:tcPr>
            <w:tcW w:w="0" w:type="dxa"/>
            <w:vAlign w:val="bottom"/>
          </w:tcPr>
          <w:p>
            <w:pPr>
              <w:spacing w:after="0"/>
              <w:rPr>
                <w:sz w:val="1"/>
                <w:szCs w:val="1"/>
                <w:color w:val="auto"/>
              </w:rPr>
            </w:pPr>
          </w:p>
        </w:tc>
      </w:tr>
      <w:tr>
        <w:trPr>
          <w:trHeight w:val="131"/>
        </w:trPr>
        <w:tc>
          <w:tcPr>
            <w:tcW w:w="8260" w:type="dxa"/>
            <w:vAlign w:val="bottom"/>
          </w:tcPr>
          <w:p>
            <w:pPr>
              <w:ind w:left="140"/>
              <w:spacing w:after="0"/>
              <w:rPr>
                <w:sz w:val="20"/>
                <w:szCs w:val="20"/>
                <w:color w:val="auto"/>
              </w:rPr>
            </w:pPr>
            <w:r>
              <w:rPr>
                <w:rFonts w:ascii="Arial" w:cs="Arial" w:eastAsia="Arial" w:hAnsi="Arial"/>
                <w:sz w:val="11"/>
                <w:szCs w:val="11"/>
                <w:color w:val="auto"/>
              </w:rPr>
              <w:t>Total liabilities and equity</w:t>
            </w:r>
          </w:p>
        </w:tc>
        <w:tc>
          <w:tcPr>
            <w:tcW w:w="960" w:type="dxa"/>
            <w:vAlign w:val="bottom"/>
            <w:tcBorders>
              <w:bottom w:val="single" w:sz="8" w:color="auto"/>
            </w:tcBorders>
          </w:tcPr>
          <w:p>
            <w:pPr>
              <w:jc w:val="right"/>
              <w:ind w:right="8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9"/>
              </w:rPr>
              <w:t>5,901,628</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5,227,849</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4"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1"/>
          <w:szCs w:val="11"/>
          <w:b w:val="1"/>
          <w:bCs w:val="1"/>
          <w:color w:val="auto"/>
        </w:rPr>
        <w:t>CONSOLIDATED STATEMENTS OF EQUITY</w:t>
      </w:r>
    </w:p>
    <w:p>
      <w:pPr>
        <w:ind w:left="4680"/>
        <w:spacing w:after="0"/>
        <w:rPr>
          <w:sz w:val="20"/>
          <w:szCs w:val="20"/>
          <w:color w:val="auto"/>
        </w:rPr>
      </w:pPr>
      <w:r>
        <w:rPr>
          <w:rFonts w:ascii="Arial" w:cs="Arial" w:eastAsia="Arial" w:hAnsi="Arial"/>
          <w:sz w:val="11"/>
          <w:szCs w:val="11"/>
          <w:b w:val="1"/>
          <w:bCs w:val="1"/>
          <w:color w:val="auto"/>
        </w:rPr>
        <w:t>(unaudited - in thousands, except shares)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0"/>
                <w:szCs w:val="10"/>
                <w:color w:val="auto"/>
              </w:rPr>
            </w:pPr>
          </w:p>
        </w:tc>
        <w:tc>
          <w:tcPr>
            <w:tcW w:w="1460" w:type="dxa"/>
            <w:vAlign w:val="bottom"/>
            <w:gridSpan w:val="4"/>
            <w:vMerge w:val="restart"/>
          </w:tcPr>
          <w:p>
            <w:pPr>
              <w:ind w:left="380"/>
              <w:spacing w:after="0"/>
              <w:rPr>
                <w:sz w:val="20"/>
                <w:szCs w:val="20"/>
                <w:color w:val="auto"/>
              </w:rPr>
            </w:pPr>
            <w:r>
              <w:rPr>
                <w:rFonts w:ascii="Arial" w:cs="Arial" w:eastAsia="Arial" w:hAnsi="Arial"/>
                <w:sz w:val="11"/>
                <w:szCs w:val="11"/>
                <w:b w:val="1"/>
                <w:bCs w:val="1"/>
                <w:color w:val="auto"/>
              </w:rPr>
              <w:t>Common Stock</w:t>
            </w:r>
          </w:p>
        </w:tc>
        <w:tc>
          <w:tcPr>
            <w:tcW w:w="60" w:type="dxa"/>
            <w:vAlign w:val="bottom"/>
            <w:vMerge w:val="restart"/>
          </w:tcPr>
          <w:p>
            <w:pPr>
              <w:spacing w:after="0"/>
              <w:rPr>
                <w:sz w:val="10"/>
                <w:szCs w:val="10"/>
                <w:color w:val="auto"/>
              </w:rPr>
            </w:pPr>
          </w:p>
        </w:tc>
        <w:tc>
          <w:tcPr>
            <w:tcW w:w="1520" w:type="dxa"/>
            <w:vAlign w:val="bottom"/>
            <w:gridSpan w:val="4"/>
            <w:vMerge w:val="restart"/>
          </w:tcPr>
          <w:p>
            <w:pPr>
              <w:jc w:val="right"/>
              <w:ind w:right="366"/>
              <w:spacing w:after="0"/>
              <w:rPr>
                <w:sz w:val="20"/>
                <w:szCs w:val="20"/>
                <w:color w:val="auto"/>
              </w:rPr>
            </w:pPr>
            <w:r>
              <w:rPr>
                <w:rFonts w:ascii="Arial" w:cs="Arial" w:eastAsia="Arial" w:hAnsi="Arial"/>
                <w:sz w:val="11"/>
                <w:szCs w:val="11"/>
                <w:b w:val="1"/>
                <w:bCs w:val="1"/>
                <w:color w:val="auto"/>
              </w:rPr>
              <w:t>Treasury Stock</w:t>
            </w:r>
          </w:p>
        </w:tc>
        <w:tc>
          <w:tcPr>
            <w:tcW w:w="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0"/>
                <w:szCs w:val="10"/>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Non-</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140" w:type="dxa"/>
            <w:vAlign w:val="bottom"/>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w w:val="97"/>
              </w:rPr>
              <w:t>MasTec, Inc.</w:t>
            </w: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40" w:type="dxa"/>
            <w:vAlign w:val="bottom"/>
          </w:tcPr>
          <w:p>
            <w:pPr>
              <w:spacing w:after="0"/>
              <w:rPr>
                <w:sz w:val="7"/>
                <w:szCs w:val="7"/>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620" w:type="dxa"/>
            <w:vAlign w:val="bottom"/>
            <w:gridSpan w:val="2"/>
          </w:tcPr>
          <w:p>
            <w:pPr>
              <w:ind w:left="60"/>
              <w:spacing w:after="0" w:line="89" w:lineRule="exact"/>
              <w:rPr>
                <w:sz w:val="20"/>
                <w:szCs w:val="20"/>
                <w:color w:val="auto"/>
              </w:rPr>
            </w:pPr>
            <w:r>
              <w:rPr>
                <w:rFonts w:ascii="Arial" w:cs="Arial" w:eastAsia="Arial" w:hAnsi="Arial"/>
                <w:sz w:val="10"/>
                <w:szCs w:val="10"/>
                <w:b w:val="1"/>
                <w:bCs w:val="1"/>
                <w:color w:val="auto"/>
              </w:rPr>
              <w:t>Capital</w:t>
            </w:r>
          </w:p>
        </w:tc>
        <w:tc>
          <w:tcPr>
            <w:tcW w:w="78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Retained</w:t>
            </w:r>
          </w:p>
        </w:tc>
        <w:tc>
          <w:tcPr>
            <w:tcW w:w="1040" w:type="dxa"/>
            <w:vAlign w:val="bottom"/>
            <w:gridSpan w:val="3"/>
          </w:tcPr>
          <w:p>
            <w:pPr>
              <w:ind w:left="20"/>
              <w:spacing w:after="0" w:line="89" w:lineRule="exact"/>
              <w:rPr>
                <w:sz w:val="20"/>
                <w:szCs w:val="20"/>
                <w:color w:val="auto"/>
              </w:rPr>
            </w:pPr>
            <w:r>
              <w:rPr>
                <w:rFonts w:ascii="Arial" w:cs="Arial" w:eastAsia="Arial" w:hAnsi="Arial"/>
                <w:sz w:val="10"/>
                <w:szCs w:val="10"/>
                <w:b w:val="1"/>
                <w:bCs w:val="1"/>
                <w:color w:val="auto"/>
              </w:rPr>
              <w:t>Accumulated Other</w:t>
            </w:r>
          </w:p>
        </w:tc>
        <w:tc>
          <w:tcPr>
            <w:tcW w:w="100" w:type="dxa"/>
            <w:vAlign w:val="bottom"/>
          </w:tcPr>
          <w:p>
            <w:pPr>
              <w:spacing w:after="0"/>
              <w:rPr>
                <w:sz w:val="7"/>
                <w:szCs w:val="7"/>
                <w:color w:val="auto"/>
              </w:rPr>
            </w:pPr>
          </w:p>
        </w:tc>
        <w:tc>
          <w:tcPr>
            <w:tcW w:w="86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w w:val="95"/>
              </w:rPr>
              <w:t>Shareholders’</w:t>
            </w:r>
          </w:p>
        </w:tc>
        <w:tc>
          <w:tcPr>
            <w:tcW w:w="80" w:type="dxa"/>
            <w:vAlign w:val="bottom"/>
          </w:tcPr>
          <w:p>
            <w:pPr>
              <w:spacing w:after="0"/>
              <w:rPr>
                <w:sz w:val="7"/>
                <w:szCs w:val="7"/>
                <w:color w:val="auto"/>
              </w:rPr>
            </w:pPr>
          </w:p>
        </w:tc>
        <w:tc>
          <w:tcPr>
            <w:tcW w:w="740" w:type="dxa"/>
            <w:vAlign w:val="bottom"/>
            <w:gridSpan w:val="2"/>
          </w:tcPr>
          <w:p>
            <w:pPr>
              <w:jc w:val="center"/>
              <w:ind w:right="140"/>
              <w:spacing w:after="0" w:line="89" w:lineRule="exact"/>
              <w:rPr>
                <w:sz w:val="20"/>
                <w:szCs w:val="20"/>
                <w:color w:val="auto"/>
              </w:rPr>
            </w:pPr>
            <w:r>
              <w:rPr>
                <w:rFonts w:ascii="Arial" w:cs="Arial" w:eastAsia="Arial" w:hAnsi="Arial"/>
                <w:sz w:val="10"/>
                <w:szCs w:val="10"/>
                <w:b w:val="1"/>
                <w:bCs w:val="1"/>
                <w:color w:val="auto"/>
                <w:w w:val="97"/>
              </w:rPr>
              <w:t>Controlling</w:t>
            </w: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8"/>
              </w:rPr>
              <w:t>Total Equity</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Surplus</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Earnings</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w w:val="91"/>
              </w:rPr>
              <w:t>Comprehensive Loss</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Interests</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 the Three Months Ended June 30, 2021</w:t>
            </w:r>
          </w:p>
        </w:tc>
        <w:tc>
          <w:tcPr>
            <w:tcW w:w="7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1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Balance as of March 31, 2021</w:t>
            </w: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w w:val="94"/>
              </w:rPr>
              <w:t>93,253,268</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9,325</w:t>
            </w:r>
          </w:p>
        </w:tc>
        <w:tc>
          <w:tcPr>
            <w:tcW w:w="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840,567</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9"/>
              </w:rPr>
              <w:t>$   1,899,206</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(77,234)</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2,084,909</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4,066</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9"/>
              </w:rPr>
              <w:t>$   2,088,975</w:t>
            </w:r>
          </w:p>
        </w:tc>
        <w:tc>
          <w:tcPr>
            <w:tcW w:w="0" w:type="dxa"/>
            <w:vAlign w:val="bottom"/>
          </w:tcPr>
          <w:p>
            <w:pPr>
              <w:spacing w:after="0"/>
              <w:rPr>
                <w:sz w:val="1"/>
                <w:szCs w:val="1"/>
                <w:color w:val="auto"/>
              </w:rPr>
            </w:pPr>
          </w:p>
        </w:tc>
      </w:tr>
      <w:tr>
        <w:trPr>
          <w:trHeight w:val="144"/>
        </w:trPr>
        <w:tc>
          <w:tcPr>
            <w:tcW w:w="314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75,451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75,451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75,765</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60"/>
          </w:cols>
          <w:pgMar w:left="300" w:top="672" w:right="339" w:bottom="1440" w:gutter="0" w:footer="0" w:header="0"/>
        </w:sectPr>
      </w:pPr>
    </w:p>
    <w:p>
      <w:pPr>
        <w:ind w:left="80"/>
        <w:spacing w:after="0"/>
        <w:rPr>
          <w:sz w:val="20"/>
          <w:szCs w:val="20"/>
          <w:color w:val="auto"/>
        </w:rPr>
      </w:pPr>
      <w:r>
        <w:rPr>
          <w:rFonts w:ascii="Arial" w:cs="Arial" w:eastAsia="Arial" w:hAnsi="Arial"/>
          <w:sz w:val="11"/>
          <w:szCs w:val="11"/>
          <w:color w:val="auto"/>
        </w:rPr>
        <w:t>Other comprehensive loss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1"/>
          <w:szCs w:val="11"/>
          <w:color w:val="auto"/>
        </w:rPr>
        <w:t>Non-cash stock-based compensation</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1"/>
          <w:szCs w:val="11"/>
          <w:color w:val="auto"/>
        </w:rPr>
        <w:t>Issuance of restricted shares, net</w:t>
      </w:r>
    </w:p>
    <w:p>
      <w:pPr>
        <w:spacing w:after="0" w:line="36" w:lineRule="exact"/>
        <w:rPr>
          <w:sz w:val="20"/>
          <w:szCs w:val="20"/>
          <w:color w:val="auto"/>
        </w:rPr>
      </w:pPr>
    </w:p>
    <w:p>
      <w:pPr>
        <w:ind w:left="80" w:right="520"/>
        <w:spacing w:after="0" w:line="311" w:lineRule="auto"/>
        <w:rPr>
          <w:sz w:val="20"/>
          <w:szCs w:val="20"/>
          <w:color w:val="auto"/>
        </w:rPr>
      </w:pPr>
      <w:r>
        <w:rPr>
          <w:rFonts w:ascii="Arial" w:cs="Arial" w:eastAsia="Arial" w:hAnsi="Arial"/>
          <w:sz w:val="11"/>
          <w:szCs w:val="11"/>
          <w:color w:val="auto"/>
        </w:rPr>
        <w:t>Shares withheld for taxes, net of other share activity Purchase of 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60" w:type="dxa"/>
            <w:vAlign w:val="bottom"/>
          </w:tcPr>
          <w:p>
            <w:pPr>
              <w:jc w:val="right"/>
              <w:ind w:right="266"/>
              <w:spacing w:after="0"/>
              <w:rPr>
                <w:sz w:val="20"/>
                <w:szCs w:val="20"/>
                <w:color w:val="auto"/>
              </w:rPr>
            </w:pPr>
            <w:r>
              <w:rPr>
                <w:rFonts w:ascii="Arial" w:cs="Arial" w:eastAsia="Arial" w:hAnsi="Arial"/>
                <w:sz w:val="11"/>
                <w:szCs w:val="11"/>
                <w:color w:val="auto"/>
              </w:rPr>
              <w:t>(2,622)</w:t>
            </w: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(2,622)</w:t>
            </w:r>
          </w:p>
        </w:tc>
        <w:tc>
          <w:tcPr>
            <w:tcW w:w="7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(2,622)</w:t>
            </w:r>
          </w:p>
        </w:tc>
      </w:tr>
      <w:tr>
        <w:trPr>
          <w:trHeight w:val="144"/>
        </w:trPr>
        <w:tc>
          <w:tcPr>
            <w:tcW w:w="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60" w:type="dxa"/>
            <w:vAlign w:val="bottom"/>
          </w:tcPr>
          <w:p>
            <w:pPr>
              <w:jc w:val="right"/>
              <w:ind w:right="2106"/>
              <w:spacing w:after="0"/>
              <w:rPr>
                <w:sz w:val="20"/>
                <w:szCs w:val="20"/>
                <w:color w:val="auto"/>
              </w:rPr>
            </w:pPr>
            <w:r>
              <w:rPr>
                <w:rFonts w:ascii="Arial" w:cs="Arial" w:eastAsia="Arial" w:hAnsi="Arial"/>
                <w:sz w:val="11"/>
                <w:szCs w:val="11"/>
                <w:color w:val="auto"/>
              </w:rPr>
              <w:t>6,072</w:t>
            </w:r>
          </w:p>
        </w:tc>
        <w:tc>
          <w:tcPr>
            <w:tcW w:w="900" w:type="dxa"/>
            <w:vAlign w:val="bottom"/>
          </w:tcPr>
          <w:p>
            <w:pPr>
              <w:jc w:val="right"/>
              <w:ind w:right="246"/>
              <w:spacing w:after="0"/>
              <w:rPr>
                <w:sz w:val="20"/>
                <w:szCs w:val="20"/>
                <w:color w:val="auto"/>
              </w:rPr>
            </w:pPr>
            <w:r>
              <w:rPr>
                <w:rFonts w:ascii="Arial" w:cs="Arial" w:eastAsia="Arial" w:hAnsi="Arial"/>
                <w:sz w:val="11"/>
                <w:szCs w:val="11"/>
                <w:color w:val="auto"/>
              </w:rPr>
              <w:t>6,072</w:t>
            </w:r>
          </w:p>
        </w:tc>
        <w:tc>
          <w:tcPr>
            <w:tcW w:w="7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6,072</w:t>
            </w:r>
          </w:p>
        </w:tc>
      </w:tr>
      <w:tr>
        <w:trPr>
          <w:trHeight w:val="162"/>
        </w:trPr>
        <w:tc>
          <w:tcPr>
            <w:tcW w:w="560" w:type="dxa"/>
            <w:vAlign w:val="bottom"/>
          </w:tcPr>
          <w:p>
            <w:pPr>
              <w:jc w:val="right"/>
              <w:ind w:right="266"/>
              <w:spacing w:after="0"/>
              <w:rPr>
                <w:sz w:val="20"/>
                <w:szCs w:val="20"/>
                <w:color w:val="auto"/>
              </w:rPr>
            </w:pPr>
            <w:r>
              <w:rPr>
                <w:rFonts w:ascii="Arial" w:cs="Arial" w:eastAsia="Arial" w:hAnsi="Arial"/>
                <w:sz w:val="11"/>
                <w:szCs w:val="11"/>
                <w:color w:val="auto"/>
                <w:w w:val="79"/>
              </w:rPr>
              <w:t>3,114</w:t>
            </w:r>
          </w:p>
        </w:tc>
        <w:tc>
          <w:tcPr>
            <w:tcW w:w="1420" w:type="dxa"/>
            <w:vAlign w:val="bottom"/>
          </w:tcPr>
          <w:p>
            <w:pPr>
              <w:jc w:val="right"/>
              <w:ind w:right="966"/>
              <w:spacing w:after="0"/>
              <w:rPr>
                <w:sz w:val="20"/>
                <w:szCs w:val="20"/>
                <w:color w:val="auto"/>
              </w:rPr>
            </w:pPr>
            <w:r>
              <w:rPr>
                <w:rFonts w:ascii="Arial" w:cs="Arial" w:eastAsia="Arial" w:hAnsi="Arial"/>
                <w:sz w:val="11"/>
                <w:szCs w:val="11"/>
                <w:color w:val="auto"/>
              </w:rPr>
              <w:t>—</w:t>
            </w:r>
          </w:p>
        </w:tc>
        <w:tc>
          <w:tcPr>
            <w:tcW w:w="3460" w:type="dxa"/>
            <w:vAlign w:val="bottom"/>
          </w:tcPr>
          <w:p>
            <w:pPr>
              <w:jc w:val="right"/>
              <w:ind w:right="210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46"/>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560" w:type="dxa"/>
            <w:vAlign w:val="bottom"/>
          </w:tcPr>
          <w:p>
            <w:pPr>
              <w:jc w:val="right"/>
              <w:ind w:right="226"/>
              <w:spacing w:after="0"/>
              <w:rPr>
                <w:sz w:val="20"/>
                <w:szCs w:val="20"/>
                <w:color w:val="auto"/>
              </w:rPr>
            </w:pPr>
            <w:r>
              <w:rPr>
                <w:rFonts w:ascii="Arial" w:cs="Arial" w:eastAsia="Arial" w:hAnsi="Arial"/>
                <w:sz w:val="11"/>
                <w:szCs w:val="11"/>
                <w:color w:val="auto"/>
              </w:rPr>
              <w:t>(180)</w:t>
            </w:r>
          </w:p>
        </w:tc>
        <w:tc>
          <w:tcPr>
            <w:tcW w:w="1420" w:type="dxa"/>
            <w:vAlign w:val="bottom"/>
          </w:tcPr>
          <w:p>
            <w:pPr>
              <w:jc w:val="right"/>
              <w:ind w:right="966"/>
              <w:spacing w:after="0"/>
              <w:rPr>
                <w:sz w:val="20"/>
                <w:szCs w:val="20"/>
                <w:color w:val="auto"/>
              </w:rPr>
            </w:pPr>
            <w:r>
              <w:rPr>
                <w:rFonts w:ascii="Arial" w:cs="Arial" w:eastAsia="Arial" w:hAnsi="Arial"/>
                <w:sz w:val="11"/>
                <w:szCs w:val="11"/>
                <w:color w:val="auto"/>
              </w:rPr>
              <w:t>1</w:t>
            </w:r>
          </w:p>
        </w:tc>
        <w:tc>
          <w:tcPr>
            <w:tcW w:w="3460" w:type="dxa"/>
            <w:vAlign w:val="bottom"/>
          </w:tcPr>
          <w:p>
            <w:pPr>
              <w:jc w:val="right"/>
              <w:ind w:right="2086"/>
              <w:spacing w:after="0"/>
              <w:rPr>
                <w:sz w:val="20"/>
                <w:szCs w:val="20"/>
                <w:color w:val="auto"/>
              </w:rPr>
            </w:pPr>
            <w:r>
              <w:rPr>
                <w:rFonts w:ascii="Arial" w:cs="Arial" w:eastAsia="Arial" w:hAnsi="Arial"/>
                <w:sz w:val="11"/>
                <w:szCs w:val="11"/>
                <w:color w:val="auto"/>
              </w:rPr>
              <w:t>(20)</w:t>
            </w: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(19)</w:t>
            </w:r>
          </w:p>
        </w:tc>
        <w:tc>
          <w:tcPr>
            <w:tcW w:w="7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62"/>
        </w:trPr>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60" w:type="dxa"/>
            <w:vAlign w:val="bottom"/>
          </w:tcPr>
          <w:p>
            <w:pPr>
              <w:jc w:val="right"/>
              <w:ind w:right="2086"/>
              <w:spacing w:after="0"/>
              <w:rPr>
                <w:sz w:val="20"/>
                <w:szCs w:val="20"/>
                <w:color w:val="auto"/>
              </w:rPr>
            </w:pPr>
            <w:r>
              <w:rPr>
                <w:rFonts w:ascii="Arial" w:cs="Arial" w:eastAsia="Arial" w:hAnsi="Arial"/>
                <w:sz w:val="11"/>
                <w:szCs w:val="11"/>
                <w:color w:val="auto"/>
              </w:rPr>
              <w:t>(5,429)</w:t>
            </w:r>
          </w:p>
        </w:tc>
        <w:tc>
          <w:tcPr>
            <w:tcW w:w="900" w:type="dxa"/>
            <w:vAlign w:val="bottom"/>
          </w:tcPr>
          <w:p>
            <w:pPr>
              <w:jc w:val="right"/>
              <w:ind w:right="206"/>
              <w:spacing w:after="0"/>
              <w:rPr>
                <w:sz w:val="20"/>
                <w:szCs w:val="20"/>
                <w:color w:val="auto"/>
              </w:rPr>
            </w:pPr>
            <w:r>
              <w:rPr>
                <w:rFonts w:ascii="Arial" w:cs="Arial" w:eastAsia="Arial" w:hAnsi="Arial"/>
                <w:sz w:val="11"/>
                <w:szCs w:val="11"/>
                <w:color w:val="auto"/>
              </w:rPr>
              <w:t>(5,429)</w:t>
            </w:r>
          </w:p>
        </w:tc>
        <w:tc>
          <w:tcPr>
            <w:tcW w:w="780" w:type="dxa"/>
            <w:vAlign w:val="bottom"/>
          </w:tcPr>
          <w:p>
            <w:pPr>
              <w:jc w:val="right"/>
              <w:ind w:right="166"/>
              <w:spacing w:after="0"/>
              <w:rPr>
                <w:sz w:val="20"/>
                <w:szCs w:val="20"/>
                <w:color w:val="auto"/>
              </w:rPr>
            </w:pPr>
            <w:r>
              <w:rPr>
                <w:rFonts w:ascii="Arial" w:cs="Arial" w:eastAsia="Arial" w:hAnsi="Arial"/>
                <w:sz w:val="11"/>
                <w:szCs w:val="11"/>
                <w:color w:val="auto"/>
              </w:rPr>
              <w:t>(1,373)</w:t>
            </w:r>
          </w:p>
        </w:tc>
        <w:tc>
          <w:tcPr>
            <w:tcW w:w="560" w:type="dxa"/>
            <w:vAlign w:val="bottom"/>
          </w:tcPr>
          <w:p>
            <w:pPr>
              <w:jc w:val="right"/>
              <w:spacing w:after="0"/>
              <w:rPr>
                <w:sz w:val="20"/>
                <w:szCs w:val="20"/>
                <w:color w:val="auto"/>
              </w:rPr>
            </w:pPr>
            <w:r>
              <w:rPr>
                <w:rFonts w:ascii="Arial" w:cs="Arial" w:eastAsia="Arial" w:hAnsi="Arial"/>
                <w:sz w:val="11"/>
                <w:szCs w:val="11"/>
                <w:color w:val="auto"/>
              </w:rPr>
              <w:t>(6,802)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-397510</wp:posOffset>
            </wp:positionV>
            <wp:extent cx="7160895" cy="91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9144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-203200</wp:posOffset>
            </wp:positionV>
            <wp:extent cx="7160895"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28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60" w:space="720"/>
            <w:col w:w="7680"/>
          </w:cols>
          <w:pgMar w:left="300" w:top="672" w:right="339" w:bottom="1440" w:gutter="0" w:footer="0" w:header="0"/>
          <w:type w:val="continuous"/>
        </w:sectPr>
      </w:pPr>
    </w:p>
    <w:tbl>
      <w:tblPr>
        <w:tblLayout w:type="fixed"/>
        <w:tblInd w:w="0" w:type="dxa"/>
        <w:tblCellMar>
          <w:top w:w="0" w:type="dxa"/>
          <w:left w:w="0" w:type="dxa"/>
          <w:bottom w:w="0" w:type="dxa"/>
          <w:right w:w="0" w:type="dxa"/>
        </w:tblCellMar>
      </w:tblPr>
      <w:tr>
        <w:trPr>
          <w:trHeight w:val="117"/>
        </w:trPr>
        <w:tc>
          <w:tcPr>
            <w:tcW w:w="3140" w:type="dxa"/>
            <w:vAlign w:val="bottom"/>
            <w:tcBorders>
              <w:top w:val="single" w:sz="8" w:color="CCEEFF"/>
            </w:tcBorders>
            <w:shd w:val="clear" w:color="auto" w:fill="CCEEFF"/>
          </w:tcPr>
          <w:p>
            <w:pPr>
              <w:spacing w:after="0" w:line="117" w:lineRule="exact"/>
              <w:rPr>
                <w:sz w:val="20"/>
                <w:szCs w:val="20"/>
                <w:color w:val="auto"/>
              </w:rPr>
            </w:pPr>
            <w:r>
              <w:rPr>
                <w:rFonts w:ascii="Arial" w:cs="Arial" w:eastAsia="Arial" w:hAnsi="Arial"/>
                <w:sz w:val="11"/>
                <w:szCs w:val="11"/>
                <w:color w:val="auto"/>
              </w:rPr>
              <w:t>Balance as of June 30, 2021</w:t>
            </w:r>
          </w:p>
        </w:tc>
        <w:tc>
          <w:tcPr>
            <w:tcW w:w="740" w:type="dxa"/>
            <w:vAlign w:val="bottom"/>
            <w:tcBorders>
              <w:top w:val="single" w:sz="8" w:color="auto"/>
              <w:bottom w:val="single" w:sz="8" w:color="auto"/>
            </w:tcBorders>
            <w:shd w:val="clear" w:color="auto" w:fill="CCEEFF"/>
          </w:tcPr>
          <w:p>
            <w:pPr>
              <w:jc w:val="right"/>
              <w:ind w:right="6"/>
              <w:spacing w:after="0" w:line="117" w:lineRule="exact"/>
              <w:rPr>
                <w:sz w:val="20"/>
                <w:szCs w:val="20"/>
                <w:color w:val="auto"/>
              </w:rPr>
            </w:pPr>
            <w:r>
              <w:rPr>
                <w:rFonts w:ascii="Arial" w:cs="Arial" w:eastAsia="Arial" w:hAnsi="Arial"/>
                <w:sz w:val="11"/>
                <w:szCs w:val="11"/>
                <w:color w:val="auto"/>
              </w:rPr>
              <w:t>93,256,202</w:t>
            </w: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ind w:right="6"/>
              <w:spacing w:after="0" w:line="117" w:lineRule="exact"/>
              <w:rPr>
                <w:sz w:val="20"/>
                <w:szCs w:val="20"/>
                <w:color w:val="auto"/>
              </w:rPr>
            </w:pPr>
            <w:r>
              <w:rPr>
                <w:rFonts w:ascii="Arial" w:cs="Arial" w:eastAsia="Arial" w:hAnsi="Arial"/>
                <w:sz w:val="11"/>
                <w:szCs w:val="11"/>
                <w:color w:val="auto"/>
              </w:rPr>
              <w:t>9,326</w:t>
            </w: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(18,941,926)</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(586,955)</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841,190</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26"/>
              <w:spacing w:after="0" w:line="117"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w w:val="97"/>
              </w:rPr>
              <w:t>1,974,657</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(79,856)</w:t>
            </w:r>
          </w:p>
        </w:tc>
        <w:tc>
          <w:tcPr>
            <w:tcW w:w="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ind w:right="6"/>
              <w:spacing w:after="0" w:line="117" w:lineRule="exact"/>
              <w:rPr>
                <w:sz w:val="20"/>
                <w:szCs w:val="20"/>
                <w:color w:val="auto"/>
              </w:rPr>
            </w:pPr>
            <w:r>
              <w:rPr>
                <w:rFonts w:ascii="Arial" w:cs="Arial" w:eastAsia="Arial" w:hAnsi="Arial"/>
                <w:sz w:val="11"/>
                <w:szCs w:val="11"/>
                <w:color w:val="auto"/>
              </w:rPr>
              <w:t>2,158,362</w:t>
            </w: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3,007</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26"/>
              <w:spacing w:after="0" w:line="117"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w w:val="97"/>
              </w:rPr>
              <w:t>2,161,369</w:t>
            </w:r>
          </w:p>
        </w:tc>
      </w:tr>
      <w:tr>
        <w:trPr>
          <w:trHeight w:val="152"/>
        </w:trPr>
        <w:tc>
          <w:tcPr>
            <w:tcW w:w="3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4"/>
        </w:trPr>
        <w:tc>
          <w:tcPr>
            <w:tcW w:w="3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 the Three Months Ended June 30, 2020</w:t>
            </w:r>
          </w:p>
        </w:tc>
        <w:tc>
          <w:tcPr>
            <w:tcW w:w="7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r>
      <w:tr>
        <w:trPr>
          <w:trHeight w:val="131"/>
        </w:trPr>
        <w:tc>
          <w:tcPr>
            <w:tcW w:w="31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Balance as of March 31, 2020</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92,618,032</w:t>
            </w: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9,262</w:t>
            </w:r>
          </w:p>
        </w:tc>
        <w:tc>
          <w:tcPr>
            <w:tcW w:w="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(18,914,841)</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(586,153)</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814,425</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1,546,939</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(98,963)</w:t>
            </w:r>
          </w:p>
        </w:tc>
        <w:tc>
          <w:tcPr>
            <w:tcW w:w="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1,685,510</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4,303</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1,689,813</w:t>
            </w:r>
          </w:p>
        </w:tc>
      </w:tr>
      <w:tr>
        <w:trPr>
          <w:trHeight w:val="144"/>
        </w:trPr>
        <w:tc>
          <w:tcPr>
            <w:tcW w:w="314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 (loss)</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57,005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57,005</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56,827</w:t>
            </w:r>
          </w:p>
        </w:tc>
      </w:tr>
      <w:tr>
        <w:trPr>
          <w:trHeight w:val="160"/>
        </w:trPr>
        <w:tc>
          <w:tcPr>
            <w:tcW w:w="3140" w:type="dxa"/>
            <w:vAlign w:val="bottom"/>
          </w:tcPr>
          <w:p>
            <w:pPr>
              <w:ind w:left="80"/>
              <w:spacing w:after="0"/>
              <w:rPr>
                <w:sz w:val="20"/>
                <w:szCs w:val="20"/>
                <w:color w:val="auto"/>
              </w:rPr>
            </w:pPr>
            <w:r>
              <w:rPr>
                <w:rFonts w:ascii="Arial" w:cs="Arial" w:eastAsia="Arial" w:hAnsi="Arial"/>
                <w:sz w:val="11"/>
                <w:szCs w:val="11"/>
                <w:color w:val="auto"/>
              </w:rPr>
              <w:t>Other comprehensive loss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(2,166)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(2,166)</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(2,166)</w:t>
            </w:r>
          </w:p>
        </w:tc>
      </w:tr>
      <w:tr>
        <w:trPr>
          <w:trHeight w:val="164"/>
        </w:trPr>
        <w:tc>
          <w:tcPr>
            <w:tcW w:w="314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5,850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5,850</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5,850</w:t>
            </w:r>
          </w:p>
        </w:tc>
      </w:tr>
      <w:tr>
        <w:trPr>
          <w:trHeight w:val="160"/>
        </w:trPr>
        <w:tc>
          <w:tcPr>
            <w:tcW w:w="3140" w:type="dxa"/>
            <w:vAlign w:val="bottom"/>
          </w:tcPr>
          <w:p>
            <w:pPr>
              <w:ind w:left="80"/>
              <w:spacing w:after="0"/>
              <w:rPr>
                <w:sz w:val="20"/>
                <w:szCs w:val="20"/>
                <w:color w:val="auto"/>
              </w:rPr>
            </w:pPr>
            <w:r>
              <w:rPr>
                <w:rFonts w:ascii="Arial" w:cs="Arial" w:eastAsia="Arial" w:hAnsi="Arial"/>
                <w:sz w:val="11"/>
                <w:szCs w:val="11"/>
                <w:color w:val="auto"/>
              </w:rPr>
              <w:t>Forfeiture of restricted shares, net</w:t>
            </w:r>
          </w:p>
        </w:tc>
        <w:tc>
          <w:tcPr>
            <w:tcW w:w="740" w:type="dxa"/>
            <w:vAlign w:val="bottom"/>
          </w:tcPr>
          <w:p>
            <w:pPr>
              <w:jc w:val="right"/>
              <w:spacing w:after="0"/>
              <w:rPr>
                <w:sz w:val="20"/>
                <w:szCs w:val="20"/>
                <w:color w:val="auto"/>
              </w:rPr>
            </w:pPr>
            <w:r>
              <w:rPr>
                <w:rFonts w:ascii="Arial" w:cs="Arial" w:eastAsia="Arial" w:hAnsi="Arial"/>
                <w:sz w:val="11"/>
                <w:szCs w:val="11"/>
                <w:color w:val="auto"/>
              </w:rPr>
              <w:t>(1,424)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4"/>
        </w:trPr>
        <w:tc>
          <w:tcPr>
            <w:tcW w:w="314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stock issuances, net of shares withheld for taxes</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48,489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1,314</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1,314</w:t>
            </w:r>
          </w:p>
        </w:tc>
      </w:tr>
      <w:tr>
        <w:trPr>
          <w:trHeight w:val="160"/>
        </w:trPr>
        <w:tc>
          <w:tcPr>
            <w:tcW w:w="314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Acquisition of treasury stock, at cost</w:t>
            </w: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(27,085)</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(802)</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(802)</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(802)</w:t>
            </w:r>
          </w:p>
        </w:tc>
      </w:tr>
      <w:tr>
        <w:trPr>
          <w:trHeight w:val="133"/>
        </w:trPr>
        <w:tc>
          <w:tcPr>
            <w:tcW w:w="3140" w:type="dxa"/>
            <w:vAlign w:val="bottom"/>
            <w:shd w:val="clear" w:color="auto" w:fill="CCEEFF"/>
          </w:tcPr>
          <w:p>
            <w:pPr>
              <w:spacing w:after="0"/>
              <w:rPr>
                <w:sz w:val="20"/>
                <w:szCs w:val="20"/>
                <w:color w:val="auto"/>
              </w:rPr>
            </w:pPr>
            <w:r>
              <w:rPr>
                <w:rFonts w:ascii="Arial" w:cs="Arial" w:eastAsia="Arial" w:hAnsi="Arial"/>
                <w:sz w:val="11"/>
                <w:szCs w:val="11"/>
                <w:color w:val="auto"/>
              </w:rPr>
              <w:t>Balance as of June 30, 2020</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92,665,097</w:t>
            </w: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9,267</w:t>
            </w:r>
          </w:p>
        </w:tc>
        <w:tc>
          <w:tcPr>
            <w:tcW w:w="6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821,584</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1,603,944</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(101,129)</w:t>
            </w: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1,746,711</w:t>
            </w:r>
          </w:p>
        </w:tc>
        <w:tc>
          <w:tcPr>
            <w:tcW w:w="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4,125</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1,750,836</w:t>
            </w: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72"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1"/>
          <w:szCs w:val="11"/>
          <w:b w:val="1"/>
          <w:bCs w:val="1"/>
          <w:color w:val="auto"/>
        </w:rPr>
        <w:t>CONSOLIDATED STATEMENTS OF EQUITY</w:t>
      </w:r>
    </w:p>
    <w:p>
      <w:pPr>
        <w:ind w:left="4680"/>
        <w:spacing w:after="0"/>
        <w:rPr>
          <w:sz w:val="20"/>
          <w:szCs w:val="20"/>
          <w:color w:val="auto"/>
        </w:rPr>
      </w:pPr>
      <w:r>
        <w:rPr>
          <w:rFonts w:ascii="Arial" w:cs="Arial" w:eastAsia="Arial" w:hAnsi="Arial"/>
          <w:sz w:val="11"/>
          <w:szCs w:val="11"/>
          <w:b w:val="1"/>
          <w:bCs w:val="1"/>
          <w:color w:val="auto"/>
        </w:rPr>
        <w:t>(unaudited - in thousands, except shares)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460" w:type="dxa"/>
            <w:vAlign w:val="bottom"/>
            <w:gridSpan w:val="4"/>
            <w:vMerge w:val="restart"/>
          </w:tcPr>
          <w:p>
            <w:pPr>
              <w:jc w:val="right"/>
              <w:ind w:right="306"/>
              <w:spacing w:after="0"/>
              <w:rPr>
                <w:sz w:val="20"/>
                <w:szCs w:val="20"/>
                <w:color w:val="auto"/>
              </w:rPr>
            </w:pPr>
            <w:r>
              <w:rPr>
                <w:rFonts w:ascii="Arial" w:cs="Arial" w:eastAsia="Arial" w:hAnsi="Arial"/>
                <w:sz w:val="11"/>
                <w:szCs w:val="11"/>
                <w:b w:val="1"/>
                <w:bCs w:val="1"/>
                <w:color w:val="auto"/>
              </w:rPr>
              <w:t>Common Stock</w:t>
            </w:r>
          </w:p>
        </w:tc>
        <w:tc>
          <w:tcPr>
            <w:tcW w:w="80" w:type="dxa"/>
            <w:vAlign w:val="bottom"/>
            <w:vMerge w:val="restart"/>
          </w:tcPr>
          <w:p>
            <w:pPr>
              <w:spacing w:after="0"/>
              <w:rPr>
                <w:sz w:val="10"/>
                <w:szCs w:val="10"/>
                <w:color w:val="auto"/>
              </w:rPr>
            </w:pPr>
          </w:p>
        </w:tc>
        <w:tc>
          <w:tcPr>
            <w:tcW w:w="1520" w:type="dxa"/>
            <w:vAlign w:val="bottom"/>
            <w:gridSpan w:val="4"/>
            <w:vMerge w:val="restart"/>
          </w:tcPr>
          <w:p>
            <w:pPr>
              <w:jc w:val="right"/>
              <w:ind w:right="346"/>
              <w:spacing w:after="0"/>
              <w:rPr>
                <w:sz w:val="20"/>
                <w:szCs w:val="20"/>
                <w:color w:val="auto"/>
              </w:rPr>
            </w:pPr>
            <w:r>
              <w:rPr>
                <w:rFonts w:ascii="Arial" w:cs="Arial" w:eastAsia="Arial" w:hAnsi="Arial"/>
                <w:sz w:val="11"/>
                <w:szCs w:val="11"/>
                <w:b w:val="1"/>
                <w:bCs w:val="1"/>
                <w:color w:val="auto"/>
              </w:rPr>
              <w:t>Treasury Stock</w:t>
            </w:r>
          </w:p>
        </w:tc>
        <w:tc>
          <w:tcPr>
            <w:tcW w:w="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0"/>
                <w:szCs w:val="10"/>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060" w:type="dxa"/>
            <w:vAlign w:val="bottom"/>
          </w:tcPr>
          <w:p>
            <w:pPr>
              <w:spacing w:after="0"/>
              <w:rPr>
                <w:sz w:val="9"/>
                <w:szCs w:val="9"/>
                <w:color w:val="auto"/>
              </w:rPr>
            </w:pPr>
          </w:p>
        </w:tc>
        <w:tc>
          <w:tcPr>
            <w:tcW w:w="14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w w:val="97"/>
              </w:rPr>
              <w:t>MasTec, Inc.</w:t>
            </w: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060" w:type="dxa"/>
            <w:vAlign w:val="bottom"/>
          </w:tcPr>
          <w:p>
            <w:pPr>
              <w:spacing w:after="0"/>
              <w:rPr>
                <w:sz w:val="7"/>
                <w:szCs w:val="7"/>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7"/>
                <w:szCs w:val="7"/>
                <w:color w:val="auto"/>
              </w:rPr>
            </w:pPr>
          </w:p>
        </w:tc>
        <w:tc>
          <w:tcPr>
            <w:tcW w:w="620" w:type="dxa"/>
            <w:vAlign w:val="bottom"/>
            <w:gridSpan w:val="2"/>
          </w:tcPr>
          <w:p>
            <w:pPr>
              <w:ind w:left="40"/>
              <w:spacing w:after="0" w:line="89" w:lineRule="exact"/>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7"/>
                <w:szCs w:val="7"/>
                <w:color w:val="auto"/>
              </w:rPr>
            </w:pPr>
          </w:p>
        </w:tc>
        <w:tc>
          <w:tcPr>
            <w:tcW w:w="660" w:type="dxa"/>
            <w:vAlign w:val="bottom"/>
            <w:gridSpan w:val="2"/>
          </w:tcPr>
          <w:p>
            <w:pPr>
              <w:ind w:left="40"/>
              <w:spacing w:after="0" w:line="89" w:lineRule="exact"/>
              <w:rPr>
                <w:sz w:val="20"/>
                <w:szCs w:val="20"/>
                <w:color w:val="auto"/>
              </w:rPr>
            </w:pPr>
            <w:r>
              <w:rPr>
                <w:rFonts w:ascii="Arial" w:cs="Arial" w:eastAsia="Arial" w:hAnsi="Arial"/>
                <w:sz w:val="10"/>
                <w:szCs w:val="10"/>
                <w:b w:val="1"/>
                <w:bCs w:val="1"/>
                <w:color w:val="auto"/>
              </w:rPr>
              <w:t>Retained</w:t>
            </w:r>
          </w:p>
        </w:tc>
        <w:tc>
          <w:tcPr>
            <w:tcW w:w="1060" w:type="dxa"/>
            <w:vAlign w:val="bottom"/>
            <w:gridSpan w:val="3"/>
          </w:tcPr>
          <w:p>
            <w:pPr>
              <w:ind w:left="20"/>
              <w:spacing w:after="0" w:line="89" w:lineRule="exact"/>
              <w:rPr>
                <w:sz w:val="20"/>
                <w:szCs w:val="20"/>
                <w:color w:val="auto"/>
              </w:rPr>
            </w:pPr>
            <w:r>
              <w:rPr>
                <w:rFonts w:ascii="Arial" w:cs="Arial" w:eastAsia="Arial" w:hAnsi="Arial"/>
                <w:sz w:val="10"/>
                <w:szCs w:val="10"/>
                <w:b w:val="1"/>
                <w:bCs w:val="1"/>
                <w:color w:val="auto"/>
              </w:rPr>
              <w:t>Accumulated Other</w:t>
            </w:r>
          </w:p>
        </w:tc>
        <w:tc>
          <w:tcPr>
            <w:tcW w:w="100" w:type="dxa"/>
            <w:vAlign w:val="bottom"/>
          </w:tcPr>
          <w:p>
            <w:pPr>
              <w:spacing w:after="0"/>
              <w:rPr>
                <w:sz w:val="7"/>
                <w:szCs w:val="7"/>
                <w:color w:val="auto"/>
              </w:rPr>
            </w:pPr>
          </w:p>
        </w:tc>
        <w:tc>
          <w:tcPr>
            <w:tcW w:w="88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w w:val="98"/>
              </w:rPr>
              <w:t>Shareholders’</w:t>
            </w:r>
          </w:p>
        </w:tc>
        <w:tc>
          <w:tcPr>
            <w:tcW w:w="80" w:type="dxa"/>
            <w:vAlign w:val="bottom"/>
          </w:tcPr>
          <w:p>
            <w:pPr>
              <w:spacing w:after="0"/>
              <w:rPr>
                <w:sz w:val="7"/>
                <w:szCs w:val="7"/>
                <w:color w:val="auto"/>
              </w:rPr>
            </w:pPr>
          </w:p>
        </w:tc>
        <w:tc>
          <w:tcPr>
            <w:tcW w:w="740" w:type="dxa"/>
            <w:vAlign w:val="bottom"/>
            <w:gridSpan w:val="2"/>
          </w:tcPr>
          <w:p>
            <w:pPr>
              <w:jc w:val="center"/>
              <w:ind w:right="140"/>
              <w:spacing w:after="0" w:line="89" w:lineRule="exact"/>
              <w:rPr>
                <w:sz w:val="20"/>
                <w:szCs w:val="20"/>
                <w:color w:val="auto"/>
              </w:rPr>
            </w:pPr>
            <w:r>
              <w:rPr>
                <w:rFonts w:ascii="Arial" w:cs="Arial" w:eastAsia="Arial" w:hAnsi="Arial"/>
                <w:sz w:val="10"/>
                <w:szCs w:val="10"/>
                <w:b w:val="1"/>
                <w:bCs w:val="1"/>
                <w:color w:val="auto"/>
                <w:w w:val="97"/>
              </w:rPr>
              <w:t>Controlling</w:t>
            </w:r>
          </w:p>
        </w:tc>
        <w:tc>
          <w:tcPr>
            <w:tcW w:w="700" w:type="dxa"/>
            <w:vAlign w:val="bottom"/>
            <w:gridSpan w:val="2"/>
            <w:vMerge w:val="restart"/>
          </w:tcPr>
          <w:p>
            <w:pPr>
              <w:jc w:val="right"/>
              <w:ind w:right="6"/>
              <w:spacing w:after="0"/>
              <w:rPr>
                <w:sz w:val="20"/>
                <w:szCs w:val="20"/>
                <w:color w:val="auto"/>
              </w:rPr>
            </w:pPr>
            <w:r>
              <w:rPr>
                <w:rFonts w:ascii="Arial" w:cs="Arial" w:eastAsia="Arial" w:hAnsi="Arial"/>
                <w:sz w:val="11"/>
                <w:szCs w:val="11"/>
                <w:b w:val="1"/>
                <w:bCs w:val="1"/>
                <w:color w:val="auto"/>
                <w:w w:val="98"/>
              </w:rPr>
              <w:t>Total Equity</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Surplus</w:t>
            </w:r>
          </w:p>
        </w:tc>
        <w:tc>
          <w:tcPr>
            <w:tcW w:w="12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w w:val="93"/>
              </w:rPr>
              <w:t>Comprehensive Loss</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Equity</w:t>
            </w:r>
          </w:p>
        </w:tc>
        <w:tc>
          <w:tcPr>
            <w:tcW w:w="8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Interests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 the Six Months Ended June 30, 2021</w:t>
            </w:r>
          </w:p>
        </w:tc>
        <w:tc>
          <w:tcPr>
            <w:tcW w:w="7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Balance as of December 31, 2020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93,107,440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9,311</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837,453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1,833,557</w:t>
            </w:r>
          </w:p>
        </w:tc>
        <w:tc>
          <w:tcPr>
            <w:tcW w:w="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(91,444)</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2,001,922</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3,603</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2,005,525</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141,100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141,100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141,877</w:t>
            </w:r>
          </w:p>
        </w:tc>
        <w:tc>
          <w:tcPr>
            <w:tcW w:w="0" w:type="dxa"/>
            <w:vAlign w:val="bottom"/>
          </w:tcPr>
          <w:p>
            <w:pPr>
              <w:spacing w:after="0"/>
              <w:rPr>
                <w:sz w:val="1"/>
                <w:szCs w:val="1"/>
                <w:color w:val="auto"/>
              </w:rPr>
            </w:pPr>
          </w:p>
        </w:tc>
      </w:tr>
      <w:tr>
        <w:trPr>
          <w:trHeight w:val="160"/>
        </w:trPr>
        <w:tc>
          <w:tcPr>
            <w:tcW w:w="3060" w:type="dxa"/>
            <w:vAlign w:val="bottom"/>
          </w:tcPr>
          <w:p>
            <w:pPr>
              <w:ind w:left="80"/>
              <w:spacing w:after="0"/>
              <w:rPr>
                <w:sz w:val="20"/>
                <w:szCs w:val="20"/>
                <w:color w:val="auto"/>
              </w:rPr>
            </w:pPr>
            <w:r>
              <w:rPr>
                <w:rFonts w:ascii="Arial" w:cs="Arial" w:eastAsia="Arial" w:hAnsi="Arial"/>
                <w:sz w:val="11"/>
                <w:szCs w:val="11"/>
                <w:color w:val="auto"/>
              </w:rPr>
              <w:t>Other comprehensive income</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11,588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11,588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11,588</w:t>
            </w:r>
          </w:p>
        </w:tc>
        <w:tc>
          <w:tcPr>
            <w:tcW w:w="0" w:type="dxa"/>
            <w:vAlign w:val="bottom"/>
          </w:tcPr>
          <w:p>
            <w:pPr>
              <w:spacing w:after="0"/>
              <w:rPr>
                <w:sz w:val="1"/>
                <w:szCs w:val="1"/>
                <w:color w:val="auto"/>
              </w:rPr>
            </w:pPr>
          </w:p>
        </w:tc>
      </w:tr>
      <w:tr>
        <w:trPr>
          <w:trHeight w:val="164"/>
        </w:trPr>
        <w:tc>
          <w:tcPr>
            <w:tcW w:w="30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11,600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11,600</w:t>
            </w:r>
          </w:p>
        </w:tc>
        <w:tc>
          <w:tcPr>
            <w:tcW w:w="0" w:type="dxa"/>
            <w:vAlign w:val="bottom"/>
          </w:tcPr>
          <w:p>
            <w:pPr>
              <w:spacing w:after="0"/>
              <w:rPr>
                <w:sz w:val="1"/>
                <w:szCs w:val="1"/>
                <w:color w:val="auto"/>
              </w:rPr>
            </w:pPr>
          </w:p>
        </w:tc>
      </w:tr>
      <w:tr>
        <w:trPr>
          <w:trHeight w:val="160"/>
        </w:trPr>
        <w:tc>
          <w:tcPr>
            <w:tcW w:w="3060" w:type="dxa"/>
            <w:vAlign w:val="bottom"/>
          </w:tcPr>
          <w:p>
            <w:pPr>
              <w:ind w:left="80"/>
              <w:spacing w:after="0"/>
              <w:rPr>
                <w:sz w:val="20"/>
                <w:szCs w:val="20"/>
                <w:color w:val="auto"/>
              </w:rPr>
            </w:pPr>
            <w:r>
              <w:rPr>
                <w:rFonts w:ascii="Arial" w:cs="Arial" w:eastAsia="Arial" w:hAnsi="Arial"/>
                <w:sz w:val="11"/>
                <w:szCs w:val="11"/>
                <w:color w:val="auto"/>
              </w:rPr>
              <w:t>Issuance of restricted shares, net</w:t>
            </w:r>
          </w:p>
        </w:tc>
        <w:tc>
          <w:tcPr>
            <w:tcW w:w="740" w:type="dxa"/>
            <w:vAlign w:val="bottom"/>
          </w:tcPr>
          <w:p>
            <w:pPr>
              <w:jc w:val="right"/>
              <w:spacing w:after="0"/>
              <w:rPr>
                <w:sz w:val="20"/>
                <w:szCs w:val="20"/>
                <w:color w:val="auto"/>
              </w:rPr>
            </w:pPr>
            <w:r>
              <w:rPr>
                <w:rFonts w:ascii="Arial" w:cs="Arial" w:eastAsia="Arial" w:hAnsi="Arial"/>
                <w:sz w:val="11"/>
                <w:szCs w:val="11"/>
                <w:color w:val="auto"/>
              </w:rPr>
              <w:t>141,195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4"/>
        </w:trPr>
        <w:tc>
          <w:tcPr>
            <w:tcW w:w="306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stock issuances, net of shares withheld for taxes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7,567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(2,419)</w:t>
            </w:r>
          </w:p>
        </w:tc>
        <w:tc>
          <w:tcPr>
            <w:tcW w:w="0" w:type="dxa"/>
            <w:vAlign w:val="bottom"/>
          </w:tcPr>
          <w:p>
            <w:pPr>
              <w:spacing w:after="0"/>
              <w:rPr>
                <w:sz w:val="1"/>
                <w:szCs w:val="1"/>
                <w:color w:val="auto"/>
              </w:rPr>
            </w:pPr>
          </w:p>
        </w:tc>
      </w:tr>
      <w:tr>
        <w:trPr>
          <w:trHeight w:val="160"/>
        </w:trPr>
        <w:tc>
          <w:tcPr>
            <w:tcW w:w="30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Purchase of non-controlling interests</w:t>
            </w: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(5,429)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(5,429)</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(1,373)</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(6,802)</w:t>
            </w:r>
          </w:p>
        </w:tc>
        <w:tc>
          <w:tcPr>
            <w:tcW w:w="0" w:type="dxa"/>
            <w:vAlign w:val="bottom"/>
          </w:tcPr>
          <w:p>
            <w:pPr>
              <w:spacing w:after="0"/>
              <w:rPr>
                <w:sz w:val="1"/>
                <w:szCs w:val="1"/>
                <w:color w:val="auto"/>
              </w:rPr>
            </w:pPr>
          </w:p>
        </w:tc>
      </w:tr>
      <w:tr>
        <w:trPr>
          <w:trHeight w:val="133"/>
        </w:trPr>
        <w:tc>
          <w:tcPr>
            <w:tcW w:w="3060" w:type="dxa"/>
            <w:vAlign w:val="bottom"/>
            <w:shd w:val="clear" w:color="auto" w:fill="CCEEFF"/>
          </w:tcPr>
          <w:p>
            <w:pPr>
              <w:spacing w:after="0"/>
              <w:rPr>
                <w:sz w:val="20"/>
                <w:szCs w:val="20"/>
                <w:color w:val="auto"/>
              </w:rPr>
            </w:pPr>
            <w:r>
              <w:rPr>
                <w:rFonts w:ascii="Arial" w:cs="Arial" w:eastAsia="Arial" w:hAnsi="Arial"/>
                <w:sz w:val="11"/>
                <w:szCs w:val="11"/>
                <w:color w:val="auto"/>
              </w:rPr>
              <w:t>Balance as of June 30, 2021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93,256,202</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9,326</w:t>
            </w:r>
          </w:p>
        </w:tc>
        <w:tc>
          <w:tcPr>
            <w:tcW w:w="8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841,190</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1,974,657</w:t>
            </w:r>
          </w:p>
        </w:tc>
        <w:tc>
          <w:tcPr>
            <w:tcW w:w="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(79,856)</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2,158,362</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3,007</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2,161,369</w:t>
            </w: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 the Six Months Ended June 30, 2020</w:t>
            </w:r>
          </w:p>
        </w:tc>
        <w:tc>
          <w:tcPr>
            <w:tcW w:w="7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Balance as of December 31, 2019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91,909,430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9,191</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(15,344,917)</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(466,727)</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809,753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1,510,709</w:t>
            </w:r>
          </w:p>
        </w:tc>
        <w:tc>
          <w:tcPr>
            <w:tcW w:w="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(75,706)</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1,787,220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4,471</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1,791,691</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 (loss)</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93,235</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93,235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92,889</w:t>
            </w:r>
          </w:p>
        </w:tc>
        <w:tc>
          <w:tcPr>
            <w:tcW w:w="0" w:type="dxa"/>
            <w:vAlign w:val="bottom"/>
          </w:tcPr>
          <w:p>
            <w:pPr>
              <w:spacing w:after="0"/>
              <w:rPr>
                <w:sz w:val="1"/>
                <w:szCs w:val="1"/>
                <w:color w:val="auto"/>
              </w:rPr>
            </w:pPr>
          </w:p>
        </w:tc>
      </w:tr>
      <w:tr>
        <w:trPr>
          <w:trHeight w:val="160"/>
        </w:trPr>
        <w:tc>
          <w:tcPr>
            <w:tcW w:w="3060" w:type="dxa"/>
            <w:vAlign w:val="bottom"/>
          </w:tcPr>
          <w:p>
            <w:pPr>
              <w:ind w:left="80"/>
              <w:spacing w:after="0"/>
              <w:rPr>
                <w:sz w:val="20"/>
                <w:szCs w:val="20"/>
                <w:color w:val="auto"/>
              </w:rPr>
            </w:pPr>
            <w:r>
              <w:rPr>
                <w:rFonts w:ascii="Arial" w:cs="Arial" w:eastAsia="Arial" w:hAnsi="Arial"/>
                <w:sz w:val="11"/>
                <w:szCs w:val="11"/>
                <w:color w:val="auto"/>
              </w:rPr>
              <w:t>Other comprehensive loss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(25,423)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(25,423)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(25,423)</w:t>
            </w:r>
          </w:p>
        </w:tc>
        <w:tc>
          <w:tcPr>
            <w:tcW w:w="0" w:type="dxa"/>
            <w:vAlign w:val="bottom"/>
          </w:tcPr>
          <w:p>
            <w:pPr>
              <w:spacing w:after="0"/>
              <w:rPr>
                <w:sz w:val="1"/>
                <w:szCs w:val="1"/>
                <w:color w:val="auto"/>
              </w:rPr>
            </w:pPr>
          </w:p>
        </w:tc>
      </w:tr>
      <w:tr>
        <w:trPr>
          <w:trHeight w:val="164"/>
        </w:trPr>
        <w:tc>
          <w:tcPr>
            <w:tcW w:w="30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9,899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9,899</w:t>
            </w:r>
          </w:p>
        </w:tc>
        <w:tc>
          <w:tcPr>
            <w:tcW w:w="0" w:type="dxa"/>
            <w:vAlign w:val="bottom"/>
          </w:tcPr>
          <w:p>
            <w:pPr>
              <w:spacing w:after="0"/>
              <w:rPr>
                <w:sz w:val="1"/>
                <w:szCs w:val="1"/>
                <w:color w:val="auto"/>
              </w:rPr>
            </w:pPr>
          </w:p>
        </w:tc>
      </w:tr>
      <w:tr>
        <w:trPr>
          <w:trHeight w:val="160"/>
        </w:trPr>
        <w:tc>
          <w:tcPr>
            <w:tcW w:w="3060" w:type="dxa"/>
            <w:vAlign w:val="bottom"/>
          </w:tcPr>
          <w:p>
            <w:pPr>
              <w:ind w:left="80"/>
              <w:spacing w:after="0"/>
              <w:rPr>
                <w:sz w:val="20"/>
                <w:szCs w:val="20"/>
                <w:color w:val="auto"/>
              </w:rPr>
            </w:pPr>
            <w:r>
              <w:rPr>
                <w:rFonts w:ascii="Arial" w:cs="Arial" w:eastAsia="Arial" w:hAnsi="Arial"/>
                <w:sz w:val="11"/>
                <w:szCs w:val="11"/>
                <w:color w:val="auto"/>
              </w:rPr>
              <w:t>Issuance of restricted shares, net</w:t>
            </w:r>
          </w:p>
        </w:tc>
        <w:tc>
          <w:tcPr>
            <w:tcW w:w="740" w:type="dxa"/>
            <w:vAlign w:val="bottom"/>
          </w:tcPr>
          <w:p>
            <w:pPr>
              <w:jc w:val="right"/>
              <w:spacing w:after="0"/>
              <w:rPr>
                <w:sz w:val="20"/>
                <w:szCs w:val="20"/>
                <w:color w:val="auto"/>
              </w:rPr>
            </w:pPr>
            <w:r>
              <w:rPr>
                <w:rFonts w:ascii="Arial" w:cs="Arial" w:eastAsia="Arial" w:hAnsi="Arial"/>
                <w:sz w:val="11"/>
                <w:szCs w:val="11"/>
                <w:color w:val="auto"/>
              </w:rPr>
              <w:t>693,355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4"/>
        </w:trPr>
        <w:tc>
          <w:tcPr>
            <w:tcW w:w="306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stock issuances, net of shares withheld for taxes</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62,312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2,008</w:t>
            </w:r>
          </w:p>
        </w:tc>
        <w:tc>
          <w:tcPr>
            <w:tcW w:w="0" w:type="dxa"/>
            <w:vAlign w:val="bottom"/>
          </w:tcPr>
          <w:p>
            <w:pPr>
              <w:spacing w:after="0"/>
              <w:rPr>
                <w:sz w:val="1"/>
                <w:szCs w:val="1"/>
                <w:color w:val="auto"/>
              </w:rPr>
            </w:pPr>
          </w:p>
        </w:tc>
      </w:tr>
      <w:tr>
        <w:trPr>
          <w:trHeight w:val="160"/>
        </w:trPr>
        <w:tc>
          <w:tcPr>
            <w:tcW w:w="30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Acquisition of treasury stock, at cost</w:t>
            </w: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(3,597,009)</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(120,228)</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(120,228)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(120,228)</w:t>
            </w:r>
          </w:p>
        </w:tc>
        <w:tc>
          <w:tcPr>
            <w:tcW w:w="0" w:type="dxa"/>
            <w:vAlign w:val="bottom"/>
          </w:tcPr>
          <w:p>
            <w:pPr>
              <w:spacing w:after="0"/>
              <w:rPr>
                <w:sz w:val="1"/>
                <w:szCs w:val="1"/>
                <w:color w:val="auto"/>
              </w:rPr>
            </w:pPr>
          </w:p>
        </w:tc>
      </w:tr>
      <w:tr>
        <w:trPr>
          <w:trHeight w:val="133"/>
        </w:trPr>
        <w:tc>
          <w:tcPr>
            <w:tcW w:w="3060" w:type="dxa"/>
            <w:vAlign w:val="bottom"/>
            <w:shd w:val="clear" w:color="auto" w:fill="CCEEFF"/>
          </w:tcPr>
          <w:p>
            <w:pPr>
              <w:spacing w:after="0"/>
              <w:rPr>
                <w:sz w:val="20"/>
                <w:szCs w:val="20"/>
                <w:color w:val="auto"/>
              </w:rPr>
            </w:pPr>
            <w:r>
              <w:rPr>
                <w:rFonts w:ascii="Arial" w:cs="Arial" w:eastAsia="Arial" w:hAnsi="Arial"/>
                <w:sz w:val="11"/>
                <w:szCs w:val="11"/>
                <w:color w:val="auto"/>
              </w:rPr>
              <w:t>Balance as of June 30, 2020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92,665,097</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9,267</w:t>
            </w:r>
          </w:p>
        </w:tc>
        <w:tc>
          <w:tcPr>
            <w:tcW w:w="8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(18,941,926)</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(586,955)</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821,584</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1,603,944</w:t>
            </w:r>
          </w:p>
        </w:tc>
        <w:tc>
          <w:tcPr>
            <w:tcW w:w="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(101,129)</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1,746,711</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4,125</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1,750,836</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7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STATEMENTS OF CASH FLOWS</w:t>
      </w:r>
    </w:p>
    <w:p>
      <w:pPr>
        <w:jc w:val="center"/>
        <w:spacing w:after="0"/>
        <w:rPr>
          <w:sz w:val="20"/>
          <w:szCs w:val="20"/>
          <w:color w:val="auto"/>
        </w:rPr>
      </w:pPr>
      <w:r>
        <w:rPr>
          <w:rFonts w:ascii="Arial" w:cs="Arial" w:eastAsia="Arial" w:hAnsi="Arial"/>
          <w:sz w:val="11"/>
          <w:szCs w:val="11"/>
          <w:b w:val="1"/>
          <w:bCs w:val="1"/>
          <w:color w:val="auto"/>
        </w:rPr>
        <w:t>(unaudited -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80" w:type="dxa"/>
            <w:vAlign w:val="bottom"/>
          </w:tcPr>
          <w:p>
            <w:pPr>
              <w:spacing w:after="0"/>
              <w:rPr>
                <w:sz w:val="12"/>
                <w:szCs w:val="12"/>
                <w:color w:val="auto"/>
              </w:rPr>
            </w:pPr>
          </w:p>
        </w:tc>
        <w:tc>
          <w:tcPr>
            <w:tcW w:w="2440" w:type="dxa"/>
            <w:vAlign w:val="bottom"/>
            <w:tcBorders>
              <w:bottom w:val="single" w:sz="8" w:color="auto"/>
            </w:tcBorders>
            <w:gridSpan w:val="4"/>
          </w:tcPr>
          <w:p>
            <w:pPr>
              <w:jc w:val="right"/>
              <w:ind w:right="66"/>
              <w:spacing w:after="0"/>
              <w:rPr>
                <w:sz w:val="20"/>
                <w:szCs w:val="20"/>
                <w:color w:val="auto"/>
              </w:rPr>
            </w:pPr>
            <w:r>
              <w:rPr>
                <w:rFonts w:ascii="Arial" w:cs="Arial" w:eastAsia="Arial" w:hAnsi="Arial"/>
                <w:sz w:val="11"/>
                <w:szCs w:val="11"/>
                <w:b w:val="1"/>
                <w:bCs w:val="1"/>
                <w:color w:val="auto"/>
              </w:rPr>
              <w:t>For the Six Months Ended June 30,</w:t>
            </w:r>
          </w:p>
        </w:tc>
        <w:tc>
          <w:tcPr>
            <w:tcW w:w="560" w:type="dxa"/>
            <w:vAlign w:val="bottom"/>
            <w:tcBorders>
              <w:bottom w:val="single" w:sz="8" w:color="auto"/>
            </w:tcBorders>
          </w:tcPr>
          <w:p>
            <w:pPr>
              <w:spacing w:after="0"/>
              <w:rPr>
                <w:sz w:val="12"/>
                <w:szCs w:val="12"/>
                <w:color w:val="auto"/>
              </w:rPr>
            </w:pPr>
          </w:p>
        </w:tc>
      </w:tr>
      <w:tr>
        <w:trPr>
          <w:trHeight w:val="133"/>
        </w:trPr>
        <w:tc>
          <w:tcPr>
            <w:tcW w:w="82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1"/>
                <w:szCs w:val="11"/>
                <w:color w:val="auto"/>
              </w:rPr>
            </w:pPr>
          </w:p>
        </w:tc>
      </w:tr>
      <w:tr>
        <w:trPr>
          <w:trHeight w:val="126"/>
        </w:trPr>
        <w:tc>
          <w:tcPr>
            <w:tcW w:w="82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Cash flows from operating activities:</w:t>
            </w: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2"/>
        </w:trPr>
        <w:tc>
          <w:tcPr>
            <w:tcW w:w="82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ind w:right="81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141,877</w:t>
            </w:r>
          </w:p>
        </w:tc>
        <w:tc>
          <w:tcPr>
            <w:tcW w:w="80" w:type="dxa"/>
            <w:vAlign w:val="bottom"/>
          </w:tcPr>
          <w:p>
            <w:pPr>
              <w:spacing w:after="0"/>
              <w:rPr>
                <w:sz w:val="12"/>
                <w:szCs w:val="12"/>
                <w:color w:val="auto"/>
              </w:rPr>
            </w:pPr>
          </w:p>
        </w:tc>
        <w:tc>
          <w:tcPr>
            <w:tcW w:w="900" w:type="dxa"/>
            <w:vAlign w:val="bottom"/>
          </w:tcPr>
          <w:p>
            <w:pPr>
              <w:jc w:val="right"/>
              <w:ind w:right="76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92,889</w:t>
            </w:r>
          </w:p>
        </w:tc>
      </w:tr>
      <w:tr>
        <w:trPr>
          <w:trHeight w:val="146"/>
        </w:trPr>
        <w:tc>
          <w:tcPr>
            <w:tcW w:w="82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Depreciation</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166,766</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110,776</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Amortization of intangible assets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31,170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17,184</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Non-cash interest expense, net</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1,563</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1,451</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Non-cash stock-based compensation expense</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11,600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9,899</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Benefit from deferred income taxes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(1,594)</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(20,575)</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Equity in earnings of unconsolidated affiliates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(14,871)</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(14,647)</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Gains on sales of assets, net</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(5,975)</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(8,334)</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non-cash items, net</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(7,836)</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12,297</w:t>
            </w:r>
          </w:p>
        </w:tc>
      </w:tr>
      <w:tr>
        <w:trPr>
          <w:trHeight w:val="142"/>
        </w:trPr>
        <w:tc>
          <w:tcPr>
            <w:tcW w:w="8280" w:type="dxa"/>
            <w:vAlign w:val="bottom"/>
          </w:tcPr>
          <w:p>
            <w:pPr>
              <w:ind w:left="120"/>
              <w:spacing w:after="0"/>
              <w:rPr>
                <w:sz w:val="20"/>
                <w:szCs w:val="20"/>
                <w:color w:val="auto"/>
              </w:rPr>
            </w:pPr>
            <w:r>
              <w:rPr>
                <w:rFonts w:ascii="Arial" w:cs="Arial" w:eastAsia="Arial" w:hAnsi="Arial"/>
                <w:sz w:val="11"/>
                <w:szCs w:val="11"/>
                <w:color w:val="auto"/>
              </w:rPr>
              <w:t>Changes in assets and liabilities, net of acquisitions:</w:t>
            </w: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Accounts receivable</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32,710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(60,246)</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Contract assets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(46,148)</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64,321</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Inventories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5,167</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(4,629)</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Other assets, current and long-term portion</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(2,604)</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31,234</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Accounts payable and accrued expenses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60,452</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164,297</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Contract liabilities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(16,020)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130,784</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liabilities, current and long-term portion</w:t>
            </w:r>
          </w:p>
        </w:tc>
        <w:tc>
          <w:tcPr>
            <w:tcW w:w="9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(6,915)</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(59,481)</w:t>
            </w:r>
          </w:p>
        </w:tc>
      </w:tr>
      <w:tr>
        <w:trPr>
          <w:trHeight w:val="131"/>
        </w:trPr>
        <w:tc>
          <w:tcPr>
            <w:tcW w:w="82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Net cash provided by operating activities</w:t>
            </w:r>
          </w:p>
        </w:tc>
        <w:tc>
          <w:tcPr>
            <w:tcW w:w="920" w:type="dxa"/>
            <w:vAlign w:val="bottom"/>
            <w:tcBorders>
              <w:bottom w:val="single" w:sz="8" w:color="auto"/>
            </w:tcBorders>
          </w:tcPr>
          <w:p>
            <w:pPr>
              <w:jc w:val="right"/>
              <w:ind w:right="8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349,342</w:t>
            </w: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467,220</w:t>
            </w:r>
          </w:p>
        </w:tc>
      </w:tr>
      <w:tr>
        <w:trPr>
          <w:trHeight w:val="126"/>
        </w:trPr>
        <w:tc>
          <w:tcPr>
            <w:tcW w:w="828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Cash flows from investing activities:</w:t>
            </w: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Cash paid for acquisitions, net of cash acquired</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(589,055)</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(10,493)</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Capital expenditures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(97,029)</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(132,755)</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Proceeds from sale of property and equipment</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12,960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17,861</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Payments for other investments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(6,197)</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(16,777)</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Proceeds from other investments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557</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648</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investing activities, net</w:t>
            </w:r>
          </w:p>
        </w:tc>
        <w:tc>
          <w:tcPr>
            <w:tcW w:w="9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2,650</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4,843</w:t>
            </w:r>
          </w:p>
        </w:tc>
      </w:tr>
      <w:tr>
        <w:trPr>
          <w:trHeight w:val="131"/>
        </w:trPr>
        <w:tc>
          <w:tcPr>
            <w:tcW w:w="82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Net cash used in investing activities</w:t>
            </w:r>
          </w:p>
        </w:tc>
        <w:tc>
          <w:tcPr>
            <w:tcW w:w="920" w:type="dxa"/>
            <w:vAlign w:val="bottom"/>
            <w:tcBorders>
              <w:bottom w:val="single" w:sz="8" w:color="auto"/>
            </w:tcBorders>
          </w:tcPr>
          <w:p>
            <w:pPr>
              <w:jc w:val="right"/>
              <w:ind w:right="8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(676,114)</w:t>
            </w: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(136,673)</w:t>
            </w:r>
          </w:p>
        </w:tc>
      </w:tr>
      <w:tr>
        <w:trPr>
          <w:trHeight w:val="126"/>
        </w:trPr>
        <w:tc>
          <w:tcPr>
            <w:tcW w:w="828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Cash flows from financing activities:</w:t>
            </w: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Proceeds from credit facilities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414,741</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1,235,935</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Repayments of credit facilities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(161,375)</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(1,401,899)</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Payments of finance lease obligations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(76,630)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(61,587)</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Payments of acquisition-related contingent consideration</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(20,893)</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(10,097)</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Payments to non-controlling interests, including acquisition of interests and distributions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(8,888)</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Payments for stock-based awards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(3,774)</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(593)</w:t>
            </w:r>
          </w:p>
        </w:tc>
      </w:tr>
      <w:tr>
        <w:trPr>
          <w:trHeight w:val="142"/>
        </w:trPr>
        <w:tc>
          <w:tcPr>
            <w:tcW w:w="8280" w:type="dxa"/>
            <w:vAlign w:val="bottom"/>
          </w:tcPr>
          <w:p>
            <w:pPr>
              <w:ind w:left="140"/>
              <w:spacing w:after="0"/>
              <w:rPr>
                <w:sz w:val="20"/>
                <w:szCs w:val="20"/>
                <w:color w:val="auto"/>
              </w:rPr>
            </w:pPr>
            <w:r>
              <w:rPr>
                <w:rFonts w:ascii="Arial" w:cs="Arial" w:eastAsia="Arial" w:hAnsi="Arial"/>
                <w:sz w:val="11"/>
                <w:szCs w:val="11"/>
                <w:color w:val="auto"/>
              </w:rPr>
              <w:t>Proceeds from stock-based awards</w:t>
            </w: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3,936</w:t>
            </w:r>
          </w:p>
        </w:tc>
      </w:tr>
      <w:tr>
        <w:trPr>
          <w:trHeight w:val="146"/>
        </w:trPr>
        <w:tc>
          <w:tcPr>
            <w:tcW w:w="82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Repurchases of common stock</w:t>
            </w: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(120,228)</w:t>
            </w:r>
          </w:p>
        </w:tc>
      </w:tr>
      <w:tr>
        <w:trPr>
          <w:trHeight w:val="142"/>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financing activities, net</w:t>
            </w:r>
          </w:p>
        </w:tc>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(2,343)</w:t>
            </w: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r>
      <w:tr>
        <w:trPr>
          <w:trHeight w:val="135"/>
        </w:trPr>
        <w:tc>
          <w:tcPr>
            <w:tcW w:w="8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cash provided by (used in) financing activities</w:t>
            </w:r>
          </w:p>
        </w:tc>
        <w:tc>
          <w:tcPr>
            <w:tcW w:w="9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140,838</w:t>
            </w:r>
          </w:p>
        </w:tc>
        <w:tc>
          <w:tcPr>
            <w:tcW w:w="8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(354,550)</w:t>
            </w:r>
          </w:p>
        </w:tc>
      </w:tr>
      <w:tr>
        <w:trPr>
          <w:trHeight w:val="131"/>
        </w:trPr>
        <w:tc>
          <w:tcPr>
            <w:tcW w:w="8280" w:type="dxa"/>
            <w:vAlign w:val="bottom"/>
          </w:tcPr>
          <w:p>
            <w:pPr>
              <w:ind w:left="20"/>
              <w:spacing w:after="0"/>
              <w:rPr>
                <w:sz w:val="20"/>
                <w:szCs w:val="20"/>
                <w:color w:val="auto"/>
              </w:rPr>
            </w:pPr>
            <w:r>
              <w:rPr>
                <w:rFonts w:ascii="Arial" w:cs="Arial" w:eastAsia="Arial" w:hAnsi="Arial"/>
                <w:sz w:val="11"/>
                <w:szCs w:val="11"/>
                <w:color w:val="auto"/>
              </w:rPr>
              <w:t>Effect of currency translation on cash</w:t>
            </w:r>
          </w:p>
        </w:tc>
        <w:tc>
          <w:tcPr>
            <w:tcW w:w="9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1,214</w:t>
            </w:r>
          </w:p>
        </w:tc>
      </w:tr>
      <w:tr>
        <w:trPr>
          <w:trHeight w:val="14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decrease in cash and cash equivalents</w:t>
            </w:r>
          </w:p>
        </w:tc>
        <w:tc>
          <w:tcPr>
            <w:tcW w:w="9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(185,847)</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(22,789)</w:t>
            </w:r>
          </w:p>
        </w:tc>
      </w:tr>
      <w:tr>
        <w:trPr>
          <w:trHeight w:val="13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 - beginning of period</w:t>
            </w:r>
          </w:p>
        </w:tc>
        <w:tc>
          <w:tcPr>
            <w:tcW w:w="920" w:type="dxa"/>
            <w:vAlign w:val="bottom"/>
            <w:tcBorders>
              <w:bottom w:val="single" w:sz="8" w:color="auto"/>
            </w:tcBorders>
          </w:tcPr>
          <w:p>
            <w:pPr>
              <w:jc w:val="right"/>
              <w:ind w:right="8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423,118</w:t>
            </w: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71,427</w:t>
            </w:r>
          </w:p>
        </w:tc>
      </w:tr>
      <w:tr>
        <w:trPr>
          <w:trHeight w:val="133"/>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 - end of period</w:t>
            </w:r>
          </w:p>
        </w:tc>
        <w:tc>
          <w:tcPr>
            <w:tcW w:w="9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237,271</w:t>
            </w:r>
          </w:p>
        </w:tc>
        <w:tc>
          <w:tcPr>
            <w:tcW w:w="8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48,638</w:t>
            </w:r>
          </w:p>
        </w:tc>
      </w:tr>
      <w:tr>
        <w:trPr>
          <w:trHeight w:val="126"/>
        </w:trPr>
        <w:tc>
          <w:tcPr>
            <w:tcW w:w="8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71"/>
        </w:trPr>
        <w:tc>
          <w:tcPr>
            <w:tcW w:w="8280" w:type="dxa"/>
            <w:vAlign w:val="bottom"/>
            <w:shd w:val="clear" w:color="auto" w:fill="CCEEFF"/>
          </w:tcPr>
          <w:p>
            <w:pPr>
              <w:ind w:left="40"/>
              <w:spacing w:after="0"/>
              <w:rPr>
                <w:sz w:val="20"/>
                <w:szCs w:val="20"/>
                <w:color w:val="auto"/>
              </w:rPr>
            </w:pPr>
            <w:r>
              <w:rPr>
                <w:rFonts w:ascii="Arial" w:cs="Arial" w:eastAsia="Arial" w:hAnsi="Arial"/>
                <w:sz w:val="11"/>
                <w:szCs w:val="11"/>
                <w:color w:val="auto"/>
              </w:rPr>
              <w:t>Supplemental cash flow information:</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42"/>
        </w:trPr>
        <w:tc>
          <w:tcPr>
            <w:tcW w:w="8280" w:type="dxa"/>
            <w:vAlign w:val="bottom"/>
          </w:tcPr>
          <w:p>
            <w:pPr>
              <w:ind w:left="200"/>
              <w:spacing w:after="0"/>
              <w:rPr>
                <w:sz w:val="20"/>
                <w:szCs w:val="20"/>
                <w:color w:val="auto"/>
              </w:rPr>
            </w:pPr>
            <w:r>
              <w:rPr>
                <w:rFonts w:ascii="Arial" w:cs="Arial" w:eastAsia="Arial" w:hAnsi="Arial"/>
                <w:sz w:val="11"/>
                <w:szCs w:val="11"/>
                <w:color w:val="auto"/>
              </w:rPr>
              <w:t>Interest paid</w:t>
            </w:r>
          </w:p>
        </w:tc>
        <w:tc>
          <w:tcPr>
            <w:tcW w:w="920" w:type="dxa"/>
            <w:vAlign w:val="bottom"/>
          </w:tcPr>
          <w:p>
            <w:pPr>
              <w:jc w:val="right"/>
              <w:ind w:right="81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28,401</w:t>
            </w:r>
          </w:p>
        </w:tc>
        <w:tc>
          <w:tcPr>
            <w:tcW w:w="80" w:type="dxa"/>
            <w:vAlign w:val="bottom"/>
          </w:tcPr>
          <w:p>
            <w:pPr>
              <w:spacing w:after="0"/>
              <w:rPr>
                <w:sz w:val="12"/>
                <w:szCs w:val="12"/>
                <w:color w:val="auto"/>
              </w:rPr>
            </w:pPr>
          </w:p>
        </w:tc>
        <w:tc>
          <w:tcPr>
            <w:tcW w:w="900" w:type="dxa"/>
            <w:vAlign w:val="bottom"/>
          </w:tcPr>
          <w:p>
            <w:pPr>
              <w:jc w:val="right"/>
              <w:ind w:right="76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33,046</w:t>
            </w:r>
          </w:p>
        </w:tc>
      </w:tr>
      <w:tr>
        <w:trPr>
          <w:trHeight w:val="146"/>
        </w:trPr>
        <w:tc>
          <w:tcPr>
            <w:tcW w:w="8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Income tax payments, net of refunds</w:t>
            </w:r>
          </w:p>
        </w:tc>
        <w:tc>
          <w:tcPr>
            <w:tcW w:w="920" w:type="dxa"/>
            <w:vAlign w:val="bottom"/>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61,180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1,469</w:t>
            </w:r>
          </w:p>
        </w:tc>
      </w:tr>
      <w:tr>
        <w:trPr>
          <w:trHeight w:val="153"/>
        </w:trPr>
        <w:tc>
          <w:tcPr>
            <w:tcW w:w="8280" w:type="dxa"/>
            <w:vAlign w:val="bottom"/>
          </w:tcPr>
          <w:p>
            <w:pPr>
              <w:ind w:left="40"/>
              <w:spacing w:after="0"/>
              <w:rPr>
                <w:sz w:val="20"/>
                <w:szCs w:val="20"/>
                <w:color w:val="auto"/>
              </w:rPr>
            </w:pPr>
            <w:r>
              <w:rPr>
                <w:rFonts w:ascii="Arial" w:cs="Arial" w:eastAsia="Arial" w:hAnsi="Arial"/>
                <w:sz w:val="11"/>
                <w:szCs w:val="11"/>
                <w:color w:val="auto"/>
              </w:rPr>
              <w:t>Supplemental disclosure of non-cash information:</w:t>
            </w: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4"/>
        </w:trPr>
        <w:tc>
          <w:tcPr>
            <w:tcW w:w="8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Additions to property and equipment from finance leases</w:t>
            </w:r>
          </w:p>
        </w:tc>
        <w:tc>
          <w:tcPr>
            <w:tcW w:w="920" w:type="dxa"/>
            <w:vAlign w:val="bottom"/>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98,984</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44,987</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1"/>
          <w:szCs w:val="11"/>
          <w:b w:val="1"/>
          <w:bCs w:val="1"/>
          <w:color w:val="auto"/>
        </w:rPr>
        <w:t>MASTEC,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w:t>
      </w:r>
    </w:p>
    <w:p>
      <w:pPr>
        <w:jc w:val="center"/>
        <w:spacing w:after="0"/>
        <w:rPr>
          <w:sz w:val="20"/>
          <w:szCs w:val="20"/>
          <w:color w:val="auto"/>
        </w:rPr>
      </w:pPr>
      <w:r>
        <w:rPr>
          <w:rFonts w:ascii="Arial" w:cs="Arial" w:eastAsia="Arial" w:hAnsi="Arial"/>
          <w:sz w:val="11"/>
          <w:szCs w:val="11"/>
          <w:b w:val="1"/>
          <w:bCs w:val="1"/>
          <w:color w:val="auto"/>
        </w:rPr>
        <w:t>(Unaudited)</w:t>
      </w:r>
    </w:p>
    <w:p>
      <w:pPr>
        <w:spacing w:after="0" w:line="6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1 – Business, Basis of Presentation and Significant Accounting Policies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Nature of the Business</w:t>
      </w:r>
    </w:p>
    <w:p>
      <w:pPr>
        <w:spacing w:after="0" w:line="72"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power generation, primarily from clean energy and renewable sources; pipeline infrastructure; electrical utility transmission and distribution; heavy civil; and industrial infrastructure. MasTec’s customers are primarily in these industries. MasTec reports its results under five reportable segments: (1) Communications; (2) Clean Energy and Infrastructure; (3) Oil and Gas; (4) Electrical Transmission; and (5) Other. See Note 13 - Segments and Related Information.</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Basis of Presentation</w:t>
      </w:r>
    </w:p>
    <w:p>
      <w:pPr>
        <w:spacing w:after="0" w:line="72" w:lineRule="exact"/>
        <w:rPr>
          <w:sz w:val="20"/>
          <w:szCs w:val="20"/>
          <w:color w:val="auto"/>
        </w:rPr>
      </w:pPr>
    </w:p>
    <w:p>
      <w:pPr>
        <w:jc w:val="both"/>
        <w:ind w:firstLine="433"/>
        <w:spacing w:after="0" w:line="271" w:lineRule="auto"/>
        <w:rPr>
          <w:sz w:val="20"/>
          <w:szCs w:val="20"/>
          <w:color w:val="auto"/>
        </w:rPr>
      </w:pPr>
      <w:r>
        <w:rPr>
          <w:rFonts w:ascii="Arial" w:cs="Arial" w:eastAsia="Arial" w:hAnsi="Arial"/>
          <w:sz w:val="10"/>
          <w:szCs w:val="10"/>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2020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2020 contained in the Company’s 2020 Annual Report on Form 10-K (the “2020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Principles of Consolidation</w:t>
      </w:r>
    </w:p>
    <w:p>
      <w:pPr>
        <w:spacing w:after="0" w:line="72"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The Company applies the equity method of accounting for its investments in entities for which it does not have a controlling financial interest, but over which it has the ability to exert significant influence. See Note 4 - Fair Value of Financial Instruments.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Translation of Foreign Currencies</w:t>
      </w:r>
    </w:p>
    <w:p>
      <w:pPr>
        <w:spacing w:after="0" w:line="72"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these consolidated financial statements, “$” means U.S. dollars unless otherwise noted.</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Management Estimates</w:t>
      </w:r>
    </w:p>
    <w:p>
      <w:pPr>
        <w:spacing w:after="0" w:line="72" w:lineRule="exact"/>
        <w:rPr>
          <w:sz w:val="20"/>
          <w:szCs w:val="20"/>
          <w:color w:val="auto"/>
        </w:rPr>
      </w:pPr>
    </w:p>
    <w:p>
      <w:pPr>
        <w:jc w:val="both"/>
        <w:ind w:firstLine="120"/>
        <w:spacing w:after="0" w:line="278" w:lineRule="auto"/>
        <w:rPr>
          <w:sz w:val="20"/>
          <w:szCs w:val="20"/>
          <w:color w:val="auto"/>
        </w:rPr>
      </w:pPr>
      <w:r>
        <w:rPr>
          <w:rFonts w:ascii="Arial" w:cs="Arial" w:eastAsia="Arial" w:hAnsi="Arial"/>
          <w:sz w:val="10"/>
          <w:szCs w:val="10"/>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the COVID-19 pandemic, climate change, and other global and/or macroeconomic trends and events.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spacing w:after="0" w:line="45"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and intangible assets, acquisition-related contingent consideration and other liabilities, equity investments and other long-lived assets; allowances for credit losses; asset lives used in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color w:val="auto"/>
        </w:rPr>
        <w:t>computing depreciation and amortization; fair values of financial instruments; self-insurance liabilities; other accruals and allowances; income taxes; and the estimated effects of litigation and other contingencies.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COVID-19 Pandemic</w:t>
      </w:r>
    </w:p>
    <w:p>
      <w:pPr>
        <w:spacing w:after="0" w:line="72"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The novel coronavirus (“COVID-19”) pandemic disrupted business activities and significantly affected global economic conditions at the beginning of 2020 and continuing into 2021 as federal, state and local governments imposed restrictions and mitigation measures to contain COVID-19 or slow its spread, resulting in workforce, supply chain and production disruptions and creating significant uncertainties in the U.S. and global economies. While the adverse effects of these restrictions and mitigation measures partially subsided in the United States beginning in the second half of 2020, the COVID-19 pandemic varies by region and the possibility of future restrictions remains, particularly as a new Delta variant of COVID-19 appears to be causing an increase in COVID-19 cases.</w:t>
      </w:r>
    </w:p>
    <w:p>
      <w:pPr>
        <w:spacing w:after="0" w:line="61" w:lineRule="exact"/>
        <w:rPr>
          <w:sz w:val="20"/>
          <w:szCs w:val="20"/>
          <w:color w:val="auto"/>
        </w:rPr>
      </w:pPr>
    </w:p>
    <w:p>
      <w:pPr>
        <w:jc w:val="both"/>
        <w:ind w:firstLine="433"/>
        <w:spacing w:after="0" w:line="242" w:lineRule="auto"/>
        <w:rPr>
          <w:sz w:val="20"/>
          <w:szCs w:val="20"/>
          <w:color w:val="auto"/>
        </w:rPr>
      </w:pPr>
      <w:r>
        <w:rPr>
          <w:rFonts w:ascii="Arial" w:cs="Arial" w:eastAsia="Arial" w:hAnsi="Arial"/>
          <w:sz w:val="11"/>
          <w:szCs w:val="11"/>
          <w:color w:val="auto"/>
        </w:rPr>
        <w:t>As a provider of essential services, all of the Company’s business segments continued to operate throughout the pandemic, and, where safe and possible, the Company was generally directed by its customers to maintain normal work schedules. The Company’s business model has, thus far, proven resilient, and management continues to adapt to the changing operational and economic environment that has resulted from the COVID-19 pandemic. Management’s top priority has been to take appropriate actions to protect the health and safety of its employees, customers and business partners. The Company has adjusted its standard operating procedures within its business operations to ensure employee and customer safety and is continually monitoring evolving health guidelines and responding to changes as appropriate. The COVID-19 pandemic has had a negative impact on the Company’s operations since 2020 and may continue to affect its business activities throughout 2021. These impacts include lost productivity from governmental permitting approval delays, reduced crew productivity due to social distancing and other mitigation measures, the health and availability of work crews or other key personnel, including subcontractors or supply chain disruptions, and/or delayed project start dates, project shutdowns or cancellations that may be mandated or requested by governmental authorities or others, all of which could result in lower revenue or higher operating costs and/or create lower levels of overhead cost absorption.</w:t>
      </w:r>
    </w:p>
    <w:p>
      <w:pPr>
        <w:spacing w:after="0" w:line="63"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Several relief measures have been enacted in response to the effects of the COVID-19 pandemic, including the Coronavirus Aid, Relief and Economic Security Act (the “CARES Act”) and the Coronavirus Response and Relief Supplemental Appropriations Act (the “Coronavirus Relief Act”). The CARES Act permitted deferral and/or reduction of certain federal and payroll tax amounts, certain of which the Company pursued, including the deferral of approximately $59 million of payroll taxes, half of which are due by December 31, 2021, with the remainder due by December 31, 2022. The Company will continue to monitor and evaluate the potential effects, usefulness of, and qualification for, additional COVID-19 relief measures on the Company’s financial position, results of operations and cash flows.</w:t>
      </w:r>
    </w:p>
    <w:p>
      <w:pPr>
        <w:spacing w:after="0" w:line="61"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Notwithstanding moderation of the COVID-19 pandemic and easing of governmental and other restrictions, the Company may continue to experience negative effects on its business and operations from possible longer-term changes in consumer and customer behavior, and/or from continuing negative economic conditions. The Company believes that it has taken appropriate steps to mitigate the impacts of the COVID-19 pandemic on its business; however, the potential effects of the COVID-19 pandemic are uncertain, as they depend upon numerous evolving factors that management may not be able to accurately predict. The availability, acceptance, administration and effectiveness (and the duration of such effectiveness) of treatments and vaccines, along with the length and extent of any continuing economic and market disruptions are unknown, and, therefore, any future impacts on our business, financial condition and/or results of operations cannot be quantified or predicted with specificity.</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Significant Accounting Policies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Revenue Recognition</w:t>
      </w:r>
    </w:p>
    <w:p>
      <w:pPr>
        <w:spacing w:after="0" w:line="7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The Company recognizes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 recognized by the Company over time utilizing the cost-to-cost measure of progress, which best depicts the continuous transfer of control of goods or services to the customer, and correspondingly, when performance obligations are satisfied for the related contracts.</w:t>
      </w:r>
    </w:p>
    <w:p>
      <w:pPr>
        <w:spacing w:after="0" w:line="41"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b w:val="1"/>
          <w:bCs w:val="1"/>
          <w:i w:val="1"/>
          <w:iCs w:val="1"/>
          <w:color w:val="auto"/>
        </w:rPr>
        <w:t xml:space="preserve">Contracts. </w:t>
      </w:r>
      <w:r>
        <w:rPr>
          <w:rFonts w:ascii="Arial" w:cs="Arial" w:eastAsia="Arial" w:hAnsi="Arial"/>
          <w:sz w:val="10"/>
          <w:szCs w:val="10"/>
          <w:color w:val="auto"/>
        </w:rPr>
        <w:t>The Company derives revenue primarily from construction projects performed under: (i) master and other service agreements, which provide a menu of available services in a specific geographic territory that are utilized on an as-needed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32% and 36% of consolidated revenue for the three month periods ended June 30, 2021 and 2020, respectively, and totaled 31% and 39% for the six month periods ended June 30, 2021 and 2020, respectively.</w:t>
      </w:r>
    </w:p>
    <w:p>
      <w:pPr>
        <w:spacing w:after="0" w:line="45" w:lineRule="exact"/>
        <w:rPr>
          <w:sz w:val="20"/>
          <w:szCs w:val="20"/>
          <w:color w:val="auto"/>
        </w:rPr>
      </w:pPr>
    </w:p>
    <w:p>
      <w:pPr>
        <w:jc w:val="both"/>
        <w:ind w:right="20" w:firstLine="433"/>
        <w:spacing w:after="0" w:line="285" w:lineRule="auto"/>
        <w:rPr>
          <w:sz w:val="20"/>
          <w:szCs w:val="20"/>
          <w:color w:val="auto"/>
        </w:rPr>
      </w:pPr>
      <w:r>
        <w:rPr>
          <w:rFonts w:ascii="Arial" w:cs="Arial" w:eastAsia="Arial" w:hAnsi="Arial"/>
          <w:sz w:val="10"/>
          <w:szCs w:val="10"/>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4% of consolidated revenue for both the three and six month periods ended June 30, 2021, and accounted for approximately 5% of consolidated revenue for both the three and six month periods ended June 30, 2020. Substantially all of the Company’s other revenue is recognized over time.</w:t>
      </w:r>
    </w:p>
    <w:p>
      <w:pPr>
        <w:spacing w:after="0" w:line="41" w:lineRule="exact"/>
        <w:rPr>
          <w:sz w:val="20"/>
          <w:szCs w:val="20"/>
          <w:color w:val="auto"/>
        </w:rPr>
      </w:pPr>
    </w:p>
    <w:p>
      <w:pPr>
        <w:jc w:val="both"/>
        <w:ind w:firstLine="433"/>
        <w:spacing w:after="0" w:line="318" w:lineRule="auto"/>
        <w:rPr>
          <w:sz w:val="20"/>
          <w:szCs w:val="20"/>
          <w:color w:val="auto"/>
        </w:rPr>
      </w:pPr>
      <w:r>
        <w:rPr>
          <w:rFonts w:ascii="Arial" w:cs="Arial" w:eastAsia="Arial" w:hAnsi="Arial"/>
          <w:sz w:val="9"/>
          <w:szCs w:val="9"/>
          <w:color w:val="auto"/>
        </w:rPr>
        <w:t>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six month periods ended June 30, 2021 and 2020,</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0" w:name="page11"/>
    <w:bookmarkEnd w:id="10"/>
    <w:p>
      <w:pPr>
        <w:jc w:val="both"/>
        <w:spacing w:after="0" w:line="249" w:lineRule="auto"/>
        <w:rPr>
          <w:sz w:val="20"/>
          <w:szCs w:val="20"/>
          <w:color w:val="auto"/>
        </w:rPr>
      </w:pPr>
      <w:r>
        <w:rPr>
          <w:rFonts w:ascii="Arial" w:cs="Arial" w:eastAsia="Arial" w:hAnsi="Arial"/>
          <w:sz w:val="11"/>
          <w:szCs w:val="11"/>
          <w:color w:val="auto"/>
        </w:rPr>
        <w:t>project profit was affected by less than 5% as a result of changes in contract estimates included in projects that were in process as of December 31, 2020 and 2019. Revenue recognized for the three month periods ended June 30, 2021 and 2020 as a result of changes in total contract transaction price estimates, including from variable consideration, from performance obligations satisfied or partially satisfied in prior periods, totaled approximately $30.5 million and $5.4 million, respectively, and totaled $37.0 million and $15.8 million for the six month periods ended June 30, 2021 and 2020, respectively.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9"/>
          <w:szCs w:val="9"/>
          <w:color w:val="auto"/>
        </w:rPr>
        <w:t>The Company may incur certain costs that can be capitalized, such as initial set-up or mobilization costs. Such costs, which are amortized over the life of the respective projects, were $2.7 million and $5.5 million as of June 30, 2021 and December 31,</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2020.</w:t>
      </w:r>
    </w:p>
    <w:p>
      <w:pPr>
        <w:spacing w:after="0" w:line="64"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b w:val="1"/>
          <w:bCs w:val="1"/>
          <w:i w:val="1"/>
          <w:iCs w:val="1"/>
          <w:color w:val="auto"/>
        </w:rPr>
        <w:t xml:space="preserve">Performance Obligations. </w:t>
      </w:r>
      <w:r>
        <w:rPr>
          <w:rFonts w:ascii="Arial" w:cs="Arial" w:eastAsia="Arial" w:hAnsi="Arial"/>
          <w:sz w:val="11"/>
          <w:szCs w:val="11"/>
          <w:color w:val="auto"/>
        </w:rPr>
        <w:t>A performance obligation is a contractual promise to transfer a distinct good or service to a customer and is the unit of account under Topic 606. The transaction price of a contract is allocated to each distinct performance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obligation and recognized as revenue when or as the performance obligation is satisfied. The vast majority of the Company’s performance obligations are completed within one year.</w:t>
      </w:r>
    </w:p>
    <w:p>
      <w:pPr>
        <w:spacing w:after="0" w:line="53"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June 30, 2021, the amount of the Company’s remaining performance obligations was $5.2 billion. Based on current expectations, the Company anticipates it will recognize approximately $2.9 billion of its remaining performance obligations as revenue during 2021, with the majority of the remaining balance to be recognized in 2022.</w:t>
      </w:r>
    </w:p>
    <w:p>
      <w:pPr>
        <w:spacing w:after="0" w:line="57"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b w:val="1"/>
          <w:bCs w:val="1"/>
          <w:i w:val="1"/>
          <w:iCs w:val="1"/>
          <w:color w:val="auto"/>
        </w:rPr>
        <w:t xml:space="preserve">Variable Consideration. </w:t>
      </w:r>
      <w:r>
        <w:rPr>
          <w:rFonts w:ascii="Arial" w:cs="Arial" w:eastAsia="Arial" w:hAnsi="Arial"/>
          <w:sz w:val="11"/>
          <w:szCs w:val="11"/>
          <w:color w:val="auto"/>
        </w:rPr>
        <w:t>Transaction prices for the Company’s contracts may include variable consideration, which comprises items such as change orders, claims and incentives. Management estimates variable consideration for a performance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61"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As of June 30, 2021 and December 31, 2020, the Company included approximately $97 million and $51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June 30, 2021 and December 31, 2020, these change orders and/or claims related to projects across the Company’s segments.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Recently Issued Accounting Pronouncements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discussion below describes the effects of recent accounting pronouncements, as updated from the discussion in the Company’s 2020 Form 10-K.</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Accounting Pronouncements Adopted in 2021</w:t>
      </w:r>
    </w:p>
    <w:p>
      <w:pPr>
        <w:spacing w:after="0" w:line="72"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252525"/>
        </w:rPr>
        <w:t xml:space="preserve">In December 2019, the FASB issued ASU 2019-12, </w:t>
      </w:r>
      <w:r>
        <w:rPr>
          <w:rFonts w:ascii="Arial" w:cs="Arial" w:eastAsia="Arial" w:hAnsi="Arial"/>
          <w:sz w:val="11"/>
          <w:szCs w:val="11"/>
          <w:i w:val="1"/>
          <w:iCs w:val="1"/>
          <w:color w:val="252525"/>
        </w:rPr>
        <w:t>Income Taxes (Topic 740): Simplifying the Accounting for Income Taxes</w:t>
      </w:r>
      <w:r>
        <w:rPr>
          <w:rFonts w:ascii="Arial" w:cs="Arial" w:eastAsia="Arial" w:hAnsi="Arial"/>
          <w:sz w:val="11"/>
          <w:szCs w:val="11"/>
          <w:color w:val="252525"/>
        </w:rPr>
        <w:t xml:space="preserve"> (“ASU 2019-12”), which eliminates certain exceptions to the existing guidance for income taxes related to the approach for intra-period tax allocations, the methodology for calculating income taxes in an interim period and the recognition of deferred tax liabilities for outside basis differences. This ASU also simplifies the accounting for income taxes by clarifying and amending existing guidance related to the effects of enacted changes in tax laws or rates in the effective tax rate computation, the recognition of franchise tax and the evaluation of a step-up in the tax basis of goodwill, among other clarifications. ASU 2019-12, which the Company adopted during the first quarter of 2021, did not have a material effect on the Company’s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2 – Earnings Per Share</w:t>
      </w:r>
    </w:p>
    <w:p>
      <w:pPr>
        <w:spacing w:after="0" w:line="76"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Basic earnings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1" w:name="page12"/>
    <w:bookmarkEnd w:id="11"/>
    <w:tbl>
      <w:tblPr>
        <w:tblLayout w:type="fixed"/>
        <w:tblInd w:w="8" w:type="dxa"/>
        <w:tblCellMar>
          <w:top w:w="0" w:type="dxa"/>
          <w:left w:w="0" w:type="dxa"/>
          <w:bottom w:w="0" w:type="dxa"/>
          <w:right w:w="0" w:type="dxa"/>
        </w:tblCellMar>
      </w:tblPr>
      <w:tr>
        <w:trPr>
          <w:trHeight w:val="136"/>
        </w:trPr>
        <w:tc>
          <w:tcPr>
            <w:tcW w:w="6760" w:type="dxa"/>
            <w:vAlign w:val="bottom"/>
          </w:tcPr>
          <w:p>
            <w:pPr>
              <w:ind w:left="420"/>
              <w:spacing w:after="0"/>
              <w:rPr>
                <w:sz w:val="20"/>
                <w:szCs w:val="20"/>
                <w:color w:val="auto"/>
              </w:rPr>
            </w:pPr>
            <w:r>
              <w:rPr>
                <w:rFonts w:ascii="Arial" w:cs="Arial" w:eastAsia="Arial" w:hAnsi="Arial"/>
                <w:sz w:val="11"/>
                <w:szCs w:val="11"/>
                <w:color w:val="auto"/>
                <w:w w:val="96"/>
              </w:rPr>
              <w:t>The following table provides details underlying the Company’s earnings per share calculations for the periods indicated (in thousands):</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28"/>
        </w:trPr>
        <w:tc>
          <w:tcPr>
            <w:tcW w:w="6760" w:type="dxa"/>
            <w:vAlign w:val="bottom"/>
          </w:tcPr>
          <w:p>
            <w:pPr>
              <w:spacing w:after="0"/>
              <w:rPr>
                <w:sz w:val="19"/>
                <w:szCs w:val="19"/>
                <w:color w:val="auto"/>
              </w:rPr>
            </w:pPr>
          </w:p>
        </w:tc>
        <w:tc>
          <w:tcPr>
            <w:tcW w:w="2320" w:type="dxa"/>
            <w:vAlign w:val="bottom"/>
            <w:gridSpan w:val="6"/>
          </w:tcPr>
          <w:p>
            <w:pPr>
              <w:ind w:left="240"/>
              <w:spacing w:after="0"/>
              <w:rPr>
                <w:sz w:val="20"/>
                <w:szCs w:val="20"/>
                <w:color w:val="auto"/>
              </w:rPr>
            </w:pPr>
            <w:r>
              <w:rPr>
                <w:rFonts w:ascii="Arial" w:cs="Arial" w:eastAsia="Arial" w:hAnsi="Arial"/>
                <w:sz w:val="11"/>
                <w:szCs w:val="11"/>
                <w:b w:val="1"/>
                <w:bCs w:val="1"/>
                <w:color w:val="auto"/>
              </w:rPr>
              <w:t>For the Three Months Ended June 30,</w:t>
            </w:r>
          </w:p>
        </w:tc>
        <w:tc>
          <w:tcPr>
            <w:tcW w:w="180" w:type="dxa"/>
            <w:vAlign w:val="bottom"/>
          </w:tcPr>
          <w:p>
            <w:pPr>
              <w:spacing w:after="0"/>
              <w:rPr>
                <w:sz w:val="19"/>
                <w:szCs w:val="19"/>
                <w:color w:val="auto"/>
              </w:rPr>
            </w:pPr>
          </w:p>
        </w:tc>
        <w:tc>
          <w:tcPr>
            <w:tcW w:w="204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w w:val="94"/>
              </w:rPr>
              <w:t>For the Six Months Ended June 30,</w:t>
            </w:r>
          </w:p>
        </w:tc>
      </w:tr>
      <w:tr>
        <w:trPr>
          <w:trHeight w:val="133"/>
        </w:trPr>
        <w:tc>
          <w:tcPr>
            <w:tcW w:w="676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26"/>
        </w:trPr>
        <w:tc>
          <w:tcPr>
            <w:tcW w:w="6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income attributable to MasTec:</w:t>
            </w: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4"/>
        </w:trPr>
        <w:tc>
          <w:tcPr>
            <w:tcW w:w="6760" w:type="dxa"/>
            <w:vAlign w:val="bottom"/>
          </w:tcPr>
          <w:p>
            <w:pPr>
              <w:ind w:left="80"/>
              <w:spacing w:after="0" w:line="145" w:lineRule="exact"/>
              <w:rPr>
                <w:sz w:val="20"/>
                <w:szCs w:val="20"/>
                <w:color w:val="auto"/>
              </w:rPr>
            </w:pPr>
            <w:r>
              <w:rPr>
                <w:rFonts w:ascii="Arial" w:cs="Arial" w:eastAsia="Arial" w:hAnsi="Arial"/>
                <w:sz w:val="11"/>
                <w:szCs w:val="11"/>
                <w:color w:val="auto"/>
              </w:rPr>
              <w:t xml:space="preserve">Net income - basic and diluted </w:t>
            </w:r>
            <w:r>
              <w:rPr>
                <w:rFonts w:ascii="Arial" w:cs="Arial" w:eastAsia="Arial" w:hAnsi="Arial"/>
                <w:sz w:val="14"/>
                <w:szCs w:val="14"/>
                <w:color w:val="auto"/>
                <w:vertAlign w:val="superscript"/>
              </w:rPr>
              <w:t>(a)</w:t>
            </w:r>
          </w:p>
        </w:tc>
        <w:tc>
          <w:tcPr>
            <w:tcW w:w="680" w:type="dxa"/>
            <w:vAlign w:val="bottom"/>
          </w:tcPr>
          <w:p>
            <w:pPr>
              <w:jc w:val="right"/>
              <w:ind w:right="546"/>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w w:val="94"/>
              </w:rPr>
              <w:t>75,451</w:t>
            </w:r>
          </w:p>
        </w:tc>
        <w:tc>
          <w:tcPr>
            <w:tcW w:w="8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57,005</w:t>
            </w:r>
          </w:p>
        </w:tc>
        <w:tc>
          <w:tcPr>
            <w:tcW w:w="10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141,100</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93,235</w:t>
            </w:r>
          </w:p>
        </w:tc>
      </w:tr>
      <w:tr>
        <w:trPr>
          <w:trHeight w:val="144"/>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shares outstanding:</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2"/>
        </w:trPr>
        <w:tc>
          <w:tcPr>
            <w:tcW w:w="6760" w:type="dxa"/>
            <w:vAlign w:val="bottom"/>
          </w:tcPr>
          <w:p>
            <w:pPr>
              <w:ind w:left="80"/>
              <w:spacing w:after="0"/>
              <w:rPr>
                <w:sz w:val="20"/>
                <w:szCs w:val="20"/>
                <w:color w:val="auto"/>
              </w:rPr>
            </w:pPr>
            <w:r>
              <w:rPr>
                <w:rFonts w:ascii="Arial" w:cs="Arial" w:eastAsia="Arial" w:hAnsi="Arial"/>
                <w:sz w:val="11"/>
                <w:szCs w:val="11"/>
                <w:color w:val="auto"/>
              </w:rPr>
              <w:t>Weighted average shares outstanding - basic</w:t>
            </w:r>
          </w:p>
        </w:tc>
        <w:tc>
          <w:tcPr>
            <w:tcW w:w="68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w w:val="94"/>
              </w:rPr>
              <w:t>72,501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72,045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72,470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73,392</w:t>
            </w:r>
          </w:p>
        </w:tc>
      </w:tr>
      <w:tr>
        <w:trPr>
          <w:trHeight w:val="146"/>
        </w:trPr>
        <w:tc>
          <w:tcPr>
            <w:tcW w:w="6760" w:type="dxa"/>
            <w:vAlign w:val="bottom"/>
            <w:shd w:val="clear" w:color="auto" w:fill="CCEEFF"/>
          </w:tcPr>
          <w:p>
            <w:pPr>
              <w:ind w:left="80"/>
              <w:spacing w:after="0" w:line="147" w:lineRule="exact"/>
              <w:rPr>
                <w:sz w:val="20"/>
                <w:szCs w:val="20"/>
                <w:color w:val="auto"/>
              </w:rPr>
            </w:pPr>
            <w:r>
              <w:rPr>
                <w:rFonts w:ascii="Arial" w:cs="Arial" w:eastAsia="Arial" w:hAnsi="Arial"/>
                <w:sz w:val="11"/>
                <w:szCs w:val="11"/>
                <w:color w:val="auto"/>
              </w:rPr>
              <w:t xml:space="preserve">Dilutive common stock equivalents </w:t>
            </w:r>
            <w:r>
              <w:rPr>
                <w:rFonts w:ascii="Arial" w:cs="Arial" w:eastAsia="Arial" w:hAnsi="Arial"/>
                <w:sz w:val="14"/>
                <w:szCs w:val="14"/>
                <w:color w:val="auto"/>
                <w:vertAlign w:val="superscript"/>
              </w:rPr>
              <w:t>(b)</w:t>
            </w:r>
          </w:p>
        </w:tc>
        <w:tc>
          <w:tcPr>
            <w:tcW w:w="6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1,475</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732</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1,443</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743</w:t>
            </w:r>
          </w:p>
        </w:tc>
      </w:tr>
      <w:tr>
        <w:trPr>
          <w:trHeight w:val="131"/>
        </w:trPr>
        <w:tc>
          <w:tcPr>
            <w:tcW w:w="6760" w:type="dxa"/>
            <w:vAlign w:val="bottom"/>
          </w:tcPr>
          <w:p>
            <w:pPr>
              <w:ind w:left="120"/>
              <w:spacing w:after="0"/>
              <w:rPr>
                <w:sz w:val="20"/>
                <w:szCs w:val="20"/>
                <w:color w:val="auto"/>
              </w:rPr>
            </w:pPr>
            <w:r>
              <w:rPr>
                <w:rFonts w:ascii="Arial" w:cs="Arial" w:eastAsia="Arial" w:hAnsi="Arial"/>
                <w:sz w:val="11"/>
                <w:szCs w:val="11"/>
                <w:color w:val="auto"/>
              </w:rPr>
              <w:t>Weighted average shares outstanding - diluted</w:t>
            </w:r>
          </w:p>
        </w:tc>
        <w:tc>
          <w:tcPr>
            <w:tcW w:w="6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4"/>
              </w:rPr>
              <w:t>73,976</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72,777</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73,913</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74,135</w:t>
            </w:r>
          </w:p>
        </w:tc>
      </w:tr>
    </w:tbl>
    <w:p>
      <w:pPr>
        <w:spacing w:after="0" w:line="87"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0"/>
          <w:szCs w:val="10"/>
          <w:color w:val="auto"/>
        </w:rPr>
      </w:pPr>
      <w:r>
        <w:rPr>
          <w:rFonts w:ascii="Arial" w:cs="Arial" w:eastAsia="Arial" w:hAnsi="Arial"/>
          <w:sz w:val="10"/>
          <w:szCs w:val="10"/>
          <w:color w:val="auto"/>
        </w:rPr>
        <w:t>Calculated as total net income less amounts attributable to non-controlling interests.</w:t>
      </w:r>
    </w:p>
    <w:p>
      <w:pPr>
        <w:spacing w:after="0" w:line="11" w:lineRule="exact"/>
        <w:rPr>
          <w:rFonts w:ascii="Arial" w:cs="Arial" w:eastAsia="Arial" w:hAnsi="Arial"/>
          <w:sz w:val="10"/>
          <w:szCs w:val="10"/>
          <w:color w:val="auto"/>
        </w:rPr>
      </w:pPr>
    </w:p>
    <w:p>
      <w:pPr>
        <w:ind w:left="208" w:hanging="208"/>
        <w:spacing w:after="0"/>
        <w:tabs>
          <w:tab w:leader="none" w:pos="208" w:val="left"/>
        </w:tabs>
        <w:numPr>
          <w:ilvl w:val="0"/>
          <w:numId w:val="3"/>
        </w:numPr>
        <w:rPr>
          <w:rFonts w:ascii="Arial" w:cs="Arial" w:eastAsia="Arial" w:hAnsi="Arial"/>
          <w:sz w:val="10"/>
          <w:szCs w:val="10"/>
          <w:color w:val="auto"/>
        </w:rPr>
      </w:pPr>
      <w:r>
        <w:rPr>
          <w:rFonts w:ascii="Arial" w:cs="Arial" w:eastAsia="Arial" w:hAnsi="Arial"/>
          <w:sz w:val="10"/>
          <w:szCs w:val="10"/>
          <w:color w:val="auto"/>
        </w:rPr>
        <w:t>For the six month periods ended June 30, 2021 and 2020, anti-dilutive common stock equivalents totaled 2,166 and 88,462, respectively.</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3 – Goodwill and Other Intangible Assets</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following table provides balances for goodwill by reportable segment as of June 30, 2021 (in millions):</w:t>
      </w:r>
    </w:p>
    <w:p>
      <w:pPr>
        <w:spacing w:after="0" w:line="7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Communications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Clean Energy and</w:t>
            </w:r>
          </w:p>
        </w:tc>
        <w:tc>
          <w:tcPr>
            <w:tcW w:w="16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Oil and Gas</w:t>
            </w:r>
          </w:p>
        </w:tc>
        <w:tc>
          <w:tcPr>
            <w:tcW w:w="8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Electrical Transmission</w:t>
            </w:r>
          </w:p>
        </w:tc>
        <w:tc>
          <w:tcPr>
            <w:tcW w:w="140" w:type="dxa"/>
            <w:vAlign w:val="bottom"/>
          </w:tcPr>
          <w:p>
            <w:pPr>
              <w:spacing w:after="0"/>
              <w:rPr>
                <w:sz w:val="10"/>
                <w:szCs w:val="10"/>
                <w:color w:val="auto"/>
              </w:rPr>
            </w:pPr>
          </w:p>
        </w:tc>
        <w:tc>
          <w:tcPr>
            <w:tcW w:w="94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rPr>
              <w:t>Total Goodwill</w:t>
            </w: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Infrastructure</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9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Goodwill, gross</w:t>
            </w:r>
          </w:p>
        </w:tc>
        <w:tc>
          <w:tcPr>
            <w:tcW w:w="1120" w:type="dxa"/>
            <w:vAlign w:val="bottom"/>
            <w:tcBorders>
              <w:top w:val="single" w:sz="8" w:color="auto"/>
              <w:bottom w:val="single" w:sz="8" w:color="auto"/>
            </w:tcBorders>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5"/>
              </w:rPr>
              <w:t>584.7</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164.4</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center"/>
              <w:ind w:left="529"/>
              <w:spacing w:after="0"/>
              <w:rPr>
                <w:sz w:val="20"/>
                <w:szCs w:val="20"/>
                <w:color w:val="auto"/>
              </w:rPr>
            </w:pPr>
            <w:r>
              <w:rPr>
                <w:rFonts w:ascii="Arial" w:cs="Arial" w:eastAsia="Arial" w:hAnsi="Arial"/>
                <w:sz w:val="10"/>
                <w:szCs w:val="10"/>
                <w:color w:val="auto"/>
                <w:w w:val="87"/>
              </w:rPr>
              <w:t>513.2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196.4</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1,458.7</w:t>
            </w:r>
          </w:p>
        </w:tc>
        <w:tc>
          <w:tcPr>
            <w:tcW w:w="0" w:type="dxa"/>
            <w:vAlign w:val="bottom"/>
          </w:tcPr>
          <w:p>
            <w:pPr>
              <w:spacing w:after="0"/>
              <w:rPr>
                <w:sz w:val="1"/>
                <w:szCs w:val="1"/>
                <w:color w:val="auto"/>
              </w:rPr>
            </w:pPr>
          </w:p>
        </w:tc>
      </w:tr>
      <w:tr>
        <w:trPr>
          <w:trHeight w:val="122"/>
        </w:trPr>
        <w:tc>
          <w:tcPr>
            <w:tcW w:w="4940" w:type="dxa"/>
            <w:vAlign w:val="bottom"/>
          </w:tcPr>
          <w:p>
            <w:pPr>
              <w:ind w:left="80"/>
              <w:spacing w:after="0" w:line="121" w:lineRule="exact"/>
              <w:rPr>
                <w:sz w:val="20"/>
                <w:szCs w:val="20"/>
                <w:color w:val="auto"/>
              </w:rPr>
            </w:pPr>
            <w:r>
              <w:rPr>
                <w:rFonts w:ascii="Arial" w:cs="Arial" w:eastAsia="Arial" w:hAnsi="Arial"/>
                <w:sz w:val="11"/>
                <w:szCs w:val="11"/>
                <w:color w:val="auto"/>
              </w:rPr>
              <w:t>Accumulated impairment loss</w:t>
            </w:r>
          </w:p>
        </w:tc>
        <w:tc>
          <w:tcPr>
            <w:tcW w:w="112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tcPr>
          <w:p>
            <w:pPr>
              <w:jc w:val="center"/>
              <w:ind w:left="489"/>
              <w:spacing w:after="0"/>
              <w:rPr>
                <w:sz w:val="20"/>
                <w:szCs w:val="20"/>
                <w:color w:val="auto"/>
              </w:rPr>
            </w:pPr>
            <w:r>
              <w:rPr>
                <w:rFonts w:ascii="Arial" w:cs="Arial" w:eastAsia="Arial" w:hAnsi="Arial"/>
                <w:sz w:val="10"/>
                <w:szCs w:val="10"/>
                <w:color w:val="auto"/>
                <w:w w:val="94"/>
              </w:rPr>
              <w:t>(127.0)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(127.0)</w:t>
            </w:r>
          </w:p>
        </w:tc>
        <w:tc>
          <w:tcPr>
            <w:tcW w:w="0" w:type="dxa"/>
            <w:vAlign w:val="bottom"/>
          </w:tcPr>
          <w:p>
            <w:pPr>
              <w:spacing w:after="0"/>
              <w:rPr>
                <w:sz w:val="1"/>
                <w:szCs w:val="1"/>
                <w:color w:val="auto"/>
              </w:rPr>
            </w:pPr>
          </w:p>
        </w:tc>
      </w:tr>
      <w:tr>
        <w:trPr>
          <w:trHeight w:val="124"/>
        </w:trPr>
        <w:tc>
          <w:tcPr>
            <w:tcW w:w="494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Goodwill, net</w:t>
            </w:r>
          </w:p>
        </w:tc>
        <w:tc>
          <w:tcPr>
            <w:tcW w:w="1120" w:type="dxa"/>
            <w:vAlign w:val="bottom"/>
            <w:tcBorders>
              <w:top w:val="single" w:sz="8" w:color="auto"/>
              <w:bottom w:val="single" w:sz="8" w:color="auto"/>
            </w:tcBorders>
            <w:shd w:val="clear" w:color="auto" w:fill="CCEEFF"/>
          </w:tcPr>
          <w:p>
            <w:pPr>
              <w:jc w:val="right"/>
              <w:ind w:right="1009"/>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5"/>
              </w:rPr>
              <w:t>584.7</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164.4</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center"/>
              <w:ind w:left="529"/>
              <w:spacing w:after="0"/>
              <w:rPr>
                <w:sz w:val="20"/>
                <w:szCs w:val="20"/>
                <w:color w:val="auto"/>
              </w:rPr>
            </w:pPr>
            <w:r>
              <w:rPr>
                <w:rFonts w:ascii="Arial" w:cs="Arial" w:eastAsia="Arial" w:hAnsi="Arial"/>
                <w:sz w:val="10"/>
                <w:szCs w:val="10"/>
                <w:color w:val="auto"/>
                <w:w w:val="87"/>
              </w:rPr>
              <w:t>386.2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196.4</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1,331.7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color w:val="auto"/>
        </w:rPr>
        <w:t>For the six month period ended June 30, 2021, goodwill included additions of $88.1 million from new business combinations and a net increase of $0.1 million from measurement period adjustments. Currency translation effects related to goodwill and accumulated impairment losses for the six month period ended June 30, 2021 totaled approximately $3.6 million of gains and $3.2 million of losses, respectively.</w:t>
      </w:r>
    </w:p>
    <w:p>
      <w:pPr>
        <w:spacing w:after="0" w:line="5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following table provides a reconciliation of changes in other intangible assets, net, for the period indicated (in millions):</w:t>
      </w:r>
    </w:p>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4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Other Intangible Assets</w:t>
            </w: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Non-Amortizing</w:t>
            </w: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Amortizing</w:t>
            </w: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480" w:type="dxa"/>
            <w:vAlign w:val="bottom"/>
          </w:tcPr>
          <w:p>
            <w:pPr>
              <w:spacing w:after="0"/>
              <w:rPr>
                <w:sz w:val="7"/>
                <w:szCs w:val="7"/>
                <w:color w:val="auto"/>
              </w:rPr>
            </w:pPr>
          </w:p>
        </w:tc>
        <w:tc>
          <w:tcPr>
            <w:tcW w:w="118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rPr>
              <w:t>Trade Names</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jc w:val="right"/>
              <w:ind w:right="49"/>
              <w:spacing w:after="0" w:line="91" w:lineRule="exact"/>
              <w:rPr>
                <w:sz w:val="20"/>
                <w:szCs w:val="20"/>
                <w:color w:val="auto"/>
              </w:rPr>
            </w:pPr>
            <w:r>
              <w:rPr>
                <w:rFonts w:ascii="Arial" w:cs="Arial" w:eastAsia="Arial" w:hAnsi="Arial"/>
                <w:sz w:val="10"/>
                <w:szCs w:val="10"/>
                <w:b w:val="1"/>
                <w:bCs w:val="1"/>
                <w:color w:val="auto"/>
                <w:w w:val="90"/>
              </w:rPr>
              <w:t>Customer Relationships</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restart"/>
          </w:tcPr>
          <w:p>
            <w:pPr>
              <w:jc w:val="right"/>
              <w:ind w:right="169"/>
              <w:spacing w:after="0"/>
              <w:rPr>
                <w:sz w:val="20"/>
                <w:szCs w:val="20"/>
                <w:color w:val="auto"/>
              </w:rPr>
            </w:pPr>
            <w:r>
              <w:rPr>
                <w:rFonts w:ascii="Arial" w:cs="Arial" w:eastAsia="Arial" w:hAnsi="Arial"/>
                <w:sz w:val="10"/>
                <w:szCs w:val="10"/>
                <w:b w:val="1"/>
                <w:bCs w:val="1"/>
                <w:color w:val="auto"/>
                <w:w w:val="98"/>
              </w:rPr>
              <w:t>Pre-Qualifications</w:t>
            </w:r>
          </w:p>
        </w:tc>
        <w:tc>
          <w:tcPr>
            <w:tcW w:w="100" w:type="dxa"/>
            <w:vAlign w:val="bottom"/>
            <w:vMerge w:val="restart"/>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vMerge w:val="restart"/>
          </w:tcPr>
          <w:p>
            <w:pPr>
              <w:jc w:val="right"/>
              <w:ind w:right="389"/>
              <w:spacing w:after="0"/>
              <w:rPr>
                <w:sz w:val="20"/>
                <w:szCs w:val="20"/>
                <w:color w:val="auto"/>
              </w:rPr>
            </w:pPr>
            <w:r>
              <w:rPr>
                <w:rFonts w:ascii="Arial" w:cs="Arial" w:eastAsia="Arial" w:hAnsi="Arial"/>
                <w:sz w:val="10"/>
                <w:szCs w:val="10"/>
                <w:b w:val="1"/>
                <w:bCs w:val="1"/>
                <w:color w:val="auto"/>
              </w:rPr>
              <w:t xml:space="preserve">Other </w:t>
            </w:r>
            <w:r>
              <w:rPr>
                <w:rFonts w:ascii="Arial" w:cs="Arial" w:eastAsia="Arial" w:hAnsi="Arial"/>
                <w:sz w:val="13"/>
                <w:szCs w:val="13"/>
                <w:b w:val="1"/>
                <w:bCs w:val="1"/>
                <w:color w:val="auto"/>
                <w:vertAlign w:val="superscript"/>
              </w:rPr>
              <w:t>(a)</w:t>
            </w:r>
          </w:p>
        </w:tc>
        <w:tc>
          <w:tcPr>
            <w:tcW w:w="8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vMerge w:val="restart"/>
          </w:tcPr>
          <w:p>
            <w:pPr>
              <w:jc w:val="right"/>
              <w:ind w:right="44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44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rPr>
              <w:t>and Backlog</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4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Other intangible assets, gross, as of December 31, 2020</w:t>
            </w:r>
          </w:p>
        </w:tc>
        <w:tc>
          <w:tcPr>
            <w:tcW w:w="1180" w:type="dxa"/>
            <w:vAlign w:val="bottom"/>
            <w:shd w:val="clear" w:color="auto" w:fill="CCEEFF"/>
          </w:tcPr>
          <w:p>
            <w:pPr>
              <w:jc w:val="right"/>
              <w:ind w:right="106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34.5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297.9</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26.4</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432.6</w:t>
            </w: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Accumulated amortization</w:t>
            </w:r>
          </w:p>
        </w:tc>
        <w:tc>
          <w:tcPr>
            <w:tcW w:w="1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(218.5)</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(248.6)</w:t>
            </w:r>
          </w:p>
        </w:tc>
        <w:tc>
          <w:tcPr>
            <w:tcW w:w="0" w:type="dxa"/>
            <w:vAlign w:val="bottom"/>
          </w:tcPr>
          <w:p>
            <w:pPr>
              <w:spacing w:after="0"/>
              <w:rPr>
                <w:sz w:val="1"/>
                <w:szCs w:val="1"/>
                <w:color w:val="auto"/>
              </w:rPr>
            </w:pPr>
          </w:p>
        </w:tc>
      </w:tr>
      <w:tr>
        <w:trPr>
          <w:trHeight w:val="126"/>
        </w:trPr>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Other intangible assets, net, as of December 31, 2020</w:t>
            </w:r>
          </w:p>
        </w:tc>
        <w:tc>
          <w:tcPr>
            <w:tcW w:w="118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34.5</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79.4</w:t>
            </w: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63.2</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6.9</w:t>
            </w:r>
          </w:p>
        </w:tc>
        <w:tc>
          <w:tcPr>
            <w:tcW w:w="8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184.0</w:t>
            </w:r>
          </w:p>
        </w:tc>
        <w:tc>
          <w:tcPr>
            <w:tcW w:w="0" w:type="dxa"/>
            <w:vAlign w:val="bottom"/>
          </w:tcPr>
          <w:p>
            <w:pPr>
              <w:spacing w:after="0"/>
              <w:rPr>
                <w:sz w:val="1"/>
                <w:szCs w:val="1"/>
                <w:color w:val="auto"/>
              </w:rPr>
            </w:pPr>
          </w:p>
        </w:tc>
      </w:tr>
      <w:tr>
        <w:trPr>
          <w:trHeight w:val="122"/>
        </w:trPr>
        <w:tc>
          <w:tcPr>
            <w:tcW w:w="4480" w:type="dxa"/>
            <w:vAlign w:val="bottom"/>
          </w:tcPr>
          <w:p>
            <w:pPr>
              <w:ind w:left="80"/>
              <w:spacing w:after="0" w:line="121" w:lineRule="exact"/>
              <w:rPr>
                <w:sz w:val="20"/>
                <w:szCs w:val="20"/>
                <w:color w:val="auto"/>
              </w:rPr>
            </w:pPr>
            <w:r>
              <w:rPr>
                <w:rFonts w:ascii="Arial" w:cs="Arial" w:eastAsia="Arial" w:hAnsi="Arial"/>
                <w:sz w:val="11"/>
                <w:szCs w:val="11"/>
                <w:color w:val="auto"/>
              </w:rPr>
              <w:t>Additions from new business combinations</w:t>
            </w:r>
          </w:p>
        </w:tc>
        <w:tc>
          <w:tcPr>
            <w:tcW w:w="118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311.8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1000" w:type="dxa"/>
            <w:vAlign w:val="bottom"/>
          </w:tcPr>
          <w:p>
            <w:pPr>
              <w:jc w:val="right"/>
              <w:ind w:right="9"/>
              <w:spacing w:after="0"/>
              <w:rPr>
                <w:sz w:val="20"/>
                <w:szCs w:val="20"/>
                <w:color w:val="auto"/>
              </w:rPr>
            </w:pPr>
            <w:r>
              <w:rPr>
                <w:rFonts w:ascii="Arial" w:cs="Arial" w:eastAsia="Arial" w:hAnsi="Arial"/>
                <w:sz w:val="10"/>
                <w:szCs w:val="10"/>
                <w:color w:val="auto"/>
              </w:rPr>
              <w:t>55.4</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367.2</w:t>
            </w:r>
          </w:p>
        </w:tc>
        <w:tc>
          <w:tcPr>
            <w:tcW w:w="0" w:type="dxa"/>
            <w:vAlign w:val="bottom"/>
          </w:tcPr>
          <w:p>
            <w:pPr>
              <w:spacing w:after="0"/>
              <w:rPr>
                <w:sz w:val="1"/>
                <w:szCs w:val="1"/>
                <w:color w:val="auto"/>
              </w:rPr>
            </w:pPr>
          </w:p>
        </w:tc>
      </w:tr>
      <w:tr>
        <w:trPr>
          <w:trHeight w:val="146"/>
        </w:trPr>
        <w:tc>
          <w:tcPr>
            <w:tcW w:w="4480" w:type="dxa"/>
            <w:vAlign w:val="bottom"/>
            <w:shd w:val="clear" w:color="auto" w:fill="CCEEFF"/>
          </w:tcPr>
          <w:p>
            <w:pPr>
              <w:ind w:left="80"/>
              <w:spacing w:after="0"/>
              <w:rPr>
                <w:sz w:val="20"/>
                <w:szCs w:val="20"/>
                <w:color w:val="auto"/>
              </w:rPr>
            </w:pPr>
            <w:r>
              <w:rPr>
                <w:rFonts w:ascii="Arial" w:cs="Arial" w:eastAsia="Arial" w:hAnsi="Arial"/>
                <w:sz w:val="11"/>
                <w:szCs w:val="11"/>
                <w:color w:val="auto"/>
              </w:rPr>
              <w:t>Currency translation adjustments</w:t>
            </w:r>
          </w:p>
        </w:tc>
        <w:tc>
          <w:tcPr>
            <w:tcW w:w="1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Amortization expense</w:t>
            </w:r>
          </w:p>
        </w:tc>
        <w:tc>
          <w:tcPr>
            <w:tcW w:w="1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(23.4)</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(31.2)</w:t>
            </w:r>
          </w:p>
        </w:tc>
        <w:tc>
          <w:tcPr>
            <w:tcW w:w="0" w:type="dxa"/>
            <w:vAlign w:val="bottom"/>
          </w:tcPr>
          <w:p>
            <w:pPr>
              <w:spacing w:after="0"/>
              <w:rPr>
                <w:sz w:val="1"/>
                <w:szCs w:val="1"/>
                <w:color w:val="auto"/>
              </w:rPr>
            </w:pPr>
          </w:p>
        </w:tc>
      </w:tr>
      <w:tr>
        <w:trPr>
          <w:trHeight w:val="124"/>
        </w:trPr>
        <w:tc>
          <w:tcPr>
            <w:tcW w:w="44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Other intangible assets, net, as of June 30, 2021</w:t>
            </w:r>
          </w:p>
        </w:tc>
        <w:tc>
          <w:tcPr>
            <w:tcW w:w="1180" w:type="dxa"/>
            <w:vAlign w:val="bottom"/>
            <w:tcBorders>
              <w:bottom w:val="single" w:sz="8" w:color="auto"/>
            </w:tcBorders>
            <w:shd w:val="clear" w:color="auto" w:fill="CCEEFF"/>
          </w:tcPr>
          <w:p>
            <w:pPr>
              <w:jc w:val="right"/>
              <w:ind w:right="1069"/>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34.5</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367.8</w:t>
            </w: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58.8</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59.9</w:t>
            </w:r>
          </w:p>
        </w:tc>
        <w:tc>
          <w:tcPr>
            <w:tcW w:w="8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521.0</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Consists principally of trade names and non-compete agreements.</w:t>
      </w:r>
    </w:p>
    <w:p>
      <w:pPr>
        <w:spacing w:after="0" w:line="73"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b w:val="1"/>
          <w:bCs w:val="1"/>
          <w:i w:val="1"/>
          <w:iCs w:val="1"/>
          <w:color w:val="auto"/>
        </w:rPr>
        <w:t>Quarterly Assessment for Indicators of Impairment</w:t>
      </w:r>
      <w:r>
        <w:rPr>
          <w:rFonts w:ascii="Arial" w:cs="Arial" w:eastAsia="Arial" w:hAnsi="Arial"/>
          <w:sz w:val="11"/>
          <w:szCs w:val="11"/>
          <w:color w:val="auto"/>
        </w:rPr>
        <w:t>. During the second quarter of 2021, in conjunction with the Company’s quarterly review for indicators of impairment, management performed a quantitative assessment of the goodwill associated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with one reporting unit within its Oil and Gas segment and one reporting unit within its Clean Energy and Infrastructure segment. Based on the results of this assessment, management determined that the estimated fair values of both reporting units substantially exceeded their carrying values. Significant changes in the assumptions or estimates used in management’s assessment, such as a reduction in profitability and/or cash flows, could result in non-cash impairment charges to goodwill and indefinite-lived intangible assets in the future.</w:t>
      </w:r>
    </w:p>
    <w:p>
      <w:pPr>
        <w:spacing w:after="0" w:line="61" w:lineRule="exact"/>
        <w:rPr>
          <w:sz w:val="20"/>
          <w:szCs w:val="20"/>
          <w:color w:val="auto"/>
        </w:rPr>
      </w:pPr>
    </w:p>
    <w:p>
      <w:pPr>
        <w:ind w:left="208"/>
        <w:spacing w:after="0"/>
        <w:rPr>
          <w:sz w:val="20"/>
          <w:szCs w:val="20"/>
          <w:color w:val="auto"/>
        </w:rPr>
      </w:pPr>
      <w:r>
        <w:rPr>
          <w:rFonts w:ascii="Arial" w:cs="Arial" w:eastAsia="Arial" w:hAnsi="Arial"/>
          <w:sz w:val="11"/>
          <w:szCs w:val="11"/>
          <w:b w:val="1"/>
          <w:bCs w:val="1"/>
          <w:i w:val="1"/>
          <w:iCs w:val="1"/>
          <w:color w:val="auto"/>
        </w:rPr>
        <w:t>Recent Acquisitions</w:t>
      </w:r>
    </w:p>
    <w:p>
      <w:pPr>
        <w:spacing w:after="0" w:line="72"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Company seeks to grow and diversify its business both organically and through acquisitions and/or strategic arrangements in order to deepen its market presence, broaden its geographic reach and expand its service offerings.</w:t>
      </w:r>
    </w:p>
    <w:p>
      <w:pPr>
        <w:spacing w:after="0" w:line="83" w:lineRule="exact"/>
        <w:rPr>
          <w:sz w:val="20"/>
          <w:szCs w:val="20"/>
          <w:color w:val="auto"/>
        </w:rPr>
      </w:pPr>
    </w:p>
    <w:p>
      <w:pPr>
        <w:jc w:val="both"/>
        <w:ind w:left="8" w:firstLine="433"/>
        <w:spacing w:after="0" w:line="285" w:lineRule="auto"/>
        <w:rPr>
          <w:sz w:val="20"/>
          <w:szCs w:val="20"/>
          <w:color w:val="auto"/>
        </w:rPr>
      </w:pPr>
      <w:r>
        <w:rPr>
          <w:rFonts w:ascii="Arial" w:cs="Arial" w:eastAsia="Arial" w:hAnsi="Arial"/>
          <w:sz w:val="10"/>
          <w:szCs w:val="10"/>
          <w:b w:val="1"/>
          <w:bCs w:val="1"/>
          <w:i w:val="1"/>
          <w:iCs w:val="1"/>
          <w:color w:val="auto"/>
        </w:rPr>
        <w:t xml:space="preserve">2021 Acquisitions. </w:t>
      </w:r>
      <w:r>
        <w:rPr>
          <w:rFonts w:ascii="Arial" w:cs="Arial" w:eastAsia="Arial" w:hAnsi="Arial"/>
          <w:sz w:val="10"/>
          <w:szCs w:val="10"/>
          <w:color w:val="auto"/>
        </w:rPr>
        <w:t>For the six month period ended June 30, 2021, MasTec completed seven acquisitions, which included all of the equity interests in: (i) a premier specialty utility contractor primarily providing electrical distribution network services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under various multi-year master service agreements to some of the nation’s largest utilities, municipalities and cooperatives, which acquisition was effective in May and is included within the Company’s Electrical Transmission segment, and for which acquisition consideration, including estimated earn-out liabilities, totaled approximately $450 million; (ii) a heavy civil infrastructure construction company focusing on transportation projects; and a heavy industrial general</w:t>
      </w:r>
    </w:p>
    <w:p>
      <w:pPr>
        <w:spacing w:after="0" w:line="357"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sectPr>
      </w:pPr>
    </w:p>
    <w:bookmarkStart w:id="12" w:name="page13"/>
    <w:bookmarkEnd w:id="12"/>
    <w:p>
      <w:pPr>
        <w:jc w:val="both"/>
        <w:spacing w:after="0" w:line="278" w:lineRule="auto"/>
        <w:rPr>
          <w:sz w:val="20"/>
          <w:szCs w:val="20"/>
          <w:color w:val="auto"/>
        </w:rPr>
      </w:pPr>
      <w:r>
        <w:rPr>
          <w:rFonts w:ascii="Arial" w:cs="Arial" w:eastAsia="Arial" w:hAnsi="Arial"/>
          <w:sz w:val="10"/>
          <w:szCs w:val="10"/>
          <w:color w:val="auto"/>
        </w:rPr>
        <w:t>contractor with concrete, piping and electrical capabilities, which acquisitions were effective in February and April, respectively, and both of which are included within the Company’s Clean Energy and Infrastructure segment; (iii) a telecommunications and utility technical services company focusing on outside plant telecommunications engineering; a telecommunications and cable services provider; and a utilities infrastructure company, providing power line construction and repair services, all of which acquisitions were effective in May and are included within the Company’s Communications segment; and (iv) a pipeline contractor focusing on integrity and maintenance work related to gas distribution infrastructure, which acquisition was effective in February and is included within the Company’s Oil and Gas segment. These acquisitions were funded with cash on hand and borrowings under the Company’s senior secured credit facility and are subject to customary purchase price adjustments.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9560" w:type="dxa"/>
            <w:vAlign w:val="bottom"/>
          </w:tcPr>
          <w:p>
            <w:pPr>
              <w:ind w:left="420"/>
              <w:spacing w:after="0"/>
              <w:rPr>
                <w:sz w:val="20"/>
                <w:szCs w:val="20"/>
                <w:color w:val="auto"/>
              </w:rPr>
            </w:pPr>
            <w:r>
              <w:rPr>
                <w:rFonts w:ascii="Arial" w:cs="Arial" w:eastAsia="Arial" w:hAnsi="Arial"/>
                <w:sz w:val="11"/>
                <w:szCs w:val="11"/>
                <w:color w:val="auto"/>
              </w:rPr>
              <w:t>The following table summarizes the estimated fair values of consideration paid and net assets acquired for the 2021 acquisitions (in millions):</w:t>
            </w: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28"/>
        </w:trPr>
        <w:tc>
          <w:tcPr>
            <w:tcW w:w="95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Acquisition consideration:</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9"/>
              <w:spacing w:after="0"/>
              <w:rPr>
                <w:sz w:val="20"/>
                <w:szCs w:val="20"/>
                <w:color w:val="auto"/>
              </w:rPr>
            </w:pPr>
            <w:r>
              <w:rPr>
                <w:rFonts w:ascii="Arial" w:cs="Arial" w:eastAsia="Arial" w:hAnsi="Arial"/>
                <w:sz w:val="11"/>
                <w:szCs w:val="11"/>
                <w:b w:val="1"/>
                <w:bCs w:val="1"/>
                <w:color w:val="auto"/>
              </w:rPr>
              <w:t>2021</w:t>
            </w:r>
          </w:p>
        </w:tc>
      </w:tr>
      <w:tr>
        <w:trPr>
          <w:trHeight w:val="126"/>
        </w:trPr>
        <w:tc>
          <w:tcPr>
            <w:tcW w:w="9560" w:type="dxa"/>
            <w:vAlign w:val="bottom"/>
            <w:shd w:val="clear" w:color="auto" w:fill="CCEEFF"/>
          </w:tcPr>
          <w:p>
            <w:pPr>
              <w:ind w:left="80"/>
              <w:spacing w:after="0" w:line="123" w:lineRule="exact"/>
              <w:rPr>
                <w:sz w:val="20"/>
                <w:szCs w:val="20"/>
                <w:color w:val="auto"/>
              </w:rPr>
            </w:pPr>
            <w:r>
              <w:rPr>
                <w:rFonts w:ascii="Arial" w:cs="Arial" w:eastAsia="Arial" w:hAnsi="Arial"/>
                <w:sz w:val="11"/>
                <w:szCs w:val="11"/>
                <w:color w:val="auto"/>
              </w:rPr>
              <w:t>Cash, net of cash acquired</w:t>
            </w: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589.0</w:t>
            </w:r>
          </w:p>
        </w:tc>
      </w:tr>
      <w:tr>
        <w:trPr>
          <w:trHeight w:val="142"/>
        </w:trPr>
        <w:tc>
          <w:tcPr>
            <w:tcW w:w="95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Estimated fair value of contingent consideration</w:t>
            </w: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40.1</w:t>
            </w:r>
          </w:p>
        </w:tc>
      </w:tr>
      <w:tr>
        <w:trPr>
          <w:trHeight w:val="126"/>
        </w:trPr>
        <w:tc>
          <w:tcPr>
            <w:tcW w:w="9560" w:type="dxa"/>
            <w:vAlign w:val="bottom"/>
            <w:shd w:val="clear" w:color="auto" w:fill="CCEEFF"/>
          </w:tcPr>
          <w:p>
            <w:pPr>
              <w:ind w:left="240"/>
              <w:spacing w:after="0" w:line="123" w:lineRule="exact"/>
              <w:rPr>
                <w:sz w:val="20"/>
                <w:szCs w:val="20"/>
                <w:color w:val="auto"/>
              </w:rPr>
            </w:pPr>
            <w:r>
              <w:rPr>
                <w:rFonts w:ascii="Arial" w:cs="Arial" w:eastAsia="Arial" w:hAnsi="Arial"/>
                <w:sz w:val="11"/>
                <w:szCs w:val="11"/>
                <w:color w:val="auto"/>
              </w:rPr>
              <w:t>Total consideration transferred</w:t>
            </w: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629.1</w:t>
            </w:r>
          </w:p>
        </w:tc>
      </w:tr>
      <w:tr>
        <w:trPr>
          <w:trHeight w:val="122"/>
        </w:trPr>
        <w:tc>
          <w:tcPr>
            <w:tcW w:w="9560" w:type="dxa"/>
            <w:vAlign w:val="bottom"/>
          </w:tcPr>
          <w:p>
            <w:pPr>
              <w:spacing w:after="0" w:line="121" w:lineRule="exact"/>
              <w:rPr>
                <w:sz w:val="20"/>
                <w:szCs w:val="20"/>
                <w:color w:val="auto"/>
              </w:rPr>
            </w:pPr>
            <w:r>
              <w:rPr>
                <w:rFonts w:ascii="Arial" w:cs="Arial" w:eastAsia="Arial" w:hAnsi="Arial"/>
                <w:sz w:val="11"/>
                <w:szCs w:val="11"/>
                <w:b w:val="1"/>
                <w:bCs w:val="1"/>
                <w:color w:val="auto"/>
              </w:rPr>
              <w:t>Identifiable assets acquired and liabilities assumed:</w:t>
            </w: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46"/>
        </w:trPr>
        <w:tc>
          <w:tcPr>
            <w:tcW w:w="95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Current assets, primarily accounts receivable</w:t>
            </w: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216.2</w:t>
            </w:r>
          </w:p>
        </w:tc>
      </w:tr>
      <w:tr>
        <w:trPr>
          <w:trHeight w:val="142"/>
        </w:trPr>
        <w:tc>
          <w:tcPr>
            <w:tcW w:w="9560" w:type="dxa"/>
            <w:vAlign w:val="bottom"/>
          </w:tcPr>
          <w:p>
            <w:pPr>
              <w:ind w:left="80"/>
              <w:spacing w:after="0"/>
              <w:rPr>
                <w:sz w:val="20"/>
                <w:szCs w:val="20"/>
                <w:color w:val="auto"/>
              </w:rPr>
            </w:pPr>
            <w:r>
              <w:rPr>
                <w:rFonts w:ascii="Arial" w:cs="Arial" w:eastAsia="Arial" w:hAnsi="Arial"/>
                <w:sz w:val="11"/>
                <w:szCs w:val="11"/>
                <w:color w:val="auto"/>
              </w:rPr>
              <w:t>Long-term assets, primarily property and equipment and operating lease assets</w:t>
            </w:r>
          </w:p>
        </w:tc>
        <w:tc>
          <w:tcPr>
            <w:tcW w:w="4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182.0</w:t>
            </w:r>
          </w:p>
        </w:tc>
      </w:tr>
      <w:tr>
        <w:trPr>
          <w:trHeight w:val="146"/>
        </w:trPr>
        <w:tc>
          <w:tcPr>
            <w:tcW w:w="9560" w:type="dxa"/>
            <w:vAlign w:val="bottom"/>
            <w:shd w:val="clear" w:color="auto" w:fill="CCEEFF"/>
          </w:tcPr>
          <w:p>
            <w:pPr>
              <w:ind w:left="80"/>
              <w:spacing w:after="0"/>
              <w:rPr>
                <w:sz w:val="20"/>
                <w:szCs w:val="20"/>
                <w:color w:val="auto"/>
              </w:rPr>
            </w:pPr>
            <w:r>
              <w:rPr>
                <w:rFonts w:ascii="Arial" w:cs="Arial" w:eastAsia="Arial" w:hAnsi="Arial"/>
                <w:sz w:val="11"/>
                <w:szCs w:val="11"/>
                <w:color w:val="auto"/>
              </w:rPr>
              <w:t>Amortizing intangible assets</w:t>
            </w: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367.2</w:t>
            </w:r>
          </w:p>
        </w:tc>
      </w:tr>
      <w:tr>
        <w:trPr>
          <w:trHeight w:val="142"/>
        </w:trPr>
        <w:tc>
          <w:tcPr>
            <w:tcW w:w="9560" w:type="dxa"/>
            <w:vAlign w:val="bottom"/>
          </w:tcPr>
          <w:p>
            <w:pPr>
              <w:ind w:left="80"/>
              <w:spacing w:after="0"/>
              <w:rPr>
                <w:sz w:val="20"/>
                <w:szCs w:val="20"/>
                <w:color w:val="auto"/>
              </w:rPr>
            </w:pPr>
            <w:r>
              <w:rPr>
                <w:rFonts w:ascii="Arial" w:cs="Arial" w:eastAsia="Arial" w:hAnsi="Arial"/>
                <w:sz w:val="11"/>
                <w:szCs w:val="11"/>
                <w:color w:val="auto"/>
              </w:rPr>
              <w:t>Current liabilities, including current portion of operating lease liabilities</w:t>
            </w:r>
          </w:p>
        </w:tc>
        <w:tc>
          <w:tcPr>
            <w:tcW w:w="4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(147.3)</w:t>
            </w:r>
          </w:p>
        </w:tc>
      </w:tr>
      <w:tr>
        <w:trPr>
          <w:trHeight w:val="146"/>
        </w:trPr>
        <w:tc>
          <w:tcPr>
            <w:tcW w:w="956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Long-term liabilities, primarily operating lease liabilities and deferred income taxes</w:t>
            </w:r>
          </w:p>
        </w:tc>
        <w:tc>
          <w:tcPr>
            <w:tcW w:w="40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(77.1)</w:t>
            </w:r>
          </w:p>
        </w:tc>
      </w:tr>
      <w:tr>
        <w:trPr>
          <w:trHeight w:val="122"/>
        </w:trPr>
        <w:tc>
          <w:tcPr>
            <w:tcW w:w="9560" w:type="dxa"/>
            <w:vAlign w:val="bottom"/>
            <w:tcBorders>
              <w:bottom w:val="single" w:sz="8" w:color="CCEEFF"/>
            </w:tcBorders>
          </w:tcPr>
          <w:p>
            <w:pPr>
              <w:ind w:left="240"/>
              <w:spacing w:after="0" w:line="121" w:lineRule="exact"/>
              <w:rPr>
                <w:sz w:val="20"/>
                <w:szCs w:val="20"/>
                <w:color w:val="auto"/>
              </w:rPr>
            </w:pPr>
            <w:r>
              <w:rPr>
                <w:rFonts w:ascii="Arial" w:cs="Arial" w:eastAsia="Arial" w:hAnsi="Arial"/>
                <w:sz w:val="11"/>
                <w:szCs w:val="11"/>
                <w:color w:val="auto"/>
              </w:rPr>
              <w:t>Total identifiable net assets</w:t>
            </w: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541.0</w:t>
            </w:r>
          </w:p>
        </w:tc>
      </w:tr>
      <w:tr>
        <w:trPr>
          <w:trHeight w:val="126"/>
        </w:trPr>
        <w:tc>
          <w:tcPr>
            <w:tcW w:w="9560" w:type="dxa"/>
            <w:vAlign w:val="bottom"/>
            <w:shd w:val="clear" w:color="auto" w:fill="CCEEFF"/>
          </w:tcPr>
          <w:p>
            <w:pPr>
              <w:ind w:left="80"/>
              <w:spacing w:after="0" w:line="123" w:lineRule="exact"/>
              <w:rPr>
                <w:sz w:val="20"/>
                <w:szCs w:val="20"/>
                <w:color w:val="auto"/>
              </w:rPr>
            </w:pPr>
            <w:r>
              <w:rPr>
                <w:rFonts w:ascii="Arial" w:cs="Arial" w:eastAsia="Arial" w:hAnsi="Arial"/>
                <w:sz w:val="11"/>
                <w:szCs w:val="11"/>
                <w:color w:val="auto"/>
              </w:rPr>
              <w:t>Goodwill</w:t>
            </w: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88.1</w:t>
            </w:r>
          </w:p>
        </w:tc>
      </w:tr>
      <w:tr>
        <w:trPr>
          <w:trHeight w:val="122"/>
        </w:trPr>
        <w:tc>
          <w:tcPr>
            <w:tcW w:w="9560" w:type="dxa"/>
            <w:vAlign w:val="bottom"/>
          </w:tcPr>
          <w:p>
            <w:pPr>
              <w:ind w:left="240"/>
              <w:spacing w:after="0" w:line="121" w:lineRule="exact"/>
              <w:rPr>
                <w:sz w:val="20"/>
                <w:szCs w:val="20"/>
                <w:color w:val="auto"/>
              </w:rPr>
            </w:pPr>
            <w:r>
              <w:rPr>
                <w:rFonts w:ascii="Arial" w:cs="Arial" w:eastAsia="Arial" w:hAnsi="Arial"/>
                <w:sz w:val="11"/>
                <w:szCs w:val="11"/>
                <w:color w:val="auto"/>
              </w:rPr>
              <w:t>Total net assets acquired, including goodwill</w:t>
            </w: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629.1</w:t>
            </w:r>
          </w:p>
        </w:tc>
      </w:tr>
    </w:tbl>
    <w:p>
      <w:pPr>
        <w:spacing w:after="0" w:line="166"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Amortizing intangible assets related to the 2021 acquisitions are primarily composed of customer relationships and trade names, which had weighted average lives of approximately 18 years and 17 years, respectively. The weighted average life of amortizing intangible assets for the 2021 acquisitions in the aggregate was 17 years. The acquired intangible assets included a customer relationship and a trade name intangible asset representing $282 million in the aggregate, having asset lives of approximately 20 years each, based on the acquired entity’s operational history and established relationships with, and the nature of its customers, which are primarily in the utilities industry. Amortizing intangible assets are amortized in a manner consistent with the pattern in which the related benefits are expected to be consumed. The goodwill balances for each of the respective acquisitions, including approximately $46 million for the acquisition in our Electrical Transmission segment, represent the estimated value of each acquired company’s geographic presence in key markets, its assembled workforce and management team’s industry-specific project management expertise, as well as synergies expected to be achieved from the combined operations of each of the acquired companies and MasTec. Approximately $74 million of the goodwill balance related to the 2021 acquisitions is expected to be tax deductible as of June 30, 2021.</w:t>
      </w:r>
    </w:p>
    <w:p>
      <w:pPr>
        <w:spacing w:after="0" w:line="48"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 xml:space="preserve">The contingent consideration included in the table above is composed of earn-out liabilities, which equal a portion of the acquired companies’ earnings before interest, taxes, depreciation and amortization (“EBITDA”) in excess of thresholds agreed upon with the sellers, if applicable. The earn-out arrangements for the 2021 acquisitions range from one to </w:t>
      </w:r>
      <w:r>
        <w:rPr>
          <w:rFonts w:ascii="Arial" w:cs="Arial" w:eastAsia="Arial" w:hAnsi="Arial"/>
          <w:sz w:val="11"/>
          <w:szCs w:val="11"/>
          <w:color w:val="26282A"/>
        </w:rPr>
        <w:t>five</w:t>
      </w:r>
      <w:r>
        <w:rPr>
          <w:rFonts w:ascii="Arial" w:cs="Arial" w:eastAsia="Arial" w:hAnsi="Arial"/>
          <w:sz w:val="11"/>
          <w:szCs w:val="11"/>
          <w:color w:val="auto"/>
        </w:rPr>
        <w:t>-year terms, as set forth in the respective purchase agreements, and are valued at approximately $40 million in the aggregate, of which approximately $26 million is included within current liabilities as of June 30, 2021. Earn-outs are generally payable annually and are recorded within other current and other long-term liabilities in the consolidated balance sheets. See Note 4 - Fair Value of Financial Instruments for details pertaining to fair value estimates for the Company’s earn-out arrangements. As of June 30, 2021, the range of remaining potential undiscounted earn-out liabilities for the 2021 acquisitions was estimated to be up to $86 million; however, there is no maximum payment amount. Determination of the estimated fair values of the net assets acquired and the estimated earn-out liabilities for these acquisitions was preliminary as of June 30, 2021; as a result, further adjustments to these estimates may occur.</w:t>
      </w:r>
    </w:p>
    <w:p>
      <w:pPr>
        <w:spacing w:after="0" w:line="62"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b w:val="1"/>
          <w:bCs w:val="1"/>
          <w:i w:val="1"/>
          <w:iCs w:val="1"/>
          <w:color w:val="auto"/>
        </w:rPr>
        <w:t xml:space="preserve">2020 Acquisitions. </w:t>
      </w:r>
      <w:r>
        <w:rPr>
          <w:rFonts w:ascii="Arial" w:cs="Arial" w:eastAsia="Arial" w:hAnsi="Arial"/>
          <w:sz w:val="10"/>
          <w:szCs w:val="10"/>
          <w:color w:val="auto"/>
        </w:rPr>
        <w:t>During the year ended December 31, 2020, MasTec completed five acquisitions. These acquisitions included the equity interests of two entities. Through a consolidated subsidiary, the Company acquired all of the equity interests in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a heavy civil infrastructure construction company that is included within the Company’s Clean Energy and Infrastructure segment. As of the date of acquisition, the Company’s ownership interest in the consolidated subsidiary was 96%, and as of both June 30, 2021 and December 31, 2020, was 91%, with the non-controlling interests owned by members of subsidiary management. The Company also acquired all of the equity interests in a utility service and telecommunications construction contractor that is included within the Company’s Communications segment. Additionally, the Company acquired the assets of three entities in 2020, one that specializes in wireless telecommunications and one that specializes in install-to-the-home services, both of which are included within the Company’s Communications segment, and one that specializes in electrical transmission services that is included within the Company’s Electrical Transmission segment.</w:t>
      </w:r>
    </w:p>
    <w:p>
      <w:pPr>
        <w:spacing w:after="0" w:line="47"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26282A"/>
        </w:rPr>
        <w:t xml:space="preserve">The aggregate purchase price for these entities was composed of approximately </w:t>
      </w:r>
      <w:r>
        <w:rPr>
          <w:rFonts w:ascii="Arial" w:cs="Arial" w:eastAsia="Arial" w:hAnsi="Arial"/>
          <w:sz w:val="10"/>
          <w:szCs w:val="10"/>
          <w:color w:val="000000"/>
        </w:rPr>
        <w:t>$23.6 million</w:t>
      </w:r>
      <w:r>
        <w:rPr>
          <w:rFonts w:ascii="Arial" w:cs="Arial" w:eastAsia="Arial" w:hAnsi="Arial"/>
          <w:sz w:val="10"/>
          <w:szCs w:val="10"/>
          <w:color w:val="26282A"/>
        </w:rPr>
        <w:t xml:space="preserve"> in cash, net of cash acquired, with an additional </w:t>
      </w:r>
      <w:r>
        <w:rPr>
          <w:rFonts w:ascii="Arial" w:cs="Arial" w:eastAsia="Arial" w:hAnsi="Arial"/>
          <w:sz w:val="10"/>
          <w:szCs w:val="10"/>
          <w:color w:val="000000"/>
        </w:rPr>
        <w:t>$3.1 million</w:t>
      </w:r>
      <w:r>
        <w:rPr>
          <w:rFonts w:ascii="Arial" w:cs="Arial" w:eastAsia="Arial" w:hAnsi="Arial"/>
          <w:sz w:val="10"/>
          <w:szCs w:val="10"/>
          <w:color w:val="26282A"/>
        </w:rPr>
        <w:t xml:space="preserve"> due through 2023, subject to certain indemnification provisions, and earn-out liabilities with five-year terms valued at approximately </w:t>
      </w:r>
      <w:r>
        <w:rPr>
          <w:rFonts w:ascii="Arial" w:cs="Arial" w:eastAsia="Arial" w:hAnsi="Arial"/>
          <w:sz w:val="10"/>
          <w:szCs w:val="10"/>
          <w:color w:val="000000"/>
        </w:rPr>
        <w:t>$8.3 million</w:t>
      </w:r>
      <w:r>
        <w:rPr>
          <w:rFonts w:ascii="Arial" w:cs="Arial" w:eastAsia="Arial" w:hAnsi="Arial"/>
          <w:sz w:val="10"/>
          <w:szCs w:val="10"/>
          <w:color w:val="26282A"/>
        </w:rPr>
        <w:t xml:space="preserve">. </w:t>
      </w:r>
      <w:r>
        <w:rPr>
          <w:rFonts w:ascii="Arial" w:cs="Arial" w:eastAsia="Arial" w:hAnsi="Arial"/>
          <w:sz w:val="10"/>
          <w:szCs w:val="10"/>
          <w:color w:val="000000"/>
        </w:rPr>
        <w:t>As of June 30, 2021, the range of remaining potential undiscounted earn-out liabilities for the 2020 acquisitions was estimated to be up to $12 million; however, there is no maximum payment amount.</w:t>
      </w:r>
      <w:r>
        <w:rPr>
          <w:rFonts w:ascii="Arial" w:cs="Arial" w:eastAsia="Arial" w:hAnsi="Arial"/>
          <w:sz w:val="10"/>
          <w:szCs w:val="10"/>
          <w:color w:val="26282A"/>
        </w:rPr>
        <w:t xml:space="preserve"> </w:t>
      </w:r>
      <w:r>
        <w:rPr>
          <w:rFonts w:ascii="Arial" w:cs="Arial" w:eastAsia="Arial" w:hAnsi="Arial"/>
          <w:sz w:val="10"/>
          <w:szCs w:val="10"/>
          <w:color w:val="000000"/>
        </w:rPr>
        <w:t>Determination of the estimated fair values of net assets acquired and earn-out liabilities for certain of these acquisitions was preliminary as of June 30, 2021; as a result, further adjustments to these estimates may occur.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3" w:name="page14"/>
    <w:bookmarkEnd w:id="13"/>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Pro Forma Financial Information and Acquisition Results. </w:t>
      </w:r>
      <w:r>
        <w:rPr>
          <w:rFonts w:ascii="Arial" w:cs="Arial" w:eastAsia="Arial" w:hAnsi="Arial"/>
          <w:sz w:val="11"/>
          <w:szCs w:val="11"/>
          <w:color w:val="auto"/>
        </w:rPr>
        <w:t>For the three month periods ended June 30, 2021 and 2020, unaudited supplemental pro forma revenue totaled approximately $2.0 billion and $1.9 billion, respectively, and unaudited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supplemental pro forma net income totaled approximately $81.6 million and $58.6 million, respectively. For the six month periods ended June 30, 2021 and 2020, unaudited supplemental pro forma revenue totaled approximately $4.0 billion and $3.6 billion, respectively, and unaudited supplemental pro forma net income totaled approximately $151.2 million and $95.5 million, respectively.</w:t>
      </w:r>
    </w:p>
    <w:p>
      <w:pPr>
        <w:spacing w:after="0" w:line="57"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For the three and six month periods ended June 30, 2021, the Company’s consolidated results of operations included acquisition-related revenue of approximately $271.4 million and $358.2 million, respectively, and included acquisition-related net income of approximately $3.5 million and $4.7 million, respectively, based on the Company’s consolidated effective tax rates. For the three and six month periods ended June 30, 2020, the Company’s consolidated results of operations included acquisition-related revenue of approximately $63.5 million and $113.0 million, respectively, and included acquisition-related net income of approximately $0.4 million and acquisition-related net losses of approximately $0.5 million, respectively, based on the Company’s consolidated effective tax rates. These acquisition-related results include amortization of intangible assets and exclude the effects of acquisition costs and interest expense associated with consideration paid for the related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4 – Fair Value of Financial Instruments</w:t>
      </w:r>
    </w:p>
    <w:p>
      <w:pPr>
        <w:spacing w:after="0" w:line="76"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The Company’s financial instruments include cash and cash equivalents, accounts and notes receivable, cash collateral deposited with insurance carriers, life insurance assets, equity investments, deferred compensation plan assets and liabilities, accounts payable and other current liabilities, acquisition-related contingent consideration, mandatorily redeemable non-controlling interests, convertible debentures and debt obligations.</w:t>
      </w:r>
    </w:p>
    <w:p>
      <w:pPr>
        <w:spacing w:after="0" w:line="53"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Acquisition-Related Contingent Consideration and Other Liabilities</w:t>
      </w:r>
    </w:p>
    <w:p>
      <w:pPr>
        <w:spacing w:after="0" w:line="72" w:lineRule="exact"/>
        <w:rPr>
          <w:sz w:val="20"/>
          <w:szCs w:val="20"/>
          <w:color w:val="auto"/>
        </w:rPr>
      </w:pPr>
    </w:p>
    <w:p>
      <w:pPr>
        <w:jc w:val="both"/>
        <w:ind w:firstLine="433"/>
        <w:spacing w:after="0" w:line="269" w:lineRule="auto"/>
        <w:rPr>
          <w:sz w:val="20"/>
          <w:szCs w:val="20"/>
          <w:color w:val="auto"/>
        </w:rPr>
      </w:pPr>
      <w:r>
        <w:rPr>
          <w:rFonts w:ascii="Arial" w:cs="Arial" w:eastAsia="Arial" w:hAnsi="Arial"/>
          <w:sz w:val="10"/>
          <w:szCs w:val="10"/>
          <w:color w:val="auto"/>
        </w:rPr>
        <w:t>Acquisition-related contingent consideration and other liabilities is composed of earn-outs, which represent the estimated fair value of future amounts payable for businesses, including for mandatorily redeemable non-controlling interests (together, “Earn-outs”), that are contingent upon the acquired business achieving certain levels of earnings in the future. As of June 30, 2021 and December 31, 2020, the estimated fair value of the Company’s Earn-out liabilities totaled $119.8 million and $135.2 million, respectively, of which $16.8 million and $18.8 million, respectively, related to mandatorily redeemable non-controlling interests. Earn-out liabilities included within other current liabilities totaled approximately $58.9 million and $48.1 million as of June 30, 2021 and December 31, 2020,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June 30, 2021, ranged from 12.0% to 23.5%, with a weighted average rate of 13.0% based on the relative fair value of each instrument,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June 30, 2021, the range of potential undiscounted Earn-out liabilities was estimated to be between $17 million and $189 million; however, there is no maximum payment amount.</w:t>
      </w:r>
    </w:p>
    <w:p>
      <w:pPr>
        <w:spacing w:after="0" w:line="51" w:lineRule="exact"/>
        <w:rPr>
          <w:sz w:val="20"/>
          <w:szCs w:val="20"/>
          <w:color w:val="auto"/>
        </w:rPr>
      </w:pPr>
    </w:p>
    <w:p>
      <w:pPr>
        <w:jc w:val="both"/>
        <w:ind w:firstLine="433"/>
        <w:spacing w:after="0" w:line="269" w:lineRule="auto"/>
        <w:rPr>
          <w:sz w:val="20"/>
          <w:szCs w:val="20"/>
          <w:color w:val="auto"/>
        </w:rPr>
      </w:pPr>
      <w:r>
        <w:rPr>
          <w:rFonts w:ascii="Arial" w:cs="Arial" w:eastAsia="Arial" w:hAnsi="Arial"/>
          <w:sz w:val="10"/>
          <w:szCs w:val="10"/>
          <w:color w:val="auto"/>
        </w:rPr>
        <w:t>Earn-out activity consists primarily of additions from new business combinations; changes in the expected fair value of future payment obligations; and payments. Additions from new business combinations totaled $40.1 million for both the three and six month periods ended June 30, 2021 and totaled $7.2 million for both the three and six month periods ended June 30, 2020. There were no measurement period adjustments in either of the three or six month periods ended June 30, 2021. For the three and six month periods ended June 30, 2021, fair value adjustments totaled net decreases of $8.9 million and $9.3 million, respectively, and related to decreases in the Company’s Oil and Gas and Clean Energy and Infrastructure segments, partially offset by increases in the Company’s Communications segment. For the three month period ended June 30, 2020, fair value adjustments, net, were de minimis, and for the six month period ended June 30, 2020, fair value adjustments, net, and measurement period adjustments totaled increases of $1.7 million and $1.1 million, respectively, and related to businesses in the Company’s Oil and Gas and Communications segments. Earn-out payments totaled $46.2 million for both the three and six month periods ended June 30, 2021, including approximately $2.1 million related to mandatorily redeemable non-controlling interests, and totaled $50.4 million for both the three and six month periods ended June 30, 2020. Earn-out payments, to the extent they relate to estimated liabilities as of the date of acquisition, are classified within financing activities in the consolidated statements of cash flows, whereas Earn-out payments in excess of acquisition date liabilities are classified within operating activities in the consolidated statements of cash flows. The method of determining the amount of excess of acquisition-date liabilities was revised in the fourth quarter of 2020 to more closely align the cash flow presentation for such amounts with the economics of the contingent consideration arrangement. Accordingly, all prior year periods have been updated to conform with the current year presentation.</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Equity Investments</w:t>
      </w:r>
    </w:p>
    <w:p>
      <w:pPr>
        <w:spacing w:after="0" w:line="7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The Company’s equity investments as of June 30, 2021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equity interests in American Virtual Cloud Technologies, Inc., or “AVCT”; (v) the Company’s interests in certain proportionately consolidated non-controlled contractual joint ventures; and (vi) certain other equity investments.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4" w:name="page15"/>
    <w:bookmarkEnd w:id="14"/>
    <w:p>
      <w:pPr>
        <w:jc w:val="both"/>
        <w:ind w:firstLine="433"/>
        <w:spacing w:after="0" w:line="278" w:lineRule="auto"/>
        <w:rPr>
          <w:sz w:val="20"/>
          <w:szCs w:val="20"/>
          <w:color w:val="auto"/>
        </w:rPr>
      </w:pPr>
      <w:r>
        <w:rPr>
          <w:rFonts w:ascii="Arial" w:cs="Arial" w:eastAsia="Arial" w:hAnsi="Arial"/>
          <w:sz w:val="10"/>
          <w:szCs w:val="10"/>
          <w:i w:val="1"/>
          <w:iCs w:val="1"/>
          <w:color w:val="auto"/>
        </w:rPr>
        <w:t>Investment Arrangements</w:t>
      </w:r>
      <w:r>
        <w:rPr>
          <w:rFonts w:ascii="Arial" w:cs="Arial" w:eastAsia="Arial" w:hAnsi="Arial"/>
          <w:sz w:val="10"/>
          <w:szCs w:val="10"/>
          <w:color w:val="auto"/>
        </w:rPr>
        <w:t>. From time to time, the Company may participate in selected investment or strategic arrangements, including equity interests in various business entities and participation in contractual joint ventures. Some of these</w:t>
      </w:r>
      <w:r>
        <w:rPr>
          <w:rFonts w:ascii="Arial" w:cs="Arial" w:eastAsia="Arial" w:hAnsi="Arial"/>
          <w:sz w:val="10"/>
          <w:szCs w:val="10"/>
          <w:i w:val="1"/>
          <w:iCs w:val="1"/>
          <w:color w:val="auto"/>
        </w:rPr>
        <w:t xml:space="preserve"> </w:t>
      </w:r>
      <w:r>
        <w:rPr>
          <w:rFonts w:ascii="Arial" w:cs="Arial" w:eastAsia="Arial" w:hAnsi="Arial"/>
          <w:sz w:val="10"/>
          <w:szCs w:val="10"/>
          <w:color w:val="auto"/>
        </w:rPr>
        <w:t>investment or strategic arrangements may involve the extension of loans or other types of financing, including approximately $3 million each of financing receivables and financing commitments as of December 31, 2020, neither of which was outstanding as of June 30, 2021. The Company has determined that certain of its investment arrangements are variable interest entities (“VIEs”). As of June 30, 2021,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45"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(“adjusted cost basis”). As of June 30, 2021 and December 31, 2020, the aggregate carrying value of the Company’s equity investments, including equity investments measured on an adjusted cost basis, totaled approximately $248 million and $220 million, respectively. As of June 30, 2021 and December 31, 2020, equity investments measured on an adjusted cost basis, including the Company’s $15 million investment in CCI, totaled approximately $18 million and $17 million, respectively. There were no material changes in the fair values of, or impairments related to, these investments during any of the three or six month periods ended June 30, 2021 or 2020.</w:t>
      </w:r>
    </w:p>
    <w:p>
      <w:pPr>
        <w:spacing w:after="0" w:line="61"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i w:val="1"/>
          <w:iCs w:val="1"/>
          <w:color w:val="auto"/>
        </w:rPr>
        <w:t xml:space="preserve">The Waha JVs. </w:t>
      </w:r>
      <w:r>
        <w:rPr>
          <w:rFonts w:ascii="Arial" w:cs="Arial" w:eastAsia="Arial" w:hAnsi="Arial"/>
          <w:sz w:val="10"/>
          <w:szCs w:val="10"/>
          <w:color w:val="auto"/>
        </w:rPr>
        <w:t>The Waha JVs own and operate certain pipeline infrastructure that transports natural gas to the Mexican border for export. The Company’s investments in the Waha JVs are accounted for as equity method investments. Equity in</w:t>
      </w:r>
      <w:r>
        <w:rPr>
          <w:rFonts w:ascii="Arial" w:cs="Arial" w:eastAsia="Arial" w:hAnsi="Arial"/>
          <w:sz w:val="10"/>
          <w:szCs w:val="10"/>
          <w:i w:val="1"/>
          <w:iCs w:val="1"/>
          <w:color w:val="auto"/>
        </w:rPr>
        <w:t xml:space="preserve"> </w:t>
      </w:r>
      <w:r>
        <w:rPr>
          <w:rFonts w:ascii="Arial" w:cs="Arial" w:eastAsia="Arial" w:hAnsi="Arial"/>
          <w:sz w:val="10"/>
          <w:szCs w:val="10"/>
          <w:color w:val="auto"/>
        </w:rPr>
        <w:t>earnings related to the Company’s proportionate share of income from the Waha JVs, which is included within the Company’s Other segment, totaled approximately $8.6 million and $16.3 million for the three and six month periods ended June 30, 2021, respectively, and totaled $7.6 million and $15.3 million for the three and six month periods ended June 30, 2020, respectively. Distributions of earnings from the Waha JVs are included within operating cash flows. There were no distributions of earnings in either of the three or six month periods ended June 30, 2021, and for the three and six month periods ended June 30, 2020, distributions of earnings totaled $5.2 million and $7.9 million, respectively. Cumulative undistributed earnings from the Waha JVs, which represents cumulative equity in earnings for the Waha JVs less distributions of earnings, totaled $83.6 million as of June 30, 2021. The Company’s net investment in the Waha JVs, which differs from its proportionate share of the net assets of the Waha JVs due primarily to equity method goodwill associated with capitalized investment costs, totaled approximately $201 million and $175 million as of June 30, 2021 and December 31, 2020, respectively.</w:t>
      </w:r>
    </w:p>
    <w:p>
      <w:pPr>
        <w:spacing w:after="0" w:line="48"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six month periods ended June 30, 2021, the Company’s proportionate share of unrecognized unrealized activity on the Waha JV swaps totaled losses of approximately $4.9 million and gains of approximately $12.3 million, respectively, or $3.7 million and $9.4 million, net of tax, respectively. For the three and six month periods ended June 30, 2020, the Company’s proportionate share of unrecognized unrealized activity on the Waha JV swaps totaled losses of approximately $1.7 million and $32.0 million, respectively, or $1.3 million and $24.3 million, net of tax, respectively.</w:t>
      </w:r>
    </w:p>
    <w:p>
      <w:pPr>
        <w:spacing w:after="0" w:line="47"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i w:val="1"/>
          <w:iCs w:val="1"/>
          <w:color w:val="auto"/>
        </w:rPr>
        <w:t xml:space="preserve">Other Investments. </w:t>
      </w:r>
      <w:r>
        <w:rPr>
          <w:rFonts w:ascii="Arial" w:cs="Arial" w:eastAsia="Arial" w:hAnsi="Arial"/>
          <w:sz w:val="10"/>
          <w:szCs w:val="10"/>
          <w:color w:val="auto"/>
        </w:rPr>
        <w:t>The Company has investments in AVCT. These investments include (i) shares of AVCT common stock, which are equity securities, (ii) warrants for the purchase of AVCT common stock, which are derivative financial instruments,</w:t>
      </w:r>
      <w:r>
        <w:rPr>
          <w:rFonts w:ascii="Arial" w:cs="Arial" w:eastAsia="Arial" w:hAnsi="Arial"/>
          <w:sz w:val="10"/>
          <w:szCs w:val="10"/>
          <w:i w:val="1"/>
          <w:iCs w:val="1"/>
          <w:color w:val="auto"/>
        </w:rPr>
        <w:t xml:space="preserve"> </w:t>
      </w:r>
      <w:r>
        <w:rPr>
          <w:rFonts w:ascii="Arial" w:cs="Arial" w:eastAsia="Arial" w:hAnsi="Arial"/>
          <w:sz w:val="10"/>
          <w:szCs w:val="10"/>
          <w:color w:val="auto"/>
        </w:rPr>
        <w:t>and (iii) debentures that are convertible into shares of AVCT common stock, which are available-for-sale securities. As of June 30, 2021 and December 31, 2020, the Company’s ownership interest in AVCT’s common stock, represented by the AVCT shares, totaled approximately 8% and 9%, respectively, and its aggregate ownership interest, assuming the exercise and conversion of all legally exercisable warrants and convertible debt into AVCT common stock, totaled approximately 21% as of both June 30, 2021 and December 31, 2020. José R. Mas, MasTec’s Chief Executive Officer, was a director of AVCT through the end of March 2020. The Company paid an aggregate of approximately $5 million for its investments in AVCT, all of which are included within other long-term assets in the Company’s consolidated financial statements. The Company does not have the ability to exert significant influence over the operating and financial policies of AVCT.</w:t>
      </w:r>
    </w:p>
    <w:p>
      <w:pPr>
        <w:spacing w:after="0" w:line="47"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As of June 30, 2021 and December 31, 2020, the aggregate fair value of the Company’s investments in AVCT approximated $19 million and $17 million, respectively. For the three month period ended June 30, 2021, the Company recorded unrealized fair value measurement gains, net, on the AVCT securities within other income totaling approximately $1.0 million, primarily related to the AVCT shares, and for the six month period ended June 30, 2021, unrealized fair value measurement losses, net, on the AVCT securities were de minimis. Beginning in the second quarter of 2021, the fair value of the shares was determined based on the market price of identical securities, which is a Level 1 input. Previously, the fair value of the shares was adjusted for certain restrictions on sale, which is a Level 3 input. These restrictions expired in April 2021. Unrealized fair value measurement gains, net, recognized in other income for these securities totaled $3.8 million for both the three and six month periods ended June 30, 2020, respectively. For the three and six month periods ended June 30, 2021, unrealized fair value measurement gains on the AVCT convertible debentures, for which fair value is determined based on Level 3 inputs and recognized within other comprehensive income, totaled approximately $0.3 million and $1.3 million, respectively, or $0.2 million and $1.0 million, net of tax, respectively.</w:t>
      </w:r>
    </w:p>
    <w:p>
      <w:pPr>
        <w:spacing w:after="0" w:line="48"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During the first quarter of 2021, MasTec committed to fund up to $2.5 million for a 75% equity interest in Confluence Networks, LLC (“Confluence”), an undersea fiber-optic communications systems developer and VIE, of which $0.6 million and $1.0 million were funded during the three and six month periods ended June 30, 2021, respectively. Equity in losses related to the Company’s proportionate share of income from this investment totaled $0.3 million for both the three and six month periods ended June 30, 2021. As of June 30, 2021, MasTec had less than a majority of the members on the board and determined that it did not have a controlling financial interest. The Company has the ability to exert significant influence over the VIE, and, as a result, the Company’s investment in Confluence was accounted for as an equity method investment as of June 30, 2021.</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5" w:name="page16"/>
    <w:bookmarkEnd w:id="15"/>
    <w:p>
      <w:pPr>
        <w:jc w:val="both"/>
        <w:ind w:firstLine="433"/>
        <w:spacing w:after="0" w:line="274" w:lineRule="auto"/>
        <w:rPr>
          <w:sz w:val="20"/>
          <w:szCs w:val="20"/>
          <w:color w:val="auto"/>
        </w:rPr>
      </w:pPr>
      <w:r>
        <w:rPr>
          <w:rFonts w:ascii="Arial" w:cs="Arial" w:eastAsia="Arial" w:hAnsi="Arial"/>
          <w:sz w:val="10"/>
          <w:szCs w:val="10"/>
          <w:color w:val="auto"/>
        </w:rPr>
        <w:t>The Company has equity interests in certain telecommunications entities that are accounted for as equity method investments, for which the Company had an aggregate investment of $20 million and $19 million, respectively, including $17 million and $16 million, respectively, for FM Tech, as of June 30, 2021 and December 31, 2020. The initial investment in FM Tech provided for an additional $9 million of purchase price upon resolution of certain contingencies, of which $2 million was paid in the first quarter of 2021. As of June 30, 2021, approximately $3 million of contingent payment liabilities were included within other current liabilities. For the three month period ended June 30, 2021, the Company made no equity contributions related to these entities, and for the six month period ended June 30, 2021, made equity contributions of approximately $2 million. The Company made no equity contributions during either of the three or six month periods ended June 30, 2020. Equity in losses, net, related to the Company’s proportionate share of income from these telecommunications entities totaled approximately $1 million for each of the three and six month periods ended June 30, 2021 and 2020.</w:t>
      </w:r>
    </w:p>
    <w:p>
      <w:pPr>
        <w:spacing w:after="0" w:line="47"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Certain of these entities provide services to MasTec. Expense recognized in connection with services provided by these entities totaled $2.4 million and $3.6 million for the three month periods ended June 30, 2021 and 2020, respectively, and totaled $4.1 million and $6.3 million for the six month periods ended June 30, 2021 and 2020, respectively. As of June 30, 2021 and December 31, 2020, related amounts payable to these entities totaled $0.5 million and $0.2 million, respectively. In addition, the Company has an employee leasing arrangement with one of these entities. Charges to this entity were de minimis for both the three and six month periods ended June 30, 2021, and totaled $0.2 million for both the three and six month periods ended June 30, 2020. As of June 30, 2021 and December 31, 2020, related amounts receivable totaled $0.5 million and $0.4 million, respectively. There were no amounts advanced to these entities for the three month period ended June 30, 2021, and for the six month period ended June 30, 2021, amounts advanced totaled $0.2 million, which amount was outstanding as of June 30, 2021.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Senior Notes</w:t>
      </w:r>
    </w:p>
    <w:p>
      <w:pPr>
        <w:spacing w:after="0" w:line="72"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As of both June 30, 2021 and December 31, 2020, the gross carrying amount of the Company’s 4.50% senior notes due August 15, 2028 (the “4.50% Senior Notes”) totaled $600 million, and their estimated fair value, as determined based on an exit price approach using Level 1 inputs, totaled $627.0 million and $625.5 million,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260" w:type="dxa"/>
            <w:vAlign w:val="bottom"/>
          </w:tcPr>
          <w:p>
            <w:pPr>
              <w:spacing w:after="0"/>
              <w:rPr>
                <w:sz w:val="20"/>
                <w:szCs w:val="20"/>
                <w:color w:val="auto"/>
              </w:rPr>
            </w:pPr>
            <w:r>
              <w:rPr>
                <w:rFonts w:ascii="Arial" w:cs="Arial" w:eastAsia="Arial" w:hAnsi="Arial"/>
                <w:sz w:val="11"/>
                <w:szCs w:val="11"/>
                <w:b w:val="1"/>
                <w:bCs w:val="1"/>
                <w:color w:val="auto"/>
              </w:rPr>
              <w:t>Note 5 – Accounts Receivable, Net of Allowance, and Contract Assets and Liabilities</w:t>
            </w: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98"/>
        </w:trPr>
        <w:tc>
          <w:tcPr>
            <w:tcW w:w="8260" w:type="dxa"/>
            <w:vAlign w:val="bottom"/>
          </w:tcPr>
          <w:p>
            <w:pPr>
              <w:ind w:left="420"/>
              <w:spacing w:after="0"/>
              <w:rPr>
                <w:sz w:val="20"/>
                <w:szCs w:val="20"/>
                <w:color w:val="auto"/>
              </w:rPr>
            </w:pPr>
            <w:r>
              <w:rPr>
                <w:rFonts w:ascii="Arial" w:cs="Arial" w:eastAsia="Arial" w:hAnsi="Arial"/>
                <w:sz w:val="11"/>
                <w:szCs w:val="11"/>
                <w:color w:val="auto"/>
                <w:w w:val="93"/>
              </w:rPr>
              <w:t>The following table provides details of accounts receivable, net of allowance, and contract assets (together, “accounts receivable, net”) as of the dates indicated (in millions):</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57"/>
        </w:trPr>
        <w:tc>
          <w:tcPr>
            <w:tcW w:w="8260" w:type="dxa"/>
            <w:vAlign w:val="bottom"/>
          </w:tcPr>
          <w:p>
            <w:pPr>
              <w:spacing w:after="0"/>
              <w:rPr>
                <w:sz w:val="13"/>
                <w:szCs w:val="13"/>
                <w:color w:val="auto"/>
              </w:rPr>
            </w:pPr>
          </w:p>
        </w:tc>
        <w:tc>
          <w:tcPr>
            <w:tcW w:w="1020" w:type="dxa"/>
            <w:vAlign w:val="bottom"/>
          </w:tcPr>
          <w:p>
            <w:pPr>
              <w:jc w:val="right"/>
              <w:ind w:right="46"/>
              <w:spacing w:after="0"/>
              <w:rPr>
                <w:sz w:val="20"/>
                <w:szCs w:val="20"/>
                <w:color w:val="auto"/>
              </w:rPr>
            </w:pPr>
            <w:r>
              <w:rPr>
                <w:rFonts w:ascii="Arial" w:cs="Arial" w:eastAsia="Arial" w:hAnsi="Arial"/>
                <w:sz w:val="11"/>
                <w:szCs w:val="11"/>
                <w:b w:val="1"/>
                <w:bCs w:val="1"/>
                <w:color w:val="auto"/>
              </w:rPr>
              <w:t>June 30,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ind w:left="180"/>
              <w:spacing w:after="0"/>
              <w:rPr>
                <w:sz w:val="20"/>
                <w:szCs w:val="20"/>
                <w:color w:val="auto"/>
              </w:rPr>
            </w:pPr>
            <w:r>
              <w:rPr>
                <w:rFonts w:ascii="Arial" w:cs="Arial" w:eastAsia="Arial" w:hAnsi="Arial"/>
                <w:sz w:val="11"/>
                <w:szCs w:val="11"/>
                <w:b w:val="1"/>
                <w:bCs w:val="1"/>
                <w:color w:val="auto"/>
              </w:rPr>
              <w:t>December 31,</w:t>
            </w:r>
          </w:p>
        </w:tc>
      </w:tr>
      <w:tr>
        <w:trPr>
          <w:trHeight w:val="142"/>
        </w:trPr>
        <w:tc>
          <w:tcPr>
            <w:tcW w:w="82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rPr>
              <w:t>2020</w:t>
            </w:r>
          </w:p>
        </w:tc>
      </w:tr>
      <w:tr>
        <w:trPr>
          <w:trHeight w:val="135"/>
        </w:trPr>
        <w:tc>
          <w:tcPr>
            <w:tcW w:w="826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Contract billings</w:t>
            </w:r>
          </w:p>
        </w:tc>
        <w:tc>
          <w:tcPr>
            <w:tcW w:w="1020" w:type="dxa"/>
            <w:vAlign w:val="bottom"/>
            <w:shd w:val="clear" w:color="auto" w:fill="CCEEFF"/>
          </w:tcPr>
          <w:p>
            <w:pPr>
              <w:jc w:val="right"/>
              <w:ind w:right="8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874.4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ind w:left="920"/>
              <w:spacing w:after="0"/>
              <w:rPr>
                <w:sz w:val="20"/>
                <w:szCs w:val="20"/>
                <w:color w:val="auto"/>
              </w:rPr>
            </w:pPr>
            <w:r>
              <w:rPr>
                <w:rFonts w:ascii="Arial" w:cs="Arial" w:eastAsia="Arial" w:hAnsi="Arial"/>
                <w:sz w:val="11"/>
                <w:szCs w:val="11"/>
                <w:color w:val="auto"/>
              </w:rPr>
              <w:t>805.0</w:t>
            </w:r>
          </w:p>
        </w:tc>
      </w:tr>
      <w:tr>
        <w:trPr>
          <w:trHeight w:val="142"/>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Less allowance</w:t>
            </w:r>
          </w:p>
        </w:tc>
        <w:tc>
          <w:tcPr>
            <w:tcW w:w="10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1"/>
                <w:szCs w:val="11"/>
                <w:color w:val="auto"/>
                <w:w w:val="90"/>
              </w:rPr>
              <w:t>(20.5)</w:t>
            </w:r>
          </w:p>
        </w:tc>
      </w:tr>
      <w:tr>
        <w:trPr>
          <w:trHeight w:val="133"/>
        </w:trPr>
        <w:tc>
          <w:tcPr>
            <w:tcW w:w="82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Accounts receivable, net of allowance</w:t>
            </w:r>
          </w:p>
        </w:tc>
        <w:tc>
          <w:tcPr>
            <w:tcW w:w="1020" w:type="dxa"/>
            <w:vAlign w:val="bottom"/>
            <w:tcBorders>
              <w:bottom w:val="single" w:sz="8" w:color="auto"/>
            </w:tcBorders>
            <w:shd w:val="clear" w:color="auto" w:fill="CCEEFF"/>
          </w:tcPr>
          <w:p>
            <w:pPr>
              <w:jc w:val="right"/>
              <w:ind w:right="8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865.2</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1"/>
                <w:szCs w:val="11"/>
                <w:color w:val="auto"/>
              </w:rPr>
              <w:t>784.5</w:t>
            </w:r>
          </w:p>
        </w:tc>
      </w:tr>
      <w:tr>
        <w:trPr>
          <w:trHeight w:val="153"/>
        </w:trPr>
        <w:tc>
          <w:tcPr>
            <w:tcW w:w="8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4"/>
        </w:trPr>
        <w:tc>
          <w:tcPr>
            <w:tcW w:w="826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Retainage</w:t>
            </w: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ind w:left="920"/>
              <w:spacing w:after="0"/>
              <w:rPr>
                <w:sz w:val="20"/>
                <w:szCs w:val="20"/>
                <w:color w:val="auto"/>
              </w:rPr>
            </w:pPr>
            <w:r>
              <w:rPr>
                <w:rFonts w:ascii="Arial" w:cs="Arial" w:eastAsia="Arial" w:hAnsi="Arial"/>
                <w:sz w:val="11"/>
                <w:szCs w:val="11"/>
                <w:color w:val="auto"/>
              </w:rPr>
              <w:t>287.7</w:t>
            </w:r>
          </w:p>
        </w:tc>
      </w:tr>
      <w:tr>
        <w:trPr>
          <w:trHeight w:val="142"/>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Unbilled receivables</w:t>
            </w:r>
          </w:p>
        </w:tc>
        <w:tc>
          <w:tcPr>
            <w:tcW w:w="10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832.2</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1"/>
                <w:szCs w:val="11"/>
                <w:color w:val="auto"/>
              </w:rPr>
              <w:t>682.0</w:t>
            </w:r>
          </w:p>
        </w:tc>
      </w:tr>
      <w:tr>
        <w:trPr>
          <w:trHeight w:val="133"/>
        </w:trPr>
        <w:tc>
          <w:tcPr>
            <w:tcW w:w="82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Contract assets</w:t>
            </w:r>
          </w:p>
        </w:tc>
        <w:tc>
          <w:tcPr>
            <w:tcW w:w="1020" w:type="dxa"/>
            <w:vAlign w:val="bottom"/>
            <w:tcBorders>
              <w:bottom w:val="single" w:sz="8" w:color="auto"/>
            </w:tcBorders>
            <w:shd w:val="clear" w:color="auto" w:fill="CCEEFF"/>
          </w:tcPr>
          <w:p>
            <w:pPr>
              <w:jc w:val="right"/>
              <w:ind w:right="88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1,103.7</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1"/>
                <w:szCs w:val="11"/>
                <w:color w:val="auto"/>
              </w:rPr>
              <w:t>969.7</w:t>
            </w:r>
          </w:p>
        </w:tc>
      </w:tr>
    </w:tbl>
    <w:p>
      <w:pPr>
        <w:spacing w:after="0" w:line="166"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Contract billings represent the amount of performance obligations that have been billed but have not yet been collected.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The increase in the unbilled receivables balance as of June 30, 2021 was driven by ordinary course project activity associated with the Company’s 2021 acquisitions, as well as increased project activity across multiple segments. For the six month period ended June 30, 2021, provisions for credit losses totaled a recovery of $11.0 million, resulting from the successful collection efforts for previously reserved amounts. For the six month period ended June 30, 2020, provisions for credit losses totaled $12.3 million. Impairment losses on contract assets were not material in either period.</w:t>
      </w:r>
    </w:p>
    <w:p>
      <w:pPr>
        <w:spacing w:after="0" w:line="61"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Contract liabilities, including accrued project losses, totaled approximately $238.9 million and $228.4 million as of June 30, 2021 and December 31, 2020, respectively, of which deferred revenue comprised approximately $217.4 million and $203.0 million, respectively. For the three and six month periods ended June 30, 2021, the Company recognized revenue of approximately $19.3 million and $166.1 million, respectively, related to amounts that were included in deferred revenue as of December 31, 2020, resulting primarily from the advancement of physical progress on the related projects during the related periods.</w:t>
      </w:r>
    </w:p>
    <w:p>
      <w:pPr>
        <w:spacing w:after="0" w:line="61"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Company is party to non-recourse financing arrangements in the ordinary course of business, under which certain receivables are settled with the customer’s bank in return for a nominal fee. Discount charges related to these arrangements, which are included within interest expense, net, totaled approximately $0.8 million and $1.4 million for the three month periods ended June 30, 2021 and 2020, respectively, and totaled $1.5 million and $3.2 million for the six month periods ended June 30, 2021 and 2020,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0"/>
        </w:trPr>
        <w:tc>
          <w:tcPr>
            <w:tcW w:w="8260" w:type="dxa"/>
            <w:vAlign w:val="bottom"/>
          </w:tcPr>
          <w:p>
            <w:pPr>
              <w:spacing w:after="0"/>
              <w:rPr>
                <w:sz w:val="20"/>
                <w:szCs w:val="20"/>
                <w:color w:val="auto"/>
              </w:rPr>
            </w:pPr>
            <w:r>
              <w:rPr>
                <w:rFonts w:ascii="Arial" w:cs="Arial" w:eastAsia="Arial" w:hAnsi="Arial"/>
                <w:sz w:val="11"/>
                <w:szCs w:val="11"/>
                <w:b w:val="1"/>
                <w:bCs w:val="1"/>
                <w:color w:val="auto"/>
              </w:rPr>
              <w:t>Note 6 – Property and Equipment, Net</w:t>
            </w: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98"/>
        </w:trPr>
        <w:tc>
          <w:tcPr>
            <w:tcW w:w="8260" w:type="dxa"/>
            <w:vAlign w:val="bottom"/>
          </w:tcPr>
          <w:p>
            <w:pPr>
              <w:ind w:left="420"/>
              <w:spacing w:after="0"/>
              <w:rPr>
                <w:sz w:val="20"/>
                <w:szCs w:val="20"/>
                <w:color w:val="auto"/>
              </w:rPr>
            </w:pPr>
            <w:r>
              <w:rPr>
                <w:rFonts w:ascii="Arial" w:cs="Arial" w:eastAsia="Arial" w:hAnsi="Arial"/>
                <w:sz w:val="11"/>
                <w:szCs w:val="11"/>
                <w:color w:val="auto"/>
                <w:w w:val="97"/>
              </w:rPr>
              <w:t>The following table provides details of property and equipment, net, including property and equipment held under finance leases as of the dates indicated (in millions):</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21"/>
        </w:trPr>
        <w:tc>
          <w:tcPr>
            <w:tcW w:w="8260" w:type="dxa"/>
            <w:vAlign w:val="bottom"/>
          </w:tcPr>
          <w:p>
            <w:pPr>
              <w:spacing w:after="0"/>
              <w:rPr>
                <w:sz w:val="10"/>
                <w:szCs w:val="10"/>
                <w:color w:val="auto"/>
              </w:rPr>
            </w:pPr>
          </w:p>
        </w:tc>
        <w:tc>
          <w:tcPr>
            <w:tcW w:w="98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June 30,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jc w:val="right"/>
              <w:ind w:right="366"/>
              <w:spacing w:after="0" w:line="122" w:lineRule="exact"/>
              <w:rPr>
                <w:sz w:val="20"/>
                <w:szCs w:val="20"/>
                <w:color w:val="auto"/>
              </w:rPr>
            </w:pPr>
            <w:r>
              <w:rPr>
                <w:rFonts w:ascii="Arial" w:cs="Arial" w:eastAsia="Arial" w:hAnsi="Arial"/>
                <w:sz w:val="11"/>
                <w:szCs w:val="11"/>
                <w:b w:val="1"/>
                <w:bCs w:val="1"/>
                <w:color w:val="auto"/>
              </w:rPr>
              <w:t>December 31,</w:t>
            </w:r>
          </w:p>
        </w:tc>
      </w:tr>
      <w:tr>
        <w:trPr>
          <w:trHeight w:val="142"/>
        </w:trPr>
        <w:tc>
          <w:tcPr>
            <w:tcW w:w="82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2020</w:t>
            </w:r>
          </w:p>
        </w:tc>
      </w:tr>
      <w:tr>
        <w:trPr>
          <w:trHeight w:val="135"/>
        </w:trPr>
        <w:tc>
          <w:tcPr>
            <w:tcW w:w="826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rPr>
              <w:t>Land</w:t>
            </w: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r>
      <w:tr>
        <w:trPr>
          <w:trHeight w:val="142"/>
        </w:trPr>
        <w:tc>
          <w:tcPr>
            <w:tcW w:w="8260" w:type="dxa"/>
            <w:vAlign w:val="bottom"/>
          </w:tcPr>
          <w:p>
            <w:pPr>
              <w:ind w:left="40"/>
              <w:spacing w:after="0"/>
              <w:rPr>
                <w:sz w:val="20"/>
                <w:szCs w:val="20"/>
                <w:color w:val="auto"/>
              </w:rPr>
            </w:pPr>
            <w:r>
              <w:rPr>
                <w:rFonts w:ascii="Arial" w:cs="Arial" w:eastAsia="Arial" w:hAnsi="Arial"/>
                <w:sz w:val="11"/>
                <w:szCs w:val="11"/>
                <w:color w:val="auto"/>
              </w:rPr>
              <w:t>Buildings and leasehold improvements</w:t>
            </w:r>
          </w:p>
        </w:tc>
        <w:tc>
          <w:tcPr>
            <w:tcW w:w="9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40.5</w:t>
            </w:r>
          </w:p>
        </w:tc>
      </w:tr>
      <w:tr>
        <w:trPr>
          <w:trHeight w:val="146"/>
        </w:trPr>
        <w:tc>
          <w:tcPr>
            <w:tcW w:w="8260" w:type="dxa"/>
            <w:vAlign w:val="bottom"/>
            <w:shd w:val="clear" w:color="auto" w:fill="CCEEFF"/>
          </w:tcPr>
          <w:p>
            <w:pPr>
              <w:ind w:left="40"/>
              <w:spacing w:after="0"/>
              <w:rPr>
                <w:sz w:val="20"/>
                <w:szCs w:val="20"/>
                <w:color w:val="auto"/>
              </w:rPr>
            </w:pPr>
            <w:r>
              <w:rPr>
                <w:rFonts w:ascii="Arial" w:cs="Arial" w:eastAsia="Arial" w:hAnsi="Arial"/>
                <w:sz w:val="11"/>
                <w:szCs w:val="11"/>
                <w:color w:val="auto"/>
              </w:rPr>
              <w:t>Machinery and equipment</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2,088.8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1,875.5</w:t>
            </w:r>
          </w:p>
        </w:tc>
      </w:tr>
      <w:tr>
        <w:trPr>
          <w:trHeight w:val="142"/>
        </w:trPr>
        <w:tc>
          <w:tcPr>
            <w:tcW w:w="8260" w:type="dxa"/>
            <w:vAlign w:val="bottom"/>
          </w:tcPr>
          <w:p>
            <w:pPr>
              <w:ind w:left="40"/>
              <w:spacing w:after="0"/>
              <w:rPr>
                <w:sz w:val="20"/>
                <w:szCs w:val="20"/>
                <w:color w:val="auto"/>
              </w:rPr>
            </w:pPr>
            <w:r>
              <w:rPr>
                <w:rFonts w:ascii="Arial" w:cs="Arial" w:eastAsia="Arial" w:hAnsi="Arial"/>
                <w:sz w:val="11"/>
                <w:szCs w:val="11"/>
                <w:color w:val="auto"/>
              </w:rPr>
              <w:t>Office furniture and equipment</w:t>
            </w:r>
          </w:p>
        </w:tc>
        <w:tc>
          <w:tcPr>
            <w:tcW w:w="9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221.6</w:t>
            </w:r>
          </w:p>
        </w:tc>
      </w:tr>
      <w:tr>
        <w:trPr>
          <w:trHeight w:val="146"/>
        </w:trPr>
        <w:tc>
          <w:tcPr>
            <w:tcW w:w="826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Construction in progress</w:t>
            </w:r>
          </w:p>
        </w:tc>
        <w:tc>
          <w:tcPr>
            <w:tcW w:w="9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28.1</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w:t>
            </w:r>
          </w:p>
        </w:tc>
      </w:tr>
      <w:tr>
        <w:trPr>
          <w:trHeight w:val="131"/>
        </w:trPr>
        <w:tc>
          <w:tcPr>
            <w:tcW w:w="8260" w:type="dxa"/>
            <w:vAlign w:val="bottom"/>
          </w:tcPr>
          <w:p>
            <w:pPr>
              <w:ind w:left="200"/>
              <w:spacing w:after="0" w:line="121" w:lineRule="exact"/>
              <w:rPr>
                <w:sz w:val="20"/>
                <w:szCs w:val="20"/>
                <w:color w:val="auto"/>
              </w:rPr>
            </w:pPr>
            <w:r>
              <w:rPr>
                <w:rFonts w:ascii="Arial" w:cs="Arial" w:eastAsia="Arial" w:hAnsi="Arial"/>
                <w:sz w:val="11"/>
                <w:szCs w:val="11"/>
                <w:color w:val="auto"/>
              </w:rPr>
              <w:t>Total property and equipment</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2,409.6</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2,169.7</w:t>
            </w:r>
          </w:p>
        </w:tc>
      </w:tr>
      <w:tr>
        <w:trPr>
          <w:trHeight w:val="146"/>
        </w:trPr>
        <w:tc>
          <w:tcPr>
            <w:tcW w:w="8260" w:type="dxa"/>
            <w:vAlign w:val="bottom"/>
            <w:shd w:val="clear" w:color="auto" w:fill="CCEEFF"/>
          </w:tcPr>
          <w:p>
            <w:pPr>
              <w:ind w:left="40"/>
              <w:spacing w:after="0"/>
              <w:rPr>
                <w:sz w:val="20"/>
                <w:szCs w:val="20"/>
                <w:color w:val="auto"/>
              </w:rPr>
            </w:pPr>
            <w:r>
              <w:rPr>
                <w:rFonts w:ascii="Arial" w:cs="Arial" w:eastAsia="Arial" w:hAnsi="Arial"/>
                <w:sz w:val="11"/>
                <w:szCs w:val="11"/>
                <w:color w:val="auto"/>
              </w:rPr>
              <w:t>Less accumulated depreciation and amortization</w:t>
            </w:r>
          </w:p>
        </w:tc>
        <w:tc>
          <w:tcPr>
            <w:tcW w:w="9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9"/>
              </w:rPr>
              <w:t>(1,308.4)</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(1,187.4)</w:t>
            </w:r>
          </w:p>
        </w:tc>
      </w:tr>
      <w:tr>
        <w:trPr>
          <w:trHeight w:val="131"/>
        </w:trPr>
        <w:tc>
          <w:tcPr>
            <w:tcW w:w="8260" w:type="dxa"/>
            <w:vAlign w:val="bottom"/>
          </w:tcPr>
          <w:p>
            <w:pPr>
              <w:ind w:left="200"/>
              <w:spacing w:after="0" w:line="121" w:lineRule="exact"/>
              <w:rPr>
                <w:sz w:val="20"/>
                <w:szCs w:val="20"/>
                <w:color w:val="auto"/>
              </w:rPr>
            </w:pPr>
            <w:r>
              <w:rPr>
                <w:rFonts w:ascii="Arial" w:cs="Arial" w:eastAsia="Arial" w:hAnsi="Arial"/>
                <w:sz w:val="11"/>
                <w:szCs w:val="11"/>
                <w:color w:val="auto"/>
              </w:rPr>
              <w:t>Property and equipment, net</w:t>
            </w:r>
          </w:p>
        </w:tc>
        <w:tc>
          <w:tcPr>
            <w:tcW w:w="98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1,101.2</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982.3</w:t>
            </w:r>
          </w:p>
        </w:tc>
      </w:tr>
    </w:tbl>
    <w:p>
      <w:pPr>
        <w:spacing w:after="0" w:line="166"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gross amount of capitalized internal-use software, which is included within office furniture and equipment, totaled $161.0 million and $154.1 million as of June 30, 2021 and December 31, 2020, respectively. Capitalized internal-use software, net of accumulated amortization, totaled $35.0 million and $34.3 million as of June 30, 2021 and December 31, 2020, respectively. The effects of accrued capital expenditures are excluded from the Company’s consolidated statements of cash flows given their non-cash nature.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820" w:type="dxa"/>
            <w:vAlign w:val="bottom"/>
            <w:gridSpan w:val="2"/>
          </w:tcPr>
          <w:p>
            <w:pPr>
              <w:spacing w:after="0"/>
              <w:rPr>
                <w:sz w:val="20"/>
                <w:szCs w:val="20"/>
                <w:color w:val="auto"/>
              </w:rPr>
            </w:pPr>
            <w:r>
              <w:rPr>
                <w:rFonts w:ascii="Arial" w:cs="Arial" w:eastAsia="Arial" w:hAnsi="Arial"/>
                <w:sz w:val="11"/>
                <w:szCs w:val="11"/>
                <w:b w:val="1"/>
                <w:bCs w:val="1"/>
                <w:color w:val="auto"/>
              </w:rPr>
              <w:t>Note 7 – Debt</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820" w:type="dxa"/>
            <w:vAlign w:val="bottom"/>
            <w:gridSpan w:val="2"/>
          </w:tcPr>
          <w:p>
            <w:pPr>
              <w:ind w:left="420"/>
              <w:spacing w:after="0"/>
              <w:rPr>
                <w:sz w:val="20"/>
                <w:szCs w:val="20"/>
                <w:color w:val="auto"/>
              </w:rPr>
            </w:pPr>
            <w:r>
              <w:rPr>
                <w:rFonts w:ascii="Arial" w:cs="Arial" w:eastAsia="Arial" w:hAnsi="Arial"/>
                <w:sz w:val="11"/>
                <w:szCs w:val="11"/>
                <w:color w:val="auto"/>
              </w:rPr>
              <w:t>The following table provides details of the carrying values of debt as of the dates indicated (in millions):</w:t>
            </w:r>
          </w:p>
        </w:tc>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720" w:type="dxa"/>
            <w:vAlign w:val="bottom"/>
            <w:vMerge w:val="restart"/>
          </w:tcPr>
          <w:p>
            <w:pPr>
              <w:spacing w:after="0"/>
              <w:rPr>
                <w:sz w:val="20"/>
                <w:szCs w:val="20"/>
                <w:color w:val="auto"/>
              </w:rPr>
            </w:pPr>
            <w:r>
              <w:rPr>
                <w:rFonts w:ascii="Arial" w:cs="Arial" w:eastAsia="Arial" w:hAnsi="Arial"/>
                <w:sz w:val="11"/>
                <w:szCs w:val="11"/>
                <w:b w:val="1"/>
                <w:bCs w:val="1"/>
                <w:color w:val="auto"/>
              </w:rPr>
              <w:t>Description</w:t>
            </w:r>
          </w:p>
        </w:tc>
        <w:tc>
          <w:tcPr>
            <w:tcW w:w="100" w:type="dxa"/>
            <w:vAlign w:val="bottom"/>
            <w:vMerge w:val="restart"/>
          </w:tcPr>
          <w:p>
            <w:pPr>
              <w:spacing w:after="0"/>
              <w:rPr>
                <w:sz w:val="13"/>
                <w:szCs w:val="13"/>
                <w:color w:val="auto"/>
              </w:rPr>
            </w:pPr>
          </w:p>
        </w:tc>
        <w:tc>
          <w:tcPr>
            <w:tcW w:w="2360" w:type="dxa"/>
            <w:vAlign w:val="bottom"/>
            <w:vMerge w:val="restart"/>
          </w:tcPr>
          <w:p>
            <w:pPr>
              <w:spacing w:after="0"/>
              <w:rPr>
                <w:sz w:val="20"/>
                <w:szCs w:val="20"/>
                <w:color w:val="auto"/>
              </w:rPr>
            </w:pPr>
            <w:r>
              <w:rPr>
                <w:rFonts w:ascii="Arial" w:cs="Arial" w:eastAsia="Arial" w:hAnsi="Arial"/>
                <w:sz w:val="11"/>
                <w:szCs w:val="11"/>
                <w:b w:val="1"/>
                <w:bCs w:val="1"/>
                <w:color w:val="auto"/>
              </w:rPr>
              <w:t>Maturity Date</w:t>
            </w:r>
          </w:p>
        </w:tc>
        <w:tc>
          <w:tcPr>
            <w:tcW w:w="80" w:type="dxa"/>
            <w:vAlign w:val="bottom"/>
            <w:vMerge w:val="restart"/>
          </w:tcPr>
          <w:p>
            <w:pPr>
              <w:spacing w:after="0"/>
              <w:rPr>
                <w:sz w:val="13"/>
                <w:szCs w:val="13"/>
                <w:color w:val="auto"/>
              </w:rPr>
            </w:pPr>
          </w:p>
        </w:tc>
        <w:tc>
          <w:tcPr>
            <w:tcW w:w="300" w:type="dxa"/>
            <w:vAlign w:val="bottom"/>
            <w:vMerge w:val="restart"/>
          </w:tcPr>
          <w:p>
            <w:pPr>
              <w:spacing w:after="0"/>
              <w:rPr>
                <w:sz w:val="13"/>
                <w:szCs w:val="13"/>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June 30,</w:t>
            </w:r>
          </w:p>
        </w:tc>
        <w:tc>
          <w:tcPr>
            <w:tcW w:w="240" w:type="dxa"/>
            <w:vAlign w:val="bottom"/>
          </w:tcPr>
          <w:p>
            <w:pPr>
              <w:spacing w:after="0"/>
              <w:rPr>
                <w:sz w:val="13"/>
                <w:szCs w:val="13"/>
                <w:color w:val="auto"/>
              </w:rPr>
            </w:pPr>
          </w:p>
        </w:tc>
        <w:tc>
          <w:tcPr>
            <w:tcW w:w="1220" w:type="dxa"/>
            <w:vAlign w:val="bottom"/>
          </w:tcPr>
          <w:p>
            <w:pPr>
              <w:jc w:val="right"/>
              <w:ind w:right="36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57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3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5"/>
        </w:trPr>
        <w:tc>
          <w:tcPr>
            <w:tcW w:w="5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Senior secured credit facility:</w:t>
            </w:r>
          </w:p>
        </w:tc>
        <w:tc>
          <w:tcPr>
            <w:tcW w:w="27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September 19, 2024</w:t>
            </w: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20" w:type="dxa"/>
            <w:vAlign w:val="bottom"/>
            <w:gridSpan w:val="2"/>
          </w:tcPr>
          <w:p>
            <w:pPr>
              <w:ind w:left="80"/>
              <w:spacing w:after="0"/>
              <w:rPr>
                <w:sz w:val="20"/>
                <w:szCs w:val="20"/>
                <w:color w:val="auto"/>
              </w:rPr>
            </w:pPr>
            <w:r>
              <w:rPr>
                <w:rFonts w:ascii="Arial" w:cs="Arial" w:eastAsia="Arial" w:hAnsi="Arial"/>
                <w:sz w:val="11"/>
                <w:szCs w:val="11"/>
                <w:color w:val="auto"/>
              </w:rPr>
              <w:t>Revolving loans</w:t>
            </w:r>
          </w:p>
        </w:tc>
        <w:tc>
          <w:tcPr>
            <w:tcW w:w="2740" w:type="dxa"/>
            <w:vAlign w:val="bottom"/>
            <w:gridSpan w:val="3"/>
          </w:tcPr>
          <w:p>
            <w:pPr>
              <w:jc w:val="right"/>
              <w:ind w:right="166"/>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292.4</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32.7</w:t>
            </w:r>
          </w:p>
        </w:tc>
        <w:tc>
          <w:tcPr>
            <w:tcW w:w="0" w:type="dxa"/>
            <w:vAlign w:val="bottom"/>
          </w:tcPr>
          <w:p>
            <w:pPr>
              <w:spacing w:after="0"/>
              <w:rPr>
                <w:sz w:val="1"/>
                <w:szCs w:val="1"/>
                <w:color w:val="auto"/>
              </w:rPr>
            </w:pPr>
          </w:p>
        </w:tc>
      </w:tr>
      <w:tr>
        <w:trPr>
          <w:trHeight w:val="146"/>
        </w:trPr>
        <w:tc>
          <w:tcPr>
            <w:tcW w:w="58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Term loan</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397.5</w:t>
            </w:r>
          </w:p>
        </w:tc>
        <w:tc>
          <w:tcPr>
            <w:tcW w:w="0" w:type="dxa"/>
            <w:vAlign w:val="bottom"/>
          </w:tcPr>
          <w:p>
            <w:pPr>
              <w:spacing w:after="0"/>
              <w:rPr>
                <w:sz w:val="1"/>
                <w:szCs w:val="1"/>
                <w:color w:val="auto"/>
              </w:rPr>
            </w:pPr>
          </w:p>
        </w:tc>
      </w:tr>
      <w:tr>
        <w:trPr>
          <w:trHeight w:val="142"/>
        </w:trPr>
        <w:tc>
          <w:tcPr>
            <w:tcW w:w="5820" w:type="dxa"/>
            <w:vAlign w:val="bottom"/>
            <w:gridSpan w:val="2"/>
          </w:tcPr>
          <w:p>
            <w:pPr>
              <w:spacing w:after="0"/>
              <w:rPr>
                <w:sz w:val="20"/>
                <w:szCs w:val="20"/>
                <w:color w:val="auto"/>
              </w:rPr>
            </w:pPr>
            <w:r>
              <w:rPr>
                <w:rFonts w:ascii="Arial" w:cs="Arial" w:eastAsia="Arial" w:hAnsi="Arial"/>
                <w:sz w:val="11"/>
                <w:szCs w:val="11"/>
                <w:color w:val="auto"/>
              </w:rPr>
              <w:t>4.50% Senior Notes</w:t>
            </w:r>
          </w:p>
        </w:tc>
        <w:tc>
          <w:tcPr>
            <w:tcW w:w="2740" w:type="dxa"/>
            <w:vAlign w:val="bottom"/>
            <w:gridSpan w:val="3"/>
          </w:tcPr>
          <w:p>
            <w:pPr>
              <w:spacing w:after="0"/>
              <w:rPr>
                <w:sz w:val="20"/>
                <w:szCs w:val="20"/>
                <w:color w:val="auto"/>
              </w:rPr>
            </w:pPr>
            <w:r>
              <w:rPr>
                <w:rFonts w:ascii="Arial" w:cs="Arial" w:eastAsia="Arial" w:hAnsi="Arial"/>
                <w:sz w:val="11"/>
                <w:szCs w:val="11"/>
                <w:color w:val="auto"/>
              </w:rPr>
              <w:t>August 15, 2028</w:t>
            </w:r>
          </w:p>
        </w:tc>
        <w:tc>
          <w:tcPr>
            <w:tcW w:w="1160" w:type="dxa"/>
            <w:vAlign w:val="bottom"/>
          </w:tcPr>
          <w:p>
            <w:pPr>
              <w:jc w:val="right"/>
              <w:spacing w:after="0"/>
              <w:rPr>
                <w:sz w:val="20"/>
                <w:szCs w:val="20"/>
                <w:color w:val="auto"/>
              </w:rPr>
            </w:pPr>
            <w:r>
              <w:rPr>
                <w:rFonts w:ascii="Arial" w:cs="Arial" w:eastAsia="Arial" w:hAnsi="Arial"/>
                <w:sz w:val="11"/>
                <w:szCs w:val="11"/>
                <w:color w:val="auto"/>
              </w:rPr>
              <w:t>600.0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600.0</w:t>
            </w:r>
          </w:p>
        </w:tc>
        <w:tc>
          <w:tcPr>
            <w:tcW w:w="0" w:type="dxa"/>
            <w:vAlign w:val="bottom"/>
          </w:tcPr>
          <w:p>
            <w:pPr>
              <w:spacing w:after="0"/>
              <w:rPr>
                <w:sz w:val="1"/>
                <w:szCs w:val="1"/>
                <w:color w:val="auto"/>
              </w:rPr>
            </w:pPr>
          </w:p>
        </w:tc>
      </w:tr>
      <w:tr>
        <w:trPr>
          <w:trHeight w:val="146"/>
        </w:trPr>
        <w:tc>
          <w:tcPr>
            <w:tcW w:w="5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Finance lease and other obligations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313.1</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288.5</w:t>
            </w:r>
          </w:p>
        </w:tc>
        <w:tc>
          <w:tcPr>
            <w:tcW w:w="0" w:type="dxa"/>
            <w:vAlign w:val="bottom"/>
          </w:tcPr>
          <w:p>
            <w:pPr>
              <w:spacing w:after="0"/>
              <w:rPr>
                <w:sz w:val="1"/>
                <w:szCs w:val="1"/>
                <w:color w:val="auto"/>
              </w:rPr>
            </w:pPr>
          </w:p>
        </w:tc>
      </w:tr>
      <w:tr>
        <w:trPr>
          <w:trHeight w:val="131"/>
        </w:trPr>
        <w:tc>
          <w:tcPr>
            <w:tcW w:w="5820" w:type="dxa"/>
            <w:vAlign w:val="bottom"/>
            <w:gridSpan w:val="2"/>
          </w:tcPr>
          <w:p>
            <w:pPr>
              <w:ind w:left="80"/>
              <w:spacing w:after="0"/>
              <w:rPr>
                <w:sz w:val="20"/>
                <w:szCs w:val="20"/>
                <w:color w:val="auto"/>
              </w:rPr>
            </w:pPr>
            <w:r>
              <w:rPr>
                <w:rFonts w:ascii="Arial" w:cs="Arial" w:eastAsia="Arial" w:hAnsi="Arial"/>
                <w:sz w:val="11"/>
                <w:szCs w:val="11"/>
                <w:color w:val="auto"/>
              </w:rPr>
              <w:t>Total debt obligations</w:t>
            </w:r>
          </w:p>
        </w:tc>
        <w:tc>
          <w:tcPr>
            <w:tcW w:w="2740" w:type="dxa"/>
            <w:vAlign w:val="bottom"/>
            <w:gridSpan w:val="3"/>
          </w:tcPr>
          <w:p>
            <w:pPr>
              <w:jc w:val="right"/>
              <w:ind w:right="166"/>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1,598.0</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1,318.7</w:t>
            </w:r>
          </w:p>
        </w:tc>
        <w:tc>
          <w:tcPr>
            <w:tcW w:w="0" w:type="dxa"/>
            <w:vAlign w:val="bottom"/>
          </w:tcPr>
          <w:p>
            <w:pPr>
              <w:spacing w:after="0"/>
              <w:rPr>
                <w:sz w:val="1"/>
                <w:szCs w:val="1"/>
                <w:color w:val="auto"/>
              </w:rPr>
            </w:pPr>
          </w:p>
        </w:tc>
      </w:tr>
      <w:tr>
        <w:trPr>
          <w:trHeight w:val="146"/>
        </w:trPr>
        <w:tc>
          <w:tcPr>
            <w:tcW w:w="58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Less unamortized deferred financing costs</w:t>
            </w:r>
          </w:p>
        </w:tc>
        <w:tc>
          <w:tcPr>
            <w:tcW w:w="2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31"/>
        </w:trPr>
        <w:tc>
          <w:tcPr>
            <w:tcW w:w="5820" w:type="dxa"/>
            <w:vAlign w:val="bottom"/>
            <w:gridSpan w:val="2"/>
          </w:tcPr>
          <w:p>
            <w:pPr>
              <w:ind w:left="80"/>
              <w:spacing w:after="0"/>
              <w:rPr>
                <w:sz w:val="20"/>
                <w:szCs w:val="20"/>
                <w:color w:val="auto"/>
              </w:rPr>
            </w:pPr>
            <w:r>
              <w:rPr>
                <w:rFonts w:ascii="Arial" w:cs="Arial" w:eastAsia="Arial" w:hAnsi="Arial"/>
                <w:sz w:val="11"/>
                <w:szCs w:val="11"/>
                <w:color w:val="auto"/>
              </w:rPr>
              <w:t>Total debt, net of deferred financing costs</w:t>
            </w:r>
          </w:p>
        </w:tc>
        <w:tc>
          <w:tcPr>
            <w:tcW w:w="2740" w:type="dxa"/>
            <w:vAlign w:val="bottom"/>
            <w:gridSpan w:val="3"/>
          </w:tcPr>
          <w:p>
            <w:pPr>
              <w:jc w:val="right"/>
              <w:ind w:right="166"/>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1,583.6</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1,302.7</w:t>
            </w:r>
          </w:p>
        </w:tc>
        <w:tc>
          <w:tcPr>
            <w:tcW w:w="0" w:type="dxa"/>
            <w:vAlign w:val="bottom"/>
          </w:tcPr>
          <w:p>
            <w:pPr>
              <w:spacing w:after="0"/>
              <w:rPr>
                <w:sz w:val="1"/>
                <w:szCs w:val="1"/>
                <w:color w:val="auto"/>
              </w:rPr>
            </w:pPr>
          </w:p>
        </w:tc>
      </w:tr>
      <w:tr>
        <w:trPr>
          <w:trHeight w:val="135"/>
        </w:trPr>
        <w:tc>
          <w:tcPr>
            <w:tcW w:w="58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Current portion of long-term debt</w:t>
            </w:r>
          </w:p>
        </w:tc>
        <w:tc>
          <w:tcPr>
            <w:tcW w:w="2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163.1</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145.1</w:t>
            </w:r>
          </w:p>
        </w:tc>
        <w:tc>
          <w:tcPr>
            <w:tcW w:w="0" w:type="dxa"/>
            <w:vAlign w:val="bottom"/>
          </w:tcPr>
          <w:p>
            <w:pPr>
              <w:spacing w:after="0"/>
              <w:rPr>
                <w:sz w:val="1"/>
                <w:szCs w:val="1"/>
                <w:color w:val="auto"/>
              </w:rPr>
            </w:pPr>
          </w:p>
        </w:tc>
      </w:tr>
      <w:tr>
        <w:trPr>
          <w:trHeight w:val="131"/>
        </w:trPr>
        <w:tc>
          <w:tcPr>
            <w:tcW w:w="5820" w:type="dxa"/>
            <w:vAlign w:val="bottom"/>
            <w:gridSpan w:val="2"/>
          </w:tcPr>
          <w:p>
            <w:pPr>
              <w:ind w:left="140"/>
              <w:spacing w:after="0"/>
              <w:rPr>
                <w:sz w:val="20"/>
                <w:szCs w:val="20"/>
                <w:color w:val="auto"/>
              </w:rPr>
            </w:pPr>
            <w:r>
              <w:rPr>
                <w:rFonts w:ascii="Arial" w:cs="Arial" w:eastAsia="Arial" w:hAnsi="Arial"/>
                <w:sz w:val="11"/>
                <w:szCs w:val="11"/>
                <w:color w:val="auto"/>
              </w:rPr>
              <w:t>Long-term debt</w:t>
            </w:r>
          </w:p>
        </w:tc>
        <w:tc>
          <w:tcPr>
            <w:tcW w:w="2440" w:type="dxa"/>
            <w:vAlign w:val="bottom"/>
            <w:gridSpan w:val="2"/>
          </w:tcPr>
          <w:p>
            <w:pPr>
              <w:spacing w:after="0"/>
              <w:rPr>
                <w:sz w:val="11"/>
                <w:szCs w:val="11"/>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1,420.5</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1,157.6</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Senior Secured Credit Facility</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Company’s senior secured credit facility (the “Credit Facility”) has aggregate borrowing commitments totaling approximately $1.75 billion, which amount is composed of $1.35 billion of revolving commitments and a term loan with an original principal amount of $400 million. The term loan is subject to amortization in quarterly principal installments of $2.5 million, which commenced in December 2020. This amount will increase to $5.0 million commencing in December 2021. Quarterly principal installments on the term loan are subject to adjustment, if applicable, for certain prepayments.</w:t>
      </w:r>
    </w:p>
    <w:p>
      <w:pPr>
        <w:spacing w:after="0" w:line="57"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As of June 30, 2021 and December 31, 2020, outstanding revolving loans, which included $22 million and $33 million, respectively, of borrowings denominated in foreign currencies, accrued interest at weighted average rates of approximately 1.37% and 1.87% per annum, respectively. The term loan accrued interest at rates of 1.35% and 1.40% as of June 30, 2021 and December 31, 2020, respectively. Letters of credit of approximately $97.5 million and $133.6 million were issued as of June 30, 2021 and December 31, 2020, respectively. As of both June 30, 2021 and December 31, 2020, letter of credit fees accrued at 0.375% per annum for performance standby letters of credit and at 1.25% per annum for financial standby letters of credit. Outstanding letters of credit mature at various dates and most have automatic renewal provisions, subject to prior notice of cancellation. As of June 30, 2021 and December 31, 2020, availability for revolving loans totaled $1.0 billion and $1.2 billion, respectively, or up to $552.5 million and $516.4 million, respectively, for new letters of credit. Revolving loan borrowing capacity included $278.0 million and $267.3 million of availability in either Canadian dollars or Mexican pesos as of June 30, 2021 and December 31, 2020, respectively. The unused facility fee as of both June 30, 2021 and December 31, 2020 accrued at 0.20% per annum.</w:t>
      </w:r>
    </w:p>
    <w:p>
      <w:pPr>
        <w:spacing w:after="0" w:line="48"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The Credit Facility is guaranteed by certain subsidiaries of the Company (the “Guarantor Subsidiaries”) and obligations under the Credit Facility are secured by substantially all of the Company’s and the Guarantor Subsidiaries’ respective assets, subject to certain exceptions.</w:t>
      </w:r>
    </w:p>
    <w:p>
      <w:pPr>
        <w:spacing w:after="0" w:line="53"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b w:val="1"/>
          <w:bCs w:val="1"/>
          <w:i w:val="1"/>
          <w:iCs w:val="1"/>
          <w:color w:val="auto"/>
        </w:rPr>
        <w:t>Other Credit Facilities</w:t>
      </w:r>
      <w:r>
        <w:rPr>
          <w:rFonts w:ascii="Arial" w:cs="Arial" w:eastAsia="Arial" w:hAnsi="Arial"/>
          <w:sz w:val="11"/>
          <w:szCs w:val="11"/>
          <w:color w:val="auto"/>
        </w:rPr>
        <w:t>. The Company has other credit facilities that support the working capital requirements of its foreign operations and certain letter of credit issuances. There were no outstanding borrowings under the Company’s other credit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facilities as of either June 30, 2021 or December 31, 2020. Additionally, the Company has a separate credit facility, under which it may issue up to $50.0 million of performance standby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9" w:right="299" w:bottom="1440" w:gutter="0" w:footer="0" w:header="0"/>
        </w:sectPr>
      </w:pPr>
    </w:p>
    <w:bookmarkStart w:id="17" w:name="page18"/>
    <w:bookmarkEnd w:id="17"/>
    <w:p>
      <w:pPr>
        <w:jc w:val="both"/>
        <w:ind w:right="20"/>
        <w:spacing w:after="0" w:line="258" w:lineRule="auto"/>
        <w:rPr>
          <w:sz w:val="20"/>
          <w:szCs w:val="20"/>
          <w:color w:val="auto"/>
        </w:rPr>
      </w:pPr>
      <w:r>
        <w:rPr>
          <w:rFonts w:ascii="Arial" w:cs="Arial" w:eastAsia="Arial" w:hAnsi="Arial"/>
          <w:sz w:val="11"/>
          <w:szCs w:val="11"/>
          <w:color w:val="auto"/>
        </w:rPr>
        <w:t>letters of credit. As of June 30, 2021 and December 31, 2020, letters of credit issued under this facility totaled $26.2 million and $18.2 million, respectively, and accrued fees at 0.40% and 0.50% per annum, respectively. The Company’s other credit facilities are subject to customary provisions and covenants.</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Debt Guarantees and Covenants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9"/>
          <w:szCs w:val="9"/>
          <w:color w:val="auto"/>
        </w:rPr>
        <w:t>The 4.50% Senior Notes are fully and unconditionally guaranteed on a senior unsecured, joint and several basis by the Company’s wholly-owned domestic restricted subsidiaries that guarantee its existing credit facilities, subject to certain exceptions.</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MasTec was in compliance with the provisions and covenants of its outstanding debt instruments as of both June 30, 2021 and December 31, 2020.</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Additional Information</w:t>
      </w:r>
    </w:p>
    <w:p>
      <w:pPr>
        <w:spacing w:after="0" w:line="72" w:lineRule="exact"/>
        <w:rPr>
          <w:sz w:val="20"/>
          <w:szCs w:val="20"/>
          <w:color w:val="auto"/>
        </w:rPr>
      </w:pPr>
    </w:p>
    <w:p>
      <w:pPr>
        <w:jc w:val="both"/>
        <w:ind w:right="20" w:firstLine="433"/>
        <w:spacing w:after="0" w:line="258" w:lineRule="auto"/>
        <w:rPr>
          <w:sz w:val="20"/>
          <w:szCs w:val="20"/>
          <w:color w:val="auto"/>
        </w:rPr>
      </w:pPr>
      <w:r>
        <w:rPr>
          <w:rFonts w:ascii="Arial" w:cs="Arial" w:eastAsia="Arial" w:hAnsi="Arial"/>
          <w:sz w:val="11"/>
          <w:szCs w:val="11"/>
          <w:color w:val="auto"/>
        </w:rPr>
        <w:t>As of June 30, 2021 and December 31, 2020, accrued interest payable, which is recorded within other accrued expenses in the consolidated balance sheets, totaled $11.7 million and $12.4 million, respectively. For additional information pertaining to the Company’s debt instruments, see Note 7 - Debt in the Company’s 2020 Form 10-K.</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8 – Lease Obligations</w:t>
      </w:r>
    </w:p>
    <w:p>
      <w:pPr>
        <w:spacing w:after="0" w:line="76"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In the ordinary course of business, the Company enters into agreements that provide financing for machinery and equipment and for other of its facility, vehicle and equipment needs, including related party leases. As of June 30, 2021, the Company’s leases have remaining lease terms of up to nine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Finance Leases</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gross amount of assets held under finance leases as of June 30, 2021 and December 31, 2020 totaled $628.8 million and $563.0 million, respectively. Assets held under finance leases, net of accumulated depreciation, totaled $466.3 million and $418.7 million as of June 30, 2021 and December 31, 2020, respectively. Depreciation expense associated with finance leases totaled $18.7 million and $16.8 million for the three month periods ended June 30, 2021 and 2020, respectively, and totaled $37.7 million and $32.6 million for the six month periods ended June 30, 2021 and 2020, respectively.</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Operating Leases</w:t>
      </w:r>
    </w:p>
    <w:p>
      <w:pPr>
        <w:spacing w:after="0" w:line="72"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Operating lease additions for the three and six month periods ended June 30, 2021 totaled $79.7 million and $85.3 million, respectively, which included additions from recent acquisitions. For the six month period ended June 30, 2021, acquisition-related operating lease additions totaled $74.6 million. Operating lease additions for the three and six month periods ended June 30, 2020 totaled $7.5 million and $13.3 million, respectively.</w:t>
      </w:r>
    </w:p>
    <w:p>
      <w:pPr>
        <w:spacing w:after="0" w:line="53"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For the three month periods ended June 30, 2021 and 2020, rent expense for leases that have terms in excess of one year totaled approximately $28.1 million and $26.8 million, respectively, of which $2.9 million and $2.8 million, respectively, represented variable lease costs. For the six month periods ended June 30, 2021 and 2020, rent expense for such leases totaled approximately $55.5 million and $62.1 million, respectively, of which $5.1 million and $5.7 million, respectively, represented variable lease costs. The Company also incurred rent expense for leases with terms of one year or less totaling approximately $130.8 million and $72.9 million for the three month periods ended June 30, 2021 and 2020, respectively. Rent expense for such leases totaled approximately $240.9 million and $150.4 million for the six month periods ended June 30, 2021 and 2020, respectively. Rent expense for operating leases is generally consistent with the amount of the related payments, which payments are included within operating activities in the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880" w:type="dxa"/>
            <w:vAlign w:val="bottom"/>
          </w:tcPr>
          <w:p>
            <w:pPr>
              <w:ind w:left="200"/>
              <w:spacing w:after="0"/>
              <w:rPr>
                <w:sz w:val="20"/>
                <w:szCs w:val="20"/>
                <w:color w:val="auto"/>
              </w:rPr>
            </w:pPr>
            <w:r>
              <w:rPr>
                <w:rFonts w:ascii="Arial" w:cs="Arial" w:eastAsia="Arial" w:hAnsi="Arial"/>
                <w:sz w:val="11"/>
                <w:szCs w:val="11"/>
                <w:b w:val="1"/>
                <w:bCs w:val="1"/>
                <w:i w:val="1"/>
                <w:iCs w:val="1"/>
                <w:color w:val="auto"/>
              </w:rPr>
              <w:t>Additional Lease Information</w:t>
            </w:r>
          </w:p>
        </w:tc>
        <w:tc>
          <w:tcPr>
            <w:tcW w:w="3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98"/>
        </w:trPr>
        <w:tc>
          <w:tcPr>
            <w:tcW w:w="4880" w:type="dxa"/>
            <w:vAlign w:val="bottom"/>
          </w:tcPr>
          <w:p>
            <w:pPr>
              <w:ind w:left="420"/>
              <w:spacing w:after="0"/>
              <w:rPr>
                <w:sz w:val="20"/>
                <w:szCs w:val="20"/>
                <w:color w:val="auto"/>
              </w:rPr>
            </w:pPr>
            <w:r>
              <w:rPr>
                <w:rFonts w:ascii="Arial" w:cs="Arial" w:eastAsia="Arial" w:hAnsi="Arial"/>
                <w:sz w:val="11"/>
                <w:szCs w:val="11"/>
                <w:color w:val="auto"/>
              </w:rPr>
              <w:t>Future minimum lease commitments as of June 30, 2021 were as follows (in millions):</w:t>
            </w:r>
          </w:p>
        </w:tc>
        <w:tc>
          <w:tcPr>
            <w:tcW w:w="3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57"/>
        </w:trPr>
        <w:tc>
          <w:tcPr>
            <w:tcW w:w="48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60" w:type="dxa"/>
            <w:vAlign w:val="bottom"/>
          </w:tcPr>
          <w:p>
            <w:pPr>
              <w:jc w:val="right"/>
              <w:ind w:right="66"/>
              <w:spacing w:after="0"/>
              <w:rPr>
                <w:sz w:val="20"/>
                <w:szCs w:val="20"/>
                <w:color w:val="auto"/>
              </w:rPr>
            </w:pPr>
            <w:r>
              <w:rPr>
                <w:rFonts w:ascii="Arial" w:cs="Arial" w:eastAsia="Arial" w:hAnsi="Arial"/>
                <w:sz w:val="11"/>
                <w:szCs w:val="11"/>
                <w:b w:val="1"/>
                <w:bCs w:val="1"/>
                <w:color w:val="auto"/>
              </w:rPr>
              <w:t>Finance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446"/>
              <w:spacing w:after="0"/>
              <w:rPr>
                <w:sz w:val="20"/>
                <w:szCs w:val="20"/>
                <w:color w:val="auto"/>
              </w:rPr>
            </w:pPr>
            <w:r>
              <w:rPr>
                <w:rFonts w:ascii="Arial" w:cs="Arial" w:eastAsia="Arial" w:hAnsi="Arial"/>
                <w:sz w:val="11"/>
                <w:szCs w:val="11"/>
                <w:b w:val="1"/>
                <w:bCs w:val="1"/>
                <w:color w:val="auto"/>
              </w:rPr>
              <w:t>Operating</w:t>
            </w:r>
          </w:p>
        </w:tc>
      </w:tr>
      <w:tr>
        <w:trPr>
          <w:trHeight w:val="142"/>
        </w:trPr>
        <w:tc>
          <w:tcPr>
            <w:tcW w:w="488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Leases</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Leases</w:t>
            </w:r>
          </w:p>
        </w:tc>
      </w:tr>
      <w:tr>
        <w:trPr>
          <w:trHeight w:val="135"/>
        </w:trPr>
        <w:tc>
          <w:tcPr>
            <w:tcW w:w="4880" w:type="dxa"/>
            <w:vAlign w:val="bottom"/>
            <w:shd w:val="clear" w:color="auto" w:fill="CCEEFF"/>
          </w:tcPr>
          <w:p>
            <w:pPr>
              <w:spacing w:after="0"/>
              <w:rPr>
                <w:sz w:val="20"/>
                <w:szCs w:val="20"/>
                <w:color w:val="auto"/>
              </w:rPr>
            </w:pPr>
            <w:r>
              <w:rPr>
                <w:rFonts w:ascii="Arial" w:cs="Arial" w:eastAsia="Arial" w:hAnsi="Arial"/>
                <w:sz w:val="11"/>
                <w:szCs w:val="11"/>
                <w:color w:val="auto"/>
              </w:rPr>
              <w:t>2021, remaining six months</w:t>
            </w:r>
          </w:p>
        </w:tc>
        <w:tc>
          <w:tcPr>
            <w:tcW w:w="4460" w:type="dxa"/>
            <w:vAlign w:val="bottom"/>
            <w:gridSpan w:val="2"/>
            <w:shd w:val="clear" w:color="auto" w:fill="CCEEFF"/>
          </w:tcPr>
          <w:p>
            <w:pPr>
              <w:jc w:val="right"/>
              <w:ind w:right="94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54.0</w:t>
            </w:r>
          </w:p>
        </w:tc>
      </w:tr>
      <w:tr>
        <w:trPr>
          <w:trHeight w:val="142"/>
        </w:trPr>
        <w:tc>
          <w:tcPr>
            <w:tcW w:w="4880" w:type="dxa"/>
            <w:vAlign w:val="bottom"/>
          </w:tcPr>
          <w:p>
            <w:pPr>
              <w:spacing w:after="0"/>
              <w:rPr>
                <w:sz w:val="20"/>
                <w:szCs w:val="20"/>
                <w:color w:val="auto"/>
              </w:rPr>
            </w:pPr>
            <w:r>
              <w:rPr>
                <w:rFonts w:ascii="Arial" w:cs="Arial" w:eastAsia="Arial" w:hAnsi="Arial"/>
                <w:sz w:val="11"/>
                <w:szCs w:val="11"/>
                <w:color w:val="auto"/>
              </w:rPr>
              <w:t>2022</w:t>
            </w:r>
          </w:p>
        </w:tc>
        <w:tc>
          <w:tcPr>
            <w:tcW w:w="3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127.7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72.6</w:t>
            </w:r>
          </w:p>
        </w:tc>
      </w:tr>
      <w:tr>
        <w:trPr>
          <w:trHeight w:val="146"/>
        </w:trPr>
        <w:tc>
          <w:tcPr>
            <w:tcW w:w="4880" w:type="dxa"/>
            <w:vAlign w:val="bottom"/>
            <w:shd w:val="clear" w:color="auto" w:fill="CCEEFF"/>
          </w:tcPr>
          <w:p>
            <w:pPr>
              <w:spacing w:after="0"/>
              <w:rPr>
                <w:sz w:val="20"/>
                <w:szCs w:val="20"/>
                <w:color w:val="auto"/>
              </w:rPr>
            </w:pPr>
            <w:r>
              <w:rPr>
                <w:rFonts w:ascii="Arial" w:cs="Arial" w:eastAsia="Arial" w:hAnsi="Arial"/>
                <w:sz w:val="11"/>
                <w:szCs w:val="11"/>
                <w:color w:val="auto"/>
              </w:rPr>
              <w:t>2023</w:t>
            </w:r>
          </w:p>
        </w:tc>
        <w:tc>
          <w:tcPr>
            <w:tcW w:w="3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w:t>
            </w:r>
          </w:p>
        </w:tc>
      </w:tr>
      <w:tr>
        <w:trPr>
          <w:trHeight w:val="142"/>
        </w:trPr>
        <w:tc>
          <w:tcPr>
            <w:tcW w:w="4880" w:type="dxa"/>
            <w:vAlign w:val="bottom"/>
          </w:tcPr>
          <w:p>
            <w:pPr>
              <w:spacing w:after="0"/>
              <w:rPr>
                <w:sz w:val="20"/>
                <w:szCs w:val="20"/>
                <w:color w:val="auto"/>
              </w:rPr>
            </w:pPr>
            <w:r>
              <w:rPr>
                <w:rFonts w:ascii="Arial" w:cs="Arial" w:eastAsia="Arial" w:hAnsi="Arial"/>
                <w:sz w:val="11"/>
                <w:szCs w:val="11"/>
                <w:color w:val="auto"/>
              </w:rPr>
              <w:t>2024</w:t>
            </w:r>
          </w:p>
        </w:tc>
        <w:tc>
          <w:tcPr>
            <w:tcW w:w="3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34.1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30.0</w:t>
            </w:r>
          </w:p>
        </w:tc>
      </w:tr>
      <w:tr>
        <w:trPr>
          <w:trHeight w:val="146"/>
        </w:trPr>
        <w:tc>
          <w:tcPr>
            <w:tcW w:w="4880" w:type="dxa"/>
            <w:vAlign w:val="bottom"/>
            <w:shd w:val="clear" w:color="auto" w:fill="CCEEFF"/>
          </w:tcPr>
          <w:p>
            <w:pPr>
              <w:spacing w:after="0"/>
              <w:rPr>
                <w:sz w:val="20"/>
                <w:szCs w:val="20"/>
                <w:color w:val="auto"/>
              </w:rPr>
            </w:pPr>
            <w:r>
              <w:rPr>
                <w:rFonts w:ascii="Arial" w:cs="Arial" w:eastAsia="Arial" w:hAnsi="Arial"/>
                <w:sz w:val="11"/>
                <w:szCs w:val="11"/>
                <w:color w:val="auto"/>
              </w:rPr>
              <w:t>2025</w:t>
            </w:r>
          </w:p>
        </w:tc>
        <w:tc>
          <w:tcPr>
            <w:tcW w:w="3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r>
      <w:tr>
        <w:trPr>
          <w:trHeight w:val="142"/>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Thereafter</w:t>
            </w:r>
          </w:p>
        </w:tc>
        <w:tc>
          <w:tcPr>
            <w:tcW w:w="34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w:t>
            </w:r>
          </w:p>
        </w:tc>
      </w:tr>
      <w:tr>
        <w:trPr>
          <w:trHeight w:val="135"/>
        </w:trPr>
        <w:tc>
          <w:tcPr>
            <w:tcW w:w="48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minimum lease payments</w:t>
            </w:r>
          </w:p>
        </w:tc>
        <w:tc>
          <w:tcPr>
            <w:tcW w:w="4460" w:type="dxa"/>
            <w:vAlign w:val="bottom"/>
            <w:gridSpan w:val="2"/>
            <w:shd w:val="clear" w:color="auto" w:fill="CCEEFF"/>
          </w:tcPr>
          <w:p>
            <w:pPr>
              <w:jc w:val="right"/>
              <w:ind w:right="94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243.0</w:t>
            </w:r>
          </w:p>
        </w:tc>
      </w:tr>
      <w:tr>
        <w:trPr>
          <w:trHeight w:val="131"/>
        </w:trPr>
        <w:tc>
          <w:tcPr>
            <w:tcW w:w="48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Less amounts representing interest</w:t>
            </w:r>
          </w:p>
        </w:tc>
        <w:tc>
          <w:tcPr>
            <w:tcW w:w="340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(13.6)</w:t>
            </w:r>
          </w:p>
        </w:tc>
        <w:tc>
          <w:tcPr>
            <w:tcW w:w="10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(14.6)</w:t>
            </w:r>
          </w:p>
        </w:tc>
      </w:tr>
      <w:tr>
        <w:trPr>
          <w:trHeight w:val="135"/>
        </w:trPr>
        <w:tc>
          <w:tcPr>
            <w:tcW w:w="48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lease obligations, net of interest</w:t>
            </w:r>
          </w:p>
        </w:tc>
        <w:tc>
          <w:tcPr>
            <w:tcW w:w="4460" w:type="dxa"/>
            <w:vAlign w:val="bottom"/>
            <w:gridSpan w:val="2"/>
            <w:shd w:val="clear" w:color="auto" w:fill="CCEEFF"/>
          </w:tcPr>
          <w:p>
            <w:pPr>
              <w:jc w:val="right"/>
              <w:ind w:right="94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228.4</w:t>
            </w:r>
          </w:p>
        </w:tc>
      </w:tr>
      <w:tr>
        <w:trPr>
          <w:trHeight w:val="142"/>
        </w:trPr>
        <w:tc>
          <w:tcPr>
            <w:tcW w:w="48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Less current portion</w:t>
            </w:r>
          </w:p>
        </w:tc>
        <w:tc>
          <w:tcPr>
            <w:tcW w:w="34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145.4</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85.6</w:t>
            </w:r>
          </w:p>
        </w:tc>
      </w:tr>
      <w:tr>
        <w:trPr>
          <w:trHeight w:val="135"/>
        </w:trPr>
        <w:tc>
          <w:tcPr>
            <w:tcW w:w="48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Long-term portion of lease obligations, net of interest</w:t>
            </w:r>
          </w:p>
        </w:tc>
        <w:tc>
          <w:tcPr>
            <w:tcW w:w="4460" w:type="dxa"/>
            <w:vAlign w:val="bottom"/>
            <w:gridSpan w:val="2"/>
            <w:shd w:val="clear" w:color="auto" w:fill="CCEEFF"/>
          </w:tcPr>
          <w:p>
            <w:pPr>
              <w:jc w:val="right"/>
              <w:ind w:right="94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142.8</w:t>
            </w:r>
          </w:p>
        </w:tc>
      </w:tr>
      <w:tr>
        <w:trPr>
          <w:trHeight w:val="571"/>
        </w:trPr>
        <w:tc>
          <w:tcPr>
            <w:tcW w:w="4880" w:type="dxa"/>
            <w:vAlign w:val="bottom"/>
          </w:tcPr>
          <w:p>
            <w:pPr>
              <w:spacing w:after="0"/>
              <w:rPr>
                <w:sz w:val="24"/>
                <w:szCs w:val="24"/>
                <w:color w:val="auto"/>
              </w:rPr>
            </w:pPr>
          </w:p>
        </w:tc>
        <w:tc>
          <w:tcPr>
            <w:tcW w:w="3400" w:type="dxa"/>
            <w:vAlign w:val="bottom"/>
          </w:tcPr>
          <w:p>
            <w:pPr>
              <w:jc w:val="right"/>
              <w:ind w:right="2526"/>
              <w:spacing w:after="0"/>
              <w:rPr>
                <w:sz w:val="20"/>
                <w:szCs w:val="20"/>
                <w:color w:val="auto"/>
              </w:rPr>
            </w:pPr>
            <w:r>
              <w:rPr>
                <w:rFonts w:ascii="Arial" w:cs="Arial" w:eastAsia="Arial" w:hAnsi="Arial"/>
                <w:sz w:val="11"/>
                <w:szCs w:val="11"/>
                <w:color w:val="auto"/>
              </w:rPr>
              <w:t>18</w:t>
            </w:r>
          </w:p>
        </w:tc>
        <w:tc>
          <w:tcPr>
            <w:tcW w:w="10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67"/>
        </w:trPr>
        <w:tc>
          <w:tcPr>
            <w:tcW w:w="4880" w:type="dxa"/>
            <w:vAlign w:val="bottom"/>
            <w:tcBorders>
              <w:bottom w:val="single" w:sz="8" w:color="9A9A9A"/>
            </w:tcBorders>
          </w:tcPr>
          <w:p>
            <w:pPr>
              <w:spacing w:after="0"/>
              <w:rPr>
                <w:sz w:val="5"/>
                <w:szCs w:val="5"/>
                <w:color w:val="auto"/>
              </w:rPr>
            </w:pPr>
          </w:p>
        </w:tc>
        <w:tc>
          <w:tcPr>
            <w:tcW w:w="34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8" w:name="page19"/>
    <w:bookmarkEnd w:id="18"/>
    <w:p>
      <w:pPr>
        <w:jc w:val="both"/>
        <w:ind w:left="8" w:firstLine="433"/>
        <w:spacing w:after="0" w:line="258" w:lineRule="auto"/>
        <w:rPr>
          <w:sz w:val="20"/>
          <w:szCs w:val="20"/>
          <w:color w:val="auto"/>
        </w:rPr>
      </w:pPr>
      <w:r>
        <w:rPr>
          <w:rFonts w:ascii="Arial" w:cs="Arial" w:eastAsia="Arial" w:hAnsi="Arial"/>
          <w:sz w:val="11"/>
          <w:szCs w:val="11"/>
          <w:color w:val="auto"/>
        </w:rPr>
        <w:t>As of June 30, 2021, finance leases had a weighted average remaining lease term of 2.5 years and a weighted average discount rate of 3.5%. Non-cancelable operating leases had a weighted average remaining lease term of 3.9 years and a weighted average discount rate of 3.1% as of June 30, 2021.</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9 – Stock-Based Compensation and Other Employee Benefit Plans</w:t>
      </w:r>
    </w:p>
    <w:p>
      <w:pPr>
        <w:spacing w:after="0" w:line="76"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color w:val="auto"/>
        </w:rPr>
        <w:t>The Company has stock-based compensation plans, under which shares of the Company’s common stock are reserved for issuance, including the MasTec, Inc. Amended and Restated 2013 Incentive Compensation Plan (the “Restated 2013 Incentive Plan”), which became effective in May 2021, and which amends and restates the MasTec, Inc. 2013 Incentive Compensation Plan (as amended from time to time, the “2013 Incentive Plan”). The Restated 2013 Incentive Plan increases the total number of shares of MasTec, Inc. common stock reserved and available for delivery pursuant to awards under the Restated 2013 Incentive Plan by 1,150,000 shares. Under all stock-based compensation plans in effect as of June 30, 2021, there were approximately 3,666,000 shares available for future grant.</w:t>
      </w:r>
    </w:p>
    <w:p>
      <w:pPr>
        <w:spacing w:after="0" w:line="61" w:lineRule="exact"/>
        <w:rPr>
          <w:sz w:val="20"/>
          <w:szCs w:val="20"/>
          <w:color w:val="auto"/>
        </w:rPr>
      </w:pPr>
    </w:p>
    <w:p>
      <w:pPr>
        <w:jc w:val="both"/>
        <w:ind w:left="8" w:firstLine="433"/>
        <w:spacing w:after="0" w:line="244" w:lineRule="auto"/>
        <w:rPr>
          <w:sz w:val="20"/>
          <w:szCs w:val="20"/>
          <w:color w:val="auto"/>
        </w:rPr>
      </w:pPr>
      <w:r>
        <w:rPr>
          <w:rFonts w:ascii="Arial" w:cs="Arial" w:eastAsia="Arial" w:hAnsi="Arial"/>
          <w:sz w:val="11"/>
          <w:szCs w:val="11"/>
          <w:color w:val="auto"/>
        </w:rPr>
        <w:t>Non-cash stock-based compensation expense under all plans totaled $6.1 million and $5.8 million for the three month periods ended June 30, 2021 and 2020, respectively, and totaled $11.6 million and $9.9 million for the six month periods ended June 30, 2021 and 2020, respectively. Income tax benefits associated with stock-based compensation arrangements totaled $1.2 million and $1.4 million for the three month periods ended June 30, 2021 and 2020, respectively, including net tax benefits related to the vesting of share-based payment awards totaling $0.1 million for the three month period ended June 30, 2021. Net tax deficiencies related to the vesting of share-based payment awards for the three month period ended June 30, 2020 were de minimis. For the six month periods ended June 30, 2021 and 2020, income tax benefits totaled $2.3 million and $2.2 million, respectively, including net tax benefits related to the vesting of share-based payment awards totaling $0.1 million and net tax deficiencies totaling $0.2 million, respectively.</w:t>
      </w:r>
    </w:p>
    <w:p>
      <w:pPr>
        <w:spacing w:after="0" w:line="61" w:lineRule="exact"/>
        <w:rPr>
          <w:sz w:val="20"/>
          <w:szCs w:val="20"/>
          <w:color w:val="auto"/>
        </w:rPr>
      </w:pPr>
    </w:p>
    <w:p>
      <w:pPr>
        <w:ind w:left="208"/>
        <w:spacing w:after="0"/>
        <w:rPr>
          <w:sz w:val="20"/>
          <w:szCs w:val="20"/>
          <w:color w:val="auto"/>
        </w:rPr>
      </w:pPr>
      <w:r>
        <w:rPr>
          <w:rFonts w:ascii="Arial" w:cs="Arial" w:eastAsia="Arial" w:hAnsi="Arial"/>
          <w:sz w:val="11"/>
          <w:szCs w:val="11"/>
          <w:b w:val="1"/>
          <w:bCs w:val="1"/>
          <w:i w:val="1"/>
          <w:iCs w:val="1"/>
          <w:color w:val="auto"/>
        </w:rPr>
        <w:t>Restricted Shares</w:t>
      </w:r>
    </w:p>
    <w:p>
      <w:pPr>
        <w:spacing w:after="0" w:line="72"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June 30, 2021, total unearned compensation related to restricted shares was approximately $40.5 million, which amount is expected to be recognized over a weighted average period of approximately 2.0 years. The fair value of restricted shares that vested, which is based on the market price on the date of vesting, totaled $0.5 million and $0.9 million for the three month periods ended June 30, 2021 and 2020, respectively, and totaled $11.3 million and $6.5 million for the six month periods ended June 30, 2021 and 2020, respectively.</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260" w:type="dxa"/>
            <w:vAlign w:val="bottom"/>
            <w:vMerge w:val="restart"/>
          </w:tcPr>
          <w:p>
            <w:pPr>
              <w:spacing w:after="0"/>
              <w:rPr>
                <w:sz w:val="20"/>
                <w:szCs w:val="20"/>
                <w:color w:val="auto"/>
              </w:rPr>
            </w:pPr>
            <w:r>
              <w:rPr>
                <w:rFonts w:ascii="Arial" w:cs="Arial" w:eastAsia="Arial" w:hAnsi="Arial"/>
                <w:sz w:val="11"/>
                <w:szCs w:val="11"/>
                <w:b w:val="1"/>
                <w:bCs w:val="1"/>
                <w:color w:val="auto"/>
              </w:rPr>
              <w:t xml:space="preserve">Activity, restricted shares: </w:t>
            </w:r>
            <w:r>
              <w:rPr>
                <w:rFonts w:ascii="Arial" w:cs="Arial" w:eastAsia="Arial" w:hAnsi="Arial"/>
                <w:sz w:val="14"/>
                <w:szCs w:val="14"/>
                <w:b w:val="1"/>
                <w:bCs w:val="1"/>
                <w:color w:val="auto"/>
                <w:vertAlign w:val="superscript"/>
              </w:rPr>
              <w:t>(a)</w:t>
            </w:r>
          </w:p>
        </w:tc>
        <w:tc>
          <w:tcPr>
            <w:tcW w:w="980" w:type="dxa"/>
            <w:vAlign w:val="bottom"/>
          </w:tcPr>
          <w:p>
            <w:pPr>
              <w:ind w:left="480"/>
              <w:spacing w:after="0"/>
              <w:rPr>
                <w:sz w:val="20"/>
                <w:szCs w:val="20"/>
                <w:color w:val="auto"/>
              </w:rPr>
            </w:pPr>
            <w:r>
              <w:rPr>
                <w:rFonts w:ascii="Arial" w:cs="Arial" w:eastAsia="Arial" w:hAnsi="Arial"/>
                <w:sz w:val="11"/>
                <w:szCs w:val="11"/>
                <w:b w:val="1"/>
                <w:bCs w:val="1"/>
                <w:color w:val="auto"/>
                <w:w w:val="89"/>
              </w:rPr>
              <w:t>Restricted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b w:val="1"/>
                <w:bCs w:val="1"/>
                <w:color w:val="auto"/>
                <w:w w:val="87"/>
              </w:rPr>
              <w:t>Per Share Weighted Average</w:t>
            </w:r>
          </w:p>
        </w:tc>
        <w:tc>
          <w:tcPr>
            <w:tcW w:w="0" w:type="dxa"/>
            <w:vAlign w:val="bottom"/>
          </w:tcPr>
          <w:p>
            <w:pPr>
              <w:spacing w:after="0"/>
              <w:rPr>
                <w:sz w:val="1"/>
                <w:szCs w:val="1"/>
                <w:color w:val="auto"/>
              </w:rPr>
            </w:pPr>
          </w:p>
        </w:tc>
      </w:tr>
      <w:tr>
        <w:trPr>
          <w:trHeight w:val="144"/>
        </w:trPr>
        <w:tc>
          <w:tcPr>
            <w:tcW w:w="826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Shares</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Grant Date Fair Value</w:t>
            </w:r>
          </w:p>
        </w:tc>
        <w:tc>
          <w:tcPr>
            <w:tcW w:w="0" w:type="dxa"/>
            <w:vAlign w:val="bottom"/>
          </w:tcPr>
          <w:p>
            <w:pPr>
              <w:spacing w:after="0"/>
              <w:rPr>
                <w:sz w:val="1"/>
                <w:szCs w:val="1"/>
                <w:color w:val="auto"/>
              </w:rPr>
            </w:pPr>
          </w:p>
        </w:tc>
      </w:tr>
      <w:tr>
        <w:trPr>
          <w:trHeight w:val="133"/>
        </w:trPr>
        <w:tc>
          <w:tcPr>
            <w:tcW w:w="8260" w:type="dxa"/>
            <w:vAlign w:val="bottom"/>
            <w:shd w:val="clear" w:color="auto" w:fill="CCEEFF"/>
          </w:tcPr>
          <w:p>
            <w:pPr>
              <w:spacing w:after="0"/>
              <w:rPr>
                <w:sz w:val="20"/>
                <w:szCs w:val="20"/>
                <w:color w:val="auto"/>
              </w:rPr>
            </w:pPr>
            <w:r>
              <w:rPr>
                <w:rFonts w:ascii="Arial" w:cs="Arial" w:eastAsia="Arial" w:hAnsi="Arial"/>
                <w:sz w:val="11"/>
                <w:szCs w:val="11"/>
                <w:color w:val="auto"/>
              </w:rPr>
              <w:t>Non-vested restricted shares, as of December 31, 2020</w:t>
            </w:r>
          </w:p>
        </w:tc>
        <w:tc>
          <w:tcPr>
            <w:tcW w:w="9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5"/>
              </w:rPr>
              <w:t>1,845,341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34.90</w:t>
            </w:r>
          </w:p>
        </w:tc>
        <w:tc>
          <w:tcPr>
            <w:tcW w:w="0" w:type="dxa"/>
            <w:vAlign w:val="bottom"/>
          </w:tcPr>
          <w:p>
            <w:pPr>
              <w:spacing w:after="0"/>
              <w:rPr>
                <w:sz w:val="1"/>
                <w:szCs w:val="1"/>
                <w:color w:val="auto"/>
              </w:rPr>
            </w:pPr>
          </w:p>
        </w:tc>
      </w:tr>
      <w:tr>
        <w:trPr>
          <w:trHeight w:val="131"/>
        </w:trPr>
        <w:tc>
          <w:tcPr>
            <w:tcW w:w="8260" w:type="dxa"/>
            <w:vAlign w:val="bottom"/>
          </w:tcPr>
          <w:p>
            <w:pPr>
              <w:ind w:left="140"/>
              <w:spacing w:after="0"/>
              <w:rPr>
                <w:sz w:val="20"/>
                <w:szCs w:val="20"/>
                <w:color w:val="auto"/>
              </w:rPr>
            </w:pPr>
            <w:r>
              <w:rPr>
                <w:rFonts w:ascii="Arial" w:cs="Arial" w:eastAsia="Arial" w:hAnsi="Arial"/>
                <w:sz w:val="11"/>
                <w:szCs w:val="11"/>
                <w:color w:val="auto"/>
              </w:rPr>
              <w:t>Granted</w:t>
            </w: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155,795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93.39</w:t>
            </w:r>
          </w:p>
        </w:tc>
        <w:tc>
          <w:tcPr>
            <w:tcW w:w="0" w:type="dxa"/>
            <w:vAlign w:val="bottom"/>
          </w:tcPr>
          <w:p>
            <w:pPr>
              <w:spacing w:after="0"/>
              <w:rPr>
                <w:sz w:val="1"/>
                <w:szCs w:val="1"/>
                <w:color w:val="auto"/>
              </w:rPr>
            </w:pPr>
          </w:p>
        </w:tc>
      </w:tr>
      <w:tr>
        <w:trPr>
          <w:trHeight w:val="146"/>
        </w:trPr>
        <w:tc>
          <w:tcPr>
            <w:tcW w:w="8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Vested</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(115,028)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52.10</w:t>
            </w:r>
          </w:p>
        </w:tc>
        <w:tc>
          <w:tcPr>
            <w:tcW w:w="0" w:type="dxa"/>
            <w:vAlign w:val="bottom"/>
          </w:tcPr>
          <w:p>
            <w:pPr>
              <w:spacing w:after="0"/>
              <w:rPr>
                <w:sz w:val="1"/>
                <w:szCs w:val="1"/>
                <w:color w:val="auto"/>
              </w:rPr>
            </w:pPr>
          </w:p>
        </w:tc>
      </w:tr>
      <w:tr>
        <w:trPr>
          <w:trHeight w:val="142"/>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Canceled/forfeited</w:t>
            </w:r>
          </w:p>
        </w:tc>
        <w:tc>
          <w:tcPr>
            <w:tcW w:w="9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(14,400)</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30.58</w:t>
            </w:r>
          </w:p>
        </w:tc>
        <w:tc>
          <w:tcPr>
            <w:tcW w:w="0" w:type="dxa"/>
            <w:vAlign w:val="bottom"/>
          </w:tcPr>
          <w:p>
            <w:pPr>
              <w:spacing w:after="0"/>
              <w:rPr>
                <w:sz w:val="1"/>
                <w:szCs w:val="1"/>
                <w:color w:val="auto"/>
              </w:rPr>
            </w:pPr>
          </w:p>
        </w:tc>
      </w:tr>
      <w:tr>
        <w:trPr>
          <w:trHeight w:val="133"/>
        </w:trPr>
        <w:tc>
          <w:tcPr>
            <w:tcW w:w="8260" w:type="dxa"/>
            <w:vAlign w:val="bottom"/>
            <w:shd w:val="clear" w:color="auto" w:fill="CCEEFF"/>
          </w:tcPr>
          <w:p>
            <w:pPr>
              <w:spacing w:after="0"/>
              <w:rPr>
                <w:sz w:val="20"/>
                <w:szCs w:val="20"/>
                <w:color w:val="auto"/>
              </w:rPr>
            </w:pPr>
            <w:r>
              <w:rPr>
                <w:rFonts w:ascii="Arial" w:cs="Arial" w:eastAsia="Arial" w:hAnsi="Arial"/>
                <w:sz w:val="11"/>
                <w:szCs w:val="11"/>
                <w:color w:val="auto"/>
              </w:rPr>
              <w:t>Non-vested restricted shares, as of June 30, 2021</w:t>
            </w:r>
          </w:p>
        </w:tc>
        <w:tc>
          <w:tcPr>
            <w:tcW w:w="9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5"/>
              </w:rPr>
              <w:t>1,871,708</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38.75</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0"/>
          <w:szCs w:val="10"/>
          <w:color w:val="auto"/>
        </w:rPr>
      </w:pPr>
      <w:r>
        <w:rPr>
          <w:rFonts w:ascii="Arial" w:cs="Arial" w:eastAsia="Arial" w:hAnsi="Arial"/>
          <w:sz w:val="10"/>
          <w:szCs w:val="10"/>
          <w:color w:val="auto"/>
        </w:rPr>
        <w:t>Includes 2,500 and 2,300 restricted stock units as of June 30, 2021 and December 31, 2020, respectively.</w:t>
      </w:r>
    </w:p>
    <w:p>
      <w:pPr>
        <w:spacing w:after="0" w:line="109" w:lineRule="exact"/>
        <w:rPr>
          <w:sz w:val="20"/>
          <w:szCs w:val="20"/>
          <w:color w:val="auto"/>
        </w:rPr>
      </w:pPr>
    </w:p>
    <w:p>
      <w:pPr>
        <w:ind w:left="208"/>
        <w:spacing w:after="0"/>
        <w:rPr>
          <w:sz w:val="20"/>
          <w:szCs w:val="20"/>
          <w:color w:val="auto"/>
        </w:rPr>
      </w:pPr>
      <w:r>
        <w:rPr>
          <w:rFonts w:ascii="Arial" w:cs="Arial" w:eastAsia="Arial" w:hAnsi="Arial"/>
          <w:sz w:val="11"/>
          <w:szCs w:val="11"/>
          <w:b w:val="1"/>
          <w:bCs w:val="1"/>
          <w:i w:val="1"/>
          <w:iCs w:val="1"/>
          <w:color w:val="auto"/>
        </w:rPr>
        <w:t>Employee Stock Purchase Plans</w:t>
      </w:r>
    </w:p>
    <w:p>
      <w:pPr>
        <w:spacing w:after="0" w:line="72" w:lineRule="exact"/>
        <w:rPr>
          <w:sz w:val="20"/>
          <w:szCs w:val="20"/>
          <w:color w:val="auto"/>
        </w:rPr>
      </w:pPr>
    </w:p>
    <w:p>
      <w:pPr>
        <w:jc w:val="both"/>
        <w:ind w:left="8" w:firstLine="433"/>
        <w:spacing w:after="0" w:line="299" w:lineRule="auto"/>
        <w:rPr>
          <w:sz w:val="20"/>
          <w:szCs w:val="20"/>
          <w:color w:val="auto"/>
        </w:rPr>
      </w:pPr>
      <w:r>
        <w:rPr>
          <w:rFonts w:ascii="Arial" w:cs="Arial" w:eastAsia="Arial" w:hAnsi="Arial"/>
          <w:sz w:val="9"/>
          <w:szCs w:val="9"/>
          <w:color w:val="auto"/>
        </w:rPr>
        <w:t>The Company has certain employee stock purchase plans (collectively, “ESPPs”), under which shares of the Company’s common stock are available for purchase by eligible participants. Effective January 1, 2021, the Company’s ESPPs were amended (the “Amended ESPPs”), eliminating the look-back option and changing the offering period from three months to two weeks. Under the Amended ESPPs, eligible participants are permitted to purchase MasTec, Inc. common stock at 85% of the fair market value of the shares on the date of purchase, which occurs on the last trading day of each two week offering period. Previously, these plans allowed participants to purchase MasTec, Inc. common stock at 85% of the fair market value of the shares at the lower of</w:t>
      </w:r>
    </w:p>
    <w:p>
      <w:pPr>
        <w:ind w:left="8" w:hanging="8"/>
        <w:spacing w:after="0" w:line="243" w:lineRule="auto"/>
        <w:tabs>
          <w:tab w:leader="none" w:pos="147"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date of commencement of the offering period or (ii) the last day of the offering period, as defined in the plan documents. Prior to January 1, 2021, the fair value of purchases under the ESPPs was estimated using the Black-Scholes option-pricing valuation model. The Company may issue common shares to plan participants or reacquire common shares on the open market or in privately negotiated transactions, at the Company’s discretion.</w:t>
      </w:r>
    </w:p>
    <w:p>
      <w:pPr>
        <w:spacing w:after="0" w:line="61" w:lineRule="exact"/>
        <w:rPr>
          <w:sz w:val="20"/>
          <w:szCs w:val="20"/>
          <w:color w:val="auto"/>
        </w:rPr>
      </w:pPr>
    </w:p>
    <w:p>
      <w:pPr>
        <w:jc w:val="both"/>
        <w:ind w:left="8" w:right="20" w:firstLine="433"/>
        <w:spacing w:after="0" w:line="245" w:lineRule="auto"/>
        <w:rPr>
          <w:sz w:val="20"/>
          <w:szCs w:val="20"/>
          <w:color w:val="auto"/>
        </w:rPr>
      </w:pPr>
      <w:r>
        <w:rPr>
          <w:rFonts w:ascii="Arial" w:cs="Arial" w:eastAsia="Arial" w:hAnsi="Arial"/>
          <w:sz w:val="11"/>
          <w:szCs w:val="11"/>
          <w:color w:val="auto"/>
        </w:rPr>
        <w:t>For the three and six month periods ended June 30, 2021, 20,191 shares and 39,033 shares, respectively, were purchased by participants under the Company’s ESPPs for $1.8 million and $3.2 million, respectively, which shares were reacquired by the Company on the open market. For the three and six month periods ended June 30, 2020, 100,660 shares and 154,059 shares, respectively, were purchased by participants for $2.4 million and $3.9 million, respectively, which shares were newly issued by the Company. Compensation expense associated with the Company’s ESPPs totaled approximately $0.2 million and $0.8 million for the three month periods ended June 30, 2021 and 2020, respectively, and totaled approximately $0.5 million and $1.2 million for the six month periods ended June 30, 2021 and 2020, respectively.</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10 – Other Retirement Plans</w:t>
      </w:r>
    </w:p>
    <w:p>
      <w:pPr>
        <w:spacing w:after="0" w:line="76"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b w:val="1"/>
          <w:bCs w:val="1"/>
          <w:i w:val="1"/>
          <w:iCs w:val="1"/>
          <w:color w:val="auto"/>
        </w:rPr>
        <w:t xml:space="preserve">Multiemployer Plans. </w:t>
      </w:r>
      <w:r>
        <w:rPr>
          <w:rFonts w:ascii="Arial" w:cs="Arial" w:eastAsia="Arial" w:hAnsi="Arial"/>
          <w:sz w:val="11"/>
          <w:szCs w:val="11"/>
          <w:color w:val="auto"/>
        </w:rPr>
        <w:t>Certain of MasTec’s subsidiaries contribute amounts to multiemployer pension and other multiemployer benefit plans and trusts (“MEPPs”). Contributions are generally based on fixed amounts per hour per employee for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employees covered under these plans. Multiemployer plan contribution rates are determined annually and assessed on a “pay-as-you-go” basis based on union employee payrolls. Union</w:t>
      </w: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19" w:name="page20"/>
    <w:bookmarkEnd w:id="19"/>
    <w:p>
      <w:pPr>
        <w:jc w:val="both"/>
        <w:spacing w:after="0" w:line="258" w:lineRule="auto"/>
        <w:rPr>
          <w:sz w:val="20"/>
          <w:szCs w:val="20"/>
          <w:color w:val="auto"/>
        </w:rPr>
      </w:pPr>
      <w:r>
        <w:rPr>
          <w:rFonts w:ascii="Arial" w:cs="Arial" w:eastAsia="Arial" w:hAnsi="Arial"/>
          <w:sz w:val="11"/>
          <w:szCs w:val="11"/>
          <w:color w:val="auto"/>
        </w:rPr>
        <w:t>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9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Multiemployer Plans</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33"/>
        </w:trPr>
        <w:tc>
          <w:tcPr>
            <w:tcW w:w="49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85"/>
              </w:rPr>
              <w:t>Covered Employees</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 xml:space="preserve">Contributions </w:t>
            </w:r>
            <w:r>
              <w:rPr>
                <w:rFonts w:ascii="Arial" w:cs="Arial" w:eastAsia="Arial" w:hAnsi="Arial"/>
                <w:sz w:val="10"/>
                <w:szCs w:val="10"/>
                <w:b w:val="1"/>
                <w:bCs w:val="1"/>
                <w:color w:val="auto"/>
              </w:rPr>
              <w:t>(in millions)</w:t>
            </w: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31"/>
        </w:trPr>
        <w:tc>
          <w:tcPr>
            <w:tcW w:w="4980" w:type="dxa"/>
            <w:vAlign w:val="bottom"/>
          </w:tcPr>
          <w:p>
            <w:pPr>
              <w:spacing w:after="0"/>
              <w:rPr>
                <w:sz w:val="11"/>
                <w:szCs w:val="11"/>
                <w:color w:val="auto"/>
              </w:rPr>
            </w:pPr>
          </w:p>
        </w:tc>
        <w:tc>
          <w:tcPr>
            <w:tcW w:w="660" w:type="dxa"/>
            <w:vAlign w:val="bottom"/>
          </w:tcPr>
          <w:p>
            <w:pPr>
              <w:ind w:left="440"/>
              <w:spacing w:after="0"/>
              <w:rPr>
                <w:sz w:val="20"/>
                <w:szCs w:val="20"/>
                <w:color w:val="auto"/>
              </w:rPr>
            </w:pPr>
            <w:r>
              <w:rPr>
                <w:rFonts w:ascii="Arial" w:cs="Arial" w:eastAsia="Arial" w:hAnsi="Arial"/>
                <w:sz w:val="11"/>
                <w:szCs w:val="11"/>
                <w:b w:val="1"/>
                <w:bCs w:val="1"/>
                <w:color w:val="auto"/>
                <w:w w:val="90"/>
              </w:rPr>
              <w:t>Low</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jc w:val="right"/>
              <w:ind w:right="346"/>
              <w:spacing w:after="0"/>
              <w:rPr>
                <w:sz w:val="20"/>
                <w:szCs w:val="20"/>
                <w:color w:val="auto"/>
              </w:rPr>
            </w:pPr>
            <w:r>
              <w:rPr>
                <w:rFonts w:ascii="Arial" w:cs="Arial" w:eastAsia="Arial" w:hAnsi="Arial"/>
                <w:sz w:val="11"/>
                <w:szCs w:val="11"/>
                <w:b w:val="1"/>
                <w:bCs w:val="1"/>
                <w:color w:val="auto"/>
                <w:w w:val="89"/>
              </w:rPr>
              <w:t>High</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446"/>
              <w:spacing w:after="0"/>
              <w:rPr>
                <w:sz w:val="20"/>
                <w:szCs w:val="20"/>
                <w:color w:val="auto"/>
              </w:rPr>
            </w:pPr>
            <w:r>
              <w:rPr>
                <w:rFonts w:ascii="Arial" w:cs="Arial" w:eastAsia="Arial" w:hAnsi="Arial"/>
                <w:sz w:val="11"/>
                <w:szCs w:val="11"/>
                <w:b w:val="1"/>
                <w:bCs w:val="1"/>
                <w:color w:val="auto"/>
              </w:rPr>
              <w:t>Pension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Other Multiemployer</w:t>
            </w:r>
          </w:p>
        </w:tc>
        <w:tc>
          <w:tcPr>
            <w:tcW w:w="240" w:type="dxa"/>
            <w:vAlign w:val="bottom"/>
          </w:tcPr>
          <w:p>
            <w:pPr>
              <w:spacing w:after="0"/>
              <w:rPr>
                <w:sz w:val="11"/>
                <w:szCs w:val="11"/>
                <w:color w:val="auto"/>
              </w:rPr>
            </w:pPr>
          </w:p>
        </w:tc>
        <w:tc>
          <w:tcPr>
            <w:tcW w:w="860" w:type="dxa"/>
            <w:vAlign w:val="bottom"/>
          </w:tcPr>
          <w:p>
            <w:pPr>
              <w:jc w:val="right"/>
              <w:ind w:right="386"/>
              <w:spacing w:after="0"/>
              <w:rPr>
                <w:sz w:val="20"/>
                <w:szCs w:val="20"/>
                <w:color w:val="auto"/>
              </w:rPr>
            </w:pPr>
            <w:r>
              <w:rPr>
                <w:rFonts w:ascii="Arial" w:cs="Arial" w:eastAsia="Arial" w:hAnsi="Arial"/>
                <w:sz w:val="11"/>
                <w:szCs w:val="11"/>
                <w:b w:val="1"/>
                <w:bCs w:val="1"/>
                <w:color w:val="auto"/>
              </w:rPr>
              <w:t>Total</w:t>
            </w:r>
          </w:p>
        </w:tc>
      </w:tr>
      <w:tr>
        <w:trPr>
          <w:trHeight w:val="126"/>
        </w:trPr>
        <w:tc>
          <w:tcPr>
            <w:tcW w:w="4980" w:type="dxa"/>
            <w:vAlign w:val="bottom"/>
          </w:tcPr>
          <w:p>
            <w:pPr>
              <w:spacing w:after="0" w:line="124" w:lineRule="exact"/>
              <w:rPr>
                <w:sz w:val="20"/>
                <w:szCs w:val="20"/>
                <w:color w:val="auto"/>
              </w:rPr>
            </w:pPr>
            <w:r>
              <w:rPr>
                <w:rFonts w:ascii="Arial" w:cs="Arial" w:eastAsia="Arial" w:hAnsi="Arial"/>
                <w:sz w:val="11"/>
                <w:szCs w:val="11"/>
                <w:b w:val="1"/>
                <w:bCs w:val="1"/>
                <w:color w:val="auto"/>
              </w:rPr>
              <w:t>For the Three Months Ended June 30:</w:t>
            </w: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146"/>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2021</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2,532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6,979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w:t>
            </w:r>
          </w:p>
        </w:tc>
      </w:tr>
      <w:tr>
        <w:trPr>
          <w:trHeight w:val="142"/>
        </w:trPr>
        <w:tc>
          <w:tcPr>
            <w:tcW w:w="4980" w:type="dxa"/>
            <w:vAlign w:val="bottom"/>
          </w:tcPr>
          <w:p>
            <w:pPr>
              <w:spacing w:after="0"/>
              <w:rPr>
                <w:sz w:val="20"/>
                <w:szCs w:val="20"/>
                <w:color w:val="auto"/>
              </w:rPr>
            </w:pPr>
            <w:r>
              <w:rPr>
                <w:rFonts w:ascii="Arial" w:cs="Arial" w:eastAsia="Arial" w:hAnsi="Arial"/>
                <w:sz w:val="11"/>
                <w:szCs w:val="11"/>
                <w:color w:val="auto"/>
              </w:rPr>
              <w:t>2020</w:t>
            </w:r>
          </w:p>
        </w:tc>
        <w:tc>
          <w:tcPr>
            <w:tcW w:w="66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1,424</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1,469</w:t>
            </w:r>
          </w:p>
        </w:tc>
        <w:tc>
          <w:tcPr>
            <w:tcW w:w="10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6.9</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9.0</w:t>
            </w:r>
          </w:p>
        </w:tc>
      </w:tr>
      <w:tr>
        <w:trPr>
          <w:trHeight w:val="146"/>
        </w:trPr>
        <w:tc>
          <w:tcPr>
            <w:tcW w:w="56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For the Six Months Ended June 30: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4980" w:type="dxa"/>
            <w:vAlign w:val="bottom"/>
          </w:tcPr>
          <w:p>
            <w:pPr>
              <w:spacing w:after="0"/>
              <w:rPr>
                <w:sz w:val="20"/>
                <w:szCs w:val="20"/>
                <w:color w:val="auto"/>
              </w:rPr>
            </w:pPr>
            <w:r>
              <w:rPr>
                <w:rFonts w:ascii="Arial" w:cs="Arial" w:eastAsia="Arial" w:hAnsi="Arial"/>
                <w:sz w:val="11"/>
                <w:szCs w:val="11"/>
                <w:color w:val="auto"/>
              </w:rPr>
              <w:t>2021</w:t>
            </w:r>
          </w:p>
        </w:tc>
        <w:tc>
          <w:tcPr>
            <w:tcW w:w="66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2,412</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6,979</w:t>
            </w:r>
          </w:p>
        </w:tc>
        <w:tc>
          <w:tcPr>
            <w:tcW w:w="10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44.2</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54.4</w:t>
            </w:r>
          </w:p>
        </w:tc>
      </w:tr>
      <w:tr>
        <w:trPr>
          <w:trHeight w:val="146"/>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1,119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r>
    </w:tbl>
    <w:p>
      <w:pPr>
        <w:spacing w:after="0" w:line="157"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The fluctuations in the number of employees covered under multiemployer plans and related contributions in the table above related to the timing of activity for the Company’s union resource-based projects, the majority of which are within its oil and gas operations, as well as the effect of the Company’s 2021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11 – Equity</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Share Activity</w:t>
      </w:r>
    </w:p>
    <w:p>
      <w:pPr>
        <w:spacing w:after="0" w:line="72"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The Company’s share repurchase programs provide for the repurchase of shares of MasTec common stock from time to time in open market transactions or in privately negotiated transactions in accordance with applicable securities laws. There were no share repurchases under the Company’s share repurchase programs in either of the three or six month periods ended June 30, 2021. During the six month period ended June 30, 2020, the Company repurchased 3.6 million shares of its common stock for an aggregate purchase price totaling approximately $120.2 million, of which $0.8 million was repurchased during the second quarter. As of June 30, 2021, $158.6 million was available for future share repurchases under all of the Company’s open share repurchase programs, which included $8.6 million under the Company’s December 2018 share repurchase program, and the full amount of the Company’s March 2020 $150 million share repurchase program.</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Accumulated Other Comprehensive Loss</w:t>
      </w:r>
    </w:p>
    <w:p>
      <w:pPr>
        <w:spacing w:after="0" w:line="72"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Unrealized foreign currency translation activity, net, for each of the three and six month periods ended June 30, 2021 and 2020 relates to the Company’s operations in Canada and Mexico. For the three month period ended June 30, 2021, unrealized investment activity includes unrealized losses on the interest rate swaps associated with the Waha JVs, offset, in part, by unrealized gains on the AVCT convertible debentures. For the six month period ended June 30, 2021, unrealized investment activity includes unrealized gains on both the interest rate swaps associated with the Waha JVs and on the Company’s investment in AVCT convertible debentures. For the three and six month periods ended June 30, 2020, unrealized losses on investment activity related to the Waha JV swaps. See Note 4 - Fair Value of Financial Instruments for additional information pertaining to the Waha JV swaps and AVCT convertible debentures.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12 – Income Taxes</w:t>
      </w:r>
    </w:p>
    <w:p>
      <w:pPr>
        <w:spacing w:after="0" w:line="76"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June 30, 2021 and 2020, the Company’s consolidated effective tax rates were 26.3% and 26.7%, respectively. For the six month periods ended June 30, 2021 and 2020, the Company’s consolidated effective tax rates were 28.4% and 18.6%, respectively. The Company’s effective tax rate for the six month period ended June 30, 2021 included the negative effect of $2.3 million related to non-deductible share-based compensation, and for the six month period ended June 30, 2020, benefited from the release of approximately $9.6 million of certain valuation allowances on Canadian deferred tax assets that were no longer necessary.</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13 – Segments and Related Information</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Segment Discussion</w:t>
      </w:r>
    </w:p>
    <w:p>
      <w:pPr>
        <w:spacing w:after="0" w:line="72" w:lineRule="exact"/>
        <w:rPr>
          <w:sz w:val="20"/>
          <w:szCs w:val="20"/>
          <w:color w:val="auto"/>
        </w:rPr>
      </w:pPr>
    </w:p>
    <w:p>
      <w:pPr>
        <w:jc w:val="both"/>
        <w:ind w:firstLine="433"/>
        <w:spacing w:after="0" w:line="369" w:lineRule="auto"/>
        <w:rPr>
          <w:sz w:val="20"/>
          <w:szCs w:val="20"/>
          <w:color w:val="auto"/>
        </w:rPr>
      </w:pPr>
      <w:r>
        <w:rPr>
          <w:rFonts w:ascii="Arial" w:cs="Arial" w:eastAsia="Arial" w:hAnsi="Arial"/>
          <w:sz w:val="9"/>
          <w:szCs w:val="9"/>
          <w:color w:val="auto"/>
        </w:rPr>
        <w:t>The Company manages its operations under five operating segments, which represent its five reportable segments: (1) Communications; (2) Clean Energy and Infrastructure; (3) Oil and Gas; (4) Electrical Transmission and (5) Other. This structure is generally focused on broad end-user markets for the Company’s labor-based construction services. All five reportable segments derive their revenue from the engineering, installation and maintenance of infrastructure, primarily in North America.</w:t>
      </w:r>
    </w:p>
    <w:p>
      <w:pPr>
        <w:spacing w:after="0" w:line="7"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and various types of heavy civil and industrial infrastructure. The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0" w:name="page21"/>
    <w:bookmarkEnd w:id="20"/>
    <w:p>
      <w:pPr>
        <w:jc w:val="both"/>
        <w:ind w:left="8"/>
        <w:spacing w:after="0" w:line="249" w:lineRule="auto"/>
        <w:rPr>
          <w:sz w:val="20"/>
          <w:szCs w:val="20"/>
          <w:color w:val="auto"/>
        </w:rPr>
      </w:pPr>
      <w:r>
        <w:rPr>
          <w:rFonts w:ascii="Arial" w:cs="Arial" w:eastAsia="Arial" w:hAnsi="Arial"/>
          <w:sz w:val="11"/>
          <w:szCs w:val="11"/>
          <w:color w:val="auto"/>
        </w:rPr>
        <w:t>Company performs engineering, construction and maintenance services for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including electrical distribution network systems. The Other segment includes certain equity investees, the services of which vary from those provided by the Company’s primary segments, as well as other small business units that perform construction and other services for a variety of international end-markets.</w:t>
      </w:r>
    </w:p>
    <w:p>
      <w:pPr>
        <w:spacing w:after="0" w:line="57" w:lineRule="exact"/>
        <w:rPr>
          <w:sz w:val="20"/>
          <w:szCs w:val="20"/>
          <w:color w:val="auto"/>
        </w:rPr>
      </w:pPr>
    </w:p>
    <w:p>
      <w:pPr>
        <w:jc w:val="both"/>
        <w:ind w:left="8" w:firstLine="433"/>
        <w:spacing w:after="0" w:line="244" w:lineRule="auto"/>
        <w:rPr>
          <w:sz w:val="20"/>
          <w:szCs w:val="20"/>
          <w:color w:val="auto"/>
        </w:rPr>
      </w:pPr>
      <w:r>
        <w:rPr>
          <w:rFonts w:ascii="Arial" w:cs="Arial" w:eastAsia="Arial" w:hAnsi="Arial"/>
          <w:sz w:val="11"/>
          <w:szCs w:val="11"/>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61" w:lineRule="exact"/>
        <w:rPr>
          <w:sz w:val="20"/>
          <w:szCs w:val="20"/>
          <w:color w:val="auto"/>
        </w:rPr>
      </w:pPr>
    </w:p>
    <w:p>
      <w:pPr>
        <w:jc w:val="both"/>
        <w:ind w:left="8" w:firstLine="433"/>
        <w:spacing w:after="0" w:line="258" w:lineRule="auto"/>
        <w:rPr>
          <w:sz w:val="20"/>
          <w:szCs w:val="20"/>
          <w:color w:val="auto"/>
        </w:rPr>
      </w:pPr>
      <w:r>
        <w:rPr>
          <w:rFonts w:ascii="Arial" w:cs="Arial" w:eastAsia="Arial" w:hAnsi="Arial"/>
          <w:sz w:val="11"/>
          <w:szCs w:val="11"/>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67"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5"/>
          </w:tcPr>
          <w:p>
            <w:pPr>
              <w:ind w:left="80"/>
              <w:spacing w:after="0"/>
              <w:rPr>
                <w:sz w:val="20"/>
                <w:szCs w:val="20"/>
                <w:color w:val="auto"/>
              </w:rPr>
            </w:pPr>
            <w:r>
              <w:rPr>
                <w:rFonts w:ascii="Arial" w:cs="Arial" w:eastAsia="Arial" w:hAnsi="Arial"/>
                <w:sz w:val="11"/>
                <w:szCs w:val="11"/>
                <w:b w:val="1"/>
                <w:bCs w:val="1"/>
                <w:color w:val="auto"/>
              </w:rPr>
              <w:t>For the Three Months Ended June 30,</w:t>
            </w:r>
          </w:p>
        </w:tc>
        <w:tc>
          <w:tcPr>
            <w:tcW w:w="180" w:type="dxa"/>
            <w:vAlign w:val="bottom"/>
          </w:tcPr>
          <w:p>
            <w:pPr>
              <w:spacing w:after="0"/>
              <w:rPr>
                <w:sz w:val="12"/>
                <w:szCs w:val="12"/>
                <w:color w:val="auto"/>
              </w:rPr>
            </w:pPr>
          </w:p>
        </w:tc>
        <w:tc>
          <w:tcPr>
            <w:tcW w:w="204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w w:val="94"/>
              </w:rPr>
              <w:t>For the Six Months Ended June 30,</w:t>
            </w:r>
          </w:p>
        </w:tc>
      </w:tr>
      <w:tr>
        <w:trPr>
          <w:trHeight w:val="136"/>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Revenue:</w:t>
            </w: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98"/>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Communications </w:t>
            </w:r>
            <w:r>
              <w:rPr>
                <w:rFonts w:ascii="Arial" w:cs="Arial" w:eastAsia="Arial" w:hAnsi="Arial"/>
                <w:sz w:val="14"/>
                <w:szCs w:val="14"/>
                <w:color w:val="auto"/>
                <w:vertAlign w:val="superscript"/>
              </w:rPr>
              <w:t>(a)</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1,298.4</w:t>
            </w:r>
          </w:p>
        </w:tc>
      </w:tr>
      <w:tr>
        <w:trPr>
          <w:trHeight w:val="214"/>
        </w:trPr>
        <w:tc>
          <w:tcPr>
            <w:tcW w:w="6760" w:type="dxa"/>
            <w:vAlign w:val="bottom"/>
          </w:tcPr>
          <w:p>
            <w:pPr>
              <w:spacing w:after="0"/>
              <w:rPr>
                <w:sz w:val="20"/>
                <w:szCs w:val="20"/>
                <w:color w:val="auto"/>
              </w:rPr>
            </w:pPr>
            <w:r>
              <w:rPr>
                <w:rFonts w:ascii="Arial" w:cs="Arial" w:eastAsia="Arial" w:hAnsi="Arial"/>
                <w:sz w:val="11"/>
                <w:szCs w:val="11"/>
                <w:color w:val="auto"/>
              </w:rPr>
              <w:t>Clean Energy and Infrastructure</w:t>
            </w:r>
          </w:p>
        </w:tc>
        <w:tc>
          <w:tcPr>
            <w:tcW w:w="16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481.5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831.9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712.4</w:t>
            </w:r>
          </w:p>
        </w:tc>
      </w:tr>
      <w:tr>
        <w:trPr>
          <w:trHeight w:val="21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Oil and Gas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621.4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727.6</w:t>
            </w:r>
          </w:p>
        </w:tc>
      </w:tr>
      <w:tr>
        <w:trPr>
          <w:trHeight w:val="214"/>
        </w:trPr>
        <w:tc>
          <w:tcPr>
            <w:tcW w:w="6760" w:type="dxa"/>
            <w:vAlign w:val="bottom"/>
          </w:tcPr>
          <w:p>
            <w:pPr>
              <w:spacing w:after="0"/>
              <w:rPr>
                <w:sz w:val="20"/>
                <w:szCs w:val="20"/>
                <w:color w:val="auto"/>
              </w:rPr>
            </w:pPr>
            <w:r>
              <w:rPr>
                <w:rFonts w:ascii="Arial" w:cs="Arial" w:eastAsia="Arial" w:hAnsi="Arial"/>
                <w:sz w:val="11"/>
                <w:szCs w:val="11"/>
                <w:color w:val="auto"/>
              </w:rPr>
              <w:t>Electrical Transmission</w:t>
            </w:r>
          </w:p>
        </w:tc>
        <w:tc>
          <w:tcPr>
            <w:tcW w:w="16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232.5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366.0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252.2</w:t>
            </w:r>
          </w:p>
        </w:tc>
      </w:tr>
      <w:tr>
        <w:trPr>
          <w:trHeight w:val="21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r>
      <w:tr>
        <w:trPr>
          <w:trHeight w:val="142"/>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Eliminations</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r>
      <w:tr>
        <w:trPr>
          <w:trHeight w:val="133"/>
        </w:trPr>
        <w:tc>
          <w:tcPr>
            <w:tcW w:w="6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Consolidated revenue</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1,962.7</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1,569.3</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3,738.1</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2,985.9</w:t>
            </w:r>
          </w:p>
        </w:tc>
      </w:tr>
    </w:tbl>
    <w:p>
      <w:pPr>
        <w:spacing w:after="0" w:line="78" w:lineRule="exact"/>
        <w:rPr>
          <w:sz w:val="20"/>
          <w:szCs w:val="20"/>
          <w:color w:val="auto"/>
        </w:rPr>
      </w:pPr>
    </w:p>
    <w:p>
      <w:pPr>
        <w:ind w:left="208" w:hanging="208"/>
        <w:spacing w:after="0" w:line="239" w:lineRule="auto"/>
        <w:tabs>
          <w:tab w:leader="none" w:pos="209" w:val="left"/>
        </w:tabs>
        <w:numPr>
          <w:ilvl w:val="0"/>
          <w:numId w:val="7"/>
        </w:numPr>
        <w:rPr>
          <w:rFonts w:ascii="Arial" w:cs="Arial" w:eastAsia="Arial" w:hAnsi="Arial"/>
          <w:sz w:val="10"/>
          <w:szCs w:val="10"/>
          <w:color w:val="auto"/>
        </w:rPr>
      </w:pPr>
      <w:r>
        <w:rPr>
          <w:rFonts w:ascii="Arial" w:cs="Arial" w:eastAsia="Arial" w:hAnsi="Arial"/>
          <w:sz w:val="10"/>
          <w:szCs w:val="10"/>
          <w:color w:val="auto"/>
        </w:rPr>
        <w:t>Revenue generated primarily by utilities customers represented 20.6% and 14.9% of Communications segment revenue for the three month periods ended June 30, 2021 and 2020, respectively, and represented 20.4% and 15.0% for the six month periods ended June 30, 2021 and 2020, respectively.</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5"/>
          </w:tcPr>
          <w:p>
            <w:pPr>
              <w:ind w:left="80"/>
              <w:spacing w:after="0"/>
              <w:rPr>
                <w:sz w:val="20"/>
                <w:szCs w:val="20"/>
                <w:color w:val="auto"/>
              </w:rPr>
            </w:pPr>
            <w:r>
              <w:rPr>
                <w:rFonts w:ascii="Arial" w:cs="Arial" w:eastAsia="Arial" w:hAnsi="Arial"/>
                <w:sz w:val="11"/>
                <w:szCs w:val="11"/>
                <w:b w:val="1"/>
                <w:bCs w:val="1"/>
                <w:color w:val="auto"/>
              </w:rPr>
              <w:t>For the Three Months Ended June 30,</w:t>
            </w:r>
          </w:p>
        </w:tc>
        <w:tc>
          <w:tcPr>
            <w:tcW w:w="180" w:type="dxa"/>
            <w:vAlign w:val="bottom"/>
          </w:tcPr>
          <w:p>
            <w:pPr>
              <w:spacing w:after="0"/>
              <w:rPr>
                <w:sz w:val="12"/>
                <w:szCs w:val="12"/>
                <w:color w:val="auto"/>
              </w:rPr>
            </w:pPr>
          </w:p>
        </w:tc>
        <w:tc>
          <w:tcPr>
            <w:tcW w:w="204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w w:val="94"/>
              </w:rPr>
              <w:t>For the Six Months Ended June 30,</w:t>
            </w:r>
          </w:p>
        </w:tc>
      </w:tr>
      <w:tr>
        <w:trPr>
          <w:trHeight w:val="136"/>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EBITDA:</w:t>
            </w: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98"/>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Communications</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127.2</w:t>
            </w:r>
          </w:p>
        </w:tc>
      </w:tr>
      <w:tr>
        <w:trPr>
          <w:trHeight w:val="214"/>
        </w:trPr>
        <w:tc>
          <w:tcPr>
            <w:tcW w:w="6760" w:type="dxa"/>
            <w:vAlign w:val="bottom"/>
          </w:tcPr>
          <w:p>
            <w:pPr>
              <w:spacing w:after="0"/>
              <w:rPr>
                <w:sz w:val="20"/>
                <w:szCs w:val="20"/>
                <w:color w:val="auto"/>
              </w:rPr>
            </w:pPr>
            <w:r>
              <w:rPr>
                <w:rFonts w:ascii="Arial" w:cs="Arial" w:eastAsia="Arial" w:hAnsi="Arial"/>
                <w:sz w:val="11"/>
                <w:szCs w:val="11"/>
                <w:color w:val="auto"/>
              </w:rPr>
              <w:t>Clean Energy and Infrastructure</w:t>
            </w:r>
          </w:p>
        </w:tc>
        <w:tc>
          <w:tcPr>
            <w:tcW w:w="16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35.0</w:t>
            </w:r>
          </w:p>
        </w:tc>
      </w:tr>
      <w:tr>
        <w:trPr>
          <w:trHeight w:val="21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Oil and Gas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154.5</w:t>
            </w:r>
          </w:p>
        </w:tc>
      </w:tr>
      <w:tr>
        <w:trPr>
          <w:trHeight w:val="214"/>
        </w:trPr>
        <w:tc>
          <w:tcPr>
            <w:tcW w:w="6760" w:type="dxa"/>
            <w:vAlign w:val="bottom"/>
          </w:tcPr>
          <w:p>
            <w:pPr>
              <w:spacing w:after="0"/>
              <w:rPr>
                <w:sz w:val="20"/>
                <w:szCs w:val="20"/>
                <w:color w:val="auto"/>
              </w:rPr>
            </w:pPr>
            <w:r>
              <w:rPr>
                <w:rFonts w:ascii="Arial" w:cs="Arial" w:eastAsia="Arial" w:hAnsi="Arial"/>
                <w:sz w:val="11"/>
                <w:szCs w:val="11"/>
                <w:color w:val="auto"/>
              </w:rPr>
              <w:t>Electrical Transmission</w:t>
            </w:r>
          </w:p>
        </w:tc>
        <w:tc>
          <w:tcPr>
            <w:tcW w:w="16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5.1</w:t>
            </w:r>
          </w:p>
        </w:tc>
      </w:tr>
      <w:tr>
        <w:trPr>
          <w:trHeight w:val="219"/>
        </w:trPr>
        <w:tc>
          <w:tcPr>
            <w:tcW w:w="676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r>
      <w:tr>
        <w:trPr>
          <w:trHeight w:val="142"/>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(31.0)</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(59.8)</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(62.9)</w:t>
            </w:r>
          </w:p>
        </w:tc>
      </w:tr>
      <w:tr>
        <w:trPr>
          <w:trHeight w:val="133"/>
        </w:trPr>
        <w:tc>
          <w:tcPr>
            <w:tcW w:w="67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Consolidated EBITDA</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224.1</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159.9</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273.8</w:t>
            </w:r>
          </w:p>
        </w:tc>
      </w:tr>
    </w:tbl>
    <w:p>
      <w:pPr>
        <w:spacing w:after="0" w:line="171"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3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5"/>
          </w:tcPr>
          <w:p>
            <w:pPr>
              <w:ind w:left="80"/>
              <w:spacing w:after="0"/>
              <w:rPr>
                <w:sz w:val="20"/>
                <w:szCs w:val="20"/>
                <w:color w:val="auto"/>
              </w:rPr>
            </w:pPr>
            <w:r>
              <w:rPr>
                <w:rFonts w:ascii="Arial" w:cs="Arial" w:eastAsia="Arial" w:hAnsi="Arial"/>
                <w:sz w:val="11"/>
                <w:szCs w:val="11"/>
                <w:b w:val="1"/>
                <w:bCs w:val="1"/>
                <w:color w:val="auto"/>
              </w:rPr>
              <w:t>For the Three Months Ended June 30,</w:t>
            </w:r>
          </w:p>
        </w:tc>
        <w:tc>
          <w:tcPr>
            <w:tcW w:w="180" w:type="dxa"/>
            <w:vAlign w:val="bottom"/>
          </w:tcPr>
          <w:p>
            <w:pPr>
              <w:spacing w:after="0"/>
              <w:rPr>
                <w:sz w:val="12"/>
                <w:szCs w:val="12"/>
                <w:color w:val="auto"/>
              </w:rPr>
            </w:pPr>
          </w:p>
        </w:tc>
        <w:tc>
          <w:tcPr>
            <w:tcW w:w="204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w w:val="94"/>
              </w:rPr>
              <w:t>For the Six Months Ended June 30,</w:t>
            </w:r>
          </w:p>
        </w:tc>
      </w:tr>
      <w:tr>
        <w:trPr>
          <w:trHeight w:val="136"/>
        </w:trPr>
        <w:tc>
          <w:tcPr>
            <w:tcW w:w="378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Depreciation and Amortization:</w:t>
            </w:r>
          </w:p>
        </w:tc>
        <w:tc>
          <w:tcPr>
            <w:tcW w:w="29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2020</w:t>
            </w:r>
          </w:p>
        </w:tc>
      </w:tr>
      <w:tr>
        <w:trPr>
          <w:trHeight w:val="198"/>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Communications</w:t>
            </w:r>
          </w:p>
        </w:tc>
        <w:tc>
          <w:tcPr>
            <w:tcW w:w="31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w:t>
            </w:r>
          </w:p>
        </w:tc>
      </w:tr>
      <w:tr>
        <w:trPr>
          <w:trHeight w:val="214"/>
        </w:trPr>
        <w:tc>
          <w:tcPr>
            <w:tcW w:w="3780" w:type="dxa"/>
            <w:vAlign w:val="bottom"/>
          </w:tcPr>
          <w:p>
            <w:pPr>
              <w:spacing w:after="0"/>
              <w:rPr>
                <w:sz w:val="20"/>
                <w:szCs w:val="20"/>
                <w:color w:val="auto"/>
              </w:rPr>
            </w:pPr>
            <w:r>
              <w:rPr>
                <w:rFonts w:ascii="Arial" w:cs="Arial" w:eastAsia="Arial" w:hAnsi="Arial"/>
                <w:sz w:val="11"/>
                <w:szCs w:val="11"/>
                <w:color w:val="auto"/>
              </w:rPr>
              <w:t>Clean Energy and Infrastructure</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8.7</w:t>
            </w: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Oil and Gas</w:t>
            </w:r>
          </w:p>
        </w:tc>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w:t>
            </w:r>
          </w:p>
        </w:tc>
      </w:tr>
      <w:tr>
        <w:trPr>
          <w:trHeight w:val="214"/>
        </w:trPr>
        <w:tc>
          <w:tcPr>
            <w:tcW w:w="3780" w:type="dxa"/>
            <w:vAlign w:val="bottom"/>
          </w:tcPr>
          <w:p>
            <w:pPr>
              <w:spacing w:after="0"/>
              <w:rPr>
                <w:sz w:val="20"/>
                <w:szCs w:val="20"/>
                <w:color w:val="auto"/>
              </w:rPr>
            </w:pPr>
            <w:r>
              <w:rPr>
                <w:rFonts w:ascii="Arial" w:cs="Arial" w:eastAsia="Arial" w:hAnsi="Arial"/>
                <w:sz w:val="11"/>
                <w:szCs w:val="11"/>
                <w:color w:val="auto"/>
              </w:rPr>
              <w:t>Electrical Transmission</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12.4</w:t>
            </w: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r>
      <w:tr>
        <w:trPr>
          <w:trHeight w:val="142"/>
        </w:trPr>
        <w:tc>
          <w:tcPr>
            <w:tcW w:w="37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w:t>
            </w:r>
          </w:p>
        </w:tc>
        <w:tc>
          <w:tcPr>
            <w:tcW w:w="29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w:t>
            </w:r>
          </w:p>
        </w:tc>
      </w:tr>
      <w:tr>
        <w:trPr>
          <w:trHeight w:val="135"/>
        </w:trPr>
        <w:tc>
          <w:tcPr>
            <w:tcW w:w="378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Consolidated depreciation and amortization</w:t>
            </w:r>
          </w:p>
        </w:tc>
        <w:tc>
          <w:tcPr>
            <w:tcW w:w="31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107.4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128.0</w:t>
            </w:r>
          </w:p>
        </w:tc>
      </w:tr>
      <w:tr>
        <w:trPr>
          <w:trHeight w:val="671"/>
        </w:trPr>
        <w:tc>
          <w:tcPr>
            <w:tcW w:w="3780" w:type="dxa"/>
            <w:vAlign w:val="bottom"/>
          </w:tcPr>
          <w:p>
            <w:pPr>
              <w:spacing w:after="0"/>
              <w:rPr>
                <w:sz w:val="24"/>
                <w:szCs w:val="24"/>
                <w:color w:val="auto"/>
              </w:rPr>
            </w:pPr>
          </w:p>
        </w:tc>
        <w:tc>
          <w:tcPr>
            <w:tcW w:w="2980" w:type="dxa"/>
            <w:vAlign w:val="bottom"/>
          </w:tcPr>
          <w:p>
            <w:pPr>
              <w:jc w:val="right"/>
              <w:ind w:right="1006"/>
              <w:spacing w:after="0"/>
              <w:rPr>
                <w:sz w:val="20"/>
                <w:szCs w:val="20"/>
                <w:color w:val="auto"/>
              </w:rPr>
            </w:pPr>
            <w:r>
              <w:rPr>
                <w:rFonts w:ascii="Arial" w:cs="Arial" w:eastAsia="Arial" w:hAnsi="Arial"/>
                <w:sz w:val="11"/>
                <w:szCs w:val="11"/>
                <w:color w:val="auto"/>
              </w:rPr>
              <w:t>21</w:t>
            </w: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67"/>
        </w:trPr>
        <w:tc>
          <w:tcPr>
            <w:tcW w:w="3780" w:type="dxa"/>
            <w:vAlign w:val="bottom"/>
            <w:tcBorders>
              <w:bottom w:val="single" w:sz="8" w:color="9A9A9A"/>
            </w:tcBorders>
          </w:tcPr>
          <w:p>
            <w:pPr>
              <w:spacing w:after="0"/>
              <w:rPr>
                <w:sz w:val="5"/>
                <w:szCs w:val="5"/>
                <w:color w:val="auto"/>
              </w:rPr>
            </w:pPr>
          </w:p>
        </w:tc>
        <w:tc>
          <w:tcPr>
            <w:tcW w:w="29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0"/>
        </w:trPr>
        <w:tc>
          <w:tcPr>
            <w:tcW w:w="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80" w:type="dxa"/>
            <w:vAlign w:val="bottom"/>
            <w:gridSpan w:val="4"/>
          </w:tcPr>
          <w:p>
            <w:pPr>
              <w:ind w:left="100"/>
              <w:spacing w:after="0"/>
              <w:rPr>
                <w:sz w:val="20"/>
                <w:szCs w:val="20"/>
                <w:color w:val="auto"/>
              </w:rPr>
            </w:pPr>
            <w:r>
              <w:rPr>
                <w:rFonts w:ascii="Arial" w:cs="Arial" w:eastAsia="Arial" w:hAnsi="Arial"/>
                <w:sz w:val="11"/>
                <w:szCs w:val="11"/>
                <w:b w:val="1"/>
                <w:bCs w:val="1"/>
                <w:color w:val="auto"/>
              </w:rPr>
              <w:t>For the Three Months Ended June 30,</w:t>
            </w:r>
          </w:p>
        </w:tc>
        <w:tc>
          <w:tcPr>
            <w:tcW w:w="218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w w:val="97"/>
              </w:rPr>
              <w:t>For the Six Months Ended June 30,</w:t>
            </w:r>
          </w:p>
        </w:tc>
      </w:tr>
      <w:tr>
        <w:trPr>
          <w:trHeight w:val="134"/>
        </w:trPr>
        <w:tc>
          <w:tcPr>
            <w:tcW w:w="3940" w:type="dxa"/>
            <w:vAlign w:val="bottom"/>
            <w:gridSpan w:val="2"/>
          </w:tcPr>
          <w:p>
            <w:pPr>
              <w:ind w:left="20"/>
              <w:spacing w:after="0"/>
              <w:rPr>
                <w:sz w:val="20"/>
                <w:szCs w:val="20"/>
                <w:color w:val="auto"/>
              </w:rPr>
            </w:pPr>
            <w:r>
              <w:rPr>
                <w:rFonts w:ascii="Arial" w:cs="Arial" w:eastAsia="Arial" w:hAnsi="Arial"/>
                <w:sz w:val="11"/>
                <w:szCs w:val="11"/>
                <w:b w:val="1"/>
                <w:bCs w:val="1"/>
                <w:color w:val="auto"/>
              </w:rPr>
              <w:t>ITDA Reconciliation:</w:t>
            </w:r>
          </w:p>
        </w:tc>
        <w:tc>
          <w:tcPr>
            <w:tcW w:w="276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2020</w:t>
            </w:r>
          </w:p>
        </w:tc>
      </w:tr>
      <w:tr>
        <w:trPr>
          <w:trHeight w:val="133"/>
        </w:trPr>
        <w:tc>
          <w:tcPr>
            <w:tcW w:w="3940" w:type="dxa"/>
            <w:vAlign w:val="bottom"/>
            <w:gridSpan w:val="2"/>
          </w:tcPr>
          <w:p>
            <w:pPr>
              <w:spacing w:after="0"/>
              <w:rPr>
                <w:sz w:val="20"/>
                <w:szCs w:val="20"/>
                <w:color w:val="auto"/>
              </w:rPr>
            </w:pPr>
            <w:r>
              <w:rPr>
                <w:rFonts w:ascii="Arial" w:cs="Arial" w:eastAsia="Arial" w:hAnsi="Arial"/>
                <w:sz w:val="11"/>
                <w:szCs w:val="11"/>
                <w:color w:val="auto"/>
              </w:rPr>
              <w:t>ome before income taxes</w:t>
            </w:r>
          </w:p>
        </w:tc>
        <w:tc>
          <w:tcPr>
            <w:tcW w:w="2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102.$8</w:t>
            </w: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77.$6</w:t>
            </w: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198.$3</w:t>
            </w: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114.1</w:t>
            </w:r>
          </w:p>
        </w:tc>
      </w:tr>
      <w:tr>
        <w:trPr>
          <w:trHeight w:val="144"/>
        </w:trPr>
        <w:tc>
          <w:tcPr>
            <w:tcW w:w="3940" w:type="dxa"/>
            <w:vAlign w:val="bottom"/>
            <w:gridSpan w:val="2"/>
          </w:tcPr>
          <w:p>
            <w:pPr>
              <w:ind w:left="20"/>
              <w:spacing w:after="0"/>
              <w:rPr>
                <w:sz w:val="20"/>
                <w:szCs w:val="20"/>
                <w:color w:val="auto"/>
              </w:rPr>
            </w:pPr>
            <w:r>
              <w:rPr>
                <w:rFonts w:ascii="Arial" w:cs="Arial" w:eastAsia="Arial" w:hAnsi="Arial"/>
                <w:sz w:val="11"/>
                <w:szCs w:val="11"/>
                <w:color w:val="auto"/>
              </w:rPr>
              <w:t>s:</w:t>
            </w:r>
          </w:p>
        </w:tc>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3940" w:type="dxa"/>
            <w:vAlign w:val="bottom"/>
            <w:gridSpan w:val="2"/>
          </w:tcPr>
          <w:p>
            <w:pPr>
              <w:spacing w:after="0"/>
              <w:rPr>
                <w:sz w:val="20"/>
                <w:szCs w:val="20"/>
                <w:color w:val="auto"/>
              </w:rPr>
            </w:pPr>
            <w:r>
              <w:rPr>
                <w:rFonts w:ascii="Arial" w:cs="Arial" w:eastAsia="Arial" w:hAnsi="Arial"/>
                <w:sz w:val="11"/>
                <w:szCs w:val="11"/>
                <w:color w:val="auto"/>
              </w:rPr>
              <w:t>nterest expense, net</w:t>
            </w:r>
          </w:p>
        </w:tc>
        <w:tc>
          <w:tcPr>
            <w:tcW w:w="27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14.8</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26.3</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31.8</w:t>
            </w:r>
          </w:p>
        </w:tc>
      </w:tr>
      <w:tr>
        <w:trPr>
          <w:trHeight w:val="146"/>
        </w:trPr>
        <w:tc>
          <w:tcPr>
            <w:tcW w:w="3940" w:type="dxa"/>
            <w:vAlign w:val="bottom"/>
            <w:gridSpan w:val="2"/>
          </w:tcPr>
          <w:p>
            <w:pPr>
              <w:ind w:left="20"/>
              <w:spacing w:after="0"/>
              <w:rPr>
                <w:sz w:val="20"/>
                <w:szCs w:val="20"/>
                <w:color w:val="auto"/>
              </w:rPr>
            </w:pPr>
            <w:r>
              <w:rPr>
                <w:rFonts w:ascii="Arial" w:cs="Arial" w:eastAsia="Arial" w:hAnsi="Arial"/>
                <w:sz w:val="11"/>
                <w:szCs w:val="11"/>
                <w:color w:val="auto"/>
              </w:rPr>
              <w:t>epreciation</w:t>
            </w:r>
          </w:p>
        </w:tc>
        <w:tc>
          <w:tcPr>
            <w:tcW w:w="27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87.5</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57.7</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166.8</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110.8</w:t>
            </w:r>
          </w:p>
        </w:tc>
      </w:tr>
      <w:tr>
        <w:trPr>
          <w:trHeight w:val="146"/>
        </w:trPr>
        <w:tc>
          <w:tcPr>
            <w:tcW w:w="80" w:type="dxa"/>
            <w:vAlign w:val="bottom"/>
          </w:tcPr>
          <w:p>
            <w:pPr>
              <w:spacing w:after="0"/>
              <w:rPr>
                <w:sz w:val="12"/>
                <w:szCs w:val="12"/>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mortization of intangible assets</w:t>
            </w:r>
          </w:p>
        </w:tc>
        <w:tc>
          <w:tcPr>
            <w:tcW w:w="276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w:t>
            </w:r>
          </w:p>
        </w:tc>
        <w:tc>
          <w:tcPr>
            <w:tcW w:w="10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31.2</w:t>
            </w:r>
          </w:p>
        </w:tc>
        <w:tc>
          <w:tcPr>
            <w:tcW w:w="10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w:t>
            </w:r>
          </w:p>
        </w:tc>
      </w:tr>
      <w:tr>
        <w:trPr>
          <w:trHeight w:val="131"/>
        </w:trPr>
        <w:tc>
          <w:tcPr>
            <w:tcW w:w="3940" w:type="dxa"/>
            <w:vAlign w:val="bottom"/>
            <w:gridSpan w:val="2"/>
          </w:tcPr>
          <w:p>
            <w:pPr>
              <w:spacing w:after="0"/>
              <w:rPr>
                <w:sz w:val="20"/>
                <w:szCs w:val="20"/>
                <w:color w:val="auto"/>
              </w:rPr>
            </w:pPr>
            <w:r>
              <w:rPr>
                <w:rFonts w:ascii="Arial" w:cs="Arial" w:eastAsia="Arial" w:hAnsi="Arial"/>
                <w:sz w:val="11"/>
                <w:szCs w:val="11"/>
                <w:color w:val="auto"/>
              </w:rPr>
              <w:t>nsolidated EBITDA</w:t>
            </w:r>
          </w:p>
        </w:tc>
        <w:tc>
          <w:tcPr>
            <w:tcW w:w="27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224.$1</w:t>
            </w:r>
          </w:p>
        </w:tc>
        <w:tc>
          <w:tcPr>
            <w:tcW w:w="100" w:type="dxa"/>
            <w:vAlign w:val="bottom"/>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159.$9</w:t>
            </w:r>
          </w:p>
        </w:tc>
        <w:tc>
          <w:tcPr>
            <w:tcW w:w="100" w:type="dxa"/>
            <w:vAlign w:val="bottom"/>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422.$5</w:t>
            </w:r>
          </w:p>
        </w:tc>
        <w:tc>
          <w:tcPr>
            <w:tcW w:w="100" w:type="dxa"/>
            <w:vAlign w:val="bottom"/>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-566420</wp:posOffset>
            </wp:positionV>
            <wp:extent cx="7040245" cy="97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0245" cy="971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-377190</wp:posOffset>
            </wp:positionV>
            <wp:extent cx="7040245"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0245" cy="91440"/>
                    </a:xfrm>
                    <a:prstGeom prst="rect">
                      <a:avLst/>
                    </a:prstGeom>
                    <a:noFill/>
                  </pic:spPr>
                </pic:pic>
              </a:graphicData>
            </a:graphic>
          </wp:anchor>
        </w:drawing>
      </w:r>
    </w:p>
    <w:p>
      <w:pPr>
        <w:spacing w:after="0" w:line="142" w:lineRule="exact"/>
        <w:rPr>
          <w:sz w:val="20"/>
          <w:szCs w:val="20"/>
          <w:color w:val="auto"/>
        </w:rPr>
      </w:pPr>
    </w:p>
    <w:p>
      <w:pPr>
        <w:jc w:val="both"/>
        <w:ind w:left="80" w:firstLine="433"/>
        <w:spacing w:after="0" w:line="270" w:lineRule="auto"/>
        <w:rPr>
          <w:sz w:val="20"/>
          <w:szCs w:val="20"/>
          <w:color w:val="auto"/>
        </w:rPr>
      </w:pPr>
      <w:r>
        <w:rPr>
          <w:rFonts w:ascii="Arial" w:cs="Arial" w:eastAsia="Arial" w:hAnsi="Arial"/>
          <w:sz w:val="10"/>
          <w:szCs w:val="10"/>
          <w:b w:val="1"/>
          <w:bCs w:val="1"/>
          <w:color w:val="auto"/>
        </w:rPr>
        <w:t xml:space="preserve">Foreign Operations and Other. </w:t>
      </w:r>
      <w:r>
        <w:rPr>
          <w:rFonts w:ascii="Arial" w:cs="Arial" w:eastAsia="Arial" w:hAnsi="Arial"/>
          <w:sz w:val="10"/>
          <w:szCs w:val="10"/>
          <w:color w:val="auto"/>
        </w:rPr>
        <w:t>MasTec has operations in North America, primarily in the United States and Canada, and, to a lesser extent, in Mexico, the Caribbean and India. Revenue derived from U.S. operations totaled $1.9 billion and $1.6</w:t>
      </w:r>
      <w:r>
        <w:rPr>
          <w:rFonts w:ascii="Arial" w:cs="Arial" w:eastAsia="Arial" w:hAnsi="Arial"/>
          <w:sz w:val="10"/>
          <w:szCs w:val="10"/>
          <w:b w:val="1"/>
          <w:bCs w:val="1"/>
          <w:color w:val="auto"/>
        </w:rPr>
        <w:t xml:space="preserve"> </w:t>
      </w:r>
      <w:r>
        <w:rPr>
          <w:rFonts w:ascii="Arial" w:cs="Arial" w:eastAsia="Arial" w:hAnsi="Arial"/>
          <w:sz w:val="10"/>
          <w:szCs w:val="10"/>
          <w:color w:val="auto"/>
        </w:rPr>
        <w:t>billion for the three month periods ended June 30, 2021 and 2020, respectively, and totaled $3.7 billion and $2.9 billion for the six month periods ended June 30, 2021 and 2020, respectively. Revenue derived from foreign operations totaled $33.4 million and $14.0 million for the three month periods ended June 30, 2021 and 2020, respectively, and totaled $79.9 million and $59.6 million for the six month periods ended June 30, 2021 and 2020, respectively, substantially all of which was derived from the Company’s Canadian operations in its Oil and Gas segment. Long-lived assets held in the U.S. included property and equipment, net, of $1.1 billion and $959.5 million as of June 30, 2021 and December 31, 2020, respectively, and, for the Company’s businesses in foreign countries, totaled $21.5 million and $22.8 million, respectively. Intangible assets and goodwill, net, related to the Company’s U.S. operations totaled approximately $1.8 billion and $1.4 billion as of June 30, 2021 and December 31, 2020, respectively, and for the Company’s businesses in foreign countries, totaled approximately $48.2 million and $50.5 million as of June 30, 2021 and December 31, 2020, respectively. The majority of the Company’s long-lived and intangible assets and goodwill in foreign countries relate to its Canadian operations. As of June 30, 2021 and December 31, 2020, amounts due from customers from which foreign revenue was derived accounted for approximately 3% and 5%, respectively, of the Company’s consolidated net accounts receivable position, which represents accounts receivable, net, less deferred revenue. Revenue from governmental entities for the three and six month periods ended June 30, 2021 totaled approximately 6% and 5% of total revenue, respectively, and for both the three and six month periods ended June 30, 2020 totaled approximately 2% of total revenue, substantially all of which was derived from the Company’s U.S. operations.</w:t>
      </w:r>
    </w:p>
    <w:p>
      <w:pPr>
        <w:spacing w:after="0" w:line="49"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6760" w:type="dxa"/>
            <w:vAlign w:val="bottom"/>
          </w:tcPr>
          <w:p>
            <w:pPr>
              <w:ind w:left="200"/>
              <w:spacing w:after="0"/>
              <w:rPr>
                <w:sz w:val="20"/>
                <w:szCs w:val="20"/>
                <w:color w:val="auto"/>
              </w:rPr>
            </w:pPr>
            <w:r>
              <w:rPr>
                <w:rFonts w:ascii="Arial" w:cs="Arial" w:eastAsia="Arial" w:hAnsi="Arial"/>
                <w:sz w:val="11"/>
                <w:szCs w:val="11"/>
                <w:b w:val="1"/>
                <w:bCs w:val="1"/>
                <w:i w:val="1"/>
                <w:iCs w:val="1"/>
                <w:color w:val="auto"/>
              </w:rPr>
              <w:t>Significant Customers</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98"/>
        </w:trPr>
        <w:tc>
          <w:tcPr>
            <w:tcW w:w="6760" w:type="dxa"/>
            <w:vAlign w:val="bottom"/>
          </w:tcPr>
          <w:p>
            <w:pPr>
              <w:ind w:left="420"/>
              <w:spacing w:after="0"/>
              <w:rPr>
                <w:sz w:val="20"/>
                <w:szCs w:val="20"/>
                <w:color w:val="auto"/>
              </w:rPr>
            </w:pPr>
            <w:r>
              <w:rPr>
                <w:rFonts w:ascii="Arial" w:cs="Arial" w:eastAsia="Arial" w:hAnsi="Arial"/>
                <w:sz w:val="11"/>
                <w:szCs w:val="11"/>
                <w:color w:val="auto"/>
              </w:rPr>
              <w:t>Revenue concentration information for significant customers as a percentage of total consolidated revenue was as follows: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6760" w:type="dxa"/>
            <w:vAlign w:val="bottom"/>
          </w:tcPr>
          <w:p>
            <w:pPr>
              <w:spacing w:after="0"/>
              <w:rPr>
                <w:sz w:val="18"/>
                <w:szCs w:val="18"/>
                <w:color w:val="auto"/>
              </w:rPr>
            </w:pPr>
          </w:p>
        </w:tc>
        <w:tc>
          <w:tcPr>
            <w:tcW w:w="2320" w:type="dxa"/>
            <w:vAlign w:val="bottom"/>
            <w:gridSpan w:val="4"/>
          </w:tcPr>
          <w:p>
            <w:pPr>
              <w:ind w:left="240"/>
              <w:spacing w:after="0"/>
              <w:rPr>
                <w:sz w:val="20"/>
                <w:szCs w:val="20"/>
                <w:color w:val="auto"/>
              </w:rPr>
            </w:pPr>
            <w:r>
              <w:rPr>
                <w:rFonts w:ascii="Arial" w:cs="Arial" w:eastAsia="Arial" w:hAnsi="Arial"/>
                <w:sz w:val="11"/>
                <w:szCs w:val="11"/>
                <w:b w:val="1"/>
                <w:bCs w:val="1"/>
                <w:color w:val="auto"/>
              </w:rPr>
              <w:t>For the Three Months Ended June 30,</w:t>
            </w:r>
          </w:p>
        </w:tc>
        <w:tc>
          <w:tcPr>
            <w:tcW w:w="2220" w:type="dxa"/>
            <w:vAlign w:val="bottom"/>
            <w:gridSpan w:val="3"/>
          </w:tcPr>
          <w:p>
            <w:pPr>
              <w:ind w:left="280"/>
              <w:spacing w:after="0"/>
              <w:rPr>
                <w:sz w:val="20"/>
                <w:szCs w:val="20"/>
                <w:color w:val="auto"/>
              </w:rPr>
            </w:pPr>
            <w:r>
              <w:rPr>
                <w:rFonts w:ascii="Arial" w:cs="Arial" w:eastAsia="Arial" w:hAnsi="Arial"/>
                <w:sz w:val="11"/>
                <w:szCs w:val="11"/>
                <w:b w:val="1"/>
                <w:bCs w:val="1"/>
                <w:color w:val="auto"/>
              </w:rPr>
              <w:t>For the Six Months Ended June 30,</w:t>
            </w:r>
          </w:p>
        </w:tc>
      </w:tr>
      <w:tr>
        <w:trPr>
          <w:trHeight w:val="136"/>
        </w:trPr>
        <w:tc>
          <w:tcPr>
            <w:tcW w:w="67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Customer:</w:t>
            </w: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2021</w:t>
            </w:r>
          </w:p>
        </w:tc>
        <w:tc>
          <w:tcPr>
            <w:tcW w:w="80" w:type="dxa"/>
            <w:vAlign w:val="bottom"/>
            <w:tcBorders>
              <w:top w:val="single" w:sz="8" w:color="auto"/>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top w:val="single" w:sz="8" w:color="auto"/>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r>
      <w:tr>
        <w:trPr>
          <w:trHeight w:val="135"/>
        </w:trPr>
        <w:tc>
          <w:tcPr>
            <w:tcW w:w="6760" w:type="dxa"/>
            <w:vAlign w:val="bottom"/>
            <w:shd w:val="clear" w:color="auto" w:fill="CCEEFF"/>
          </w:tcPr>
          <w:p>
            <w:pPr>
              <w:ind w:left="80"/>
              <w:spacing w:after="0" w:line="135" w:lineRule="exact"/>
              <w:rPr>
                <w:sz w:val="20"/>
                <w:szCs w:val="20"/>
                <w:color w:val="auto"/>
              </w:rPr>
            </w:pPr>
            <w:r>
              <w:rPr>
                <w:rFonts w:ascii="Arial" w:cs="Arial" w:eastAsia="Arial" w:hAnsi="Arial"/>
                <w:sz w:val="11"/>
                <w:szCs w:val="11"/>
                <w:color w:val="auto"/>
              </w:rPr>
              <w:t xml:space="preserve">Enbridge, Inc. </w:t>
            </w:r>
            <w:r>
              <w:rPr>
                <w:rFonts w:ascii="Arial" w:cs="Arial" w:eastAsia="Arial" w:hAnsi="Arial"/>
                <w:sz w:val="14"/>
                <w:szCs w:val="14"/>
                <w:color w:val="auto"/>
                <w:vertAlign w:val="superscript"/>
              </w:rPr>
              <w:t>(a)</w:t>
            </w:r>
          </w:p>
        </w:tc>
        <w:tc>
          <w:tcPr>
            <w:tcW w:w="10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12%</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18%</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w:t>
            </w:r>
          </w:p>
        </w:tc>
      </w:tr>
      <w:tr>
        <w:trPr>
          <w:trHeight w:val="144"/>
        </w:trPr>
        <w:tc>
          <w:tcPr>
            <w:tcW w:w="6760" w:type="dxa"/>
            <w:vAlign w:val="bottom"/>
          </w:tcPr>
          <w:p>
            <w:pPr>
              <w:ind w:left="80"/>
              <w:spacing w:after="0" w:line="145" w:lineRule="exact"/>
              <w:rPr>
                <w:sz w:val="20"/>
                <w:szCs w:val="20"/>
                <w:color w:val="auto"/>
              </w:rPr>
            </w:pPr>
            <w:r>
              <w:rPr>
                <w:rFonts w:ascii="Arial" w:cs="Arial" w:eastAsia="Arial" w:hAnsi="Arial"/>
                <w:sz w:val="11"/>
                <w:szCs w:val="11"/>
                <w:color w:val="auto"/>
              </w:rPr>
              <w:t xml:space="preserve">AT&amp;T </w:t>
            </w:r>
            <w:r>
              <w:rPr>
                <w:rFonts w:ascii="Arial" w:cs="Arial" w:eastAsia="Arial" w:hAnsi="Arial"/>
                <w:sz w:val="14"/>
                <w:szCs w:val="14"/>
                <w:color w:val="auto"/>
                <w:vertAlign w:val="superscript"/>
              </w:rPr>
              <w:t>(b)</w:t>
            </w:r>
          </w:p>
        </w:tc>
        <w:tc>
          <w:tcPr>
            <w:tcW w:w="1080" w:type="dxa"/>
            <w:vAlign w:val="bottom"/>
          </w:tcPr>
          <w:p>
            <w:pPr>
              <w:jc w:val="center"/>
              <w:spacing w:after="0"/>
              <w:rPr>
                <w:sz w:val="20"/>
                <w:szCs w:val="20"/>
                <w:color w:val="auto"/>
              </w:rPr>
            </w:pPr>
            <w:r>
              <w:rPr>
                <w:rFonts w:ascii="Arial" w:cs="Arial" w:eastAsia="Arial" w:hAnsi="Arial"/>
                <w:sz w:val="11"/>
                <w:szCs w:val="11"/>
                <w:color w:val="auto"/>
                <w:w w:val="90"/>
              </w:rPr>
              <w:t>12%</w:t>
            </w:r>
          </w:p>
        </w:tc>
        <w:tc>
          <w:tcPr>
            <w:tcW w:w="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w w:val="90"/>
              </w:rPr>
              <w:t>19%</w:t>
            </w: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w w:val="90"/>
              </w:rPr>
              <w:t>12%</w:t>
            </w: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1"/>
                <w:szCs w:val="11"/>
                <w:color w:val="auto"/>
                <w:w w:val="90"/>
              </w:rPr>
              <w:t>21%</w:t>
            </w:r>
          </w:p>
        </w:tc>
      </w:tr>
      <w:tr>
        <w:trPr>
          <w:trHeight w:val="144"/>
        </w:trPr>
        <w:tc>
          <w:tcPr>
            <w:tcW w:w="6760" w:type="dxa"/>
            <w:vAlign w:val="bottom"/>
            <w:shd w:val="clear" w:color="auto" w:fill="CCEEFF"/>
          </w:tcPr>
          <w:p>
            <w:pPr>
              <w:ind w:left="80"/>
              <w:spacing w:after="0" w:line="145" w:lineRule="exact"/>
              <w:rPr>
                <w:sz w:val="20"/>
                <w:szCs w:val="20"/>
                <w:color w:val="auto"/>
              </w:rPr>
            </w:pPr>
            <w:r>
              <w:rPr>
                <w:rFonts w:ascii="Arial" w:cs="Arial" w:eastAsia="Arial" w:hAnsi="Arial"/>
                <w:sz w:val="11"/>
                <w:szCs w:val="11"/>
                <w:color w:val="auto"/>
              </w:rPr>
              <w:t xml:space="preserve">Permian Highway Pipeline </w:t>
            </w:r>
            <w:r>
              <w:rPr>
                <w:rFonts w:ascii="Arial" w:cs="Arial" w:eastAsia="Arial" w:hAnsi="Arial"/>
                <w:sz w:val="14"/>
                <w:szCs w:val="14"/>
                <w:color w:val="auto"/>
                <w:vertAlign w:val="superscript"/>
              </w:rPr>
              <w:t>(c)</w:t>
            </w:r>
          </w:p>
        </w:tc>
        <w:tc>
          <w:tcPr>
            <w:tcW w:w="10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10%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7%</w:t>
            </w:r>
          </w:p>
        </w:tc>
      </w:tr>
    </w:tbl>
    <w:p>
      <w:pPr>
        <w:spacing w:after="0" w:line="87" w:lineRule="exact"/>
        <w:rPr>
          <w:sz w:val="20"/>
          <w:szCs w:val="20"/>
          <w:color w:val="auto"/>
        </w:rPr>
      </w:pPr>
    </w:p>
    <w:p>
      <w:pPr>
        <w:ind w:left="280" w:hanging="208"/>
        <w:spacing w:after="0"/>
        <w:tabs>
          <w:tab w:leader="none" w:pos="280" w:val="left"/>
        </w:tabs>
        <w:numPr>
          <w:ilvl w:val="0"/>
          <w:numId w:val="8"/>
        </w:numPr>
        <w:rPr>
          <w:rFonts w:ascii="Arial" w:cs="Arial" w:eastAsia="Arial" w:hAnsi="Arial"/>
          <w:sz w:val="10"/>
          <w:szCs w:val="10"/>
          <w:color w:val="auto"/>
        </w:rPr>
      </w:pPr>
      <w:r>
        <w:rPr>
          <w:rFonts w:ascii="Arial" w:cs="Arial" w:eastAsia="Arial" w:hAnsi="Arial"/>
          <w:sz w:val="10"/>
          <w:szCs w:val="10"/>
          <w:color w:val="auto"/>
        </w:rPr>
        <w:t>The Company’s relationship with Enbridge, Inc. is based upon various construction contracts for pipeline activities, for which the related revenue is included within the Oil and Gas segment.</w:t>
      </w:r>
    </w:p>
    <w:p>
      <w:pPr>
        <w:spacing w:after="0" w:line="20" w:lineRule="exact"/>
        <w:rPr>
          <w:rFonts w:ascii="Arial" w:cs="Arial" w:eastAsia="Arial" w:hAnsi="Arial"/>
          <w:sz w:val="10"/>
          <w:szCs w:val="10"/>
          <w:color w:val="auto"/>
        </w:rPr>
      </w:pPr>
    </w:p>
    <w:p>
      <w:pPr>
        <w:jc w:val="both"/>
        <w:ind w:left="280" w:hanging="208"/>
        <w:spacing w:after="0" w:line="313" w:lineRule="auto"/>
        <w:tabs>
          <w:tab w:leader="none" w:pos="280" w:val="left"/>
        </w:tabs>
        <w:numPr>
          <w:ilvl w:val="0"/>
          <w:numId w:val="8"/>
        </w:numPr>
        <w:rPr>
          <w:rFonts w:ascii="Arial" w:cs="Arial" w:eastAsia="Arial" w:hAnsi="Arial"/>
          <w:sz w:val="8"/>
          <w:szCs w:val="8"/>
          <w:color w:val="auto"/>
        </w:rPr>
      </w:pPr>
      <w:r>
        <w:rPr>
          <w:rFonts w:ascii="Arial" w:cs="Arial" w:eastAsia="Arial" w:hAnsi="Arial"/>
          <w:sz w:val="8"/>
          <w:szCs w:val="8"/>
          <w:color w:val="auto"/>
        </w:rPr>
        <w:t>The Company’s relationship with AT&amp;T is based upon multiple separate master service and other service agreements, including for installation and maintenance services, as well as construction/installation contracts for AT&amp;T’s: (i) wireless; (ii) wireline/fiber; and (iii) various install-to-the-home businesses. Revenue from AT&amp;T is included within the Communications segment. The decrease in AT&amp;T revenue for the three and six month periods ended June 30, 2021 as compared with the same periods in 2020 was primarily due to lower levels of wireless services, including from the effects of temporary project timing delays related to recently completed 5G spectrum auctions, and, for the six month period ended June 30, 2021, was also due to the effects of the COVID-19 pandemic.</w:t>
      </w:r>
    </w:p>
    <w:p>
      <w:pPr>
        <w:ind w:left="280" w:hanging="208"/>
        <w:spacing w:after="0"/>
        <w:tabs>
          <w:tab w:leader="none" w:pos="280" w:val="left"/>
        </w:tabs>
        <w:numPr>
          <w:ilvl w:val="0"/>
          <w:numId w:val="8"/>
        </w:numPr>
        <w:rPr>
          <w:rFonts w:ascii="Arial" w:cs="Arial" w:eastAsia="Arial" w:hAnsi="Arial"/>
          <w:sz w:val="10"/>
          <w:szCs w:val="10"/>
          <w:color w:val="auto"/>
        </w:rPr>
      </w:pPr>
      <w:r>
        <w:rPr>
          <w:rFonts w:ascii="Arial" w:cs="Arial" w:eastAsia="Arial" w:hAnsi="Arial"/>
          <w:sz w:val="10"/>
          <w:szCs w:val="10"/>
          <w:color w:val="auto"/>
        </w:rPr>
        <w:t>The Company's relationship with Permian Highway Pipeline is based upon various construction contracts for pipeline activities, for which the related revenue is included in the Oil and Gas segment.</w:t>
      </w:r>
    </w:p>
    <w:p>
      <w:pPr>
        <w:spacing w:after="0" w:line="141"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Note 14 – Commitments and Contingencies</w:t>
      </w:r>
    </w:p>
    <w:p>
      <w:pPr>
        <w:spacing w:after="0" w:line="76" w:lineRule="exact"/>
        <w:rPr>
          <w:sz w:val="20"/>
          <w:szCs w:val="20"/>
          <w:color w:val="auto"/>
        </w:rPr>
      </w:pPr>
    </w:p>
    <w:p>
      <w:pPr>
        <w:jc w:val="both"/>
        <w:ind w:left="80" w:firstLine="433"/>
        <w:spacing w:after="0" w:line="249" w:lineRule="auto"/>
        <w:rPr>
          <w:sz w:val="20"/>
          <w:szCs w:val="20"/>
          <w:color w:val="auto"/>
        </w:rPr>
      </w:pPr>
      <w:r>
        <w:rPr>
          <w:rFonts w:ascii="Arial" w:cs="Arial" w:eastAsia="Arial" w:hAnsi="Arial"/>
          <w:sz w:val="11"/>
          <w:szCs w:val="11"/>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1"/>
          <w:szCs w:val="11"/>
          <w:b w:val="1"/>
          <w:bCs w:val="1"/>
          <w:color w:val="auto"/>
        </w:rPr>
        <w:t>Other Commitments and Contingencies</w:t>
      </w:r>
    </w:p>
    <w:p>
      <w:pPr>
        <w:spacing w:after="0" w:line="72" w:lineRule="exact"/>
        <w:rPr>
          <w:sz w:val="20"/>
          <w:szCs w:val="20"/>
          <w:color w:val="auto"/>
        </w:rPr>
      </w:pPr>
    </w:p>
    <w:p>
      <w:pPr>
        <w:jc w:val="both"/>
        <w:ind w:left="80" w:right="20" w:firstLine="433"/>
        <w:spacing w:after="0" w:line="266" w:lineRule="auto"/>
        <w:rPr>
          <w:sz w:val="20"/>
          <w:szCs w:val="20"/>
          <w:color w:val="auto"/>
        </w:rPr>
      </w:pPr>
      <w:r>
        <w:rPr>
          <w:rFonts w:ascii="Arial" w:cs="Arial" w:eastAsia="Arial" w:hAnsi="Arial"/>
          <w:sz w:val="11"/>
          <w:szCs w:val="11"/>
          <w:b w:val="1"/>
          <w:bCs w:val="1"/>
          <w:color w:val="auto"/>
        </w:rPr>
        <w:t xml:space="preserve">Leases. </w:t>
      </w:r>
      <w:r>
        <w:rPr>
          <w:rFonts w:ascii="Arial" w:cs="Arial" w:eastAsia="Arial" w:hAnsi="Arial"/>
          <w:sz w:val="11"/>
          <w:szCs w:val="11"/>
          <w:color w:val="auto"/>
        </w:rPr>
        <w:t>In the ordinary course of business, the Company enters into non-cancelable operating leases for certain of its facility, vehicle and equipment needs, including related party leases. See Note 8 - Lease Obligations and Note 15 - Related Party</w:t>
      </w:r>
      <w:r>
        <w:rPr>
          <w:rFonts w:ascii="Arial" w:cs="Arial" w:eastAsia="Arial" w:hAnsi="Arial"/>
          <w:sz w:val="11"/>
          <w:szCs w:val="11"/>
          <w:b w:val="1"/>
          <w:bCs w:val="1"/>
          <w:color w:val="auto"/>
        </w:rPr>
        <w:t xml:space="preserve"> </w:t>
      </w:r>
      <w:r>
        <w:rPr>
          <w:rFonts w:ascii="Arial" w:cs="Arial" w:eastAsia="Arial" w:hAnsi="Arial"/>
          <w:sz w:val="11"/>
          <w:szCs w:val="11"/>
          <w:color w:val="auto"/>
        </w:rPr>
        <w:t>Transactions.</w:t>
      </w:r>
    </w:p>
    <w:p>
      <w:pPr>
        <w:spacing w:after="0" w:line="44" w:lineRule="exact"/>
        <w:rPr>
          <w:sz w:val="20"/>
          <w:szCs w:val="20"/>
          <w:color w:val="auto"/>
        </w:rPr>
      </w:pPr>
    </w:p>
    <w:p>
      <w:pPr>
        <w:jc w:val="both"/>
        <w:ind w:left="80" w:right="20" w:firstLine="433"/>
        <w:spacing w:after="0" w:line="252" w:lineRule="auto"/>
        <w:rPr>
          <w:sz w:val="20"/>
          <w:szCs w:val="20"/>
          <w:color w:val="auto"/>
        </w:rPr>
      </w:pPr>
      <w:r>
        <w:rPr>
          <w:rFonts w:ascii="Arial" w:cs="Arial" w:eastAsia="Arial" w:hAnsi="Arial"/>
          <w:sz w:val="11"/>
          <w:szCs w:val="11"/>
          <w:b w:val="1"/>
          <w:bCs w:val="1"/>
          <w:color w:val="auto"/>
        </w:rPr>
        <w:t xml:space="preserve">Letters of Credit. </w:t>
      </w:r>
      <w:r>
        <w:rPr>
          <w:rFonts w:ascii="Arial" w:cs="Arial" w:eastAsia="Arial" w:hAnsi="Arial"/>
          <w:sz w:val="11"/>
          <w:szCs w:val="11"/>
          <w:color w:val="auto"/>
        </w:rPr>
        <w:t>In the ordinary course of business, the Company is required to post letters of credit for its insurance carriers and surety bond providers and in support of performance under certain contracts as well as certain obligations associated</w:t>
      </w:r>
      <w:r>
        <w:rPr>
          <w:rFonts w:ascii="Arial" w:cs="Arial" w:eastAsia="Arial" w:hAnsi="Arial"/>
          <w:sz w:val="11"/>
          <w:szCs w:val="11"/>
          <w:b w:val="1"/>
          <w:bCs w:val="1"/>
          <w:color w:val="auto"/>
        </w:rPr>
        <w:t xml:space="preserve"> </w:t>
      </w:r>
      <w:r>
        <w:rPr>
          <w:rFonts w:ascii="Arial" w:cs="Arial" w:eastAsia="Arial" w:hAnsi="Arial"/>
          <w:sz w:val="11"/>
          <w:szCs w:val="11"/>
          <w:color w:val="auto"/>
        </w:rPr>
        <w:t>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36195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672" w:right="299" w:bottom="1440" w:gutter="0" w:footer="0" w:header="0"/>
        </w:sectPr>
      </w:pPr>
    </w:p>
    <w:bookmarkStart w:id="22" w:name="page23"/>
    <w:bookmarkEnd w:id="22"/>
    <w:p>
      <w:pPr>
        <w:jc w:val="both"/>
        <w:ind w:right="20"/>
        <w:spacing w:after="0" w:line="308" w:lineRule="auto"/>
        <w:rPr>
          <w:sz w:val="20"/>
          <w:szCs w:val="20"/>
          <w:color w:val="auto"/>
        </w:rPr>
      </w:pPr>
      <w:r>
        <w:rPr>
          <w:rFonts w:ascii="Arial" w:cs="Arial" w:eastAsia="Arial" w:hAnsi="Arial"/>
          <w:sz w:val="10"/>
          <w:szCs w:val="10"/>
          <w:color w:val="auto"/>
        </w:rPr>
        <w:t>this were to occur, the Company would be required to reimburse the issuer of the letter of credit, which, depending upon the circumstances, could result in a charge to earnings. As of June 30, 2021 and December 31, 2020, there were $123.7 million and $151.8 million, respectively, of letters of credit issued under the Company’s credit facilities. The Company is not aware of any material claims relating to its outstanding letters of credit as of June 30, 2021 or December 31, 2020.</w:t>
      </w:r>
    </w:p>
    <w:p>
      <w:pPr>
        <w:spacing w:after="0" w:line="26" w:lineRule="exact"/>
        <w:rPr>
          <w:sz w:val="20"/>
          <w:szCs w:val="20"/>
          <w:color w:val="auto"/>
        </w:rPr>
      </w:pPr>
    </w:p>
    <w:p>
      <w:pPr>
        <w:jc w:val="both"/>
        <w:ind w:firstLine="433"/>
        <w:spacing w:after="0" w:line="314" w:lineRule="auto"/>
        <w:rPr>
          <w:sz w:val="20"/>
          <w:szCs w:val="20"/>
          <w:color w:val="auto"/>
        </w:rPr>
      </w:pPr>
      <w:r>
        <w:rPr>
          <w:rFonts w:ascii="Arial" w:cs="Arial" w:eastAsia="Arial" w:hAnsi="Arial"/>
          <w:sz w:val="9"/>
          <w:szCs w:val="9"/>
          <w:b w:val="1"/>
          <w:bCs w:val="1"/>
          <w:color w:val="auto"/>
        </w:rPr>
        <w:t xml:space="preserve">Performance and Payment Bonds. </w:t>
      </w:r>
      <w:r>
        <w:rPr>
          <w:rFonts w:ascii="Arial" w:cs="Arial" w:eastAsia="Arial" w:hAnsi="Arial"/>
          <w:sz w:val="9"/>
          <w:szCs w:val="9"/>
          <w:color w:val="auto"/>
        </w:rPr>
        <w:t>In the ordinary course of business, MasTec is required by certain customers to provide performance and payment bonds for contractual commitments related to its projects. These bonds provide a guarantee to the</w:t>
      </w:r>
      <w:r>
        <w:rPr>
          <w:rFonts w:ascii="Arial" w:cs="Arial" w:eastAsia="Arial" w:hAnsi="Arial"/>
          <w:sz w:val="9"/>
          <w:szCs w:val="9"/>
          <w:b w:val="1"/>
          <w:bCs w:val="1"/>
          <w:color w:val="auto"/>
        </w:rPr>
        <w:t xml:space="preserve"> </w:t>
      </w:r>
      <w:r>
        <w:rPr>
          <w:rFonts w:ascii="Arial" w:cs="Arial" w:eastAsia="Arial" w:hAnsi="Arial"/>
          <w:sz w:val="9"/>
          <w:szCs w:val="9"/>
          <w:color w:val="auto"/>
        </w:rPr>
        <w:t>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June 30, 2021 and December 31, 2020, outstanding performance and payment bonds approximated $1,919.1 million and $764.8 million, respectively, and estimated costs to complete projects secured by these bonds totaled $724.4 million and $263.2 million as of June 30, 2021 and December 31, 2020, respectively. Included in these balances as of June 30, 2021 are $115.0 million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27"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b w:val="1"/>
          <w:bCs w:val="1"/>
          <w:color w:val="auto"/>
        </w:rPr>
        <w:t xml:space="preserve">Investment and Strategic Arrangements. </w:t>
      </w:r>
      <w:r>
        <w:rPr>
          <w:rFonts w:ascii="Arial" w:cs="Arial" w:eastAsia="Arial" w:hAnsi="Arial"/>
          <w:sz w:val="10"/>
          <w:szCs w:val="10"/>
          <w:color w:val="auto"/>
        </w:rPr>
        <w:t>The Company holds undivided interests, ranging from 85% to 90%, in multiple proportionately consolidated non-controlled contractual joint ventures that provide infrastructure construction services for</w:t>
      </w:r>
      <w:r>
        <w:rPr>
          <w:rFonts w:ascii="Arial" w:cs="Arial" w:eastAsia="Arial" w:hAnsi="Arial"/>
          <w:sz w:val="10"/>
          <w:szCs w:val="10"/>
          <w:b w:val="1"/>
          <w:bCs w:val="1"/>
          <w:color w:val="auto"/>
        </w:rPr>
        <w:t xml:space="preserve"> </w:t>
      </w:r>
      <w:r>
        <w:rPr>
          <w:rFonts w:ascii="Arial" w:cs="Arial" w:eastAsia="Arial" w:hAnsi="Arial"/>
          <w:sz w:val="10"/>
          <w:szCs w:val="10"/>
          <w:color w:val="auto"/>
        </w:rPr>
        <w:t>electrical transmission projects, as well as undivided interests ranging from 30% to 50% in three civil construction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June 30, 2021, the Company was not aware of material future claims against it in connection with these arrangements. Included in the Company’s cash balances as of June 30, 2021 and December 31, 2020 are amounts held by entities that are proportionately consolidated totaling $6.9 million and $8.2 million, respectively. These amounts are available to support the operations of those entities, but are not available for the Company’s other operations. In addition, the Company provided $0.7 million of project-related financing to its contractual joint ventures for the six month period ended June 30, 2021.</w:t>
      </w:r>
    </w:p>
    <w:p>
      <w:pPr>
        <w:spacing w:after="0" w:line="48" w:lineRule="exact"/>
        <w:rPr>
          <w:sz w:val="20"/>
          <w:szCs w:val="20"/>
          <w:color w:val="auto"/>
        </w:rPr>
      </w:pPr>
    </w:p>
    <w:p>
      <w:pPr>
        <w:jc w:val="both"/>
        <w:ind w:right="20" w:firstLine="433"/>
        <w:spacing w:after="0" w:line="258" w:lineRule="auto"/>
        <w:rPr>
          <w:sz w:val="20"/>
          <w:szCs w:val="20"/>
          <w:color w:val="auto"/>
        </w:rPr>
      </w:pPr>
      <w:r>
        <w:rPr>
          <w:rFonts w:ascii="Arial" w:cs="Arial" w:eastAsia="Arial" w:hAnsi="Arial"/>
          <w:sz w:val="11"/>
          <w:szCs w:val="11"/>
          <w:color w:val="auto"/>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49" w:lineRule="exact"/>
        <w:rPr>
          <w:sz w:val="20"/>
          <w:szCs w:val="20"/>
          <w:color w:val="auto"/>
        </w:rPr>
      </w:pPr>
    </w:p>
    <w:p>
      <w:pPr>
        <w:jc w:val="both"/>
        <w:ind w:firstLine="433"/>
        <w:spacing w:after="0" w:line="281" w:lineRule="auto"/>
        <w:rPr>
          <w:sz w:val="20"/>
          <w:szCs w:val="20"/>
          <w:color w:val="auto"/>
        </w:rPr>
      </w:pPr>
      <w:r>
        <w:rPr>
          <w:rFonts w:ascii="Arial" w:cs="Arial" w:eastAsia="Arial" w:hAnsi="Arial"/>
          <w:sz w:val="10"/>
          <w:szCs w:val="10"/>
          <w:b w:val="1"/>
          <w:bCs w:val="1"/>
          <w:color w:val="auto"/>
        </w:rPr>
        <w:t xml:space="preserve">Self-Insurance. </w:t>
      </w:r>
      <w:r>
        <w:rPr>
          <w:rFonts w:ascii="Arial" w:cs="Arial" w:eastAsia="Arial" w:hAnsi="Arial"/>
          <w:sz w:val="10"/>
          <w:szCs w:val="10"/>
          <w:color w:val="auto"/>
        </w:rPr>
        <w:t>MasTec maintains insurance policies for workers’ compensation, general liability and automobile liability, which are subject to per claim deductibles. The Company is self-insured up to the amount of the deductible. The Company</w:t>
      </w:r>
      <w:r>
        <w:rPr>
          <w:rFonts w:ascii="Arial" w:cs="Arial" w:eastAsia="Arial" w:hAnsi="Arial"/>
          <w:sz w:val="10"/>
          <w:szCs w:val="10"/>
          <w:b w:val="1"/>
          <w:bCs w:val="1"/>
          <w:color w:val="auto"/>
        </w:rPr>
        <w:t xml:space="preserve"> </w:t>
      </w:r>
      <w:r>
        <w:rPr>
          <w:rFonts w:ascii="Arial" w:cs="Arial" w:eastAsia="Arial" w:hAnsi="Arial"/>
          <w:sz w:val="10"/>
          <w:szCs w:val="10"/>
          <w:color w:val="auto"/>
        </w:rPr>
        <w:t>also maintains excess umbrella coverage. As of June 30, 2021 and December 31, 2020, MasTec’s estimated liability for unpaid claims and associated expenses, including incurred but not reported losses related to these policies, totaled $145.6 million and $129.6 million, respectively, of which $89.4 million and $86.1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$5.1 million and $4.3 million as of June 30, 2021 and December 31, 2020, respectively.</w:t>
      </w:r>
    </w:p>
    <w:p>
      <w:pPr>
        <w:spacing w:after="0" w:line="43"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$64.1 million and $59.3 million as of June 30, 2021 and December 31, 2020, respectively. Outstanding surety bonds related to self-insurance programs amounted to $37.4 million as of both June 30, 2021 and December 31, 2020.</w:t>
      </w:r>
    </w:p>
    <w:p>
      <w:pPr>
        <w:spacing w:after="0" w:line="53"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0"/>
          <w:szCs w:val="10"/>
          <w:b w:val="1"/>
          <w:bCs w:val="1"/>
          <w:color w:val="auto"/>
        </w:rPr>
        <w:t xml:space="preserve">Collective Bargaining Agreements and Multiemployer Plans. </w:t>
      </w:r>
      <w:r>
        <w:rPr>
          <w:rFonts w:ascii="Arial" w:cs="Arial" w:eastAsia="Arial" w:hAnsi="Arial"/>
          <w:sz w:val="10"/>
          <w:szCs w:val="10"/>
          <w:color w:val="auto"/>
        </w:rPr>
        <w:t>As discussed in Note 10 - Other Retirement Plans, certain of MasTec’s subsidiaries are party to various collective bargaining agreements with unions representing certain of their</w:t>
      </w:r>
      <w:r>
        <w:rPr>
          <w:rFonts w:ascii="Arial" w:cs="Arial" w:eastAsia="Arial" w:hAnsi="Arial"/>
          <w:sz w:val="10"/>
          <w:szCs w:val="10"/>
          <w:b w:val="1"/>
          <w:bCs w:val="1"/>
          <w:color w:val="auto"/>
        </w:rPr>
        <w:t xml:space="preserve"> </w:t>
      </w:r>
      <w:r>
        <w:rPr>
          <w:rFonts w:ascii="Arial" w:cs="Arial" w:eastAsia="Arial" w:hAnsi="Arial"/>
          <w:sz w:val="10"/>
          <w:szCs w:val="10"/>
          <w:color w:val="auto"/>
        </w:rPr>
        <w:t>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38"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color w:val="auto"/>
        </w:rPr>
        <w:t>The Company currently contributes, and in the past, has contributed to, plans that are underfunded, and, therefore, could have potential liability associated with a voluntary or involuntary withdrawal from, or termination of, these plans. As of June 30, 2021,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w:t>
      </w:r>
    </w:p>
    <w:p>
      <w:pPr>
        <w:spacing w:after="0" w:line="41" w:lineRule="exact"/>
        <w:rPr>
          <w:sz w:val="20"/>
          <w:szCs w:val="20"/>
          <w:color w:val="auto"/>
        </w:rPr>
      </w:pPr>
    </w:p>
    <w:p>
      <w:pPr>
        <w:jc w:val="both"/>
        <w:ind w:firstLine="433"/>
        <w:spacing w:after="0" w:line="266" w:lineRule="auto"/>
        <w:rPr>
          <w:sz w:val="20"/>
          <w:szCs w:val="20"/>
          <w:color w:val="auto"/>
        </w:rPr>
      </w:pPr>
      <w:r>
        <w:rPr>
          <w:rFonts w:ascii="Arial" w:cs="Arial" w:eastAsia="Arial" w:hAnsi="Arial"/>
          <w:sz w:val="11"/>
          <w:szCs w:val="11"/>
          <w:b w:val="1"/>
          <w:bCs w:val="1"/>
          <w:color w:val="auto"/>
        </w:rPr>
        <w:t xml:space="preserve">Indemnities. </w:t>
      </w:r>
      <w:r>
        <w:rPr>
          <w:rFonts w:ascii="Arial" w:cs="Arial" w:eastAsia="Arial" w:hAnsi="Arial"/>
          <w:sz w:val="11"/>
          <w:szCs w:val="11"/>
          <w:color w:val="auto"/>
        </w:rPr>
        <w:t>The Company generally indemnifies its customers for the services it provides under its contracts, as well as other specified liabilities, which may subject the Company to indemnity claims, liabilities and related litigation. As of June 30,</w:t>
      </w:r>
      <w:r>
        <w:rPr>
          <w:rFonts w:ascii="Arial" w:cs="Arial" w:eastAsia="Arial" w:hAnsi="Arial"/>
          <w:sz w:val="11"/>
          <w:szCs w:val="11"/>
          <w:b w:val="1"/>
          <w:bCs w:val="1"/>
          <w:color w:val="auto"/>
        </w:rPr>
        <w:t xml:space="preserve"> </w:t>
      </w:r>
      <w:r>
        <w:rPr>
          <w:rFonts w:ascii="Arial" w:cs="Arial" w:eastAsia="Arial" w:hAnsi="Arial"/>
          <w:sz w:val="11"/>
          <w:szCs w:val="11"/>
          <w:color w:val="auto"/>
        </w:rPr>
        <w:t>2021 and December 31, 2020, the Company was not aware of any material asserted or unasserted claims in connection with these indemnity obligations.</w:t>
      </w:r>
    </w:p>
    <w:p>
      <w:pPr>
        <w:spacing w:after="0" w:line="44"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0"/>
          <w:szCs w:val="10"/>
          <w:b w:val="1"/>
          <w:bCs w:val="1"/>
          <w:color w:val="auto"/>
        </w:rPr>
        <w:t xml:space="preserve">Other Guarantees. </w:t>
      </w:r>
      <w:r>
        <w:rPr>
          <w:rFonts w:ascii="Arial" w:cs="Arial" w:eastAsia="Arial" w:hAnsi="Arial"/>
          <w:sz w:val="10"/>
          <w:szCs w:val="10"/>
          <w:color w:val="auto"/>
        </w:rPr>
        <w:t>From time to time in the ordinary course of its business, MasTec guarantees the obligations of its subsidiaries, including obligations under certain contracts with customers, certain lease obligations, and in some states, obligations</w:t>
      </w:r>
      <w:r>
        <w:rPr>
          <w:rFonts w:ascii="Arial" w:cs="Arial" w:eastAsia="Arial" w:hAnsi="Arial"/>
          <w:sz w:val="10"/>
          <w:szCs w:val="10"/>
          <w:b w:val="1"/>
          <w:bCs w:val="1"/>
          <w:color w:val="auto"/>
        </w:rPr>
        <w:t xml:space="preserve"> </w:t>
      </w:r>
      <w:r>
        <w:rPr>
          <w:rFonts w:ascii="Arial" w:cs="Arial" w:eastAsia="Arial" w:hAnsi="Arial"/>
          <w:sz w:val="10"/>
          <w:szCs w:val="10"/>
          <w:color w:val="auto"/>
        </w:rPr>
        <w:t>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3" w:name="page24"/>
    <w:bookmarkEnd w:id="23"/>
    <w:p>
      <w:pPr>
        <w:spacing w:after="0"/>
        <w:rPr>
          <w:sz w:val="20"/>
          <w:szCs w:val="20"/>
          <w:color w:val="auto"/>
        </w:rPr>
      </w:pPr>
      <w:r>
        <w:rPr>
          <w:rFonts w:ascii="Arial" w:cs="Arial" w:eastAsia="Arial" w:hAnsi="Arial"/>
          <w:sz w:val="11"/>
          <w:szCs w:val="11"/>
          <w:color w:val="auto"/>
        </w:rPr>
        <w:t>customers elect to repair or replace the warrantied item using the services of another provider, the Company could be required to pay for the cost of the repair or replacement. Warranty claims have historically not been material.</w:t>
      </w:r>
    </w:p>
    <w:p>
      <w:pPr>
        <w:spacing w:after="0" w:line="68" w:lineRule="exact"/>
        <w:rPr>
          <w:sz w:val="20"/>
          <w:szCs w:val="20"/>
          <w:color w:val="auto"/>
        </w:rPr>
      </w:pPr>
    </w:p>
    <w:p>
      <w:pPr>
        <w:jc w:val="both"/>
        <w:ind w:firstLine="433"/>
        <w:spacing w:after="0" w:line="248" w:lineRule="auto"/>
        <w:rPr>
          <w:sz w:val="20"/>
          <w:szCs w:val="20"/>
          <w:color w:val="auto"/>
        </w:rPr>
      </w:pPr>
      <w:r>
        <w:rPr>
          <w:rFonts w:ascii="Arial" w:cs="Arial" w:eastAsia="Arial" w:hAnsi="Arial"/>
          <w:sz w:val="11"/>
          <w:szCs w:val="11"/>
          <w:b w:val="1"/>
          <w:bCs w:val="1"/>
          <w:color w:val="auto"/>
        </w:rPr>
        <w:t xml:space="preserve">Concentrations of Risk. </w:t>
      </w:r>
      <w:r>
        <w:rPr>
          <w:rFonts w:ascii="Arial" w:cs="Arial" w:eastAsia="Arial" w:hAnsi="Arial"/>
          <w:sz w:val="11"/>
          <w:szCs w:val="11"/>
          <w:color w:val="auto"/>
        </w:rPr>
        <w:t>The Company had approximately 460 customers for the six month period ended June 30, 2021. As of June 30, 2021, one customer accounted for approximately 12% of the Company’s consolidated net accounts receivable</w:t>
      </w:r>
      <w:r>
        <w:rPr>
          <w:rFonts w:ascii="Arial" w:cs="Arial" w:eastAsia="Arial" w:hAnsi="Arial"/>
          <w:sz w:val="11"/>
          <w:szCs w:val="11"/>
          <w:b w:val="1"/>
          <w:bCs w:val="1"/>
          <w:color w:val="auto"/>
        </w:rPr>
        <w:t xml:space="preserve"> </w:t>
      </w:r>
      <w:r>
        <w:rPr>
          <w:rFonts w:ascii="Arial" w:cs="Arial" w:eastAsia="Arial" w:hAnsi="Arial"/>
          <w:sz w:val="11"/>
          <w:szCs w:val="11"/>
          <w:color w:val="auto"/>
        </w:rPr>
        <w:t>position, which represents accounts receivable, net, less deferred revenue. As of December 31, 2020, two customers each accounted for approximately 15% and 12%, respectively, of the Company’s consolidated net accounts receivable position. In addition, the Company derived 55% and 66% of its revenue from its top ten customers for the three month periods ended June 30, 2021 and 2020, respectively, and derived 60% and 63% of its revenue from its top ten customers for the six month periods ended June 30, 2021 and 2020,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Note 15 – Related Party Transactions</w:t>
      </w:r>
    </w:p>
    <w:p>
      <w:pPr>
        <w:spacing w:after="0" w:line="76"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June 30, 2021 and 2020, such payments to related party entities totaled approximately $30.7 million and $16.2 million, respectively, and for the six month periods ended June 30, 2021 and 2020, totaled approximately $51.1 million and $41.5 million, respectively. Payables associated with such arrangements totaled approximately $0.5 million and $8.9 million as of June 30, 2021 and December 31, 2020, respectively. Revenue from such related party arrangements totaled approximately $0.9 million and $1.3 million for the three month periods ended June 30, 2021 and 2020, respectively, and totaled approximately $2.1 million and $2.3 million for the six month periods ended June 30, 2021 and 2020, respectively. Related amounts receivable, net, totaled approximately $0.4 million and $0.5 million as of June 30, 2021 and December 31, 2020, respectively.</w:t>
      </w:r>
    </w:p>
    <w:p>
      <w:pPr>
        <w:spacing w:after="0" w:line="48"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The Company rents and leases equipment and purchases certain supplies and servicing from CCI. Juan Carlos Mas, who is the brother of Jorge Mas, Chairman of MasTec’s Board of Directors, serves as the chairman of CCI, and a member of management of a MasTec subsidiary and an entity that is owned by the Mas family are minority owners. MasTec paid CCI $5.6 million and $1.0 million, net of rebates, respectively, for the three month periods ended June 30, 2021 and 2020, and paid approximately $10.7 million and $1.4 million, respectively, for the six month periods ended June 30, 2021 and 2020 related to this activity. Amounts payable to CCI, net of rebates receivable, totaled approximately $5.1 million and $4.2 million as of June 30, 2021 and December 31, 2020, respectively.</w:t>
      </w:r>
    </w:p>
    <w:p>
      <w:pPr>
        <w:spacing w:after="0" w:line="61"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 ended June 30, 2021, MasTec incurred subcontracting expenses of approximately $16.8 million under these arrangements, and no subcontracting expenses were incurred for the three month period ended June 30, 2020. For the six month period ended June 30, 2021, MasTec incurred subcontracting expenses under these arrangements of approximately $45.8 million, and for the six month period ended June 30, 2020, incurred approximately $0.6 million, net. As of June 30, 2021 and December 31, 2020, related amounts payable totaled approximately $14.9 million and $1.4 million, respectively.</w:t>
      </w:r>
    </w:p>
    <w:p>
      <w:pPr>
        <w:spacing w:after="0" w:line="61"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MasTec has a leasing arrangement for an aircraft that is owned by an entity that Jorge Mas owns. For both the three month periods ended June 30, 2021 and 2020, MasTec paid approximately $0.6 million related to this leasing arrangement, and paid approximately $1.3 million for both the six month periods ended June 30, 2021 and 2020.</w:t>
      </w:r>
    </w:p>
    <w:p>
      <w:pPr>
        <w:spacing w:after="0" w:line="53"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MasTec performs construction services on behalf of a professional Miami soccer franchise (the “Franchise”) in which Jorge Mas and José R. Mas are minority owners. Services provided by MasTec include the construction of a soccer facility and stadium as well as wireless infrastructure services. For both the three and six month periods ended June 30, 2021, charges under these arrangements were de minimis, and for the three and six month periods ended June 30, 2020, MasTec charged approximately $1.5 million and $5.5 million, respectively. Related amounts outstanding as of both June 30, 2021 and December 31, 2020 were de minimis. Payments for other expenses related to the Franchise for both the six month periods ended June 30, 2021 and 2020 totaled approximately $0.2 million, for which there were no amounts outstanding as of either June 30, 2021 or December 31, 2020.</w:t>
      </w:r>
    </w:p>
    <w:p>
      <w:pPr>
        <w:spacing w:after="0" w:line="61"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MasTec leases employees and provides satellite communications services to a customer in which Jorge Mas and José R. Mas own a majority interest. Charges to this customer under these arrangements totaled approximately $0.3 million, for both the three month periods ended June 30, 2021 and 2020, and for the six month periods ended June 30, 2021 and 2020, totaled approximately $0.6 million and $0.7 million, respectively. As of June 30, 2021 and December 31, 2020, related amounts receivable totaled approximately $0.8 million and $0.9 million, respectively.</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Amounts outstanding, net, for advances made by the Company on behalf of a construction management firm specializing in steel building systems that was acquired by MasTec, of which Juan Carlos Mas and José R. Mas, MasTec’s Chief Executive Officer, were minority owners at the time of acquisition, totaled approximately $0.3 million and $0.1 million as of June 30, 2021 and December 31, 2020, respectively. Outstanding amounts are expected to be settled under customary terms associated with the related purchase agreement.</w:t>
      </w:r>
    </w:p>
    <w:p>
      <w:pPr>
        <w:spacing w:after="0" w:line="57" w:lineRule="exact"/>
        <w:rPr>
          <w:sz w:val="20"/>
          <w:szCs w:val="20"/>
          <w:color w:val="auto"/>
        </w:rPr>
      </w:pPr>
    </w:p>
    <w:p>
      <w:pPr>
        <w:jc w:val="both"/>
        <w:ind w:firstLine="433"/>
        <w:spacing w:after="0" w:line="318" w:lineRule="auto"/>
        <w:rPr>
          <w:sz w:val="20"/>
          <w:szCs w:val="20"/>
          <w:color w:val="auto"/>
        </w:rPr>
      </w:pPr>
      <w:r>
        <w:rPr>
          <w:rFonts w:ascii="Arial" w:cs="Arial" w:eastAsia="Arial" w:hAnsi="Arial"/>
          <w:sz w:val="9"/>
          <w:szCs w:val="9"/>
          <w:color w:val="auto"/>
        </w:rPr>
        <w:t>The Company, through a second quarter 2020 acquisition, has a 25% interest in an entity, under which the acquired business and the 25%-owned entity have a subcontracting arrangement. The Company’s interest in this entity, for which post-acquisition operating activity is de minimis, is accounted for as an equity method investment. As of June 30, 2021 and December 31, 2020, the Company’s net investment in this entity was a liability of approximately $1.6 million and $2.0 million, respectively, which net amount includes approximately $2.3 million and $1.9 million, respectively, of accounts receivable, net, less deferred revenue related to the subcontracting arrangement. Additionally, the Company has certain arrangements with an entity in which members of management have an ownership interest, including a fee arrangement in conjunction with a $15.0 million letter of credit issued by the Company on behalf of this entity. For the three and six month periods ended June 30, 2021, approximately $0.2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4" w:name="page25"/>
    <w:bookmarkEnd w:id="24"/>
    <w:p>
      <w:pPr>
        <w:spacing w:after="0"/>
        <w:rPr>
          <w:sz w:val="20"/>
          <w:szCs w:val="20"/>
          <w:color w:val="auto"/>
        </w:rPr>
      </w:pPr>
      <w:r>
        <w:rPr>
          <w:rFonts w:ascii="Arial" w:cs="Arial" w:eastAsia="Arial" w:hAnsi="Arial"/>
          <w:sz w:val="11"/>
          <w:szCs w:val="11"/>
          <w:color w:val="auto"/>
        </w:rPr>
        <w:t>million and $0.4 million, respectively, of income was recognized in connection with these arrangements. As of both June 30, 2021 and December 31, 2020, related amounts receivable totaled $0.4 million.</w:t>
      </w:r>
    </w:p>
    <w:p>
      <w:pPr>
        <w:spacing w:after="0" w:line="72" w:lineRule="exact"/>
        <w:rPr>
          <w:sz w:val="20"/>
          <w:szCs w:val="20"/>
          <w:color w:val="auto"/>
        </w:rPr>
      </w:pPr>
    </w:p>
    <w:p>
      <w:pPr>
        <w:ind w:right="20" w:firstLine="433"/>
        <w:spacing w:after="0" w:line="258" w:lineRule="auto"/>
        <w:rPr>
          <w:sz w:val="20"/>
          <w:szCs w:val="20"/>
          <w:color w:val="auto"/>
        </w:rPr>
      </w:pPr>
      <w:r>
        <w:rPr>
          <w:rFonts w:ascii="Arial" w:cs="Arial" w:eastAsia="Arial" w:hAnsi="Arial"/>
          <w:sz w:val="11"/>
          <w:szCs w:val="11"/>
          <w:color w:val="auto"/>
        </w:rPr>
        <w:t>Non-controlling interests in entities consolidated by the Company represent ownership interests held by members of management of certain of the Company’s subsidiaries, primarily in the Company’s Oil and Gas segment. In June 2021, the Company acquired an additional 15% of the non-controlling interests in one of these entities from two members of subsidiary management for $6.8 million in cash.</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Split Dollar Agreements</w:t>
      </w:r>
    </w:p>
    <w:p>
      <w:pPr>
        <w:spacing w:after="0" w:line="72" w:lineRule="exact"/>
        <w:rPr>
          <w:sz w:val="20"/>
          <w:szCs w:val="20"/>
          <w:color w:val="auto"/>
        </w:rPr>
      </w:pPr>
    </w:p>
    <w:p>
      <w:pPr>
        <w:ind w:firstLine="433"/>
        <w:spacing w:after="0" w:line="308" w:lineRule="auto"/>
        <w:rPr>
          <w:sz w:val="20"/>
          <w:szCs w:val="20"/>
          <w:color w:val="auto"/>
        </w:rPr>
      </w:pPr>
      <w:r>
        <w:rPr>
          <w:rFonts w:ascii="Arial" w:cs="Arial" w:eastAsia="Arial" w:hAnsi="Arial"/>
          <w:sz w:val="10"/>
          <w:szCs w:val="10"/>
          <w:color w:val="auto"/>
        </w:rPr>
        <w:t>MasTec has split dollar life insurance agreements with trusts, one of which Jorge Mas is a trustee, and one of which José R. Mas is a trustee. The Company paid $0.5 million and $0.7 million in both the second quarters of 2021 and 2020 in connection with the agreements for Jorge Mas and José R. Mas, respectively. As of June 30, 2021 and December 31, 2020, life insurance assets associated with these agreements totaled approximately $23.4 million and $22.2 million,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5" w:name="page26"/>
    <w:bookmarkEnd w:id="25"/>
    <w:p>
      <w:pPr>
        <w:spacing w:after="0"/>
        <w:rPr>
          <w:sz w:val="20"/>
          <w:szCs w:val="20"/>
          <w:color w:val="auto"/>
        </w:rPr>
      </w:pPr>
      <w:r>
        <w:rPr>
          <w:rFonts w:ascii="Arial" w:cs="Arial" w:eastAsia="Arial" w:hAnsi="Arial"/>
          <w:sz w:val="11"/>
          <w:szCs w:val="11"/>
          <w:b w:val="1"/>
          <w:bCs w:val="1"/>
          <w:color w:val="auto"/>
        </w:rPr>
        <w:t>CAUTIONARY STATEMENT REGARDING FORWARD-LOOKING STATEMENTS</w:t>
      </w:r>
    </w:p>
    <w:p>
      <w:pPr>
        <w:spacing w:after="0" w:line="76" w:lineRule="exact"/>
        <w:rPr>
          <w:sz w:val="20"/>
          <w:szCs w:val="20"/>
          <w:color w:val="auto"/>
        </w:rPr>
      </w:pPr>
    </w:p>
    <w:p>
      <w:pPr>
        <w:jc w:val="both"/>
        <w:ind w:firstLine="433"/>
        <w:spacing w:after="0" w:line="272" w:lineRule="auto"/>
        <w:rPr>
          <w:sz w:val="20"/>
          <w:szCs w:val="20"/>
          <w:color w:val="auto"/>
        </w:rPr>
      </w:pPr>
      <w:r>
        <w:rPr>
          <w:rFonts w:ascii="Arial" w:cs="Arial" w:eastAsia="Arial" w:hAnsi="Arial"/>
          <w:sz w:val="10"/>
          <w:szCs w:val="10"/>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ongoing COVID-19 pandemic.</w:t>
      </w:r>
    </w:p>
    <w:p>
      <w:pPr>
        <w:spacing w:after="0" w:line="48"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These risks and uncertainties include those described in “Management’s Discussion and Analysis of Financial Condition and Results of Operations,” and elsewhere in this report and in our 2020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29" w:lineRule="exact"/>
        <w:rPr>
          <w:sz w:val="20"/>
          <w:szCs w:val="20"/>
          <w:color w:val="auto"/>
        </w:rPr>
      </w:pPr>
    </w:p>
    <w:p>
      <w:pPr>
        <w:spacing w:after="0"/>
        <w:tabs>
          <w:tab w:leader="none" w:pos="500" w:val="left"/>
        </w:tabs>
        <w:rPr>
          <w:sz w:val="20"/>
          <w:szCs w:val="20"/>
          <w:color w:val="auto"/>
        </w:rPr>
      </w:pPr>
      <w:r>
        <w:rPr>
          <w:rFonts w:ascii="Arial" w:cs="Arial" w:eastAsia="Arial" w:hAnsi="Arial"/>
          <w:sz w:val="11"/>
          <w:szCs w:val="11"/>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76"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following is a discussion and analysis of our business, financial condition and results of operations as of and for the three and six month periods ended June 30, 2021 and 2020.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2020 Form 10-K. In this MD&amp;A, “$” means U.S. dollars unless specified otherwise.</w:t>
      </w:r>
    </w:p>
    <w:p>
      <w:pPr>
        <w:spacing w:after="0" w:line="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Impact of the COVID-19 Pandemic</w:t>
      </w:r>
    </w:p>
    <w:p>
      <w:pPr>
        <w:spacing w:after="0" w:line="76" w:lineRule="exact"/>
        <w:rPr>
          <w:sz w:val="20"/>
          <w:szCs w:val="20"/>
          <w:color w:val="auto"/>
        </w:rPr>
      </w:pPr>
    </w:p>
    <w:p>
      <w:pPr>
        <w:jc w:val="both"/>
        <w:ind w:firstLine="433"/>
        <w:spacing w:after="0" w:line="274" w:lineRule="auto"/>
        <w:rPr>
          <w:sz w:val="20"/>
          <w:szCs w:val="20"/>
          <w:color w:val="auto"/>
        </w:rPr>
      </w:pPr>
      <w:r>
        <w:rPr>
          <w:rFonts w:ascii="Arial" w:cs="Arial" w:eastAsia="Arial" w:hAnsi="Arial"/>
          <w:sz w:val="10"/>
          <w:szCs w:val="10"/>
          <w:color w:val="auto"/>
        </w:rPr>
        <w:t>The COVID-19 pandemic disrupted business activities and significantly affected global economic conditions at the beginning of 2020 and continuing into 2021 as federal, state and local governments imposed restrictions and mitigation measures to contain COVID-19 or slow its spread, resulting in workforce, supply chain and production disruptions and creating significant uncertainties in the U.S. and global economies. While the adverse effects of these restrictions and mitigation measures partially subsided in the United States beginning in the second half of 2020, the COVID-19 pandemic varies by region and the possibility of future restrictions remains, particularly as a new Delta variant of COVID-19 appears to be causing an increase in COVID-19 cases. The extent to which the COVID-19 pandemic could affect our business, operations and financial results will depend upon numerous evolving factors that we may not be able to accurately predict, including the availability, acceptance, administration and effectiveness (and the duration of such effectiveness) of treatments and vaccines, along with the length and extent of any continuing economic and market disruptions.</w:t>
      </w:r>
    </w:p>
    <w:p>
      <w:pPr>
        <w:spacing w:after="0" w:line="47" w:lineRule="exact"/>
        <w:rPr>
          <w:sz w:val="20"/>
          <w:szCs w:val="20"/>
          <w:color w:val="auto"/>
        </w:rPr>
      </w:pPr>
    </w:p>
    <w:p>
      <w:pPr>
        <w:jc w:val="both"/>
        <w:ind w:firstLine="433"/>
        <w:spacing w:after="0" w:line="305" w:lineRule="auto"/>
        <w:rPr>
          <w:sz w:val="20"/>
          <w:szCs w:val="20"/>
          <w:color w:val="auto"/>
        </w:rPr>
      </w:pPr>
      <w:r>
        <w:rPr>
          <w:rFonts w:ascii="Arial" w:cs="Arial" w:eastAsia="Arial" w:hAnsi="Arial"/>
          <w:sz w:val="9"/>
          <w:szCs w:val="9"/>
          <w:color w:val="auto"/>
        </w:rPr>
        <w:t>As a provider of essential services, all of our business segments continued to operate throughout the pandemic, and where safe and possible, our customers generally directed us to maintain normal work schedules. Our business model has, thus far, proven resilient, and we continue to adapt to the changing operational and economic environment that has resulted from the COVID-19 pandemic. Our top priority has been to take appropriate actions to protect the health and safety of our employees, customers and business partners. We adjusted our standard operating procedures within our business operations to ensure employee and customer safety and continually monitor evolving health guidelines and respond to changes as appropriate. These procedures have included implementation of specialized training programs, appropriate social distancing procedures and required use of personal protective equipment for our crew operations, as well as appropriate sanitation measures for key equipment and facilities, along with limiting non-essential business travel and incorporating work-at-home programs as appropriate for our administrative offices. In the first half of 2021, we began to reduce certain business travel restrictions and implement a phased-in return to our offices where COVID-related restrictions have eased, though certain work-at-home programs are still in place. For in-office operations, appropriate safety and social distancing measures have been incorporated. We have also developed human resource guidance to assist our employees. In certain locations where our operations experienced challenges as a result of the pandemic, we have actively collaborated with our customers to minimize potential service disruptions and operational impacts.</w:t>
      </w:r>
    </w:p>
    <w:p>
      <w:pPr>
        <w:spacing w:after="0" w:line="36"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The COVID-19 pandemic has had a negative impact on our operations since 2020 and may continue to affect our business activities throughout 2021. These impacts include lost productivity from governmental permitting approval delays, reduced crew productivity due to social distancing and other mitigation measures, the health and availability of work crews or other key personnel, including subcontractors or supply chain disruptions, and/or delayed project start dates, project shutdowns or cancellations that may be mandated or requested by governmental authorities or others, all of which could result in lower revenue or higher operating costs and/or create lower levels of overhead cost absorption. We continue to actively monitor the effects of the COVID-19 pandemic on our operations and may take further actions, as necessary, that we determine to be in the best interests of our employees, customers, business partners and stakeholders, or as required by federal, state, or local authorities. Additionally, disruptions in economic activity as a result of the COVID-19 pandemic have had, and may continue to have, adverse effects across our end markets, particularly in the oil and gas sector. To the extent that future business activities are adversely affected by the pandemic, we intend to take appropriate actions to mitigate any such impacts.</w:t>
      </w:r>
    </w:p>
    <w:p>
      <w:pPr>
        <w:spacing w:after="0" w:line="62"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Several relief measures have been enacted in response to the effects of the COVID-19 pandemic, including the CARES Act and the Coronavirus Relief Act. We have deferred approximately $59 million of payroll taxes under the CARES Act, half of which are due by December 31, 2021, with the remainder due by December 31, 2022. We will continue to monitor and evaluate the potential effects, usefulness of, and qualification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26" w:name="page27"/>
    <w:bookmarkEnd w:id="26"/>
    <w:p>
      <w:pPr>
        <w:spacing w:after="0"/>
        <w:rPr>
          <w:sz w:val="20"/>
          <w:szCs w:val="20"/>
          <w:color w:val="auto"/>
        </w:rPr>
      </w:pPr>
      <w:r>
        <w:rPr>
          <w:rFonts w:ascii="Arial" w:cs="Arial" w:eastAsia="Arial" w:hAnsi="Arial"/>
          <w:sz w:val="11"/>
          <w:szCs w:val="11"/>
          <w:color w:val="auto"/>
        </w:rPr>
        <w:t>for, additional COVID-19 relief measures on our financial position, results of operations and cash flows.</w:t>
      </w:r>
    </w:p>
    <w:p>
      <w:pPr>
        <w:spacing w:after="0" w:line="7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Notwithstanding moderation of the COVID-19 pandemic and easing of governmental and other restrictions, we may continue to experience negative effects on our business and operations from possible longer-term changes in consumer and customer behavior, and/or from continuing negative economic conditions. We believe that we have taken appropriate steps to mitigate the impacts of the COVID-19 pandemic on our business; however, the potential effects of the COVID-19 pandemic are uncertain, as they depend upon numerous evolving factors that we may not be able to accurately predict, and therefore, any future impacts on our business, financial condition and/or results of operations cannot be quantified or predicted with specificity.</w:t>
      </w:r>
    </w:p>
    <w:p>
      <w:pPr>
        <w:spacing w:after="0" w:line="41"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As of June 30, 2021, we maintained a strong balance sheet, have strong relationships with our banking partners and had ample liquidity totaling approximately $1.2 billion, comprising $1.0 billion of availability under our Credit Facility and $237 million of cash, notwithstanding substantial strategic business acquisition activity in the first half of 2021. We believe that our financial position, strong cash flows and operational strengths will enable us to manage the current challenges and uncertainties resulting from the COVID-19 pandemic. Our business operations typically generate significant cash flow, affording us the flexibility to invest strategically in our efforts to maximize shareholder value through acquisitions and other strategic arrangements, share repurchases and capital expenditures. We are carefully managing liquidity and are monitoring any potential effects from the pandemic on our financial results, cash flows and/or working capital, and intend to take appropriate actions in efforts to mitigate any impacts.</w:t>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Business Overview</w:t>
      </w:r>
    </w:p>
    <w:p>
      <w:pPr>
        <w:spacing w:after="0" w:line="76"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generation, primarily from clean energy and renewable sources; pipeline infrastructure; electrical utility transmission and distribution; heavy civil; and industrial infrastructure. Our customers are primarily in these industries. Including our predecessor companies, we have been in business for over 90 years. For the twelve month period ended June 30, 2021, we had an average of approximately 500 locations and 21,000 employees, and, as of June 30, 2021, we had approximately 26,000 employees. We offer our services primarily under the MasTec service mark. We have been consistently ranked among the top specialty contractors by Engineering News-Record for the past several years.</w:t>
      </w:r>
    </w:p>
    <w:p>
      <w:pPr>
        <w:spacing w:after="0" w:line="61" w:lineRule="exact"/>
        <w:rPr>
          <w:sz w:val="20"/>
          <w:szCs w:val="20"/>
          <w:color w:val="auto"/>
        </w:rPr>
      </w:pPr>
    </w:p>
    <w:p>
      <w:pPr>
        <w:jc w:val="both"/>
        <w:ind w:right="20" w:firstLine="433"/>
        <w:spacing w:after="0" w:line="258" w:lineRule="auto"/>
        <w:rPr>
          <w:sz w:val="20"/>
          <w:szCs w:val="20"/>
          <w:color w:val="auto"/>
        </w:rPr>
      </w:pPr>
      <w:r>
        <w:rPr>
          <w:rFonts w:ascii="Arial" w:cs="Arial" w:eastAsia="Arial" w:hAnsi="Arial"/>
          <w:sz w:val="11"/>
          <w:szCs w:val="11"/>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53"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We manage our operations under five operating segments, which represent our five reportable segments: (1) Communications; (2) Clean Energy and Infrastructure; (3) Oil and Gas; (4) Electrical Transmission and (5) Other. This structure is generally focused on broad end-user markets for our labor-based construction services. See Note 13 - Segments and Related Information and Note 14 - Commitments and Contingencies in the notes to the consolidated financial statements, which are incorporated by reference, for segment results and information and significant customer concentrations.</w:t>
      </w:r>
    </w:p>
    <w:p>
      <w:pPr>
        <w:spacing w:after="0" w:line="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Backlog</w:t>
      </w:r>
    </w:p>
    <w:p>
      <w:pPr>
        <w:spacing w:after="0" w:line="76"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we will realize approximately 43% of our estimated June 30, 2021 backlog in 2021. The following table presents 18-month estimated backlog by reportable segment as of the dates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40" w:type="dxa"/>
            <w:vAlign w:val="bottom"/>
            <w:vMerge w:val="restart"/>
          </w:tcPr>
          <w:p>
            <w:pPr>
              <w:spacing w:after="0"/>
              <w:rPr>
                <w:sz w:val="20"/>
                <w:szCs w:val="20"/>
                <w:color w:val="auto"/>
              </w:rPr>
            </w:pPr>
            <w:r>
              <w:rPr>
                <w:rFonts w:ascii="Arial" w:cs="Arial" w:eastAsia="Arial" w:hAnsi="Arial"/>
                <w:sz w:val="11"/>
                <w:szCs w:val="11"/>
                <w:b w:val="1"/>
                <w:bCs w:val="1"/>
                <w:color w:val="auto"/>
              </w:rPr>
              <w:t>Reportable Segment (in millions):</w:t>
            </w:r>
          </w:p>
        </w:tc>
        <w:tc>
          <w:tcPr>
            <w:tcW w:w="1040" w:type="dxa"/>
            <w:vAlign w:val="bottom"/>
          </w:tcPr>
          <w:p>
            <w:pPr>
              <w:jc w:val="right"/>
              <w:ind w:right="69"/>
              <w:spacing w:after="0"/>
              <w:rPr>
                <w:sz w:val="20"/>
                <w:szCs w:val="20"/>
                <w:color w:val="auto"/>
              </w:rPr>
            </w:pPr>
            <w:r>
              <w:rPr>
                <w:rFonts w:ascii="Arial" w:cs="Arial" w:eastAsia="Arial" w:hAnsi="Arial"/>
                <w:sz w:val="11"/>
                <w:szCs w:val="11"/>
                <w:b w:val="1"/>
                <w:bCs w:val="1"/>
                <w:color w:val="auto"/>
              </w:rPr>
              <w:t>June 30,</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March 31,</w:t>
            </w:r>
          </w:p>
        </w:tc>
        <w:tc>
          <w:tcPr>
            <w:tcW w:w="300" w:type="dxa"/>
            <w:vAlign w:val="bottom"/>
          </w:tcPr>
          <w:p>
            <w:pPr>
              <w:spacing w:after="0"/>
              <w:rPr>
                <w:sz w:val="10"/>
                <w:szCs w:val="10"/>
                <w:color w:val="auto"/>
              </w:rPr>
            </w:pPr>
          </w:p>
        </w:tc>
        <w:tc>
          <w:tcPr>
            <w:tcW w:w="1160" w:type="dxa"/>
            <w:vAlign w:val="bottom"/>
          </w:tcPr>
          <w:p>
            <w:pPr>
              <w:jc w:val="right"/>
              <w:ind w:right="486"/>
              <w:spacing w:after="0"/>
              <w:rPr>
                <w:sz w:val="20"/>
                <w:szCs w:val="20"/>
                <w:color w:val="auto"/>
              </w:rPr>
            </w:pPr>
            <w:r>
              <w:rPr>
                <w:rFonts w:ascii="Arial" w:cs="Arial" w:eastAsia="Arial" w:hAnsi="Arial"/>
                <w:sz w:val="11"/>
                <w:szCs w:val="11"/>
                <w:b w:val="1"/>
                <w:bCs w:val="1"/>
                <w:color w:val="auto"/>
              </w:rPr>
              <w:t>June 30,</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104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spacing w:after="0"/>
              <w:rPr>
                <w:sz w:val="20"/>
                <w:szCs w:val="20"/>
                <w:color w:val="auto"/>
              </w:rPr>
            </w:pPr>
            <w:r>
              <w:rPr>
                <w:rFonts w:ascii="Arial" w:cs="Arial" w:eastAsia="Arial" w:hAnsi="Arial"/>
                <w:sz w:val="11"/>
                <w:szCs w:val="11"/>
                <w:color w:val="auto"/>
              </w:rPr>
              <w:t>Communications</w:t>
            </w:r>
          </w:p>
        </w:tc>
        <w:tc>
          <w:tcPr>
            <w:tcW w:w="1040" w:type="dxa"/>
            <w:vAlign w:val="bottom"/>
            <w:shd w:val="clear" w:color="auto" w:fill="CCEEFF"/>
          </w:tcPr>
          <w:p>
            <w:pPr>
              <w:jc w:val="right"/>
              <w:ind w:right="92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4,240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3,915</w:t>
            </w:r>
          </w:p>
        </w:tc>
        <w:tc>
          <w:tcPr>
            <w:tcW w:w="0" w:type="dxa"/>
            <w:vAlign w:val="bottom"/>
          </w:tcPr>
          <w:p>
            <w:pPr>
              <w:spacing w:after="0"/>
              <w:rPr>
                <w:sz w:val="1"/>
                <w:szCs w:val="1"/>
                <w:color w:val="auto"/>
              </w:rPr>
            </w:pPr>
          </w:p>
        </w:tc>
      </w:tr>
      <w:tr>
        <w:trPr>
          <w:trHeight w:val="214"/>
        </w:trPr>
        <w:tc>
          <w:tcPr>
            <w:tcW w:w="6740" w:type="dxa"/>
            <w:vAlign w:val="bottom"/>
          </w:tcPr>
          <w:p>
            <w:pPr>
              <w:spacing w:after="0"/>
              <w:rPr>
                <w:sz w:val="20"/>
                <w:szCs w:val="20"/>
                <w:color w:val="auto"/>
              </w:rPr>
            </w:pPr>
            <w:r>
              <w:rPr>
                <w:rFonts w:ascii="Arial" w:cs="Arial" w:eastAsia="Arial" w:hAnsi="Arial"/>
                <w:sz w:val="11"/>
                <w:szCs w:val="11"/>
                <w:color w:val="auto"/>
              </w:rPr>
              <w:t>Clean Energy and Infrastructure</w:t>
            </w:r>
          </w:p>
        </w:tc>
        <w:tc>
          <w:tcPr>
            <w:tcW w:w="1040" w:type="dxa"/>
            <w:vAlign w:val="bottom"/>
          </w:tcPr>
          <w:p>
            <w:pPr>
              <w:spacing w:after="0"/>
              <w:rPr>
                <w:sz w:val="18"/>
                <w:szCs w:val="18"/>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1,705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1,042</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spacing w:after="0"/>
              <w:rPr>
                <w:sz w:val="20"/>
                <w:szCs w:val="20"/>
                <w:color w:val="auto"/>
              </w:rPr>
            </w:pPr>
            <w:r>
              <w:rPr>
                <w:rFonts w:ascii="Arial" w:cs="Arial" w:eastAsia="Arial" w:hAnsi="Arial"/>
                <w:sz w:val="11"/>
                <w:szCs w:val="11"/>
                <w:color w:val="auto"/>
              </w:rPr>
              <w:t>Oil and Gas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2,659</w:t>
            </w:r>
          </w:p>
        </w:tc>
        <w:tc>
          <w:tcPr>
            <w:tcW w:w="0" w:type="dxa"/>
            <w:vAlign w:val="bottom"/>
          </w:tcPr>
          <w:p>
            <w:pPr>
              <w:spacing w:after="0"/>
              <w:rPr>
                <w:sz w:val="1"/>
                <w:szCs w:val="1"/>
                <w:color w:val="auto"/>
              </w:rPr>
            </w:pPr>
          </w:p>
        </w:tc>
      </w:tr>
      <w:tr>
        <w:trPr>
          <w:trHeight w:val="214"/>
        </w:trPr>
        <w:tc>
          <w:tcPr>
            <w:tcW w:w="6740" w:type="dxa"/>
            <w:vAlign w:val="bottom"/>
          </w:tcPr>
          <w:p>
            <w:pPr>
              <w:spacing w:after="0"/>
              <w:rPr>
                <w:sz w:val="20"/>
                <w:szCs w:val="20"/>
                <w:color w:val="auto"/>
              </w:rPr>
            </w:pPr>
            <w:r>
              <w:rPr>
                <w:rFonts w:ascii="Arial" w:cs="Arial" w:eastAsia="Arial" w:hAnsi="Arial"/>
                <w:sz w:val="11"/>
                <w:szCs w:val="11"/>
                <w:color w:val="auto"/>
              </w:rPr>
              <w:t>Electrical Transmission</w:t>
            </w:r>
          </w:p>
        </w:tc>
        <w:tc>
          <w:tcPr>
            <w:tcW w:w="1040" w:type="dxa"/>
            <w:vAlign w:val="bottom"/>
          </w:tcPr>
          <w:p>
            <w:pPr>
              <w:spacing w:after="0"/>
              <w:rPr>
                <w:sz w:val="18"/>
                <w:szCs w:val="18"/>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1,330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551</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1"/>
        </w:trPr>
        <w:tc>
          <w:tcPr>
            <w:tcW w:w="6740" w:type="dxa"/>
            <w:vAlign w:val="bottom"/>
          </w:tcPr>
          <w:p>
            <w:pPr>
              <w:ind w:left="140"/>
              <w:spacing w:after="0"/>
              <w:rPr>
                <w:sz w:val="20"/>
                <w:szCs w:val="20"/>
                <w:color w:val="auto"/>
              </w:rPr>
            </w:pPr>
            <w:r>
              <w:rPr>
                <w:rFonts w:ascii="Arial" w:cs="Arial" w:eastAsia="Arial" w:hAnsi="Arial"/>
                <w:sz w:val="11"/>
                <w:szCs w:val="11"/>
                <w:color w:val="auto"/>
              </w:rPr>
              <w:t>Estimated 18-month backlog</w:t>
            </w:r>
          </w:p>
        </w:tc>
        <w:tc>
          <w:tcPr>
            <w:tcW w:w="1040" w:type="dxa"/>
            <w:vAlign w:val="bottom"/>
            <w:tcBorders>
              <w:top w:val="single" w:sz="8" w:color="auto"/>
              <w:bottom w:val="single" w:sz="8" w:color="auto"/>
            </w:tcBorders>
          </w:tcPr>
          <w:p>
            <w:pPr>
              <w:jc w:val="right"/>
              <w:ind w:right="92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9,208</w:t>
            </w:r>
          </w:p>
        </w:tc>
        <w:tc>
          <w:tcPr>
            <w:tcW w:w="8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7,864</w:t>
            </w:r>
          </w:p>
        </w:tc>
        <w:tc>
          <w:tcPr>
            <w:tcW w:w="10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8,168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As of June 30, 2021, 53% of our backlog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the potential adverse effects of the COVID-19 pandemic on economic activity,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changes in governmental permitting, regulatory delays and/or other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7" w:name="page28"/>
    <w:bookmarkEnd w:id="27"/>
    <w:p>
      <w:pPr>
        <w:spacing w:after="0"/>
        <w:rPr>
          <w:sz w:val="20"/>
          <w:szCs w:val="20"/>
          <w:color w:val="auto"/>
        </w:rPr>
      </w:pPr>
      <w:r>
        <w:rPr>
          <w:rFonts w:ascii="Arial" w:cs="Arial" w:eastAsia="Arial" w:hAnsi="Arial"/>
          <w:sz w:val="9"/>
          <w:szCs w:val="9"/>
          <w:color w:val="auto"/>
        </w:rPr>
        <w:t>factors. There can be no assurance as to our customers’ requirements or if actual results will be consistent with the estimates included in our forecasts. As a result, our backlog as of any particular date is an uncertain indicator of future revenue and earnings.</w:t>
      </w:r>
    </w:p>
    <w:p>
      <w:pPr>
        <w:spacing w:after="0" w:line="95"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June 30, 2021, total 18-month backlog differed from the amount of our remaining performance obligations due primarily to the inclusion of $4.9 billion of estimated future revenue under master service and other service agreements within our backlog estimates, as described above, and the exclusion of approximately $0.9 billion of remaining performance obligations and estimated future revenue under master service and other service agreements in excess of 18 months, which amount is not included in the backlog estimates above. Backlog expected to be realized in 2021 differed from the amount of remaining performance obligations expected to be recognized for the same period due primarily to the inclusion of approximately $1.0 billion of estimated future revenue under master service and other service agreements that is included within the related backlog estimate.</w:t>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Economic, Industry and Market Factors</w:t>
      </w:r>
    </w:p>
    <w:p>
      <w:pPr>
        <w:spacing w:after="0" w:line="76" w:lineRule="exact"/>
        <w:rPr>
          <w:sz w:val="20"/>
          <w:szCs w:val="20"/>
          <w:color w:val="auto"/>
        </w:rPr>
      </w:pPr>
    </w:p>
    <w:p>
      <w:pPr>
        <w:jc w:val="both"/>
        <w:ind w:firstLine="433"/>
        <w:spacing w:after="0" w:line="269" w:lineRule="auto"/>
        <w:rPr>
          <w:sz w:val="20"/>
          <w:szCs w:val="20"/>
          <w:color w:val="auto"/>
        </w:rPr>
      </w:pPr>
      <w:r>
        <w:rPr>
          <w:rFonts w:ascii="Arial" w:cs="Arial" w:eastAsia="Arial" w:hAnsi="Arial"/>
          <w:sz w:val="10"/>
          <w:szCs w:val="10"/>
          <w:color w:val="auto"/>
        </w:rPr>
        <w:t>In addition to the effects of the pandemic noted above, we closely monitor the effects of changes in economic and market conditions on our customers. Changes in general economic and market conditions can negatively affect demand for our customers’ products and services, which can affect our customers’ planned capital and maintenance budgets in certain end-markets. Market, regulatory and industry factors could affect demand for our services, or the cost to provide such services, including (i) changes to our customers’ capital spending plans, including any potential effects from public health issues, such as the recent COVID-19 pandemic; (ii) new or changing regulatory requirements, governmental policy changes, and customer or industry initiatives, including with respect to climate change, sustainability and related environmental concerns, and/or from changes in governmental permitting; (iii) economic, political or other market developments or uncertainty, including access to capital for customers in the industries we serve; (iv) changes in technology, tax and other incentives; and (v) mergers and acquisitions among the customers we serve. Changes in demand for, and/or fluctuations in market prices for oil, gas and other fuel sources, and availability of transportation and transmission capacity can also affect demand for our services, in particular, on pipeline and energy generation construction projects. These fluctuations, as well as the highly competitive nature of our industry, can result in lower levels of activity and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Effect of Seasonality and Cyclical Nature of Business</w:t>
      </w:r>
    </w:p>
    <w:p>
      <w:pPr>
        <w:spacing w:after="0" w:line="76"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Our revenue and results of operations can be subject to seasonal and other variations. These variations are influenced by weather, customer spending patterns, bidding seasons, project schedules, public health matters, such as the COVID-19 pandemic, holidays and/or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62"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 The effects of the COVID-19 pandemic could also result in greater seasonal and cyclical volatility than would otherwise exist under normal conditions.</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Critical Accounting Estimates</w:t>
      </w:r>
    </w:p>
    <w:p>
      <w:pPr>
        <w:spacing w:after="0" w:line="76"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the accompanying notes. We base our estimates on historical experience and various other assumptions that we believe to be reasonable under the circumstances, including the potential effects of the COVID-19 pandemic, climate change, and other relevant global and/or macroeconomic trends and events. These estimates form the basis for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7" w:right="299" w:bottom="1440" w:gutter="0" w:footer="0" w:header="0"/>
        </w:sectPr>
      </w:pPr>
    </w:p>
    <w:bookmarkStart w:id="28" w:name="page29"/>
    <w:bookmarkEnd w:id="28"/>
    <w:p>
      <w:pPr>
        <w:jc w:val="both"/>
        <w:ind w:firstLine="137"/>
        <w:spacing w:after="0" w:line="244" w:lineRule="auto"/>
        <w:rPr>
          <w:sz w:val="20"/>
          <w:szCs w:val="20"/>
          <w:color w:val="auto"/>
        </w:rPr>
      </w:pPr>
      <w:r>
        <w:rPr>
          <w:rFonts w:ascii="Arial" w:cs="Arial" w:eastAsia="Arial" w:hAnsi="Arial"/>
          <w:sz w:val="11"/>
          <w:szCs w:val="11"/>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indefinite-lived intangible assets and acquisition-related contingent consideration; equity investments;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61"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Refer to Note 1 - Business, Basis of Presentation and Significant Accounting Policies in the notes to the consolidated financial statements, which is incorporated by reference, and to our 2020 Form 10-K for discussion of our significant accounting policies, and refer to Note 3 - Goodwill and Other Intangible Assets in the notes to the consolidated financial statements, which is incorporated by reference, for details of our second quarter 2021 quarterly review of goodwill and indefinite-lived intangible assets for indicators of impairment.</w:t>
      </w:r>
    </w:p>
    <w:p>
      <w:pPr>
        <w:spacing w:after="0" w:line="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Results of Operations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1"/>
          <w:szCs w:val="11"/>
          <w:b w:val="1"/>
          <w:bCs w:val="1"/>
          <w:i w:val="1"/>
          <w:iCs w:val="1"/>
          <w:color w:val="auto"/>
        </w:rPr>
        <w:t>Comparison of Quarterly Results</w:t>
      </w:r>
    </w:p>
    <w:p>
      <w:pPr>
        <w:spacing w:after="0" w:line="7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0"/>
          <w:szCs w:val="10"/>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1"/>
                <w:szCs w:val="11"/>
                <w:b w:val="1"/>
                <w:bCs w:val="1"/>
                <w:color w:val="auto"/>
                <w:w w:val="92"/>
              </w:rPr>
              <w:t>For the Three Months Ended June 30,</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1"/>
                <w:szCs w:val="11"/>
                <w:b w:val="1"/>
                <w:bCs w:val="1"/>
                <w:color w:val="auto"/>
                <w:w w:val="89"/>
              </w:rPr>
              <w:t>For the Six Months Ended June 30,</w:t>
            </w:r>
          </w:p>
        </w:tc>
        <w:tc>
          <w:tcPr>
            <w:tcW w:w="560" w:type="dxa"/>
            <w:vAlign w:val="bottom"/>
            <w:tcBorders>
              <w:bottom w:val="single" w:sz="8" w:color="auto"/>
            </w:tcBorders>
          </w:tcPr>
          <w:p>
            <w:pPr>
              <w:spacing w:after="0"/>
              <w:rPr>
                <w:sz w:val="12"/>
                <w:szCs w:val="12"/>
                <w:color w:val="auto"/>
              </w:rPr>
            </w:pPr>
          </w:p>
        </w:tc>
      </w:tr>
      <w:tr>
        <w:trPr>
          <w:trHeight w:val="133"/>
        </w:trPr>
        <w:tc>
          <w:tcPr>
            <w:tcW w:w="43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1"/>
                <w:szCs w:val="11"/>
                <w:color w:val="auto"/>
              </w:rPr>
            </w:pP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Revenue</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1,962.7</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1,569.3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3,738.1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2,985.9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r>
      <w:tr>
        <w:trPr>
          <w:trHeight w:val="142"/>
        </w:trPr>
        <w:tc>
          <w:tcPr>
            <w:tcW w:w="4320" w:type="dxa"/>
            <w:vAlign w:val="bottom"/>
          </w:tcPr>
          <w:p>
            <w:pPr>
              <w:spacing w:after="0"/>
              <w:rPr>
                <w:sz w:val="20"/>
                <w:szCs w:val="20"/>
                <w:color w:val="auto"/>
              </w:rPr>
            </w:pPr>
            <w:r>
              <w:rPr>
                <w:rFonts w:ascii="Arial" w:cs="Arial" w:eastAsia="Arial" w:hAnsi="Arial"/>
                <w:sz w:val="11"/>
                <w:szCs w:val="11"/>
                <w:color w:val="auto"/>
              </w:rPr>
              <w:t>Costs of revenue, excluding depreciation and amortization</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1,675.2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85.4 %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1,341.8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85.5 %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3,189.1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85.3 %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2,568.1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86.0 %</w:t>
            </w:r>
          </w:p>
        </w:tc>
      </w:tr>
      <w:tr>
        <w:trPr>
          <w:trHeight w:val="146"/>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Depreciation</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110.8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3.7 %</w:t>
            </w:r>
          </w:p>
        </w:tc>
      </w:tr>
      <w:tr>
        <w:trPr>
          <w:trHeight w:val="142"/>
        </w:trPr>
        <w:tc>
          <w:tcPr>
            <w:tcW w:w="4320" w:type="dxa"/>
            <w:vAlign w:val="bottom"/>
          </w:tcPr>
          <w:p>
            <w:pPr>
              <w:spacing w:after="0"/>
              <w:rPr>
                <w:sz w:val="20"/>
                <w:szCs w:val="20"/>
                <w:color w:val="auto"/>
              </w:rPr>
            </w:pPr>
            <w:r>
              <w:rPr>
                <w:rFonts w:ascii="Arial" w:cs="Arial" w:eastAsia="Arial" w:hAnsi="Arial"/>
                <w:sz w:val="11"/>
                <w:szCs w:val="11"/>
                <w:color w:val="auto"/>
              </w:rPr>
              <w:t>Amortization of intangible assets</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0.6 %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0.8 %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17.2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0.6 %</w:t>
            </w:r>
          </w:p>
        </w:tc>
      </w:tr>
      <w:tr>
        <w:trPr>
          <w:trHeight w:val="146"/>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General and administrative expenses</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170.5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5.7 %</w:t>
            </w:r>
          </w:p>
        </w:tc>
      </w:tr>
      <w:tr>
        <w:trPr>
          <w:trHeight w:val="142"/>
        </w:trPr>
        <w:tc>
          <w:tcPr>
            <w:tcW w:w="4320" w:type="dxa"/>
            <w:vAlign w:val="bottom"/>
          </w:tcPr>
          <w:p>
            <w:pPr>
              <w:spacing w:after="0"/>
              <w:rPr>
                <w:sz w:val="20"/>
                <w:szCs w:val="20"/>
                <w:color w:val="auto"/>
              </w:rPr>
            </w:pPr>
            <w:r>
              <w:rPr>
                <w:rFonts w:ascii="Arial" w:cs="Arial" w:eastAsia="Arial" w:hAnsi="Arial"/>
                <w:sz w:val="11"/>
                <w:szCs w:val="11"/>
                <w:color w:val="auto"/>
              </w:rPr>
              <w:t>Interest expense, net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0.7 %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0.9 %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0.7 %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1.1 %</w:t>
            </w:r>
          </w:p>
        </w:tc>
      </w:tr>
      <w:tr>
        <w:trPr>
          <w:trHeight w:val="146"/>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Equity in earnings of unconsolidated affiliates</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r>
      <w:tr>
        <w:trPr>
          <w:trHeight w:val="142"/>
        </w:trPr>
        <w:tc>
          <w:tcPr>
            <w:tcW w:w="43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income, net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r>
      <w:tr>
        <w:trPr>
          <w:trHeight w:val="153"/>
        </w:trPr>
        <w:tc>
          <w:tcPr>
            <w:tcW w:w="4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Income before income taxes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5.2 %</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4.9 %</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5.3 %</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114.1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3.8 %</w:t>
            </w:r>
          </w:p>
        </w:tc>
      </w:tr>
      <w:tr>
        <w:trPr>
          <w:trHeight w:val="142"/>
        </w:trPr>
        <w:tc>
          <w:tcPr>
            <w:tcW w:w="43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Provision for income taxes</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w:t>
            </w:r>
          </w:p>
        </w:tc>
      </w:tr>
      <w:tr>
        <w:trPr>
          <w:trHeight w:val="135"/>
        </w:trPr>
        <w:tc>
          <w:tcPr>
            <w:tcW w:w="4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92.9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3.1 %</w:t>
            </w:r>
          </w:p>
        </w:tc>
      </w:tr>
      <w:tr>
        <w:trPr>
          <w:trHeight w:val="142"/>
        </w:trPr>
        <w:tc>
          <w:tcPr>
            <w:tcW w:w="43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income (loss) attributable to non-controlling interests</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0.0 %</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0.0 %</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w:t>
            </w:r>
          </w:p>
        </w:tc>
      </w:tr>
      <w:tr>
        <w:trPr>
          <w:trHeight w:val="133"/>
        </w:trPr>
        <w:tc>
          <w:tcPr>
            <w:tcW w:w="432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 attributable to MasTec, Inc.</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75.5</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57.0</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3.6 %</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141.1</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93.2</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3.1 %</w:t>
            </w:r>
          </w:p>
        </w:tc>
      </w:tr>
    </w:tbl>
    <w:p>
      <w:pPr>
        <w:spacing w:after="0" w:line="166"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We review our operating results by reportable segment. See Note 13 - Segments and Related Information in the notes to the consolidated financial statements, which is incorporated by reference. Our reportable segments are: (1) Communications; (2) Clean Energy and Infrastructure; (3) Oil and Gas; (4) Electrical Transmission;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42"/>
        </w:trPr>
        <w:tc>
          <w:tcPr>
            <w:tcW w:w="1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rPr>
              <w:t>Revenue</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1"/>
                <w:szCs w:val="11"/>
                <w:b w:val="1"/>
                <w:bCs w:val="1"/>
                <w:color w:val="auto"/>
                <w:w w:val="99"/>
              </w:rPr>
              <w:t>EBITDA and EBITDA Margin</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99"/>
        </w:trPr>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gridSpan w:val="5"/>
          </w:tcPr>
          <w:p>
            <w:pPr>
              <w:ind w:left="40"/>
              <w:spacing w:after="0" w:line="100" w:lineRule="exact"/>
              <w:rPr>
                <w:sz w:val="20"/>
                <w:szCs w:val="20"/>
                <w:color w:val="auto"/>
              </w:rPr>
            </w:pPr>
            <w:r>
              <w:rPr>
                <w:rFonts w:ascii="Arial" w:cs="Arial" w:eastAsia="Arial" w:hAnsi="Arial"/>
                <w:sz w:val="11"/>
                <w:szCs w:val="11"/>
                <w:b w:val="1"/>
                <w:bCs w:val="1"/>
                <w:color w:val="auto"/>
              </w:rPr>
              <w:t>For the Three Months Ended</w:t>
            </w:r>
          </w:p>
        </w:tc>
        <w:tc>
          <w:tcPr>
            <w:tcW w:w="220" w:type="dxa"/>
            <w:vAlign w:val="bottom"/>
          </w:tcPr>
          <w:p>
            <w:pPr>
              <w:spacing w:after="0"/>
              <w:rPr>
                <w:sz w:val="8"/>
                <w:szCs w:val="8"/>
                <w:color w:val="auto"/>
              </w:rPr>
            </w:pPr>
          </w:p>
        </w:tc>
        <w:tc>
          <w:tcPr>
            <w:tcW w:w="880" w:type="dxa"/>
            <w:vAlign w:val="bottom"/>
            <w:gridSpan w:val="3"/>
          </w:tcPr>
          <w:p>
            <w:pPr>
              <w:jc w:val="center"/>
              <w:ind w:left="266"/>
              <w:spacing w:after="0" w:line="100" w:lineRule="exact"/>
              <w:rPr>
                <w:sz w:val="20"/>
                <w:szCs w:val="20"/>
                <w:color w:val="auto"/>
              </w:rPr>
            </w:pPr>
            <w:r>
              <w:rPr>
                <w:rFonts w:ascii="Arial" w:cs="Arial" w:eastAsia="Arial" w:hAnsi="Arial"/>
                <w:sz w:val="11"/>
                <w:szCs w:val="11"/>
                <w:b w:val="1"/>
                <w:bCs w:val="1"/>
                <w:color w:val="auto"/>
                <w:w w:val="91"/>
              </w:rPr>
              <w:t>For the Six</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6"/>
          </w:tcPr>
          <w:p>
            <w:pPr>
              <w:jc w:val="right"/>
              <w:ind w:right="426"/>
              <w:spacing w:after="0" w:line="100" w:lineRule="exact"/>
              <w:rPr>
                <w:sz w:val="20"/>
                <w:szCs w:val="20"/>
                <w:color w:val="auto"/>
              </w:rPr>
            </w:pPr>
            <w:r>
              <w:rPr>
                <w:rFonts w:ascii="Arial" w:cs="Arial" w:eastAsia="Arial" w:hAnsi="Arial"/>
                <w:sz w:val="11"/>
                <w:szCs w:val="11"/>
                <w:b w:val="1"/>
                <w:bCs w:val="1"/>
                <w:color w:val="auto"/>
                <w:w w:val="95"/>
              </w:rPr>
              <w:t>For the Three Months</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4"/>
          </w:tcPr>
          <w:p>
            <w:pPr>
              <w:jc w:val="right"/>
              <w:ind w:right="146"/>
              <w:spacing w:after="0" w:line="100" w:lineRule="exact"/>
              <w:rPr>
                <w:sz w:val="20"/>
                <w:szCs w:val="20"/>
                <w:color w:val="auto"/>
              </w:rPr>
            </w:pPr>
            <w:r>
              <w:rPr>
                <w:rFonts w:ascii="Arial" w:cs="Arial" w:eastAsia="Arial" w:hAnsi="Arial"/>
                <w:sz w:val="11"/>
                <w:szCs w:val="11"/>
                <w:b w:val="1"/>
                <w:bCs w:val="1"/>
                <w:color w:val="auto"/>
                <w:w w:val="98"/>
              </w:rPr>
              <w:t>For the Six Months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40"/>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11"/>
              <w:spacing w:after="0"/>
              <w:rPr>
                <w:sz w:val="20"/>
                <w:szCs w:val="20"/>
                <w:color w:val="auto"/>
              </w:rPr>
            </w:pPr>
            <w:r>
              <w:rPr>
                <w:rFonts w:ascii="Arial" w:cs="Arial" w:eastAsia="Arial" w:hAnsi="Arial"/>
                <w:sz w:val="11"/>
                <w:szCs w:val="11"/>
                <w:b w:val="1"/>
                <w:bCs w:val="1"/>
                <w:color w:val="auto"/>
              </w:rPr>
              <w:t>June 30,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1"/>
                <w:szCs w:val="11"/>
                <w:b w:val="1"/>
                <w:bCs w:val="1"/>
                <w:color w:val="auto"/>
                <w:w w:val="87"/>
              </w:rPr>
              <w:t>Months Ended June 30,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Ended 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right"/>
              <w:spacing w:after="0"/>
              <w:rPr>
                <w:sz w:val="20"/>
                <w:szCs w:val="20"/>
                <w:color w:val="auto"/>
              </w:rPr>
            </w:pPr>
            <w:r>
              <w:rPr>
                <w:rFonts w:ascii="Arial" w:cs="Arial" w:eastAsia="Arial" w:hAnsi="Arial"/>
                <w:sz w:val="11"/>
                <w:szCs w:val="11"/>
                <w:b w:val="1"/>
                <w:bCs w:val="1"/>
                <w:color w:val="auto"/>
              </w:rPr>
              <w:t>Ended June 30,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192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Reportable Segment:</w:t>
            </w: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3"/>
          </w:tcPr>
          <w:p>
            <w:pPr>
              <w:jc w:val="right"/>
              <w:ind w:right="86"/>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3"/>
          </w:tcPr>
          <w:p>
            <w:pPr>
              <w:jc w:val="right"/>
              <w:ind w:right="546"/>
              <w:spacing w:after="0"/>
              <w:rPr>
                <w:sz w:val="20"/>
                <w:szCs w:val="20"/>
                <w:color w:val="auto"/>
              </w:rPr>
            </w:pPr>
            <w:r>
              <w:rPr>
                <w:rFonts w:ascii="Arial" w:cs="Arial" w:eastAsia="Arial" w:hAnsi="Arial"/>
                <w:sz w:val="11"/>
                <w:szCs w:val="11"/>
                <w:b w:val="1"/>
                <w:bCs w:val="1"/>
                <w:color w:val="auto"/>
                <w:w w:val="81"/>
              </w:rPr>
              <w:t>2020</w:t>
            </w:r>
          </w:p>
        </w:tc>
      </w:tr>
      <w:tr>
        <w:trPr>
          <w:trHeight w:val="198"/>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Communications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1,199.0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1,298.4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76.4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9"/>
              </w:rPr>
              <w:t>127.2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9.8 %</w:t>
            </w:r>
          </w:p>
        </w:tc>
      </w:tr>
      <w:tr>
        <w:trPr>
          <w:trHeight w:val="214"/>
        </w:trPr>
        <w:tc>
          <w:tcPr>
            <w:tcW w:w="1920" w:type="dxa"/>
            <w:vAlign w:val="bottom"/>
          </w:tcPr>
          <w:p>
            <w:pPr>
              <w:spacing w:after="0"/>
              <w:rPr>
                <w:sz w:val="20"/>
                <w:szCs w:val="20"/>
                <w:color w:val="auto"/>
              </w:rPr>
            </w:pPr>
            <w:r>
              <w:rPr>
                <w:rFonts w:ascii="Arial" w:cs="Arial" w:eastAsia="Arial" w:hAnsi="Arial"/>
                <w:sz w:val="11"/>
                <w:szCs w:val="11"/>
                <w:color w:val="auto"/>
              </w:rPr>
              <w:t>Clean Energy and Infrastructure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831.9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712.4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3.2 %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color w:val="auto"/>
              </w:rPr>
              <w:t>30.1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35.0</w:t>
            </w: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4.9 %</w:t>
            </w:r>
          </w:p>
        </w:tc>
      </w:tr>
      <w:tr>
        <w:trPr>
          <w:trHeight w:val="219"/>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Oil and Gas</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1,346.9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9"/>
              </w:rPr>
              <w:t>154.5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21.2 %</w:t>
            </w:r>
          </w:p>
        </w:tc>
      </w:tr>
      <w:tr>
        <w:trPr>
          <w:trHeight w:val="214"/>
        </w:trPr>
        <w:tc>
          <w:tcPr>
            <w:tcW w:w="1920" w:type="dxa"/>
            <w:vAlign w:val="bottom"/>
          </w:tcPr>
          <w:p>
            <w:pPr>
              <w:spacing w:after="0"/>
              <w:rPr>
                <w:sz w:val="20"/>
                <w:szCs w:val="20"/>
                <w:color w:val="auto"/>
              </w:rPr>
            </w:pPr>
            <w:r>
              <w:rPr>
                <w:rFonts w:ascii="Arial" w:cs="Arial" w:eastAsia="Arial" w:hAnsi="Arial"/>
                <w:sz w:val="11"/>
                <w:szCs w:val="11"/>
                <w:color w:val="auto"/>
              </w:rPr>
              <w:t>Electrical Transmission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366.0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5.1</w:t>
            </w:r>
          </w:p>
        </w:tc>
        <w:tc>
          <w:tcPr>
            <w:tcW w:w="820" w:type="dxa"/>
            <w:vAlign w:val="bottom"/>
            <w:gridSpan w:val="3"/>
          </w:tcPr>
          <w:p>
            <w:pPr>
              <w:jc w:val="right"/>
              <w:spacing w:after="0"/>
              <w:rPr>
                <w:sz w:val="20"/>
                <w:szCs w:val="20"/>
                <w:color w:val="auto"/>
              </w:rPr>
            </w:pPr>
            <w:r>
              <w:rPr>
                <w:rFonts w:ascii="Arial" w:cs="Arial" w:eastAsia="Arial" w:hAnsi="Arial"/>
                <w:sz w:val="11"/>
                <w:szCs w:val="11"/>
                <w:color w:val="auto"/>
              </w:rPr>
              <w:t>2.0 %</w:t>
            </w:r>
          </w:p>
        </w:tc>
      </w:tr>
      <w:tr>
        <w:trPr>
          <w:trHeight w:val="219"/>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NM</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NM</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r>
      <w:tr>
        <w:trPr>
          <w:trHeight w:val="142"/>
        </w:trPr>
        <w:tc>
          <w:tcPr>
            <w:tcW w:w="1920" w:type="dxa"/>
            <w:vAlign w:val="bottom"/>
          </w:tcPr>
          <w:p>
            <w:pPr>
              <w:spacing w:after="0"/>
              <w:rPr>
                <w:sz w:val="20"/>
                <w:szCs w:val="20"/>
                <w:color w:val="auto"/>
              </w:rPr>
            </w:pPr>
            <w:r>
              <w:rPr>
                <w:rFonts w:ascii="Arial" w:cs="Arial" w:eastAsia="Arial" w:hAnsi="Arial"/>
                <w:sz w:val="11"/>
                <w:szCs w:val="11"/>
                <w:color w:val="auto"/>
              </w:rPr>
              <w:t>Eliminations</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620" w:type="dxa"/>
            <w:vAlign w:val="bottom"/>
            <w:gridSpan w:val="3"/>
          </w:tcPr>
          <w:p>
            <w:pPr>
              <w:jc w:val="right"/>
              <w:ind w:right="326"/>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46"/>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Corporate</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(31.0)</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(59.8)</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(62.9)</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31"/>
        </w:trPr>
        <w:tc>
          <w:tcPr>
            <w:tcW w:w="1920" w:type="dxa"/>
            <w:vAlign w:val="bottom"/>
          </w:tcPr>
          <w:p>
            <w:pPr>
              <w:ind w:left="80"/>
              <w:spacing w:after="0"/>
              <w:rPr>
                <w:sz w:val="20"/>
                <w:szCs w:val="20"/>
                <w:color w:val="auto"/>
              </w:rPr>
            </w:pPr>
            <w:r>
              <w:rPr>
                <w:rFonts w:ascii="Arial" w:cs="Arial" w:eastAsia="Arial" w:hAnsi="Arial"/>
                <w:sz w:val="11"/>
                <w:szCs w:val="11"/>
                <w:color w:val="auto"/>
              </w:rPr>
              <w:t>Consolidated Results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1,962.7</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1,569.3</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3,738.1</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2,985.9</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224.1</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11.4 %</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79"/>
              </w:rPr>
              <w:t>159.9</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10.2 %</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422.5</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11.3 %</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79"/>
              </w:rPr>
              <w:t>273.8</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9.2 %</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0"/>
          <w:szCs w:val="10"/>
          <w:color w:val="auto"/>
        </w:rPr>
        <w:t>NM - Percentage is not meaningful</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Three Months Ended June 30, 2021 Compared to Three Months Ended June 30, 2020</w:t>
      </w:r>
    </w:p>
    <w:p>
      <w:pPr>
        <w:spacing w:after="0" w:line="72"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0"/>
          <w:szCs w:val="10"/>
          <w:b w:val="1"/>
          <w:bCs w:val="1"/>
          <w:i w:val="1"/>
          <w:iCs w:val="1"/>
          <w:color w:val="auto"/>
        </w:rPr>
        <w:t>Revenue</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For the three month period ended June 30, 2021, consolidated revenue totaled $1,963 million as compared with $1,569 million for the same period in 2020, an increase of $393 million, or 25%. Revenue increases in our Oil and Gas segment of</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$253 million, or 69%, our Electrical Transmission segment of $108 million, or 87%, and our Clean Energy and Infrastructure segment of $55 million, or 13%, were partially offset by a decrease in revenue in our Communications segment of $24 million, or 4%. Acquisitions contributed $271 million of revenue for the three month period ended June 30, 2021, and organic revenue increased by approximately $122 million, or 8%, as compared with the same period in 2020.</w:t>
      </w:r>
    </w:p>
    <w:p>
      <w:pPr>
        <w:spacing w:after="0" w:line="34"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0"/>
          <w:szCs w:val="10"/>
          <w:b w:val="1"/>
          <w:bCs w:val="1"/>
          <w:i w:val="1"/>
          <w:iCs w:val="1"/>
          <w:color w:val="auto"/>
        </w:rPr>
        <w:t>Communications Segment</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Communications revenue was $630 million for the three month period ended June 30, 2021, as compared with $654 million for the same period in 2020, a decrease of $24 million, or 4%. Acquisitions contributed $43</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million of revenue for the three month period ended June 30, 2021, and organic revenue decreased by approximately $67 million, or 10%, as compared with the same period in 2020. The decrease in organic revenue was primarily driven by lower levels of wireless services, including from the effects of temporary project timing delays related to recently completed 5G spectrum auctions, for which deployment is expected to begin in the latter part of 2021.</w:t>
      </w:r>
    </w:p>
    <w:p>
      <w:pPr>
        <w:spacing w:after="0" w:line="34" w:lineRule="exact"/>
        <w:rPr>
          <w:sz w:val="20"/>
          <w:szCs w:val="20"/>
          <w:color w:val="auto"/>
        </w:rPr>
      </w:pPr>
    </w:p>
    <w:p>
      <w:pPr>
        <w:jc w:val="both"/>
        <w:ind w:firstLine="433"/>
        <w:spacing w:after="0" w:line="252" w:lineRule="auto"/>
        <w:rPr>
          <w:sz w:val="20"/>
          <w:szCs w:val="20"/>
          <w:color w:val="auto"/>
        </w:rPr>
      </w:pPr>
      <w:r>
        <w:rPr>
          <w:rFonts w:ascii="Arial" w:cs="Arial" w:eastAsia="Arial" w:hAnsi="Arial"/>
          <w:sz w:val="11"/>
          <w:szCs w:val="11"/>
          <w:b w:val="1"/>
          <w:bCs w:val="1"/>
          <w:i w:val="1"/>
          <w:iCs w:val="1"/>
          <w:color w:val="auto"/>
        </w:rPr>
        <w:t>Clean Energy and Infrastructure Segment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Clean Energy and Infrastructure revenue was $482 million for the three month period ended June 30, 2021 as compared with $426 million for the same period in 2020, an increase of $55 million, or 13%.</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Acquisitions contributed $96 million of revenue for the three month period ended June 30, 2021, and organic revenue decreased by $40 million, or 9%, as compared with the same period in 2020, due primarily to timing of project activity, including project start-up and weather-related delays.</w:t>
      </w:r>
    </w:p>
    <w:p>
      <w:pPr>
        <w:spacing w:after="0" w:line="53" w:lineRule="exact"/>
        <w:rPr>
          <w:sz w:val="20"/>
          <w:szCs w:val="20"/>
          <w:color w:val="auto"/>
        </w:rPr>
      </w:pPr>
    </w:p>
    <w:p>
      <w:pPr>
        <w:jc w:val="both"/>
        <w:ind w:firstLine="433"/>
        <w:spacing w:after="0" w:line="252" w:lineRule="auto"/>
        <w:rPr>
          <w:sz w:val="20"/>
          <w:szCs w:val="20"/>
          <w:color w:val="auto"/>
        </w:rPr>
      </w:pPr>
      <w:r>
        <w:rPr>
          <w:rFonts w:ascii="Arial" w:cs="Arial" w:eastAsia="Arial" w:hAnsi="Arial"/>
          <w:sz w:val="11"/>
          <w:szCs w:val="11"/>
          <w:b w:val="1"/>
          <w:bCs w:val="1"/>
          <w:i w:val="1"/>
          <w:iCs w:val="1"/>
          <w:color w:val="auto"/>
        </w:rPr>
        <w:t>Oil and Gas Segment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Oil and Gas revenue was $621 million for three month period ended June 30, 2021, as compared with $369 million for the same period in 2020, an increase of $253 million, or 69%. For the three month period ended June 30,</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2021, acquisitions contributed $30 million of revenue, and organic revenue increased by $223 million, or 60%, as compared with the same period in 2020. The expected increase was primarily due to higher levels of large diameter project activity, which initiated during 2021 and is expected to continue throughout the balance of the year, partially offset by the effects of timing of other projects.</w:t>
      </w:r>
    </w:p>
    <w:p>
      <w:pPr>
        <w:spacing w:after="0" w:line="53" w:lineRule="exact"/>
        <w:rPr>
          <w:sz w:val="20"/>
          <w:szCs w:val="20"/>
          <w:color w:val="auto"/>
        </w:rPr>
      </w:pPr>
    </w:p>
    <w:p>
      <w:pPr>
        <w:jc w:val="both"/>
        <w:ind w:firstLine="433"/>
        <w:spacing w:after="0" w:line="316" w:lineRule="auto"/>
        <w:rPr>
          <w:sz w:val="20"/>
          <w:szCs w:val="20"/>
          <w:color w:val="auto"/>
        </w:rPr>
      </w:pPr>
      <w:r>
        <w:rPr>
          <w:rFonts w:ascii="Arial" w:cs="Arial" w:eastAsia="Arial" w:hAnsi="Arial"/>
          <w:sz w:val="10"/>
          <w:szCs w:val="10"/>
          <w:b w:val="1"/>
          <w:bCs w:val="1"/>
          <w:i w:val="1"/>
          <w:iCs w:val="1"/>
          <w:color w:val="auto"/>
        </w:rPr>
        <w:t>Electrical Transmission Segment</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Electrical Transmission revenue was $233 million for the three month period ended June 30, 2021 as compared with $124 million for the same period in 2020, an increase of $108 million, or 87%. For the three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month period ended June 30, 2021, acquisitions contributed $103 million of revenue, and organic revenue increased by $6 million, or 5%, as compared with the same period in 2020, primarily due to timing and higher levels of project activity.</w:t>
      </w:r>
    </w:p>
    <w:p>
      <w:pPr>
        <w:spacing w:after="0" w:line="26"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0"/>
          <w:szCs w:val="10"/>
          <w:b w:val="1"/>
          <w:bCs w:val="1"/>
          <w:i w:val="1"/>
          <w:iCs w:val="1"/>
          <w:color w:val="auto"/>
        </w:rPr>
        <w:t xml:space="preserve">Costs of revenue, excluding depreciation and amortization. </w:t>
      </w:r>
      <w:r>
        <w:rPr>
          <w:rFonts w:ascii="Arial" w:cs="Arial" w:eastAsia="Arial" w:hAnsi="Arial"/>
          <w:sz w:val="10"/>
          <w:szCs w:val="10"/>
          <w:color w:val="auto"/>
        </w:rPr>
        <w:t>Costs of revenue, excluding depreciation and amortization, increased by approximately $333 million, or 25%, to $1,675 million for the three month period ended June 30, 2021 from $1,342</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million for the same period in 2020. Higher levels of revenue contributed an increase of $336 million in costs of revenue, excluding depreciation and amortization, and improved productivity contributed a decrease of approximately $3 million. Costs of revenue, excluding depreciation and amortization, as a percentage of revenue decreased by approximately 10 basis points, from 85.5% of revenue for the three month period ended June 30, 2020 to 85.4% of revenue for the same period in 2021, due, in part, to higher levels of revenue, as well as from the effects of project efficiencies, close-outs and mix in certain of our segments, offset, in part, by reduced productivity in certain other segments.</w:t>
      </w:r>
    </w:p>
    <w:p>
      <w:pPr>
        <w:spacing w:after="0" w:line="45"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1"/>
          <w:szCs w:val="11"/>
          <w:b w:val="1"/>
          <w:bCs w:val="1"/>
          <w:i w:val="1"/>
          <w:iCs w:val="1"/>
          <w:color w:val="auto"/>
        </w:rPr>
        <w:t xml:space="preserve">Depreciation. </w:t>
      </w:r>
      <w:r>
        <w:rPr>
          <w:rFonts w:ascii="Arial" w:cs="Arial" w:eastAsia="Arial" w:hAnsi="Arial"/>
          <w:sz w:val="11"/>
          <w:szCs w:val="11"/>
          <w:color w:val="auto"/>
        </w:rPr>
        <w:t>Depreciation was $88 million, or 4.5% of revenue, for the three month period ended June 30, 2021, as compared with $58 million, or 3.7% of revenue, for the same period in 2020, an increase of $30 million, or 52%. Acquisitions contributed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$6 million of depreciation for the three month period ended June 30, 2021, and organic depreciation increased by $24 million, or 41%, due primarily to the impact of capital investments to support expected increased levels of large diameter pipeline project activity in 2021. As a percentage of revenue, depreciation increased by approximately 80 basis points.</w:t>
      </w:r>
    </w:p>
    <w:p>
      <w:pPr>
        <w:spacing w:after="0" w:line="57"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1"/>
          <w:szCs w:val="11"/>
          <w:b w:val="1"/>
          <w:bCs w:val="1"/>
          <w:i w:val="1"/>
          <w:iCs w:val="1"/>
          <w:color w:val="auto"/>
        </w:rPr>
        <w:t xml:space="preserve">Amortization of intangible assets. </w:t>
      </w:r>
      <w:r>
        <w:rPr>
          <w:rFonts w:ascii="Arial" w:cs="Arial" w:eastAsia="Arial" w:hAnsi="Arial"/>
          <w:sz w:val="11"/>
          <w:szCs w:val="11"/>
          <w:color w:val="auto"/>
        </w:rPr>
        <w:t>Amortization of intangible assets was $20 million, or 1.0% of revenue, for the three month period ended June 30, 2021, as compared with $10 million, or 0.6% of revenue, for the same period in 2020, an increase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approximately $10 million, or 103%. Acquisitions contributed $12 million of amortization for the three month period ended June 30, 2021, and organic amortization decreased by approximately $1 million, or 9% due to the effects of timing for amortization of certain intangible assets. As a percentage of revenue, amortization of intangible assets increased by approximately 40 basis points.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5" w:right="299" w:bottom="1440" w:gutter="0" w:footer="0" w:header="0"/>
        </w:sectPr>
      </w:pPr>
    </w:p>
    <w:bookmarkStart w:id="30" w:name="page31"/>
    <w:bookmarkEnd w:id="30"/>
    <w:p>
      <w:pPr>
        <w:jc w:val="both"/>
        <w:ind w:firstLine="216"/>
        <w:spacing w:after="0" w:line="244" w:lineRule="auto"/>
        <w:rPr>
          <w:sz w:val="20"/>
          <w:szCs w:val="20"/>
          <w:color w:val="auto"/>
        </w:rPr>
      </w:pPr>
      <w:r>
        <w:rPr>
          <w:rFonts w:ascii="Arial" w:cs="Arial" w:eastAsia="Arial" w:hAnsi="Arial"/>
          <w:sz w:val="11"/>
          <w:szCs w:val="11"/>
          <w:b w:val="1"/>
          <w:bCs w:val="1"/>
          <w:i w:val="1"/>
          <w:iCs w:val="1"/>
          <w:color w:val="auto"/>
        </w:rPr>
        <w:t>General and administrative expenses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General and administrative expenses totaled $85 million, or 4.3% of revenue, for the three month period ended June 30, 2021, and totaled $85 million, or 5.4% of revenue, for the same period in 2020. Acquisitions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contributed $9 million of general and administrative expenses for the three month period ended June 30, 2021. Excluding the effects of acquisitions, general and administrative expenses for the three month period ended June 30, 2021 decreased by $9 million, or approximately 11%, as compared with the same period in the prior year, primarily due to recovery of provisions for credit losses and the effects of legal and settlement matter timing, offset, in part, by increases in compensation, travel and information technology expenses. Overall, general and administrative expenses as a percentage of revenue decreased by approximately 110 basis points for the three month period ended June 30, 2021 as compared with the same period in 2020, due to higher levels of revenue.</w:t>
      </w:r>
    </w:p>
    <w:p>
      <w:pPr>
        <w:spacing w:after="0" w:line="61" w:lineRule="exact"/>
        <w:rPr>
          <w:sz w:val="20"/>
          <w:szCs w:val="20"/>
          <w:color w:val="auto"/>
        </w:rPr>
      </w:pPr>
    </w:p>
    <w:p>
      <w:pPr>
        <w:jc w:val="both"/>
        <w:ind w:firstLine="216"/>
        <w:spacing w:after="0" w:line="244" w:lineRule="auto"/>
        <w:rPr>
          <w:sz w:val="20"/>
          <w:szCs w:val="20"/>
          <w:color w:val="auto"/>
        </w:rPr>
      </w:pPr>
      <w:r>
        <w:rPr>
          <w:rFonts w:ascii="Arial" w:cs="Arial" w:eastAsia="Arial" w:hAnsi="Arial"/>
          <w:sz w:val="11"/>
          <w:szCs w:val="11"/>
          <w:b w:val="1"/>
          <w:bCs w:val="1"/>
          <w:i w:val="1"/>
          <w:iCs w:val="1"/>
          <w:color w:val="auto"/>
        </w:rPr>
        <w:t xml:space="preserve">Interest expense, net. </w:t>
      </w:r>
      <w:r>
        <w:rPr>
          <w:rFonts w:ascii="Arial" w:cs="Arial" w:eastAsia="Arial" w:hAnsi="Arial"/>
          <w:sz w:val="11"/>
          <w:szCs w:val="11"/>
          <w:color w:val="auto"/>
        </w:rPr>
        <w:t>Interest expense, net of interest income, was approximately $14 million, or approximately 0.7% of revenue, for the three month period ended June 30, 2021, as compared with $15 million, or 0.9% of revenue, for the same period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2020. The decrease in interest expense, net, related primarily to a reduction in interest expense from credit facility activity as well as a decrease in discount charges on financing arrangements for trade receivables. Interest expense from credit facility activity decreased by approximately $2 million for the three month period ended June 30, 2021 as compared with the same period in the prior year due to a combination of lower average balances and lower interest rates. The reduction in interest expense on credit facility activity and financing arrangements was offset, in part, by an increase in interest expense on senior notes. In August 2020, we issued $600 million aggregate principal amount of 4.50% Senior Notes and redeemed $400 million aggregate principal amount of our 4.875% Senior Notes.</w:t>
      </w:r>
    </w:p>
    <w:p>
      <w:pPr>
        <w:spacing w:after="0" w:line="61"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0"/>
          <w:szCs w:val="10"/>
          <w:b w:val="1"/>
          <w:bCs w:val="1"/>
          <w:i w:val="1"/>
          <w:iCs w:val="1"/>
          <w:color w:val="auto"/>
        </w:rPr>
        <w:t xml:space="preserve">Equity in earnings of unconsolidated affiliates, net. </w:t>
      </w:r>
      <w:r>
        <w:rPr>
          <w:rFonts w:ascii="Arial" w:cs="Arial" w:eastAsia="Arial" w:hAnsi="Arial"/>
          <w:sz w:val="10"/>
          <w:szCs w:val="10"/>
          <w:color w:val="auto"/>
        </w:rPr>
        <w:t>Equity in earnings or losses of unconsolidated affiliates includes our share of income or losses from equity investees. For the three month periods ended June 30, 2021 and 2020, equity in earnings from</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unconsolidated affiliates, net, totaled approximately $8 million and $7 million, respectively, and related primarily to our investments in the Waha JVs, and, to a lesser extent, to investments in certain telecommunications and other entities.</w:t>
      </w:r>
    </w:p>
    <w:p>
      <w:pPr>
        <w:spacing w:after="0" w:line="30"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0"/>
          <w:szCs w:val="10"/>
          <w:b w:val="1"/>
          <w:bCs w:val="1"/>
          <w:i w:val="1"/>
          <w:iCs w:val="1"/>
          <w:color w:val="auto"/>
        </w:rPr>
        <w:t xml:space="preserve">Other income, net. </w:t>
      </w:r>
      <w:r>
        <w:rPr>
          <w:rFonts w:ascii="Arial" w:cs="Arial" w:eastAsia="Arial" w:hAnsi="Arial"/>
          <w:sz w:val="10"/>
          <w:szCs w:val="10"/>
          <w:color w:val="auto"/>
        </w:rPr>
        <w:t>Other income, net, consists primarily of gains or losses from sales of, or changes in estimated recoveries from, assets and investments and gains or losses from changes to estimated earn-out accruals. Other income, net, was $14 million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for the three month period ended June 30, 2021, as compared with $11 million of other income, net, for the same period in 2020. For the three month period ended June 30, 2021, other income, net, included approximately $4 million of gains on sales of equipment, net, $9 million of income, net, from changes to estimated Earn-out accruals and $1 million, net, of income from changes in the fair value of certain investments and income from strategic arrangements. For the three month period ended June 30, 2020, other income, net, included approximately $6 million of gains on sales of equipment, net, and $4 million, net, of income from changes in the fair value of certain investments.</w:t>
      </w:r>
    </w:p>
    <w:p>
      <w:pPr>
        <w:spacing w:after="0" w:line="45"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0"/>
          <w:szCs w:val="10"/>
          <w:b w:val="1"/>
          <w:bCs w:val="1"/>
          <w:i w:val="1"/>
          <w:iCs w:val="1"/>
          <w:color w:val="auto"/>
        </w:rPr>
        <w:t xml:space="preserve">Provision for income taxes. </w:t>
      </w:r>
      <w:r>
        <w:rPr>
          <w:rFonts w:ascii="Arial" w:cs="Arial" w:eastAsia="Arial" w:hAnsi="Arial"/>
          <w:sz w:val="10"/>
          <w:szCs w:val="10"/>
          <w:color w:val="auto"/>
        </w:rPr>
        <w:t>Income tax expense was $27 million for the three month period ended June 30, 2021. Income tax expense for the three month period ended June 30, 2020 was $21 million. Pre-tax income increased to $103 million for the three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month period ended June 30, 2021 as compared with $78 million for the same period in 2020. For the three month period ended June 30, 2021, our effective tax rate decreased to 26.3% from 26.7% for the same period in 2020.</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Analysis of EBITDA by Segment</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Communications Segment. </w:t>
      </w:r>
      <w:r>
        <w:rPr>
          <w:rFonts w:ascii="Arial" w:cs="Arial" w:eastAsia="Arial" w:hAnsi="Arial"/>
          <w:sz w:val="11"/>
          <w:szCs w:val="11"/>
          <w:color w:val="auto"/>
        </w:rPr>
        <w:t>EBITDA for our Communications segment was $73 million, or 11.5% of revenue, for the three month period ended June 30, 2021, as compared with $76 million, or 11.7% of revenue, for the same period in 2020,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decrease of approximately $4 million, or 5%. Lower levels of revenue contributed to a decrease in EBITDA of $3 million. As a percentage of revenue, EBITDA decreased by approximately 20 basis points, or approximately $1 million, due primarily to reduced project efficiencies and mix.</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Clean Energy and Infrastructure Segment. </w:t>
      </w:r>
      <w:r>
        <w:rPr>
          <w:rFonts w:ascii="Arial" w:cs="Arial" w:eastAsia="Arial" w:hAnsi="Arial"/>
          <w:sz w:val="11"/>
          <w:szCs w:val="11"/>
          <w:color w:val="auto"/>
        </w:rPr>
        <w:t>EBITDA for our Clean Energy and Infrastructure segment was $16 million, or 3.2% of revenue, for the three month period ended June 30, 2021, as compared with EBITDA of $30 million, or 7.1%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revenue, for the same period in 2020, a decrease in EBITDA of approximately $14 million, or 48%. Higher levels of revenue contributed an increase in EBITDA of approximately $4 million. As a percentage of revenue, EBITDA decreased by approximately 380 basis points, or $18 million, due to project start-up delays, reduced project efficiencies, including weather-related inefficiencies and mix.</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Oil and Gas Segment. </w:t>
      </w:r>
      <w:r>
        <w:rPr>
          <w:rFonts w:ascii="Arial" w:cs="Arial" w:eastAsia="Arial" w:hAnsi="Arial"/>
          <w:sz w:val="11"/>
          <w:szCs w:val="11"/>
          <w:color w:val="auto"/>
        </w:rPr>
        <w:t>EBITDA for our Oil and Gas segment was $138 million, or 22.2% of revenue, for the three month period ended June 30, 2021, as compared with $80 million, or 21.7% of revenue, for the same period in 2020, an increase of $58</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million, or 72%. Higher levels of revenue contributed an increase in EBITDA of $55 million, and improved productivity contributed an increase in EBITDA of approximately $3 million. EBITDA margins increased by approximately 50 basis points due primarily to improved project efficiencies, close-outs and mix.</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Electrical Transmission Segment. </w:t>
      </w:r>
      <w:r>
        <w:rPr>
          <w:rFonts w:ascii="Arial" w:cs="Arial" w:eastAsia="Arial" w:hAnsi="Arial"/>
          <w:sz w:val="11"/>
          <w:szCs w:val="11"/>
          <w:color w:val="auto"/>
        </w:rPr>
        <w:t>EBITDA for our Electrical Transmission segment was $9 million, or 4.0% of revenue, for the three month period ended June 30, 2021, as compared with EBITDA of negative $3 million, or negative 2.6%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revenue, for the same period in 2020, an increase in EBITDA of approximately $13 million, or 391%. As a percentage of revenue, EBITDA increased by approximately 660 basis points, due primarily to mix, as well as improved project efficiencies and close-outs.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0"/>
          <w:szCs w:val="10"/>
          <w:b w:val="1"/>
          <w:bCs w:val="1"/>
          <w:i w:val="1"/>
          <w:iCs w:val="1"/>
          <w:color w:val="auto"/>
        </w:rPr>
        <w:t xml:space="preserve">Other Segment. </w:t>
      </w:r>
      <w:r>
        <w:rPr>
          <w:rFonts w:ascii="Arial" w:cs="Arial" w:eastAsia="Arial" w:hAnsi="Arial"/>
          <w:sz w:val="10"/>
          <w:szCs w:val="10"/>
          <w:color w:val="auto"/>
        </w:rPr>
        <w:t>EBITDA from Other businesses was approximately $8 million for both the three month periods ended June 30, 2021 and 2020 and related primarily to equity in earnings from our investments in the Waha JVs.</w:t>
      </w:r>
    </w:p>
    <w:p>
      <w:pPr>
        <w:spacing w:after="0" w:line="83"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b w:val="1"/>
          <w:bCs w:val="1"/>
          <w:i w:val="1"/>
          <w:iCs w:val="1"/>
          <w:color w:val="auto"/>
        </w:rPr>
        <w:t xml:space="preserve">Corporate. </w:t>
      </w:r>
      <w:r>
        <w:rPr>
          <w:rFonts w:ascii="Arial" w:cs="Arial" w:eastAsia="Arial" w:hAnsi="Arial"/>
          <w:sz w:val="11"/>
          <w:szCs w:val="11"/>
          <w:color w:val="auto"/>
        </w:rPr>
        <w:t>Corporate EBITDA was negative $20 million for the three month period ended June 30, 2021, as compared with EBITDA of negative $31 million for the same period in 2020, for an increase in EBITDA of approximately $11 million.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Corporate EBITDA included income, net, from changes in the fair value of certain investments and income from strategic arrangements of approximately $1 million and $4 million for the three month periods ended June 30, 2021 and 2020, respectively, and included income, net, from changes to estimated Earn-out accruals, net, of $9 million for the three month period ended June 30, 2021. Excluding the effects of these items, other corporate expenses for the three month period ended June 30, 2021 decreased by approximately $5 million as compared with the same period in the prior year, due primarily to the effects of timing of legal and settlement matters.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1" w:name="page32"/>
    <w:bookmarkEnd w:id="31"/>
    <w:p>
      <w:pPr>
        <w:spacing w:after="0"/>
        <w:rPr>
          <w:sz w:val="20"/>
          <w:szCs w:val="20"/>
          <w:color w:val="auto"/>
        </w:rPr>
      </w:pPr>
      <w:r>
        <w:rPr>
          <w:rFonts w:ascii="Arial" w:cs="Arial" w:eastAsia="Arial" w:hAnsi="Arial"/>
          <w:sz w:val="11"/>
          <w:szCs w:val="11"/>
          <w:b w:val="1"/>
          <w:bCs w:val="1"/>
          <w:color w:val="auto"/>
        </w:rPr>
        <w:t>Six Months Ended June 30, 2021 Compared to Six Months Ended June 30, 2020</w:t>
      </w:r>
    </w:p>
    <w:p>
      <w:pPr>
        <w:spacing w:after="0" w:line="72"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0"/>
          <w:szCs w:val="10"/>
          <w:b w:val="1"/>
          <w:bCs w:val="1"/>
          <w:i w:val="1"/>
          <w:iCs w:val="1"/>
          <w:color w:val="auto"/>
        </w:rPr>
        <w:t>Revenue</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For the six month period ended June 30, 2021, consolidated revenue totaled $3,738 million as compared with $2,986 million for the same period in 2020, an increase of $752 million, or 25%. Revenue increases in our Oil and Gas segment of</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$619 million, or 85%, our Clean Energy and Infrastructure segment of $119 million, or 17%, and in our Electrical Transmission segment of $114 million, or 45%, were partially offset by a decrease in revenue in our Communications segment of $99 million, or 8%. Acquisitions contributed $358 million of revenue for the six month period ended June 30, 2021, and organic revenue increased $394 million, or 13%, as compared with the same period in 2020.</w:t>
      </w:r>
    </w:p>
    <w:p>
      <w:pPr>
        <w:spacing w:after="0" w:line="34"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0"/>
          <w:szCs w:val="10"/>
          <w:b w:val="1"/>
          <w:bCs w:val="1"/>
          <w:i w:val="1"/>
          <w:iCs w:val="1"/>
          <w:color w:val="auto"/>
        </w:rPr>
        <w:t>Communications Segment</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Communications revenue was $1,199 million for the six month period ended June 30, 2021, as compared with $1,298 million for the same period in 2020, a decrease of $99 million, or 8%. Acquisitions contributed $76</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million of revenue for the six month period ended June 30, 2021, and organic revenue decreased by approximately $175 million, or 13%, as compared with the same period in 2020. The decrease in organic revenue was primarily driven by lower levels of wireless services, including from the effects of temporary project timing delays related to recently completed 5G spectrum auctions, for which deployment is expected to begin in the latter part of 2021, and from the effects of the COVID-19 pandemic.</w:t>
      </w:r>
    </w:p>
    <w:p>
      <w:pPr>
        <w:spacing w:after="0" w:line="34" w:lineRule="exact"/>
        <w:rPr>
          <w:sz w:val="20"/>
          <w:szCs w:val="20"/>
          <w:color w:val="auto"/>
        </w:rPr>
      </w:pPr>
    </w:p>
    <w:p>
      <w:pPr>
        <w:jc w:val="both"/>
        <w:ind w:firstLine="433"/>
        <w:spacing w:after="0" w:line="252" w:lineRule="auto"/>
        <w:rPr>
          <w:sz w:val="20"/>
          <w:szCs w:val="20"/>
          <w:color w:val="auto"/>
        </w:rPr>
      </w:pPr>
      <w:r>
        <w:rPr>
          <w:rFonts w:ascii="Arial" w:cs="Arial" w:eastAsia="Arial" w:hAnsi="Arial"/>
          <w:sz w:val="11"/>
          <w:szCs w:val="11"/>
          <w:b w:val="1"/>
          <w:bCs w:val="1"/>
          <w:i w:val="1"/>
          <w:iCs w:val="1"/>
          <w:color w:val="auto"/>
        </w:rPr>
        <w:t>Clean Energy and Infrastructure Segment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Clean Energy and Infrastructure revenue was $832 million for the six month period ended June 30, 2021 as compared with $712 million for the same period in 2020, an increase of $119 million, or 17%.</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For the six month period ended June 30, 2021, acquisitions contributed $145 million of revenue, and organic revenue decreased by $26 million, or 4%, as compared with the same period in 2020, due primarily to timing of project activity, including project start-up and weather-related delays.</w:t>
      </w:r>
    </w:p>
    <w:p>
      <w:pPr>
        <w:spacing w:after="0" w:line="53" w:lineRule="exact"/>
        <w:rPr>
          <w:sz w:val="20"/>
          <w:szCs w:val="20"/>
          <w:color w:val="auto"/>
        </w:rPr>
      </w:pPr>
    </w:p>
    <w:p>
      <w:pPr>
        <w:jc w:val="both"/>
        <w:ind w:firstLine="433"/>
        <w:spacing w:after="0" w:line="252" w:lineRule="auto"/>
        <w:rPr>
          <w:sz w:val="20"/>
          <w:szCs w:val="20"/>
          <w:color w:val="auto"/>
        </w:rPr>
      </w:pPr>
      <w:r>
        <w:rPr>
          <w:rFonts w:ascii="Arial" w:cs="Arial" w:eastAsia="Arial" w:hAnsi="Arial"/>
          <w:sz w:val="11"/>
          <w:szCs w:val="11"/>
          <w:b w:val="1"/>
          <w:bCs w:val="1"/>
          <w:i w:val="1"/>
          <w:iCs w:val="1"/>
          <w:color w:val="auto"/>
        </w:rPr>
        <w:t>Oil and Gas Segment</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Oil and Gas revenue was $1,347 million for the six month period ended June 30, 2021, as compared with $728 million for the same period in 2020, an increase of $619 million, or 85%. For the six month period ended June 30,</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2021, acquisitions contributed $35 million of revenue, and organic revenue increased by $584 million, or 80%, as compared with the same period in 2020. The expected increase was primarily due to higher levels of large diameter project activity, which initiated during 2021 and is expected to continue throughout the balance of the year, partially offset by the effects of timing of other projects.</w:t>
      </w:r>
    </w:p>
    <w:p>
      <w:pPr>
        <w:spacing w:after="0" w:line="53" w:lineRule="exact"/>
        <w:rPr>
          <w:sz w:val="20"/>
          <w:szCs w:val="20"/>
          <w:color w:val="auto"/>
        </w:rPr>
      </w:pPr>
    </w:p>
    <w:p>
      <w:pPr>
        <w:jc w:val="both"/>
        <w:ind w:right="20" w:firstLine="433"/>
        <w:spacing w:after="0" w:line="316" w:lineRule="auto"/>
        <w:rPr>
          <w:sz w:val="20"/>
          <w:szCs w:val="20"/>
          <w:color w:val="auto"/>
        </w:rPr>
      </w:pPr>
      <w:r>
        <w:rPr>
          <w:rFonts w:ascii="Arial" w:cs="Arial" w:eastAsia="Arial" w:hAnsi="Arial"/>
          <w:sz w:val="10"/>
          <w:szCs w:val="10"/>
          <w:b w:val="1"/>
          <w:bCs w:val="1"/>
          <w:i w:val="1"/>
          <w:iCs w:val="1"/>
          <w:color w:val="auto"/>
        </w:rPr>
        <w:t>Electrical Transmission Segment</w:t>
      </w:r>
      <w:r>
        <w:rPr>
          <w:rFonts w:ascii="Arial" w:cs="Arial" w:eastAsia="Arial" w:hAnsi="Arial"/>
          <w:sz w:val="10"/>
          <w:szCs w:val="10"/>
          <w:b w:val="1"/>
          <w:b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Electrical Transmission revenue was $366 million for the six month period ended June 30, 2021 as compared with $252 million for the same period in 2020, an increase of $114 million, or 45%. For the six month</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period ended June 30, 2021, acquisitions contributed $103 million of revenue, and organic revenue increased by $11 million, or 5%, as compared with the same period in 2020, primarily due to timing and higher levels of project activity.</w:t>
      </w:r>
    </w:p>
    <w:p>
      <w:pPr>
        <w:spacing w:after="0" w:line="26"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0"/>
          <w:szCs w:val="10"/>
          <w:b w:val="1"/>
          <w:bCs w:val="1"/>
          <w:i w:val="1"/>
          <w:iCs w:val="1"/>
          <w:color w:val="auto"/>
        </w:rPr>
        <w:t xml:space="preserve">Costs of revenue, excluding depreciation and amortization. </w:t>
      </w:r>
      <w:r>
        <w:rPr>
          <w:rFonts w:ascii="Arial" w:cs="Arial" w:eastAsia="Arial" w:hAnsi="Arial"/>
          <w:sz w:val="10"/>
          <w:szCs w:val="10"/>
          <w:color w:val="auto"/>
        </w:rPr>
        <w:t>Costs of revenue, excluding depreciation and amortization, increased by approximately $621 million, or 24%, to $3,189 million for the six month period ended June 30, 2021 from $2,568 million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for the same period in 2020. Higher levels of revenue contributed an increase of $647 million in costs of revenue, excluding depreciation and amortization, and improved productivity contributed a decrease of approximately $26 million. Costs of revenue, excluding depreciation and amortization, as a percentage of revenue decreased by approximately 70 basis points, from 86.0% of revenue for the six month period ended June 30, 2020 to 85.3% of revenue for the same period in 2021, due, in part, to higher levels of revenue, as well as from the effects of project efficiencies, close-outs and mix in certain of our segments, offset, in part, by reduced productivity in certain other segments.</w:t>
      </w:r>
    </w:p>
    <w:p>
      <w:pPr>
        <w:spacing w:after="0" w:line="45"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1"/>
          <w:szCs w:val="11"/>
          <w:b w:val="1"/>
          <w:bCs w:val="1"/>
          <w:i w:val="1"/>
          <w:iCs w:val="1"/>
          <w:color w:val="auto"/>
        </w:rPr>
        <w:t xml:space="preserve">Depreciation. </w:t>
      </w:r>
      <w:r>
        <w:rPr>
          <w:rFonts w:ascii="Arial" w:cs="Arial" w:eastAsia="Arial" w:hAnsi="Arial"/>
          <w:sz w:val="11"/>
          <w:szCs w:val="11"/>
          <w:color w:val="auto"/>
        </w:rPr>
        <w:t>Depreciation was $167 million, or 4.5% of revenue, for the six month period ended June 30, 2021, as compared with $111 million, or 3.7% of revenue, for the same period in 2020, an increase of $56 million, or 51%. Acquisitions contributed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$8 million of depreciation for the six month period ended June 30, 2021, and organic depreciation increased by $48 million, or 43%, due primarily to the impact of capital investments to support expected increased levels of large diameter pipeline project activity in 2021. As a percentage of revenue, depreciation increased by approximately 80 basis points.</w:t>
      </w:r>
    </w:p>
    <w:p>
      <w:pPr>
        <w:spacing w:after="0" w:line="57"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1"/>
          <w:szCs w:val="11"/>
          <w:b w:val="1"/>
          <w:bCs w:val="1"/>
          <w:i w:val="1"/>
          <w:iCs w:val="1"/>
          <w:color w:val="auto"/>
        </w:rPr>
        <w:t xml:space="preserve">Amortization of intangible assets. </w:t>
      </w:r>
      <w:r>
        <w:rPr>
          <w:rFonts w:ascii="Arial" w:cs="Arial" w:eastAsia="Arial" w:hAnsi="Arial"/>
          <w:sz w:val="11"/>
          <w:szCs w:val="11"/>
          <w:color w:val="auto"/>
        </w:rPr>
        <w:t>Amortization of intangible assets was $31 million, or 0.8% of revenue, for the six month period ended June 30, 2021, as compared with $17 million, or 0.6% of revenue, for the same period in 2020, an increase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approximately $14 million, or 81%. Acquisitions contributed $16 million of amortization for the three month period ended June 30, 2021, and organic amortization decreased by approximately $2 million, or 12% due to the effects of timing for amortization of certain intangible assets. As a percentage of revenue, amortization of intangible assets increased by approximately 30 basis points, primarily related to acquisitions.</w:t>
      </w:r>
    </w:p>
    <w:p>
      <w:pPr>
        <w:spacing w:after="0" w:line="57" w:lineRule="exact"/>
        <w:rPr>
          <w:sz w:val="20"/>
          <w:szCs w:val="20"/>
          <w:color w:val="auto"/>
        </w:rPr>
      </w:pPr>
    </w:p>
    <w:p>
      <w:pPr>
        <w:jc w:val="both"/>
        <w:ind w:firstLine="216"/>
        <w:spacing w:after="0" w:line="244" w:lineRule="auto"/>
        <w:rPr>
          <w:sz w:val="20"/>
          <w:szCs w:val="20"/>
          <w:color w:val="auto"/>
        </w:rPr>
      </w:pPr>
      <w:r>
        <w:rPr>
          <w:rFonts w:ascii="Arial" w:cs="Arial" w:eastAsia="Arial" w:hAnsi="Arial"/>
          <w:sz w:val="11"/>
          <w:szCs w:val="11"/>
          <w:b w:val="1"/>
          <w:bCs w:val="1"/>
          <w:i w:val="1"/>
          <w:iCs w:val="1"/>
          <w:color w:val="auto"/>
        </w:rPr>
        <w:t>General and administrative expenses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General and administrative expenses were $158 million, or 4.2% of revenue, for the six month period ended June 30, 2021, as compared with $170 million, or 5.7% of revenue, for the same period in 2020, a decrease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$12 million, or 7%. Acquisitions contributed $13 million of general and administrative expenses for the six month period ended June 30, 2021. Excluding the effects of acquisitions, general and administrative expenses for the six month period ended June 30, 2021 decreased by $25 million, or approximately 15%, as compared with the same period in the prior year, primarily due to recovery of provisions for credit losses, resulting from successful collection efforts for previously reserved amounts, and reductions in travel and professional fee expense, offset, in part, by the effects of legal and settlement matter timing. Overall, general and administrative expenses as a percentage of revenue decreased by approximately 150 basis points for the six month period ended June 30, 2021 as compared with the same period in 2020, due, in part, to higher levels of revenue.</w:t>
      </w:r>
    </w:p>
    <w:p>
      <w:pPr>
        <w:spacing w:after="0" w:line="61" w:lineRule="exact"/>
        <w:rPr>
          <w:sz w:val="20"/>
          <w:szCs w:val="20"/>
          <w:color w:val="auto"/>
        </w:rPr>
      </w:pPr>
    </w:p>
    <w:p>
      <w:pPr>
        <w:jc w:val="both"/>
        <w:ind w:firstLine="216"/>
        <w:spacing w:after="0" w:line="245" w:lineRule="auto"/>
        <w:rPr>
          <w:sz w:val="20"/>
          <w:szCs w:val="20"/>
          <w:color w:val="auto"/>
        </w:rPr>
      </w:pPr>
      <w:r>
        <w:rPr>
          <w:rFonts w:ascii="Arial" w:cs="Arial" w:eastAsia="Arial" w:hAnsi="Arial"/>
          <w:sz w:val="11"/>
          <w:szCs w:val="11"/>
          <w:b w:val="1"/>
          <w:bCs w:val="1"/>
          <w:i w:val="1"/>
          <w:iCs w:val="1"/>
          <w:color w:val="auto"/>
        </w:rPr>
        <w:t xml:space="preserve">Interest expense, net. </w:t>
      </w:r>
      <w:r>
        <w:rPr>
          <w:rFonts w:ascii="Arial" w:cs="Arial" w:eastAsia="Arial" w:hAnsi="Arial"/>
          <w:sz w:val="11"/>
          <w:szCs w:val="11"/>
          <w:color w:val="auto"/>
        </w:rPr>
        <w:t>Interest expense, net of interest income, was $26 million, or 0.7% of revenue, for the six month period ended June 30, 2021, as compared with $32 million, or 1.1% of revenue, for the same period in 2020, a decrease of $6 million, 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17%. The decrease in interest expense, net, related primarily to a reduction in interest expense from credit facility activity as well as a decrease in discount charges on financing arrangements for trade receivables. Interest expense from credit facility activity decreased by approximately $6 million as compared with the same period in the prior year due to a combination of lower average balances and lower interest rates. The reduction in interest expense on credit facility activity and financing arrangements was offset, in part, by an increase in interest expense on senior notes, as described above.</w:t>
      </w:r>
    </w:p>
    <w:p>
      <w:pPr>
        <w:spacing w:after="0" w:line="6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1"/>
          <w:szCs w:val="11"/>
          <w:b w:val="1"/>
          <w:bCs w:val="1"/>
          <w:i w:val="1"/>
          <w:iCs w:val="1"/>
          <w:color w:val="auto"/>
        </w:rPr>
        <w:t xml:space="preserve">Equity in earnings of unconsolidated affiliates, net. </w:t>
      </w:r>
      <w:r>
        <w:rPr>
          <w:rFonts w:ascii="Arial" w:cs="Arial" w:eastAsia="Arial" w:hAnsi="Arial"/>
          <w:sz w:val="11"/>
          <w:szCs w:val="11"/>
          <w:color w:val="auto"/>
        </w:rPr>
        <w:t>For both the six month periods ended June 30, 2021 and 2020, equity in earnings from unconsolidated affiliates, net, totaled approximately $15 million, and related primarily to our investments in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Waha JVs, and, to a lesser extent, to investments in certain telecommunications and other entities.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3" w:right="299" w:bottom="1440" w:gutter="0" w:footer="0" w:header="0"/>
        </w:sectPr>
      </w:pPr>
    </w:p>
    <w:bookmarkStart w:id="32" w:name="page33"/>
    <w:bookmarkEnd w:id="32"/>
    <w:p>
      <w:pPr>
        <w:jc w:val="both"/>
        <w:ind w:firstLine="216"/>
        <w:spacing w:after="0" w:line="285" w:lineRule="auto"/>
        <w:rPr>
          <w:sz w:val="20"/>
          <w:szCs w:val="20"/>
          <w:color w:val="auto"/>
        </w:rPr>
      </w:pPr>
      <w:r>
        <w:rPr>
          <w:rFonts w:ascii="Arial" w:cs="Arial" w:eastAsia="Arial" w:hAnsi="Arial"/>
          <w:sz w:val="10"/>
          <w:szCs w:val="10"/>
          <w:b w:val="1"/>
          <w:bCs w:val="1"/>
          <w:i w:val="1"/>
          <w:iCs w:val="1"/>
          <w:color w:val="auto"/>
        </w:rPr>
        <w:t xml:space="preserve">Other income, net. </w:t>
      </w:r>
      <w:r>
        <w:rPr>
          <w:rFonts w:ascii="Arial" w:cs="Arial" w:eastAsia="Arial" w:hAnsi="Arial"/>
          <w:sz w:val="10"/>
          <w:szCs w:val="10"/>
          <w:color w:val="auto"/>
        </w:rPr>
        <w:t>Other income, net, was $17 million for the six month period ended June 30, 2021, as compared with $12 million of other income, net, for the same period in 2020. For the six month period ended June 30, 2021, other income, net,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included approximately $9 million of income from changes to estimated Earn-out accruals, net, $6 million of gains on sales of equipment, net. For the six month period ended June 30, 2020, other income, net, included approximately $8 million of gains on sales of equipment, net, and $4 million, net, of income, from changes in the fair value of certain investments, offset, in part, by approximately $2 million of expense from changes to estimated Earn-out accruals, net.</w:t>
      </w:r>
    </w:p>
    <w:p>
      <w:pPr>
        <w:spacing w:after="0" w:line="41" w:lineRule="exact"/>
        <w:rPr>
          <w:sz w:val="20"/>
          <w:szCs w:val="20"/>
          <w:color w:val="auto"/>
        </w:rPr>
      </w:pPr>
    </w:p>
    <w:p>
      <w:pPr>
        <w:jc w:val="both"/>
        <w:ind w:firstLine="216"/>
        <w:spacing w:after="0" w:line="245" w:lineRule="auto"/>
        <w:rPr>
          <w:sz w:val="20"/>
          <w:szCs w:val="20"/>
          <w:color w:val="auto"/>
        </w:rPr>
      </w:pPr>
      <w:r>
        <w:rPr>
          <w:rFonts w:ascii="Arial" w:cs="Arial" w:eastAsia="Arial" w:hAnsi="Arial"/>
          <w:sz w:val="11"/>
          <w:szCs w:val="11"/>
          <w:b w:val="1"/>
          <w:bCs w:val="1"/>
          <w:i w:val="1"/>
          <w:iCs w:val="1"/>
          <w:color w:val="auto"/>
        </w:rPr>
        <w:t xml:space="preserve">Provision for income taxes. </w:t>
      </w:r>
      <w:r>
        <w:rPr>
          <w:rFonts w:ascii="Arial" w:cs="Arial" w:eastAsia="Arial" w:hAnsi="Arial"/>
          <w:sz w:val="11"/>
          <w:szCs w:val="11"/>
          <w:color w:val="auto"/>
        </w:rPr>
        <w:t>Income tax expense was $56 million for the six month period ended June 30, 2021. Income tax expense for the six month period ended June 30, 2020 was $21 million. Pre-tax income increased to $198 million for the six month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period ended June 30, 2021 as compared with $114 million for the same period in 2020. For the six month period ended June 30, 2021, our effective tax rate increased to 28.4% from 18.6% for the same period in 2020. Our effective tax rate in the first half of 2021 included the negative effect of $2 million related to non-deductible share-based compensation, whereas in the first half of 2020, our effective tax rate included a benefit of approximately $10 million related to the release of certain valuation allowances on Canadian deferred tax assets that were no longer necessary.</w:t>
      </w:r>
    </w:p>
    <w:p>
      <w:pPr>
        <w:spacing w:after="0" w:line="6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Analysis of EBITDA by Segment</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Communications Segment. </w:t>
      </w:r>
      <w:r>
        <w:rPr>
          <w:rFonts w:ascii="Arial" w:cs="Arial" w:eastAsia="Arial" w:hAnsi="Arial"/>
          <w:sz w:val="11"/>
          <w:szCs w:val="11"/>
          <w:color w:val="auto"/>
        </w:rPr>
        <w:t>EBITDA for our Communications segment was $122 million, or 10.1% of revenue, for the six month period ended June 30, 2021, as compared with $127 million, or 9.8% of revenue, for the same period in 2020,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decrease of $6 million, or approximately 4%. Lower levels of revenue contributed to a decrease in EBITDA of $10 million. As a percentage of revenue, EBITDA increased by approximately 30 basis points, or approximately $4 million, due primarily to improved project efficiencies and mix.</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Clean Energy and Infrastructure Segment. </w:t>
      </w:r>
      <w:r>
        <w:rPr>
          <w:rFonts w:ascii="Arial" w:cs="Arial" w:eastAsia="Arial" w:hAnsi="Arial"/>
          <w:sz w:val="11"/>
          <w:szCs w:val="11"/>
          <w:color w:val="auto"/>
        </w:rPr>
        <w:t>EBITDA for our Clean Energy and Infrastructure segment was $26 million, or 3.2% of revenue, for the six month period ended June 30, 2021, as compared with EBITDA of $35 million, or 4.9%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revenue, for the same period in 2020, a decrease in EBITDA of approximately $9 million, or 25%. Higher levels of revenue contributed an increase in EBITDA of approximately $6 million. As a percentage of revenue, EBITDA decreased by approximately 170 basis points, or $14 million, due to project start-up delays, reduced project efficiencies, including weather-related inefficiencies and mix.</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Oil and Gas Segment. </w:t>
      </w:r>
      <w:r>
        <w:rPr>
          <w:rFonts w:ascii="Arial" w:cs="Arial" w:eastAsia="Arial" w:hAnsi="Arial"/>
          <w:sz w:val="11"/>
          <w:szCs w:val="11"/>
          <w:color w:val="auto"/>
        </w:rPr>
        <w:t>EBITDA for our Oil and Gas segment was $306 million, or 22.7% of revenue, for the six month period ended June 30, 2021, as compared with $155 million, or 21.2% of revenue, for the same period in 2020, an increase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$151 million, or 98%. Higher levels of revenue contributed an increase in EBITDA of $132 million, and improved productivity contributed an increase in EBITDA of approximately $20 million. EBITDA margins increased by approximately 150 basis points due primarily to improved project efficiencies, close-outs and mix.</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b w:val="1"/>
          <w:bCs w:val="1"/>
          <w:i w:val="1"/>
          <w:iCs w:val="1"/>
          <w:color w:val="auto"/>
        </w:rPr>
        <w:t xml:space="preserve">Electrical Transmission Segment. </w:t>
      </w:r>
      <w:r>
        <w:rPr>
          <w:rFonts w:ascii="Arial" w:cs="Arial" w:eastAsia="Arial" w:hAnsi="Arial"/>
          <w:sz w:val="11"/>
          <w:szCs w:val="11"/>
          <w:color w:val="auto"/>
        </w:rPr>
        <w:t>EBITDA for our Electrical Transmission segment was $13 million, or 3.5% of revenue, for the six month period ended June 30, 2021, as compared with EBITDA of $5 million, or 2.0% of revenue, for the same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period in 2020, an increase in EBITDA of approximately $8 million, or 153%. Higher levels of revenue contributed an increase in EBITDA of $2 million. As a percentage of revenue, EBITDA increased by approximately 150 basis points, or $5 million, due primarily to project mix.</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0"/>
          <w:szCs w:val="10"/>
          <w:b w:val="1"/>
          <w:bCs w:val="1"/>
          <w:i w:val="1"/>
          <w:iCs w:val="1"/>
          <w:color w:val="auto"/>
        </w:rPr>
        <w:t xml:space="preserve">Other Segment. </w:t>
      </w:r>
      <w:r>
        <w:rPr>
          <w:rFonts w:ascii="Arial" w:cs="Arial" w:eastAsia="Arial" w:hAnsi="Arial"/>
          <w:sz w:val="10"/>
          <w:szCs w:val="10"/>
          <w:color w:val="auto"/>
        </w:rPr>
        <w:t>EBITDA from Other businesses totaled approximately $16 million and $15 million for the six month periods ended June 30, 2021 and 2020, and related primarily to equity in earnings from our investments in the Waha JVs.</w:t>
      </w:r>
    </w:p>
    <w:p>
      <w:pPr>
        <w:spacing w:after="0" w:line="83"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b w:val="1"/>
          <w:bCs w:val="1"/>
          <w:i w:val="1"/>
          <w:iCs w:val="1"/>
          <w:color w:val="auto"/>
        </w:rPr>
        <w:t xml:space="preserve">Corporate. </w:t>
      </w:r>
      <w:r>
        <w:rPr>
          <w:rFonts w:ascii="Arial" w:cs="Arial" w:eastAsia="Arial" w:hAnsi="Arial"/>
          <w:sz w:val="10"/>
          <w:szCs w:val="10"/>
          <w:color w:val="auto"/>
        </w:rPr>
        <w:t>Corporate EBITDA was negative $60 million for the six month period ended June 30, 2021, as compared with EBITDA of negative $63 million for the same period in 2020, for an increase in EBITDA of approximately $3 million.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Corporate EBITDA for the six month period ended June 30, 2021 included approximately $9 million of income related to changes in estimated Earn-out accruals, net, whereas for the same period in 2020, Corporate EBITDA included $2 million of expense from changes to estimated Earn-out accruals, net and approximately $4 million of income, net, from changes in the fair value of certain investments. Excluding the effects of these items, other corporate expenses for the six month period ended June 30, 2021 increased by approximately $4 million as compared with the same period in the prior year, due primarily to the effects of timing of legal and settlement matters.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Foreign Operations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0"/>
          <w:szCs w:val="10"/>
          <w:color w:val="auto"/>
        </w:rPr>
        <w:t>Our foreign operations are primarily in Canada and, to a lesser extent, in Mexico, the Caribbean and India. See Note 13 - Segments and Related Information in the notes to the consolidated financial statements, which is incorporated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Non-U.S. GAAP Financial Measures</w:t>
      </w:r>
    </w:p>
    <w:p>
      <w:pPr>
        <w:spacing w:after="0" w:line="76"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and, for Adjusted Net Income and Adjusted Diluted Earnings Per Share, amortization of intangible assets and the tax effects of the adjusted items, including non-cash stock-based compensation expense and the effects of changes in statutory tax rates.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61" w:lineRule="exact"/>
        <w:rPr>
          <w:sz w:val="20"/>
          <w:szCs w:val="20"/>
          <w:color w:val="auto"/>
        </w:rPr>
      </w:pPr>
    </w:p>
    <w:p>
      <w:pPr>
        <w:jc w:val="both"/>
        <w:ind w:firstLine="433"/>
        <w:spacing w:after="0" w:line="318" w:lineRule="auto"/>
        <w:rPr>
          <w:sz w:val="20"/>
          <w:szCs w:val="20"/>
          <w:color w:val="auto"/>
        </w:rPr>
      </w:pPr>
      <w:r>
        <w:rPr>
          <w:rFonts w:ascii="Arial" w:cs="Arial" w:eastAsia="Arial" w:hAnsi="Arial"/>
          <w:sz w:val="9"/>
          <w:szCs w:val="9"/>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We exclude intangible asset amortization from our adjusted measures due to its non-operational nature and inherent volatility, as acquisition activity varies from period to period. We also believe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3" w:name="page34"/>
    <w:bookmarkEnd w:id="33"/>
    <w:p>
      <w:pPr>
        <w:jc w:val="both"/>
        <w:ind w:right="80"/>
        <w:spacing w:after="0" w:line="258" w:lineRule="auto"/>
        <w:rPr>
          <w:sz w:val="20"/>
          <w:szCs w:val="20"/>
          <w:color w:val="auto"/>
        </w:rPr>
      </w:pPr>
      <w:r>
        <w:rPr>
          <w:rFonts w:ascii="Arial" w:cs="Arial" w:eastAsia="Arial" w:hAnsi="Arial"/>
          <w:sz w:val="11"/>
          <w:szCs w:val="11"/>
          <w:color w:val="auto"/>
        </w:rPr>
        <w:t>this presentation is common practice in our industry and improves comparability of our results with those of our peers, although each company’s definitions of these adjusted measures may vary as they are not standardized and should be used in light of the provided reconciliations.</w:t>
      </w:r>
    </w:p>
    <w:p>
      <w:pPr>
        <w:spacing w:after="0" w:line="53" w:lineRule="exact"/>
        <w:rPr>
          <w:sz w:val="20"/>
          <w:szCs w:val="20"/>
          <w:color w:val="auto"/>
        </w:rPr>
      </w:pPr>
    </w:p>
    <w:p>
      <w:pPr>
        <w:jc w:val="both"/>
        <w:ind w:right="60" w:firstLine="433"/>
        <w:spacing w:after="0" w:line="244" w:lineRule="auto"/>
        <w:rPr>
          <w:sz w:val="20"/>
          <w:szCs w:val="20"/>
          <w:color w:val="auto"/>
        </w:rPr>
      </w:pPr>
      <w:r>
        <w:rPr>
          <w:rFonts w:ascii="Arial" w:cs="Arial" w:eastAsia="Arial" w:hAnsi="Arial"/>
          <w:sz w:val="11"/>
          <w:szCs w:val="11"/>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61" w:lineRule="exact"/>
        <w:rPr>
          <w:sz w:val="20"/>
          <w:szCs w:val="20"/>
          <w:color w:val="auto"/>
        </w:rPr>
      </w:pPr>
    </w:p>
    <w:p>
      <w:pPr>
        <w:jc w:val="both"/>
        <w:ind w:right="60" w:firstLine="433"/>
        <w:spacing w:after="0" w:line="258" w:lineRule="auto"/>
        <w:rPr>
          <w:sz w:val="20"/>
          <w:szCs w:val="20"/>
          <w:color w:val="auto"/>
        </w:rPr>
      </w:pPr>
      <w:r>
        <w:rPr>
          <w:rFonts w:ascii="Arial" w:cs="Arial" w:eastAsia="Arial" w:hAnsi="Arial"/>
          <w:sz w:val="11"/>
          <w:szCs w:val="11"/>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1"/>
                <w:szCs w:val="11"/>
                <w:b w:val="1"/>
                <w:bCs w:val="1"/>
                <w:color w:val="auto"/>
                <w:w w:val="92"/>
              </w:rPr>
              <w:t>For the Three Months Ended June 30,</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right"/>
              <w:ind w:right="826"/>
              <w:spacing w:after="0"/>
              <w:rPr>
                <w:sz w:val="20"/>
                <w:szCs w:val="20"/>
                <w:color w:val="auto"/>
              </w:rPr>
            </w:pPr>
            <w:r>
              <w:rPr>
                <w:rFonts w:ascii="Arial" w:cs="Arial" w:eastAsia="Arial" w:hAnsi="Arial"/>
                <w:sz w:val="11"/>
                <w:szCs w:val="11"/>
                <w:b w:val="1"/>
                <w:bCs w:val="1"/>
                <w:color w:val="auto"/>
                <w:w w:val="90"/>
              </w:rPr>
              <w:t>For the Six Months Ended June 30,</w:t>
            </w:r>
          </w:p>
        </w:tc>
      </w:tr>
      <w:tr>
        <w:trPr>
          <w:trHeight w:val="133"/>
        </w:trPr>
        <w:tc>
          <w:tcPr>
            <w:tcW w:w="44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646"/>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1"/>
                <w:szCs w:val="11"/>
                <w:b w:val="1"/>
                <w:bCs w:val="1"/>
                <w:color w:val="auto"/>
                <w:w w:val="81"/>
              </w:rPr>
              <w:t>2020</w:t>
            </w:r>
          </w:p>
        </w:tc>
      </w:tr>
      <w:tr>
        <w:trPr>
          <w:trHeight w:val="135"/>
        </w:trPr>
        <w:tc>
          <w:tcPr>
            <w:tcW w:w="44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75.8</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56.8</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3.1 %</w:t>
            </w:r>
          </w:p>
        </w:tc>
      </w:tr>
      <w:tr>
        <w:trPr>
          <w:trHeight w:val="142"/>
        </w:trPr>
        <w:tc>
          <w:tcPr>
            <w:tcW w:w="4460" w:type="dxa"/>
            <w:vAlign w:val="bottom"/>
          </w:tcPr>
          <w:p>
            <w:pPr>
              <w:ind w:left="80"/>
              <w:spacing w:after="0"/>
              <w:rPr>
                <w:sz w:val="20"/>
                <w:szCs w:val="20"/>
                <w:color w:val="auto"/>
              </w:rPr>
            </w:pPr>
            <w:r>
              <w:rPr>
                <w:rFonts w:ascii="Arial" w:cs="Arial" w:eastAsia="Arial" w:hAnsi="Arial"/>
                <w:sz w:val="11"/>
                <w:szCs w:val="11"/>
                <w:color w:val="auto"/>
              </w:rPr>
              <w:t>Interest expense, net</w:t>
            </w:r>
          </w:p>
        </w:tc>
        <w:tc>
          <w:tcPr>
            <w:tcW w:w="2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0.7 %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0.9 %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26.3</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0.7 %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31.8</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1.1 %</w:t>
            </w:r>
          </w:p>
        </w:tc>
      </w:tr>
      <w:tr>
        <w:trPr>
          <w:trHeight w:val="146"/>
        </w:trPr>
        <w:tc>
          <w:tcPr>
            <w:tcW w:w="446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Provision for income taxes</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1.5 %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0.7 %</w:t>
            </w:r>
          </w:p>
        </w:tc>
      </w:tr>
      <w:tr>
        <w:trPr>
          <w:trHeight w:val="142"/>
        </w:trPr>
        <w:tc>
          <w:tcPr>
            <w:tcW w:w="4460" w:type="dxa"/>
            <w:vAlign w:val="bottom"/>
          </w:tcPr>
          <w:p>
            <w:pPr>
              <w:ind w:left="80"/>
              <w:spacing w:after="0"/>
              <w:rPr>
                <w:sz w:val="20"/>
                <w:szCs w:val="20"/>
                <w:color w:val="auto"/>
              </w:rPr>
            </w:pPr>
            <w:r>
              <w:rPr>
                <w:rFonts w:ascii="Arial" w:cs="Arial" w:eastAsia="Arial" w:hAnsi="Arial"/>
                <w:sz w:val="11"/>
                <w:szCs w:val="11"/>
                <w:color w:val="auto"/>
              </w:rPr>
              <w:t>Depreciation</w:t>
            </w:r>
          </w:p>
        </w:tc>
        <w:tc>
          <w:tcPr>
            <w:tcW w:w="2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87.5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4.5 %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57.7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166.8</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4.5 %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110.8</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3.7 %</w:t>
            </w:r>
          </w:p>
        </w:tc>
      </w:tr>
      <w:tr>
        <w:trPr>
          <w:trHeight w:val="146"/>
        </w:trPr>
        <w:tc>
          <w:tcPr>
            <w:tcW w:w="4460" w:type="dxa"/>
            <w:vAlign w:val="bottom"/>
            <w:shd w:val="clear" w:color="auto" w:fill="CCEEFF"/>
          </w:tcPr>
          <w:p>
            <w:pPr>
              <w:ind w:left="80"/>
              <w:spacing w:after="0"/>
              <w:rPr>
                <w:sz w:val="20"/>
                <w:szCs w:val="20"/>
                <w:color w:val="auto"/>
              </w:rPr>
            </w:pPr>
            <w:r>
              <w:rPr>
                <w:rFonts w:ascii="Arial" w:cs="Arial" w:eastAsia="Arial" w:hAnsi="Arial"/>
                <w:sz w:val="11"/>
                <w:szCs w:val="11"/>
                <w:color w:val="auto"/>
              </w:rPr>
              <w:t>Amortization of intangible assets</w:t>
            </w:r>
          </w:p>
        </w:tc>
        <w:tc>
          <w:tcPr>
            <w:tcW w:w="2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1.0 %</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0.6 %</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31.2</w:t>
            </w: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0.6 %</w:t>
            </w:r>
          </w:p>
        </w:tc>
      </w:tr>
      <w:tr>
        <w:trPr>
          <w:trHeight w:val="131"/>
        </w:trPr>
        <w:tc>
          <w:tcPr>
            <w:tcW w:w="44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EBITDA</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224.1</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11.4 %</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159.9</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10.2 %</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422.5</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11.3 %</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273.8</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9.2 %</w:t>
            </w:r>
          </w:p>
        </w:tc>
      </w:tr>
      <w:tr>
        <w:trPr>
          <w:trHeight w:val="135"/>
        </w:trPr>
        <w:tc>
          <w:tcPr>
            <w:tcW w:w="44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 expense</w:t>
            </w:r>
          </w:p>
        </w:tc>
        <w:tc>
          <w:tcPr>
            <w:tcW w:w="2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0.3 %</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0.4 %</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w:t>
            </w:r>
          </w:p>
        </w:tc>
        <w:tc>
          <w:tcPr>
            <w:tcW w:w="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0.3 %</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0.3 %</w:t>
            </w:r>
          </w:p>
        </w:tc>
      </w:tr>
      <w:tr>
        <w:trPr>
          <w:trHeight w:val="131"/>
        </w:trPr>
        <w:tc>
          <w:tcPr>
            <w:tcW w:w="4460" w:type="dxa"/>
            <w:vAlign w:val="bottom"/>
          </w:tcPr>
          <w:p>
            <w:pPr>
              <w:spacing w:after="0"/>
              <w:rPr>
                <w:sz w:val="20"/>
                <w:szCs w:val="20"/>
                <w:color w:val="auto"/>
              </w:rPr>
            </w:pPr>
            <w:r>
              <w:rPr>
                <w:rFonts w:ascii="Arial" w:cs="Arial" w:eastAsia="Arial" w:hAnsi="Arial"/>
                <w:sz w:val="11"/>
                <w:szCs w:val="11"/>
                <w:color w:val="auto"/>
              </w:rPr>
              <w:t>Adjusted EBITDA</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230.2</w:t>
            </w: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11.7 %</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165.7</w:t>
            </w: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10.6 %</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434.1</w:t>
            </w: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11.6 %</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283.7</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9.5 %</w:t>
            </w:r>
          </w:p>
        </w:tc>
      </w:tr>
    </w:tbl>
    <w:p>
      <w:pPr>
        <w:spacing w:after="0" w:line="15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 reconciliation of EBITDA to Adjusted EBITDA and Adjusted EBITDA margin by reportable segment, for the periods indicated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6"/>
          </w:tcPr>
          <w:p>
            <w:pPr>
              <w:ind w:left="200"/>
              <w:spacing w:after="0"/>
              <w:rPr>
                <w:sz w:val="20"/>
                <w:szCs w:val="20"/>
                <w:color w:val="auto"/>
              </w:rPr>
            </w:pPr>
            <w:r>
              <w:rPr>
                <w:rFonts w:ascii="Arial" w:cs="Arial" w:eastAsia="Arial" w:hAnsi="Arial"/>
                <w:sz w:val="11"/>
                <w:szCs w:val="11"/>
                <w:b w:val="1"/>
                <w:bCs w:val="1"/>
                <w:color w:val="auto"/>
                <w:w w:val="99"/>
              </w:rPr>
              <w:t>For the Three Months Ended June 30,</w:t>
            </w:r>
          </w:p>
        </w:tc>
        <w:tc>
          <w:tcPr>
            <w:tcW w:w="8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6"/>
          </w:tcPr>
          <w:p>
            <w:pPr>
              <w:ind w:left="620"/>
              <w:spacing w:after="0"/>
              <w:rPr>
                <w:sz w:val="20"/>
                <w:szCs w:val="20"/>
                <w:color w:val="auto"/>
              </w:rPr>
            </w:pPr>
            <w:r>
              <w:rPr>
                <w:rFonts w:ascii="Arial" w:cs="Arial" w:eastAsia="Arial" w:hAnsi="Arial"/>
                <w:sz w:val="11"/>
                <w:szCs w:val="11"/>
                <w:b w:val="1"/>
                <w:bCs w:val="1"/>
                <w:color w:val="auto"/>
              </w:rPr>
              <w:t>For the Six Months Ended June 30,</w:t>
            </w:r>
          </w:p>
        </w:tc>
        <w:tc>
          <w:tcPr>
            <w:tcW w:w="8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2020</w:t>
            </w: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EBITDA</w:t>
            </w: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224.1</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11.4</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159.9</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10.2</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11.3</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273.8</w:t>
            </w: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9.2</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280" w:type="dxa"/>
            <w:vAlign w:val="bottom"/>
          </w:tcPr>
          <w:p>
            <w:pPr>
              <w:ind w:left="520"/>
              <w:spacing w:after="0" w:line="112" w:lineRule="exact"/>
              <w:rPr>
                <w:sz w:val="20"/>
                <w:szCs w:val="20"/>
                <w:color w:val="auto"/>
              </w:rPr>
            </w:pPr>
            <w:r>
              <w:rPr>
                <w:rFonts w:ascii="Arial" w:cs="Arial" w:eastAsia="Arial" w:hAnsi="Arial"/>
                <w:sz w:val="11"/>
                <w:szCs w:val="11"/>
                <w:color w:val="auto"/>
                <w:w w:val="93"/>
              </w:rPr>
              <w:t>Non-cash stock-</w:t>
            </w: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Pr>
          <w:p>
            <w:pPr>
              <w:ind w:left="80"/>
              <w:spacing w:after="0" w:line="109" w:lineRule="exact"/>
              <w:rPr>
                <w:sz w:val="20"/>
                <w:szCs w:val="20"/>
                <w:color w:val="auto"/>
              </w:rPr>
            </w:pPr>
            <w:r>
              <w:rPr>
                <w:rFonts w:ascii="Arial" w:cs="Arial" w:eastAsia="Arial" w:hAnsi="Arial"/>
                <w:sz w:val="11"/>
                <w:szCs w:val="11"/>
                <w:color w:val="auto"/>
              </w:rPr>
              <w:t>based compensation</w:t>
            </w:r>
          </w:p>
        </w:tc>
        <w:tc>
          <w:tcPr>
            <w:tcW w:w="7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6.1</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restart"/>
          </w:tcPr>
          <w:p>
            <w:pPr>
              <w:jc w:val="right"/>
              <w:ind w:right="126"/>
              <w:spacing w:after="0"/>
              <w:rPr>
                <w:sz w:val="20"/>
                <w:szCs w:val="20"/>
                <w:color w:val="auto"/>
              </w:rPr>
            </w:pPr>
            <w:r>
              <w:rPr>
                <w:rFonts w:ascii="Arial" w:cs="Arial" w:eastAsia="Arial" w:hAnsi="Arial"/>
                <w:sz w:val="11"/>
                <w:szCs w:val="11"/>
                <w:color w:val="auto"/>
              </w:rPr>
              <w:t>0.3</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5.8</w:t>
            </w:r>
          </w:p>
        </w:tc>
        <w:tc>
          <w:tcPr>
            <w:tcW w:w="60" w:type="dxa"/>
            <w:vAlign w:val="bottom"/>
          </w:tcPr>
          <w:p>
            <w:pPr>
              <w:spacing w:after="0"/>
              <w:rPr>
                <w:sz w:val="9"/>
                <w:szCs w:val="9"/>
                <w:color w:val="auto"/>
              </w:rPr>
            </w:pPr>
          </w:p>
        </w:tc>
        <w:tc>
          <w:tcPr>
            <w:tcW w:w="840" w:type="dxa"/>
            <w:vAlign w:val="bottom"/>
            <w:vMerge w:val="restart"/>
          </w:tcPr>
          <w:p>
            <w:pPr>
              <w:jc w:val="right"/>
              <w:ind w:right="166"/>
              <w:spacing w:after="0"/>
              <w:rPr>
                <w:sz w:val="20"/>
                <w:szCs w:val="20"/>
                <w:color w:val="auto"/>
              </w:rPr>
            </w:pPr>
            <w:r>
              <w:rPr>
                <w:rFonts w:ascii="Arial" w:cs="Arial" w:eastAsia="Arial" w:hAnsi="Arial"/>
                <w:sz w:val="11"/>
                <w:szCs w:val="11"/>
                <w:color w:val="auto"/>
              </w:rPr>
              <w:t>0.4</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11.6</w:t>
            </w:r>
          </w:p>
        </w:tc>
        <w:tc>
          <w:tcPr>
            <w:tcW w:w="60" w:type="dxa"/>
            <w:vAlign w:val="bottom"/>
          </w:tcPr>
          <w:p>
            <w:pPr>
              <w:spacing w:after="0"/>
              <w:rPr>
                <w:sz w:val="9"/>
                <w:szCs w:val="9"/>
                <w:color w:val="auto"/>
              </w:rPr>
            </w:pPr>
          </w:p>
        </w:tc>
        <w:tc>
          <w:tcPr>
            <w:tcW w:w="820" w:type="dxa"/>
            <w:vAlign w:val="bottom"/>
            <w:vMerge w:val="restart"/>
          </w:tcPr>
          <w:p>
            <w:pPr>
              <w:jc w:val="right"/>
              <w:ind w:right="146"/>
              <w:spacing w:after="0"/>
              <w:rPr>
                <w:sz w:val="20"/>
                <w:szCs w:val="20"/>
                <w:color w:val="auto"/>
              </w:rPr>
            </w:pPr>
            <w:r>
              <w:rPr>
                <w:rFonts w:ascii="Arial" w:cs="Arial" w:eastAsia="Arial" w:hAnsi="Arial"/>
                <w:sz w:val="11"/>
                <w:szCs w:val="11"/>
                <w:color w:val="auto"/>
              </w:rPr>
              <w:t>0.3</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vMerge w:val="restart"/>
          </w:tcPr>
          <w:p>
            <w:pPr>
              <w:jc w:val="right"/>
              <w:ind w:right="6"/>
              <w:spacing w:after="0"/>
              <w:rPr>
                <w:sz w:val="20"/>
                <w:szCs w:val="20"/>
                <w:color w:val="auto"/>
              </w:rPr>
            </w:pPr>
            <w:r>
              <w:rPr>
                <w:rFonts w:ascii="Arial" w:cs="Arial" w:eastAsia="Arial" w:hAnsi="Arial"/>
                <w:sz w:val="11"/>
                <w:szCs w:val="11"/>
                <w:color w:val="auto"/>
              </w:rPr>
              <w:t>9.9</w:t>
            </w:r>
          </w:p>
        </w:tc>
        <w:tc>
          <w:tcPr>
            <w:tcW w:w="40" w:type="dxa"/>
            <w:vAlign w:val="bottom"/>
          </w:tcPr>
          <w:p>
            <w:pPr>
              <w:spacing w:after="0"/>
              <w:rPr>
                <w:sz w:val="9"/>
                <w:szCs w:val="9"/>
                <w:color w:val="auto"/>
              </w:rPr>
            </w:pPr>
          </w:p>
        </w:tc>
        <w:tc>
          <w:tcPr>
            <w:tcW w:w="840" w:type="dxa"/>
            <w:vAlign w:val="bottom"/>
            <w:vMerge w:val="restart"/>
          </w:tcPr>
          <w:p>
            <w:pPr>
              <w:jc w:val="right"/>
              <w:ind w:right="146"/>
              <w:spacing w:after="0"/>
              <w:rPr>
                <w:sz w:val="20"/>
                <w:szCs w:val="20"/>
                <w:color w:val="auto"/>
              </w:rPr>
            </w:pPr>
            <w:r>
              <w:rPr>
                <w:rFonts w:ascii="Arial" w:cs="Arial" w:eastAsia="Arial" w:hAnsi="Arial"/>
                <w:sz w:val="11"/>
                <w:szCs w:val="11"/>
                <w:color w:val="auto"/>
              </w:rPr>
              <w:t>0.3</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2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expense</w:t>
            </w: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CCEEFF"/>
          </w:tcPr>
          <w:p>
            <w:pPr>
              <w:ind w:left="440"/>
              <w:spacing w:after="0"/>
              <w:rPr>
                <w:sz w:val="20"/>
                <w:szCs w:val="20"/>
                <w:color w:val="auto"/>
              </w:rPr>
            </w:pPr>
            <w:r>
              <w:rPr>
                <w:rFonts w:ascii="Arial" w:cs="Arial" w:eastAsia="Arial" w:hAnsi="Arial"/>
                <w:sz w:val="11"/>
                <w:szCs w:val="11"/>
                <w:color w:val="auto"/>
                <w:w w:val="95"/>
              </w:rPr>
              <w:t>Adjusted EBITDA</w:t>
            </w:r>
          </w:p>
        </w:tc>
        <w:tc>
          <w:tcPr>
            <w:tcW w:w="7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230.2</w:t>
            </w:r>
          </w:p>
        </w:tc>
        <w:tc>
          <w:tcPr>
            <w:tcW w:w="6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11.7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165.7</w:t>
            </w:r>
          </w:p>
        </w:tc>
        <w:tc>
          <w:tcPr>
            <w:tcW w:w="6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10.6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434.1</w:t>
            </w:r>
          </w:p>
        </w:tc>
        <w:tc>
          <w:tcPr>
            <w:tcW w:w="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11.6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283.7</w:t>
            </w:r>
          </w:p>
        </w:tc>
        <w:tc>
          <w:tcPr>
            <w:tcW w:w="4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9.5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2"/>
        </w:trPr>
        <w:tc>
          <w:tcPr>
            <w:tcW w:w="1280" w:type="dxa"/>
            <w:vAlign w:val="bottom"/>
          </w:tcPr>
          <w:p>
            <w:pPr>
              <w:ind w:left="440"/>
              <w:spacing w:after="0" w:line="92" w:lineRule="exact"/>
              <w:rPr>
                <w:sz w:val="20"/>
                <w:szCs w:val="20"/>
                <w:color w:val="auto"/>
              </w:rPr>
            </w:pPr>
            <w:r>
              <w:rPr>
                <w:rFonts w:ascii="Arial" w:cs="Arial" w:eastAsia="Arial" w:hAnsi="Arial"/>
                <w:sz w:val="10"/>
                <w:szCs w:val="10"/>
                <w:color w:val="auto"/>
              </w:rPr>
              <w:t>Reportable</w:t>
            </w: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1280" w:type="dxa"/>
            <w:vAlign w:val="bottom"/>
          </w:tcPr>
          <w:p>
            <w:pPr>
              <w:spacing w:after="0"/>
              <w:rPr>
                <w:sz w:val="20"/>
                <w:szCs w:val="20"/>
                <w:color w:val="auto"/>
              </w:rPr>
            </w:pPr>
            <w:r>
              <w:rPr>
                <w:rFonts w:ascii="Arial" w:cs="Arial" w:eastAsia="Arial" w:hAnsi="Arial"/>
                <w:sz w:val="11"/>
                <w:szCs w:val="11"/>
                <w:color w:val="auto"/>
              </w:rPr>
              <w:t>Segment:</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280" w:type="dxa"/>
            <w:vAlign w:val="bottom"/>
            <w:shd w:val="clear" w:color="auto" w:fill="CCEEFF"/>
          </w:tcPr>
          <w:p>
            <w:pPr>
              <w:ind w:left="520"/>
              <w:spacing w:after="0"/>
              <w:rPr>
                <w:sz w:val="20"/>
                <w:szCs w:val="20"/>
                <w:color w:val="auto"/>
              </w:rPr>
            </w:pPr>
            <w:r>
              <w:rPr>
                <w:rFonts w:ascii="Arial" w:cs="Arial" w:eastAsia="Arial" w:hAnsi="Arial"/>
                <w:sz w:val="11"/>
                <w:szCs w:val="11"/>
                <w:color w:val="auto"/>
                <w:w w:val="90"/>
              </w:rPr>
              <w:t>Communications</w:t>
            </w: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72.7</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11.5</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76.4</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11.7</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121.5</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10.1</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127.2</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9.8</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4"/>
        </w:trPr>
        <w:tc>
          <w:tcPr>
            <w:tcW w:w="1280" w:type="dxa"/>
            <w:vAlign w:val="bottom"/>
          </w:tcPr>
          <w:p>
            <w:pPr>
              <w:ind w:left="520"/>
              <w:spacing w:after="0"/>
              <w:rPr>
                <w:sz w:val="20"/>
                <w:szCs w:val="20"/>
                <w:color w:val="auto"/>
              </w:rPr>
            </w:pPr>
            <w:r>
              <w:rPr>
                <w:rFonts w:ascii="Arial" w:cs="Arial" w:eastAsia="Arial" w:hAnsi="Arial"/>
                <w:sz w:val="11"/>
                <w:szCs w:val="11"/>
                <w:color w:val="auto"/>
              </w:rPr>
              <w:t>Clean Energy</w:t>
            </w:r>
          </w:p>
        </w:tc>
        <w:tc>
          <w:tcPr>
            <w:tcW w:w="72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15.6</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vMerge w:val="restart"/>
          </w:tcPr>
          <w:p>
            <w:pPr>
              <w:jc w:val="right"/>
              <w:ind w:right="126"/>
              <w:spacing w:after="0"/>
              <w:rPr>
                <w:sz w:val="20"/>
                <w:szCs w:val="20"/>
                <w:color w:val="auto"/>
              </w:rPr>
            </w:pPr>
            <w:r>
              <w:rPr>
                <w:rFonts w:ascii="Arial" w:cs="Arial" w:eastAsia="Arial" w:hAnsi="Arial"/>
                <w:sz w:val="11"/>
                <w:szCs w:val="11"/>
                <w:color w:val="auto"/>
              </w:rPr>
              <w:t>3.2</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30.1</w:t>
            </w:r>
          </w:p>
        </w:tc>
        <w:tc>
          <w:tcPr>
            <w:tcW w:w="60" w:type="dxa"/>
            <w:vAlign w:val="bottom"/>
          </w:tcPr>
          <w:p>
            <w:pPr>
              <w:spacing w:after="0"/>
              <w:rPr>
                <w:sz w:val="16"/>
                <w:szCs w:val="16"/>
                <w:color w:val="auto"/>
              </w:rPr>
            </w:pPr>
          </w:p>
        </w:tc>
        <w:tc>
          <w:tcPr>
            <w:tcW w:w="840" w:type="dxa"/>
            <w:vAlign w:val="bottom"/>
            <w:vMerge w:val="restart"/>
          </w:tcPr>
          <w:p>
            <w:pPr>
              <w:jc w:val="right"/>
              <w:ind w:right="166"/>
              <w:spacing w:after="0"/>
              <w:rPr>
                <w:sz w:val="20"/>
                <w:szCs w:val="20"/>
                <w:color w:val="auto"/>
              </w:rPr>
            </w:pPr>
            <w:r>
              <w:rPr>
                <w:rFonts w:ascii="Arial" w:cs="Arial" w:eastAsia="Arial" w:hAnsi="Arial"/>
                <w:sz w:val="11"/>
                <w:szCs w:val="11"/>
                <w:color w:val="auto"/>
              </w:rPr>
              <w:t>7.1</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26.4</w:t>
            </w:r>
          </w:p>
        </w:tc>
        <w:tc>
          <w:tcPr>
            <w:tcW w:w="60" w:type="dxa"/>
            <w:vAlign w:val="bottom"/>
          </w:tcPr>
          <w:p>
            <w:pPr>
              <w:spacing w:after="0"/>
              <w:rPr>
                <w:sz w:val="16"/>
                <w:szCs w:val="16"/>
                <w:color w:val="auto"/>
              </w:rPr>
            </w:pPr>
          </w:p>
        </w:tc>
        <w:tc>
          <w:tcPr>
            <w:tcW w:w="820" w:type="dxa"/>
            <w:vAlign w:val="bottom"/>
            <w:vMerge w:val="restart"/>
          </w:tcPr>
          <w:p>
            <w:pPr>
              <w:jc w:val="right"/>
              <w:ind w:right="146"/>
              <w:spacing w:after="0"/>
              <w:rPr>
                <w:sz w:val="20"/>
                <w:szCs w:val="20"/>
                <w:color w:val="auto"/>
              </w:rPr>
            </w:pPr>
            <w:r>
              <w:rPr>
                <w:rFonts w:ascii="Arial" w:cs="Arial" w:eastAsia="Arial" w:hAnsi="Arial"/>
                <w:sz w:val="11"/>
                <w:szCs w:val="11"/>
                <w:color w:val="auto"/>
              </w:rPr>
              <w:t>3.2</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vMerge w:val="restart"/>
          </w:tcPr>
          <w:p>
            <w:pPr>
              <w:jc w:val="right"/>
              <w:ind w:right="6"/>
              <w:spacing w:after="0"/>
              <w:rPr>
                <w:sz w:val="20"/>
                <w:szCs w:val="20"/>
                <w:color w:val="auto"/>
              </w:rPr>
            </w:pPr>
            <w:r>
              <w:rPr>
                <w:rFonts w:ascii="Arial" w:cs="Arial" w:eastAsia="Arial" w:hAnsi="Arial"/>
                <w:sz w:val="11"/>
                <w:szCs w:val="11"/>
                <w:color w:val="auto"/>
              </w:rPr>
              <w:t>35.0</w:t>
            </w:r>
          </w:p>
        </w:tc>
        <w:tc>
          <w:tcPr>
            <w:tcW w:w="40" w:type="dxa"/>
            <w:vAlign w:val="bottom"/>
          </w:tcPr>
          <w:p>
            <w:pPr>
              <w:spacing w:after="0"/>
              <w:rPr>
                <w:sz w:val="16"/>
                <w:szCs w:val="16"/>
                <w:color w:val="auto"/>
              </w:rPr>
            </w:pPr>
          </w:p>
        </w:tc>
        <w:tc>
          <w:tcPr>
            <w:tcW w:w="840" w:type="dxa"/>
            <w:vAlign w:val="bottom"/>
            <w:vMerge w:val="restart"/>
          </w:tcPr>
          <w:p>
            <w:pPr>
              <w:jc w:val="right"/>
              <w:ind w:right="146"/>
              <w:spacing w:after="0"/>
              <w:rPr>
                <w:sz w:val="20"/>
                <w:szCs w:val="20"/>
                <w:color w:val="auto"/>
              </w:rPr>
            </w:pPr>
            <w:r>
              <w:rPr>
                <w:rFonts w:ascii="Arial" w:cs="Arial" w:eastAsia="Arial" w:hAnsi="Arial"/>
                <w:sz w:val="11"/>
                <w:szCs w:val="11"/>
                <w:color w:val="auto"/>
              </w:rPr>
              <w:t>4.9</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280" w:type="dxa"/>
            <w:vAlign w:val="bottom"/>
          </w:tcPr>
          <w:p>
            <w:pPr>
              <w:ind w:left="80"/>
              <w:spacing w:after="0"/>
              <w:rPr>
                <w:sz w:val="20"/>
                <w:szCs w:val="20"/>
                <w:color w:val="auto"/>
              </w:rPr>
            </w:pPr>
            <w:r>
              <w:rPr>
                <w:rFonts w:ascii="Arial" w:cs="Arial" w:eastAsia="Arial" w:hAnsi="Arial"/>
                <w:sz w:val="11"/>
                <w:szCs w:val="11"/>
                <w:color w:val="auto"/>
              </w:rPr>
              <w:t>and Infrastructure</w:t>
            </w: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2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Oil and Gas</w:t>
            </w: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138.1</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22.2</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80.1</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21.7</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305.7</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22.7</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154.5</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21.2</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4"/>
        </w:trPr>
        <w:tc>
          <w:tcPr>
            <w:tcW w:w="1280" w:type="dxa"/>
            <w:vAlign w:val="bottom"/>
          </w:tcPr>
          <w:p>
            <w:pPr>
              <w:ind w:left="520"/>
              <w:spacing w:after="0"/>
              <w:rPr>
                <w:sz w:val="20"/>
                <w:szCs w:val="20"/>
                <w:color w:val="auto"/>
              </w:rPr>
            </w:pPr>
            <w:r>
              <w:rPr>
                <w:rFonts w:ascii="Arial" w:cs="Arial" w:eastAsia="Arial" w:hAnsi="Arial"/>
                <w:sz w:val="11"/>
                <w:szCs w:val="11"/>
                <w:color w:val="auto"/>
              </w:rPr>
              <w:t>Electrical</w:t>
            </w:r>
          </w:p>
        </w:tc>
        <w:tc>
          <w:tcPr>
            <w:tcW w:w="72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9.3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vMerge w:val="restart"/>
          </w:tcPr>
          <w:p>
            <w:pPr>
              <w:jc w:val="right"/>
              <w:ind w:right="126"/>
              <w:spacing w:after="0"/>
              <w:rPr>
                <w:sz w:val="20"/>
                <w:szCs w:val="20"/>
                <w:color w:val="auto"/>
              </w:rPr>
            </w:pPr>
            <w:r>
              <w:rPr>
                <w:rFonts w:ascii="Arial" w:cs="Arial" w:eastAsia="Arial" w:hAnsi="Arial"/>
                <w:sz w:val="11"/>
                <w:szCs w:val="11"/>
                <w:color w:val="auto"/>
              </w:rPr>
              <w:t>4.0</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(3.2)</w:t>
            </w:r>
          </w:p>
        </w:tc>
        <w:tc>
          <w:tcPr>
            <w:tcW w:w="60" w:type="dxa"/>
            <w:vAlign w:val="bottom"/>
          </w:tcPr>
          <w:p>
            <w:pPr>
              <w:spacing w:after="0"/>
              <w:rPr>
                <w:sz w:val="16"/>
                <w:szCs w:val="16"/>
                <w:color w:val="auto"/>
              </w:rPr>
            </w:pPr>
          </w:p>
        </w:tc>
        <w:tc>
          <w:tcPr>
            <w:tcW w:w="840" w:type="dxa"/>
            <w:vAlign w:val="bottom"/>
            <w:vMerge w:val="restart"/>
          </w:tcPr>
          <w:p>
            <w:pPr>
              <w:jc w:val="right"/>
              <w:ind w:right="126"/>
              <w:spacing w:after="0"/>
              <w:rPr>
                <w:sz w:val="20"/>
                <w:szCs w:val="20"/>
                <w:color w:val="auto"/>
              </w:rPr>
            </w:pPr>
            <w:r>
              <w:rPr>
                <w:rFonts w:ascii="Arial" w:cs="Arial" w:eastAsia="Arial" w:hAnsi="Arial"/>
                <w:sz w:val="11"/>
                <w:szCs w:val="11"/>
                <w:color w:val="auto"/>
              </w:rPr>
              <w:t>(2.6)</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12.9</w:t>
            </w:r>
          </w:p>
        </w:tc>
        <w:tc>
          <w:tcPr>
            <w:tcW w:w="60" w:type="dxa"/>
            <w:vAlign w:val="bottom"/>
          </w:tcPr>
          <w:p>
            <w:pPr>
              <w:spacing w:after="0"/>
              <w:rPr>
                <w:sz w:val="16"/>
                <w:szCs w:val="16"/>
                <w:color w:val="auto"/>
              </w:rPr>
            </w:pPr>
          </w:p>
        </w:tc>
        <w:tc>
          <w:tcPr>
            <w:tcW w:w="820" w:type="dxa"/>
            <w:vAlign w:val="bottom"/>
            <w:vMerge w:val="restart"/>
          </w:tcPr>
          <w:p>
            <w:pPr>
              <w:jc w:val="right"/>
              <w:ind w:right="146"/>
              <w:spacing w:after="0"/>
              <w:rPr>
                <w:sz w:val="20"/>
                <w:szCs w:val="20"/>
                <w:color w:val="auto"/>
              </w:rPr>
            </w:pPr>
            <w:r>
              <w:rPr>
                <w:rFonts w:ascii="Arial" w:cs="Arial" w:eastAsia="Arial" w:hAnsi="Arial"/>
                <w:sz w:val="11"/>
                <w:szCs w:val="11"/>
                <w:color w:val="auto"/>
              </w:rPr>
              <w:t>3.5</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vMerge w:val="restart"/>
          </w:tcPr>
          <w:p>
            <w:pPr>
              <w:jc w:val="right"/>
              <w:ind w:right="6"/>
              <w:spacing w:after="0"/>
              <w:rPr>
                <w:sz w:val="20"/>
                <w:szCs w:val="20"/>
                <w:color w:val="auto"/>
              </w:rPr>
            </w:pPr>
            <w:r>
              <w:rPr>
                <w:rFonts w:ascii="Arial" w:cs="Arial" w:eastAsia="Arial" w:hAnsi="Arial"/>
                <w:sz w:val="11"/>
                <w:szCs w:val="11"/>
                <w:color w:val="auto"/>
              </w:rPr>
              <w:t>5.1</w:t>
            </w:r>
          </w:p>
        </w:tc>
        <w:tc>
          <w:tcPr>
            <w:tcW w:w="40" w:type="dxa"/>
            <w:vAlign w:val="bottom"/>
          </w:tcPr>
          <w:p>
            <w:pPr>
              <w:spacing w:after="0"/>
              <w:rPr>
                <w:sz w:val="16"/>
                <w:szCs w:val="16"/>
                <w:color w:val="auto"/>
              </w:rPr>
            </w:pPr>
          </w:p>
        </w:tc>
        <w:tc>
          <w:tcPr>
            <w:tcW w:w="840" w:type="dxa"/>
            <w:vAlign w:val="bottom"/>
            <w:vMerge w:val="restart"/>
          </w:tcPr>
          <w:p>
            <w:pPr>
              <w:jc w:val="right"/>
              <w:ind w:right="146"/>
              <w:spacing w:after="0"/>
              <w:rPr>
                <w:sz w:val="20"/>
                <w:szCs w:val="20"/>
                <w:color w:val="auto"/>
              </w:rPr>
            </w:pPr>
            <w:r>
              <w:rPr>
                <w:rFonts w:ascii="Arial" w:cs="Arial" w:eastAsia="Arial" w:hAnsi="Arial"/>
                <w:sz w:val="11"/>
                <w:szCs w:val="11"/>
                <w:color w:val="auto"/>
              </w:rPr>
              <w:t>2.0</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280" w:type="dxa"/>
            <w:vAlign w:val="bottom"/>
          </w:tcPr>
          <w:p>
            <w:pPr>
              <w:ind w:left="80"/>
              <w:spacing w:after="0"/>
              <w:rPr>
                <w:sz w:val="20"/>
                <w:szCs w:val="20"/>
                <w:color w:val="auto"/>
              </w:rPr>
            </w:pPr>
            <w:r>
              <w:rPr>
                <w:rFonts w:ascii="Arial" w:cs="Arial" w:eastAsia="Arial" w:hAnsi="Arial"/>
                <w:sz w:val="11"/>
                <w:szCs w:val="11"/>
                <w:color w:val="auto"/>
              </w:rPr>
              <w:t>Transmission</w:t>
            </w: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2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Other</w:t>
            </w: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NM</w:t>
            </w: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NM</w:t>
            </w: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NM</w:t>
            </w: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14.9</w:t>
            </w: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Corporate</w:t>
            </w: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(48.2)</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(53.0)</w:t>
            </w:r>
          </w:p>
        </w:tc>
        <w:tc>
          <w:tcPr>
            <w:tcW w:w="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CCEEFF"/>
          </w:tcPr>
          <w:p>
            <w:pPr>
              <w:ind w:left="440"/>
              <w:spacing w:after="0"/>
              <w:rPr>
                <w:sz w:val="20"/>
                <w:szCs w:val="20"/>
                <w:color w:val="auto"/>
              </w:rPr>
            </w:pPr>
            <w:r>
              <w:rPr>
                <w:rFonts w:ascii="Arial" w:cs="Arial" w:eastAsia="Arial" w:hAnsi="Arial"/>
                <w:sz w:val="11"/>
                <w:szCs w:val="11"/>
                <w:color w:val="auto"/>
                <w:w w:val="95"/>
              </w:rPr>
              <w:t>Adjusted EBITDA</w:t>
            </w:r>
          </w:p>
        </w:tc>
        <w:tc>
          <w:tcPr>
            <w:tcW w:w="7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230.2</w:t>
            </w:r>
          </w:p>
        </w:tc>
        <w:tc>
          <w:tcPr>
            <w:tcW w:w="6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11.7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165.7</w:t>
            </w:r>
          </w:p>
        </w:tc>
        <w:tc>
          <w:tcPr>
            <w:tcW w:w="6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10.6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434.1</w:t>
            </w:r>
          </w:p>
        </w:tc>
        <w:tc>
          <w:tcPr>
            <w:tcW w:w="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11.6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283.7</w:t>
            </w:r>
          </w:p>
        </w:tc>
        <w:tc>
          <w:tcPr>
            <w:tcW w:w="4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9.5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NM - Percentage is not meaningful</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tables below reconcile reported net income and reported diluted earnings per share, the most directly comparable U.S. GAAP financial measures, to Adjusted Net Income and Adjusted Diluted Earnings Per Share.</w:t>
      </w: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1"/>
          <w:szCs w:val="1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721" w:right="239" w:bottom="1440" w:gutter="0" w:footer="0" w:header="0"/>
        </w:sectPr>
      </w:pPr>
    </w:p>
    <w:bookmarkStart w:id="34" w:name="page35"/>
    <w:bookmarkEnd w:id="34"/>
    <w:tbl>
      <w:tblPr>
        <w:tblLayout w:type="fixed"/>
        <w:tblInd w:w="8" w:type="dxa"/>
        <w:tblCellMar>
          <w:top w:w="0" w:type="dxa"/>
          <w:left w:w="0" w:type="dxa"/>
          <w:bottom w:w="0" w:type="dxa"/>
          <w:right w:w="0" w:type="dxa"/>
        </w:tblCellMar>
      </w:tblPr>
      <w:tr>
        <w:trPr>
          <w:trHeight w:val="142"/>
        </w:trPr>
        <w:tc>
          <w:tcPr>
            <w:tcW w:w="59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1"/>
                <w:szCs w:val="11"/>
                <w:b w:val="1"/>
                <w:bCs w:val="1"/>
                <w:color w:val="auto"/>
                <w:w w:val="89"/>
              </w:rPr>
              <w:t>For the Three Months Ended June 30,</w:t>
            </w: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2020</w:t>
            </w: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Income (in millions)</w:t>
            </w:r>
          </w:p>
        </w:tc>
        <w:tc>
          <w:tcPr>
            <w:tcW w:w="100" w:type="dxa"/>
            <w:vAlign w:val="bottom"/>
          </w:tcPr>
          <w:p>
            <w:pPr>
              <w:spacing w:after="0"/>
              <w:rPr>
                <w:sz w:val="8"/>
                <w:szCs w:val="8"/>
                <w:color w:val="auto"/>
              </w:rPr>
            </w:pPr>
          </w:p>
        </w:tc>
        <w:tc>
          <w:tcPr>
            <w:tcW w:w="1180" w:type="dxa"/>
            <w:vAlign w:val="bottom"/>
          </w:tcPr>
          <w:p>
            <w:pPr>
              <w:jc w:val="center"/>
              <w:ind w:right="66"/>
              <w:spacing w:after="0" w:line="100" w:lineRule="exact"/>
              <w:rPr>
                <w:sz w:val="20"/>
                <w:szCs w:val="20"/>
                <w:color w:val="auto"/>
              </w:rPr>
            </w:pPr>
            <w:r>
              <w:rPr>
                <w:rFonts w:ascii="Arial" w:cs="Arial" w:eastAsia="Arial" w:hAnsi="Arial"/>
                <w:sz w:val="11"/>
                <w:szCs w:val="11"/>
                <w:b w:val="1"/>
                <w:bCs w:val="1"/>
                <w:color w:val="auto"/>
                <w:w w:val="90"/>
              </w:rPr>
              <w:t>Diluted Earnings Per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Net Income (in millions)</w:t>
            </w:r>
          </w:p>
        </w:tc>
        <w:tc>
          <w:tcPr>
            <w:tcW w:w="100" w:type="dxa"/>
            <w:vAlign w:val="bottom"/>
          </w:tcPr>
          <w:p>
            <w:pPr>
              <w:spacing w:after="0"/>
              <w:rPr>
                <w:sz w:val="8"/>
                <w:szCs w:val="8"/>
                <w:color w:val="auto"/>
              </w:rPr>
            </w:pPr>
          </w:p>
        </w:tc>
        <w:tc>
          <w:tcPr>
            <w:tcW w:w="1180" w:type="dxa"/>
            <w:vAlign w:val="bottom"/>
          </w:tcPr>
          <w:p>
            <w:pPr>
              <w:jc w:val="center"/>
              <w:ind w:right="46"/>
              <w:spacing w:after="0" w:line="100" w:lineRule="exact"/>
              <w:rPr>
                <w:sz w:val="20"/>
                <w:szCs w:val="20"/>
                <w:color w:val="auto"/>
              </w:rPr>
            </w:pPr>
            <w:r>
              <w:rPr>
                <w:rFonts w:ascii="Arial" w:cs="Arial" w:eastAsia="Arial" w:hAnsi="Arial"/>
                <w:sz w:val="11"/>
                <w:szCs w:val="11"/>
                <w:b w:val="1"/>
                <w:bCs w:val="1"/>
                <w:color w:val="auto"/>
                <w:w w:val="92"/>
              </w:rPr>
              <w:t>Diluted Earnings Per</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Share</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Share</w:t>
            </w:r>
          </w:p>
        </w:tc>
        <w:tc>
          <w:tcPr>
            <w:tcW w:w="0" w:type="dxa"/>
            <w:vAlign w:val="bottom"/>
          </w:tcPr>
          <w:p>
            <w:pPr>
              <w:spacing w:after="0"/>
              <w:rPr>
                <w:sz w:val="1"/>
                <w:szCs w:val="1"/>
                <w:color w:val="auto"/>
              </w:rPr>
            </w:pPr>
          </w:p>
        </w:tc>
      </w:tr>
      <w:tr>
        <w:trPr>
          <w:trHeight w:val="135"/>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Reported U.S. GAAP measure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center"/>
              <w:ind w:left="826"/>
              <w:spacing w:after="0"/>
              <w:rPr>
                <w:sz w:val="20"/>
                <w:szCs w:val="20"/>
                <w:color w:val="auto"/>
              </w:rPr>
            </w:pPr>
            <w:r>
              <w:rPr>
                <w:rFonts w:ascii="Arial" w:cs="Arial" w:eastAsia="Arial" w:hAnsi="Arial"/>
                <w:sz w:val="11"/>
                <w:szCs w:val="11"/>
                <w:color w:val="auto"/>
                <w:w w:val="83"/>
              </w:rPr>
              <w:t>1.02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56.8</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0.78</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20"/>
                <w:szCs w:val="20"/>
                <w:color w:val="auto"/>
              </w:rPr>
            </w:pPr>
            <w:r>
              <w:rPr>
                <w:rFonts w:ascii="Arial" w:cs="Arial" w:eastAsia="Arial" w:hAnsi="Arial"/>
                <w:sz w:val="11"/>
                <w:szCs w:val="11"/>
                <w:color w:val="auto"/>
              </w:rPr>
              <w:t>Adjustments:</w:t>
            </w: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4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 expense</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826"/>
              <w:spacing w:after="0"/>
              <w:rPr>
                <w:sz w:val="20"/>
                <w:szCs w:val="20"/>
                <w:color w:val="auto"/>
              </w:rPr>
            </w:pPr>
            <w:r>
              <w:rPr>
                <w:rFonts w:ascii="Arial" w:cs="Arial" w:eastAsia="Arial" w:hAnsi="Arial"/>
                <w:sz w:val="11"/>
                <w:szCs w:val="11"/>
                <w:color w:val="auto"/>
                <w:w w:val="83"/>
              </w:rPr>
              <w:t>0.08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0.08</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Amortization of intangible assets</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left="826"/>
              <w:spacing w:after="0"/>
              <w:rPr>
                <w:sz w:val="20"/>
                <w:szCs w:val="20"/>
                <w:color w:val="auto"/>
              </w:rPr>
            </w:pPr>
            <w:r>
              <w:rPr>
                <w:rFonts w:ascii="Arial" w:cs="Arial" w:eastAsia="Arial" w:hAnsi="Arial"/>
                <w:sz w:val="11"/>
                <w:szCs w:val="11"/>
                <w:color w:val="auto"/>
                <w:w w:val="83"/>
              </w:rPr>
              <w:t>0.27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0.13</w:t>
            </w: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rPr>
                <w:sz w:val="20"/>
                <w:szCs w:val="20"/>
                <w:color w:val="auto"/>
              </w:rPr>
            </w:pPr>
            <w:r>
              <w:rPr>
                <w:rFonts w:ascii="Arial" w:cs="Arial" w:eastAsia="Arial" w:hAnsi="Arial"/>
                <w:sz w:val="11"/>
                <w:szCs w:val="11"/>
                <w:color w:val="auto"/>
              </w:rPr>
              <w:t>Total adjustments, pre-tax</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center"/>
              <w:ind w:left="826"/>
              <w:spacing w:after="0"/>
              <w:rPr>
                <w:sz w:val="20"/>
                <w:szCs w:val="20"/>
                <w:color w:val="auto"/>
              </w:rPr>
            </w:pPr>
            <w:r>
              <w:rPr>
                <w:rFonts w:ascii="Arial" w:cs="Arial" w:eastAsia="Arial" w:hAnsi="Arial"/>
                <w:sz w:val="11"/>
                <w:szCs w:val="11"/>
                <w:color w:val="auto"/>
                <w:w w:val="83"/>
              </w:rPr>
              <w:t>0.35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0" w:type="dxa"/>
            <w:vAlign w:val="bottom"/>
          </w:tcPr>
          <w:p>
            <w:pPr>
              <w:spacing w:after="0"/>
              <w:rPr>
                <w:sz w:val="1"/>
                <w:szCs w:val="1"/>
                <w:color w:val="auto"/>
              </w:rPr>
            </w:pPr>
          </w:p>
        </w:tc>
      </w:tr>
      <w:tr>
        <w:trPr>
          <w:trHeight w:val="171"/>
        </w:trPr>
        <w:tc>
          <w:tcPr>
            <w:tcW w:w="5940" w:type="dxa"/>
            <w:vAlign w:val="bottom"/>
          </w:tcPr>
          <w:p>
            <w:pPr>
              <w:ind w:left="80"/>
              <w:spacing w:after="0"/>
              <w:rPr>
                <w:sz w:val="20"/>
                <w:szCs w:val="20"/>
                <w:color w:val="auto"/>
              </w:rPr>
            </w:pPr>
            <w:r>
              <w:rPr>
                <w:rFonts w:ascii="Arial" w:cs="Arial" w:eastAsia="Arial" w:hAnsi="Arial"/>
                <w:sz w:val="11"/>
                <w:szCs w:val="11"/>
                <w:color w:val="auto"/>
              </w:rPr>
              <w:t xml:space="preserve">Income tax effect of adjustments </w:t>
            </w:r>
            <w:r>
              <w:rPr>
                <w:rFonts w:ascii="Arial" w:cs="Arial" w:eastAsia="Arial" w:hAnsi="Arial"/>
                <w:sz w:val="14"/>
                <w:szCs w:val="14"/>
                <w:color w:val="auto"/>
                <w:vertAlign w:val="superscript"/>
              </w:rPr>
              <w:t>(a)</w:t>
            </w: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826"/>
              <w:spacing w:after="0"/>
              <w:rPr>
                <w:sz w:val="20"/>
                <w:szCs w:val="20"/>
                <w:color w:val="auto"/>
              </w:rPr>
            </w:pPr>
            <w:r>
              <w:rPr>
                <w:rFonts w:ascii="Arial" w:cs="Arial" w:eastAsia="Arial" w:hAnsi="Arial"/>
                <w:sz w:val="11"/>
                <w:szCs w:val="11"/>
                <w:color w:val="auto"/>
                <w:w w:val="90"/>
              </w:rPr>
              <w:t>(0.08)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(0.05)</w:t>
            </w:r>
          </w:p>
        </w:tc>
        <w:tc>
          <w:tcPr>
            <w:tcW w:w="0" w:type="dxa"/>
            <w:vAlign w:val="bottom"/>
          </w:tcPr>
          <w:p>
            <w:pPr>
              <w:spacing w:after="0"/>
              <w:rPr>
                <w:sz w:val="1"/>
                <w:szCs w:val="1"/>
                <w:color w:val="auto"/>
              </w:rPr>
            </w:pPr>
          </w:p>
        </w:tc>
      </w:tr>
      <w:tr>
        <w:trPr>
          <w:trHeight w:val="171"/>
        </w:trPr>
        <w:tc>
          <w:tcPr>
            <w:tcW w:w="5940" w:type="dxa"/>
            <w:vAlign w:val="bottom"/>
            <w:shd w:val="clear" w:color="auto" w:fill="CCEEFF"/>
          </w:tcPr>
          <w:p>
            <w:pPr>
              <w:ind w:left="80"/>
              <w:spacing w:after="0"/>
              <w:rPr>
                <w:sz w:val="20"/>
                <w:szCs w:val="20"/>
                <w:color w:val="auto"/>
              </w:rPr>
            </w:pPr>
            <w:r>
              <w:rPr>
                <w:rFonts w:ascii="Arial" w:cs="Arial" w:eastAsia="Arial" w:hAnsi="Arial"/>
                <w:sz w:val="11"/>
                <w:szCs w:val="11"/>
                <w:color w:val="auto"/>
              </w:rPr>
              <w:t xml:space="preserve">Statutory tax rate effects </w:t>
            </w:r>
            <w:r>
              <w:rPr>
                <w:rFonts w:ascii="Arial" w:cs="Arial" w:eastAsia="Arial" w:hAnsi="Arial"/>
                <w:sz w:val="14"/>
                <w:szCs w:val="14"/>
                <w:color w:val="auto"/>
                <w:vertAlign w:val="superscript"/>
              </w:rPr>
              <w:t>(b)</w:t>
            </w: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left="826"/>
              <w:spacing w:after="0"/>
              <w:rPr>
                <w:sz w:val="20"/>
                <w:szCs w:val="20"/>
                <w:color w:val="auto"/>
              </w:rPr>
            </w:pPr>
            <w:r>
              <w:rPr>
                <w:rFonts w:ascii="Arial" w:cs="Arial" w:eastAsia="Arial" w:hAnsi="Arial"/>
                <w:sz w:val="11"/>
                <w:szCs w:val="11"/>
                <w:color w:val="auto"/>
                <w:w w:val="83"/>
              </w:rPr>
              <w:t>0.01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20"/>
                <w:szCs w:val="20"/>
                <w:color w:val="auto"/>
              </w:rPr>
            </w:pPr>
            <w:r>
              <w:rPr>
                <w:rFonts w:ascii="Arial" w:cs="Arial" w:eastAsia="Arial" w:hAnsi="Arial"/>
                <w:sz w:val="11"/>
                <w:szCs w:val="11"/>
                <w:color w:val="auto"/>
              </w:rPr>
              <w:t>Adjusted non-U.S. GAAP measure</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96.7</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center"/>
              <w:ind w:left="826"/>
              <w:spacing w:after="0"/>
              <w:rPr>
                <w:sz w:val="20"/>
                <w:szCs w:val="20"/>
                <w:color w:val="auto"/>
              </w:rPr>
            </w:pPr>
            <w:r>
              <w:rPr>
                <w:rFonts w:ascii="Arial" w:cs="Arial" w:eastAsia="Arial" w:hAnsi="Arial"/>
                <w:sz w:val="11"/>
                <w:szCs w:val="11"/>
                <w:color w:val="auto"/>
                <w:w w:val="83"/>
              </w:rPr>
              <w:t>1.30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69.0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0.95</w:t>
            </w:r>
          </w:p>
        </w:tc>
        <w:tc>
          <w:tcPr>
            <w:tcW w:w="0" w:type="dxa"/>
            <w:vAlign w:val="bottom"/>
          </w:tcPr>
          <w:p>
            <w:pPr>
              <w:spacing w:after="0"/>
              <w:rPr>
                <w:sz w:val="1"/>
                <w:szCs w:val="1"/>
                <w:color w:val="auto"/>
              </w:rPr>
            </w:pPr>
          </w:p>
        </w:tc>
      </w:tr>
      <w:tr>
        <w:trPr>
          <w:trHeight w:val="305"/>
        </w:trPr>
        <w:tc>
          <w:tcPr>
            <w:tcW w:w="59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1"/>
                <w:szCs w:val="11"/>
                <w:b w:val="1"/>
                <w:bCs w:val="1"/>
                <w:color w:val="auto"/>
                <w:w w:val="89"/>
              </w:rPr>
              <w:t>For the Six Months Ended June 30,</w:t>
            </w: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2020</w:t>
            </w: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Income (in millions)</w:t>
            </w:r>
          </w:p>
        </w:tc>
        <w:tc>
          <w:tcPr>
            <w:tcW w:w="100" w:type="dxa"/>
            <w:vAlign w:val="bottom"/>
          </w:tcPr>
          <w:p>
            <w:pPr>
              <w:spacing w:after="0"/>
              <w:rPr>
                <w:sz w:val="8"/>
                <w:szCs w:val="8"/>
                <w:color w:val="auto"/>
              </w:rPr>
            </w:pPr>
          </w:p>
        </w:tc>
        <w:tc>
          <w:tcPr>
            <w:tcW w:w="1180" w:type="dxa"/>
            <w:vAlign w:val="bottom"/>
          </w:tcPr>
          <w:p>
            <w:pPr>
              <w:jc w:val="center"/>
              <w:ind w:right="66"/>
              <w:spacing w:after="0" w:line="100" w:lineRule="exact"/>
              <w:rPr>
                <w:sz w:val="20"/>
                <w:szCs w:val="20"/>
                <w:color w:val="auto"/>
              </w:rPr>
            </w:pPr>
            <w:r>
              <w:rPr>
                <w:rFonts w:ascii="Arial" w:cs="Arial" w:eastAsia="Arial" w:hAnsi="Arial"/>
                <w:sz w:val="11"/>
                <w:szCs w:val="11"/>
                <w:b w:val="1"/>
                <w:bCs w:val="1"/>
                <w:color w:val="auto"/>
                <w:w w:val="90"/>
              </w:rPr>
              <w:t>Diluted Earnings Per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Net Income (in millions)</w:t>
            </w:r>
          </w:p>
        </w:tc>
        <w:tc>
          <w:tcPr>
            <w:tcW w:w="100" w:type="dxa"/>
            <w:vAlign w:val="bottom"/>
          </w:tcPr>
          <w:p>
            <w:pPr>
              <w:spacing w:after="0"/>
              <w:rPr>
                <w:sz w:val="8"/>
                <w:szCs w:val="8"/>
                <w:color w:val="auto"/>
              </w:rPr>
            </w:pPr>
          </w:p>
        </w:tc>
        <w:tc>
          <w:tcPr>
            <w:tcW w:w="1180" w:type="dxa"/>
            <w:vAlign w:val="bottom"/>
          </w:tcPr>
          <w:p>
            <w:pPr>
              <w:jc w:val="center"/>
              <w:ind w:right="46"/>
              <w:spacing w:after="0" w:line="100" w:lineRule="exact"/>
              <w:rPr>
                <w:sz w:val="20"/>
                <w:szCs w:val="20"/>
                <w:color w:val="auto"/>
              </w:rPr>
            </w:pPr>
            <w:r>
              <w:rPr>
                <w:rFonts w:ascii="Arial" w:cs="Arial" w:eastAsia="Arial" w:hAnsi="Arial"/>
                <w:sz w:val="11"/>
                <w:szCs w:val="11"/>
                <w:b w:val="1"/>
                <w:bCs w:val="1"/>
                <w:color w:val="auto"/>
                <w:w w:val="92"/>
              </w:rPr>
              <w:t>Diluted Earnings Per</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Share</w:t>
            </w: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Share</w:t>
            </w:r>
          </w:p>
        </w:tc>
        <w:tc>
          <w:tcPr>
            <w:tcW w:w="0" w:type="dxa"/>
            <w:vAlign w:val="bottom"/>
          </w:tcPr>
          <w:p>
            <w:pPr>
              <w:spacing w:after="0"/>
              <w:rPr>
                <w:sz w:val="1"/>
                <w:szCs w:val="1"/>
                <w:color w:val="auto"/>
              </w:rPr>
            </w:pPr>
          </w:p>
        </w:tc>
      </w:tr>
      <w:tr>
        <w:trPr>
          <w:trHeight w:val="135"/>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Reported U.S. GAAP measure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center"/>
              <w:ind w:left="826"/>
              <w:spacing w:after="0"/>
              <w:rPr>
                <w:sz w:val="20"/>
                <w:szCs w:val="20"/>
                <w:color w:val="auto"/>
              </w:rPr>
            </w:pPr>
            <w:r>
              <w:rPr>
                <w:rFonts w:ascii="Arial" w:cs="Arial" w:eastAsia="Arial" w:hAnsi="Arial"/>
                <w:sz w:val="11"/>
                <w:szCs w:val="11"/>
                <w:color w:val="auto"/>
                <w:w w:val="83"/>
              </w:rPr>
              <w:t>1.91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92.9</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20"/>
                <w:szCs w:val="20"/>
                <w:color w:val="auto"/>
              </w:rPr>
            </w:pPr>
            <w:r>
              <w:rPr>
                <w:rFonts w:ascii="Arial" w:cs="Arial" w:eastAsia="Arial" w:hAnsi="Arial"/>
                <w:sz w:val="11"/>
                <w:szCs w:val="11"/>
                <w:color w:val="auto"/>
              </w:rPr>
              <w:t>Adjustments:</w:t>
            </w: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4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stock-based compensation expense</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826"/>
              <w:spacing w:after="0"/>
              <w:rPr>
                <w:sz w:val="20"/>
                <w:szCs w:val="20"/>
                <w:color w:val="auto"/>
              </w:rPr>
            </w:pPr>
            <w:r>
              <w:rPr>
                <w:rFonts w:ascii="Arial" w:cs="Arial" w:eastAsia="Arial" w:hAnsi="Arial"/>
                <w:sz w:val="11"/>
                <w:szCs w:val="11"/>
                <w:color w:val="auto"/>
                <w:w w:val="83"/>
              </w:rPr>
              <w:t>0.16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Amortization of intangible assets</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left="826"/>
              <w:spacing w:after="0"/>
              <w:rPr>
                <w:sz w:val="20"/>
                <w:szCs w:val="20"/>
                <w:color w:val="auto"/>
              </w:rPr>
            </w:pPr>
            <w:r>
              <w:rPr>
                <w:rFonts w:ascii="Arial" w:cs="Arial" w:eastAsia="Arial" w:hAnsi="Arial"/>
                <w:sz w:val="11"/>
                <w:szCs w:val="11"/>
                <w:color w:val="auto"/>
                <w:w w:val="83"/>
              </w:rPr>
              <w:t>0.42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0.23</w:t>
            </w:r>
          </w:p>
        </w:tc>
        <w:tc>
          <w:tcPr>
            <w:tcW w:w="0" w:type="dxa"/>
            <w:vAlign w:val="bottom"/>
          </w:tcPr>
          <w:p>
            <w:pPr>
              <w:spacing w:after="0"/>
              <w:rPr>
                <w:sz w:val="1"/>
                <w:szCs w:val="1"/>
                <w:color w:val="auto"/>
              </w:rPr>
            </w:pPr>
          </w:p>
        </w:tc>
      </w:tr>
      <w:tr>
        <w:trPr>
          <w:trHeight w:val="135"/>
        </w:trPr>
        <w:tc>
          <w:tcPr>
            <w:tcW w:w="5940" w:type="dxa"/>
            <w:vAlign w:val="bottom"/>
            <w:shd w:val="clear" w:color="auto" w:fill="CCEEFF"/>
          </w:tcPr>
          <w:p>
            <w:pPr>
              <w:spacing w:after="0"/>
              <w:rPr>
                <w:sz w:val="20"/>
                <w:szCs w:val="20"/>
                <w:color w:val="auto"/>
              </w:rPr>
            </w:pPr>
            <w:r>
              <w:rPr>
                <w:rFonts w:ascii="Arial" w:cs="Arial" w:eastAsia="Arial" w:hAnsi="Arial"/>
                <w:sz w:val="11"/>
                <w:szCs w:val="11"/>
                <w:color w:val="auto"/>
              </w:rPr>
              <w:t>Total adjustments, pre-tax</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center"/>
              <w:ind w:left="826"/>
              <w:spacing w:after="0"/>
              <w:rPr>
                <w:sz w:val="20"/>
                <w:szCs w:val="20"/>
                <w:color w:val="auto"/>
              </w:rPr>
            </w:pPr>
            <w:r>
              <w:rPr>
                <w:rFonts w:ascii="Arial" w:cs="Arial" w:eastAsia="Arial" w:hAnsi="Arial"/>
                <w:sz w:val="11"/>
                <w:szCs w:val="11"/>
                <w:color w:val="auto"/>
                <w:w w:val="83"/>
              </w:rPr>
              <w:t>0.58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0.37</w:t>
            </w:r>
          </w:p>
        </w:tc>
        <w:tc>
          <w:tcPr>
            <w:tcW w:w="0" w:type="dxa"/>
            <w:vAlign w:val="bottom"/>
          </w:tcPr>
          <w:p>
            <w:pPr>
              <w:spacing w:after="0"/>
              <w:rPr>
                <w:sz w:val="1"/>
                <w:szCs w:val="1"/>
                <w:color w:val="auto"/>
              </w:rPr>
            </w:pPr>
          </w:p>
        </w:tc>
      </w:tr>
      <w:tr>
        <w:trPr>
          <w:trHeight w:val="144"/>
        </w:trPr>
        <w:tc>
          <w:tcPr>
            <w:tcW w:w="5940" w:type="dxa"/>
            <w:vAlign w:val="bottom"/>
          </w:tcPr>
          <w:p>
            <w:pPr>
              <w:ind w:left="80"/>
              <w:spacing w:after="0" w:line="145" w:lineRule="exact"/>
              <w:rPr>
                <w:sz w:val="20"/>
                <w:szCs w:val="20"/>
                <w:color w:val="auto"/>
              </w:rPr>
            </w:pPr>
            <w:r>
              <w:rPr>
                <w:rFonts w:ascii="Arial" w:cs="Arial" w:eastAsia="Arial" w:hAnsi="Arial"/>
                <w:sz w:val="11"/>
                <w:szCs w:val="11"/>
                <w:color w:val="auto"/>
              </w:rPr>
              <w:t xml:space="preserve">Income tax effect of adjustments </w:t>
            </w:r>
            <w:r>
              <w:rPr>
                <w:rFonts w:ascii="Arial" w:cs="Arial" w:eastAsia="Arial" w:hAnsi="Arial"/>
                <w:sz w:val="14"/>
                <w:szCs w:val="14"/>
                <w:color w:val="auto"/>
                <w:vertAlign w:val="superscript"/>
              </w:rPr>
              <w:t>(a)</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826"/>
              <w:spacing w:after="0"/>
              <w:rPr>
                <w:sz w:val="20"/>
                <w:szCs w:val="20"/>
                <w:color w:val="auto"/>
              </w:rPr>
            </w:pPr>
            <w:r>
              <w:rPr>
                <w:rFonts w:ascii="Arial" w:cs="Arial" w:eastAsia="Arial" w:hAnsi="Arial"/>
                <w:sz w:val="11"/>
                <w:szCs w:val="11"/>
                <w:color w:val="auto"/>
                <w:w w:val="90"/>
              </w:rPr>
              <w:t>(0.10)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(0.08)</w:t>
            </w: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ind w:left="80"/>
              <w:spacing w:after="0" w:line="145" w:lineRule="exact"/>
              <w:rPr>
                <w:sz w:val="20"/>
                <w:szCs w:val="20"/>
                <w:color w:val="auto"/>
              </w:rPr>
            </w:pPr>
            <w:r>
              <w:rPr>
                <w:rFonts w:ascii="Arial" w:cs="Arial" w:eastAsia="Arial" w:hAnsi="Arial"/>
                <w:sz w:val="11"/>
                <w:szCs w:val="11"/>
                <w:color w:val="auto"/>
              </w:rPr>
              <w:t xml:space="preserve">Statutory tax rate effects </w:t>
            </w:r>
            <w:r>
              <w:rPr>
                <w:rFonts w:ascii="Arial" w:cs="Arial" w:eastAsia="Arial" w:hAnsi="Arial"/>
                <w:sz w:val="14"/>
                <w:szCs w:val="14"/>
                <w:color w:val="auto"/>
                <w:vertAlign w:val="superscript"/>
              </w:rPr>
              <w:t>(b)</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826"/>
              <w:spacing w:after="0"/>
              <w:rPr>
                <w:sz w:val="20"/>
                <w:szCs w:val="20"/>
                <w:color w:val="auto"/>
              </w:rPr>
            </w:pPr>
            <w:r>
              <w:rPr>
                <w:rFonts w:ascii="Arial" w:cs="Arial" w:eastAsia="Arial" w:hAnsi="Arial"/>
                <w:sz w:val="11"/>
                <w:szCs w:val="11"/>
                <w:color w:val="auto"/>
                <w:w w:val="83"/>
              </w:rPr>
              <w:t>0.02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5940" w:type="dxa"/>
            <w:vAlign w:val="bottom"/>
          </w:tcPr>
          <w:p>
            <w:pPr>
              <w:spacing w:after="0"/>
              <w:rPr>
                <w:sz w:val="20"/>
                <w:szCs w:val="20"/>
                <w:color w:val="auto"/>
              </w:rPr>
            </w:pPr>
            <w:r>
              <w:rPr>
                <w:rFonts w:ascii="Arial" w:cs="Arial" w:eastAsia="Arial" w:hAnsi="Arial"/>
                <w:sz w:val="11"/>
                <w:szCs w:val="11"/>
                <w:color w:val="auto"/>
              </w:rPr>
              <w:t>Adjusted non-U.S. GAAP measure</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178.8</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center"/>
              <w:ind w:left="826"/>
              <w:spacing w:after="0"/>
              <w:rPr>
                <w:sz w:val="20"/>
                <w:szCs w:val="20"/>
                <w:color w:val="auto"/>
              </w:rPr>
            </w:pPr>
            <w:r>
              <w:rPr>
                <w:rFonts w:ascii="Arial" w:cs="Arial" w:eastAsia="Arial" w:hAnsi="Arial"/>
                <w:sz w:val="11"/>
                <w:szCs w:val="11"/>
                <w:color w:val="auto"/>
                <w:w w:val="83"/>
              </w:rPr>
              <w:t>2.41</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113.8</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208" w:hanging="208"/>
        <w:spacing w:after="0" w:line="232" w:lineRule="auto"/>
        <w:tabs>
          <w:tab w:leader="none" w:pos="198" w:val="left"/>
        </w:tabs>
        <w:numPr>
          <w:ilvl w:val="0"/>
          <w:numId w:val="9"/>
        </w:numPr>
        <w:rPr>
          <w:rFonts w:ascii="Arial" w:cs="Arial" w:eastAsia="Arial" w:hAnsi="Arial"/>
          <w:sz w:val="10"/>
          <w:szCs w:val="10"/>
          <w:color w:val="auto"/>
        </w:rPr>
      </w:pPr>
      <w:r>
        <w:rPr>
          <w:rFonts w:ascii="Arial" w:cs="Arial" w:eastAsia="Arial" w:hAnsi="Arial"/>
          <w:sz w:val="10"/>
          <w:szCs w:val="10"/>
          <w:color w:val="auto"/>
        </w:rPr>
        <w:t>Represents the tax effect of the adjusted items that are subject to tax, including the tax effects of non-cash stock-based compensation expense, which for the six month periods ended June 30, 2021 and 2020, included net tax benefits of $0.1 million and net tax deficiencies of $0.2 million, respectively, from the vesting of share-based payment awards. Tax effects are determined based on the tax treatment of the related item, the incremental statutory tax rate of the jurisdictions pertaining to the adjustment, and their effect on pre-tax income. For the three and six month periods ended June 30, 2021, our consolidated effective tax rates, as reported, were 26.3% and 28.4%, respectively, and as adjusted, were 24.9% and 25.8%, respectively. For the three and six month periods ended June 30, 2020, our consolidated effective tax rates, as reported, were 26.7% and 18.6%, respectively, and as adjusted, were 26.0% and 19.3%, respectively.</w:t>
      </w:r>
    </w:p>
    <w:p>
      <w:pPr>
        <w:spacing w:after="0" w:line="6" w:lineRule="exact"/>
        <w:rPr>
          <w:rFonts w:ascii="Arial" w:cs="Arial" w:eastAsia="Arial" w:hAnsi="Arial"/>
          <w:sz w:val="10"/>
          <w:szCs w:val="10"/>
          <w:color w:val="auto"/>
        </w:rPr>
      </w:pPr>
    </w:p>
    <w:p>
      <w:pPr>
        <w:ind w:left="208" w:hanging="208"/>
        <w:spacing w:after="0"/>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For the three and six month periods ended June 30, 2021, includes the effect of changes in certain state tax rates.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Financial Condition, Liquidity and Capital Resources</w:t>
      </w:r>
    </w:p>
    <w:p>
      <w:pPr>
        <w:spacing w:after="0" w:line="76" w:lineRule="exact"/>
        <w:rPr>
          <w:sz w:val="20"/>
          <w:szCs w:val="20"/>
          <w:color w:val="auto"/>
        </w:rPr>
      </w:pPr>
    </w:p>
    <w:p>
      <w:pPr>
        <w:jc w:val="both"/>
        <w:ind w:left="8" w:firstLine="433"/>
        <w:spacing w:after="0" w:line="245" w:lineRule="auto"/>
        <w:rPr>
          <w:sz w:val="20"/>
          <w:szCs w:val="20"/>
          <w:color w:val="auto"/>
        </w:rPr>
      </w:pPr>
      <w:r>
        <w:rPr>
          <w:rFonts w:ascii="Arial" w:cs="Arial" w:eastAsia="Arial" w:hAnsi="Arial"/>
          <w:sz w:val="11"/>
          <w:szCs w:val="11"/>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investments and other arrangements from time to time, and we may consider opportunities to borrow additional funds, which may include borrowings under our Credit Facility or debt issuances, or to refinance or retire outstanding debt, or repurchase additional shares of our outstanding common stock in the future under share repurchase authorizations, any of which may require our use of cash.</w:t>
      </w:r>
    </w:p>
    <w:p>
      <w:pPr>
        <w:spacing w:after="0" w:line="61" w:lineRule="exact"/>
        <w:rPr>
          <w:sz w:val="20"/>
          <w:szCs w:val="20"/>
          <w:color w:val="auto"/>
        </w:rPr>
      </w:pPr>
    </w:p>
    <w:p>
      <w:pPr>
        <w:jc w:val="both"/>
        <w:ind w:left="8" w:firstLine="433"/>
        <w:spacing w:after="0" w:line="285" w:lineRule="auto"/>
        <w:rPr>
          <w:sz w:val="20"/>
          <w:szCs w:val="20"/>
          <w:color w:val="auto"/>
        </w:rPr>
      </w:pPr>
      <w:r>
        <w:rPr>
          <w:rFonts w:ascii="Arial" w:cs="Arial" w:eastAsia="Arial" w:hAnsi="Arial"/>
          <w:sz w:val="10"/>
          <w:szCs w:val="10"/>
          <w:b w:val="1"/>
          <w:bCs w:val="1"/>
          <w:i w:val="1"/>
          <w:iCs w:val="1"/>
          <w:color w:val="auto"/>
        </w:rPr>
        <w:t>Capital Expenditures</w:t>
      </w:r>
      <w:r>
        <w:rPr>
          <w:rFonts w:ascii="Arial" w:cs="Arial" w:eastAsia="Arial" w:hAnsi="Arial"/>
          <w:sz w:val="10"/>
          <w:szCs w:val="10"/>
          <w:i w:val="1"/>
          <w:i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For the six month period ended June 30, 2021, we spent approximately $97 million on capital expenditures, or $84 million, net of asset disposals, and incurred approximately $99 million of equipment purchases under finance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leases. We estimate that we will spend approximately $170 million on capital expenditures, or approximately $120 million, net of asset disposals, in 2021, and expect to incur approximately $160 million to $180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37" w:lineRule="exact"/>
        <w:rPr>
          <w:sz w:val="20"/>
          <w:szCs w:val="20"/>
          <w:color w:val="auto"/>
        </w:rPr>
      </w:pPr>
    </w:p>
    <w:p>
      <w:pPr>
        <w:jc w:val="both"/>
        <w:ind w:left="8" w:firstLine="433"/>
        <w:spacing w:after="0" w:line="321" w:lineRule="auto"/>
        <w:rPr>
          <w:sz w:val="20"/>
          <w:szCs w:val="20"/>
          <w:color w:val="auto"/>
        </w:rPr>
      </w:pPr>
      <w:r>
        <w:rPr>
          <w:rFonts w:ascii="Arial" w:cs="Arial" w:eastAsia="Arial" w:hAnsi="Arial"/>
          <w:sz w:val="9"/>
          <w:szCs w:val="9"/>
          <w:b w:val="1"/>
          <w:bCs w:val="1"/>
          <w:i w:val="1"/>
          <w:iCs w:val="1"/>
          <w:color w:val="auto"/>
        </w:rPr>
        <w:t>Acquisitions and Earn-out Liabilities</w:t>
      </w:r>
      <w:r>
        <w:rPr>
          <w:rFonts w:ascii="Arial" w:cs="Arial" w:eastAsia="Arial" w:hAnsi="Arial"/>
          <w:sz w:val="9"/>
          <w:szCs w:val="9"/>
          <w:b w:val="1"/>
          <w:bCs w:val="1"/>
          <w:color w:val="auto"/>
        </w:rPr>
        <w:t>.</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We typically utilize cash for business acquisitions and other strategic arrangements, and for the six month period ended June 30, 2021, we used $589 million of cash for this purpose. In addition, in most of our</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liabilities as of June 30, 2021 was approximately $120 million. Of this amount, $17 million represents the liability for earned amounts. The remainder is management’s estimate of Earn-out liabilities that are contingent upon future performance. For the six month periods ended June 30, 2021 and 2020, we made Earn-out payments of $46 million and $50 million, respectively.</w:t>
      </w:r>
    </w:p>
    <w:p>
      <w:pPr>
        <w:spacing w:after="0" w:line="28" w:lineRule="exact"/>
        <w:rPr>
          <w:sz w:val="20"/>
          <w:szCs w:val="20"/>
          <w:color w:val="auto"/>
        </w:rPr>
      </w:pPr>
    </w:p>
    <w:p>
      <w:pPr>
        <w:jc w:val="both"/>
        <w:ind w:left="8" w:right="20" w:firstLine="433"/>
        <w:spacing w:after="0" w:line="258" w:lineRule="auto"/>
        <w:rPr>
          <w:sz w:val="20"/>
          <w:szCs w:val="20"/>
          <w:color w:val="auto"/>
        </w:rPr>
      </w:pPr>
      <w:r>
        <w:rPr>
          <w:rFonts w:ascii="Arial" w:cs="Arial" w:eastAsia="Arial" w:hAnsi="Arial"/>
          <w:sz w:val="11"/>
          <w:szCs w:val="11"/>
          <w:b w:val="1"/>
          <w:bCs w:val="1"/>
          <w:i w:val="1"/>
          <w:iCs w:val="1"/>
          <w:color w:val="auto"/>
        </w:rPr>
        <w:t xml:space="preserve">Income Taxes. </w:t>
      </w:r>
      <w:r>
        <w:rPr>
          <w:rFonts w:ascii="Arial" w:cs="Arial" w:eastAsia="Arial" w:hAnsi="Arial"/>
          <w:sz w:val="11"/>
          <w:szCs w:val="11"/>
          <w:color w:val="auto"/>
        </w:rPr>
        <w:t>For the six month period ended June 30, 2021, tax payments, net of tax refunds, were $61 million. For the six month period ended June 30, 2020, tax payments, net of tax refunds were $1 million, which included the benefit of tax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payment deferrals of approximately</w:t>
      </w: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35" w:right="299" w:bottom="1440" w:gutter="0" w:footer="0" w:header="0"/>
        </w:sectPr>
      </w:pPr>
    </w:p>
    <w:bookmarkStart w:id="35" w:name="page36"/>
    <w:bookmarkEnd w:id="35"/>
    <w:p>
      <w:pPr>
        <w:spacing w:after="0"/>
        <w:rPr>
          <w:sz w:val="20"/>
          <w:szCs w:val="20"/>
          <w:color w:val="auto"/>
        </w:rPr>
      </w:pPr>
      <w:r>
        <w:rPr>
          <w:rFonts w:ascii="Arial" w:cs="Arial" w:eastAsia="Arial" w:hAnsi="Arial"/>
          <w:sz w:val="11"/>
          <w:szCs w:val="11"/>
          <w:color w:val="auto"/>
        </w:rPr>
        <w:t>$8 million resulting from federal and state COVID-19 relief provisions. Our tax payments vary with changes in taxable income and earnings based on estimates of full year taxable income activity and estimated tax rates.</w:t>
      </w:r>
    </w:p>
    <w:p>
      <w:pPr>
        <w:spacing w:after="0" w:line="72"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b w:val="1"/>
          <w:bCs w:val="1"/>
          <w:i w:val="1"/>
          <w:iCs w:val="1"/>
          <w:color w:val="auto"/>
        </w:rPr>
        <w:t xml:space="preserve">Working Capital. </w:t>
      </w:r>
      <w:r>
        <w:rPr>
          <w:rFonts w:ascii="Arial" w:cs="Arial" w:eastAsia="Arial" w:hAnsi="Arial"/>
          <w:sz w:val="11"/>
          <w:szCs w:val="11"/>
          <w:color w:val="auto"/>
        </w:rPr>
        <w:t>We need working capital to support seasonal variations in our business, primarily due to the effect of weather conditions on external construction and maintenance work and the spending patterns of our customers, both of which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61"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billings and project close-outs can contribute to changes in unbilled revenue. As of June 30, 2021, we expect that substantially all of our unbilled receivables will be billed to customers in the normal course of business within the next twelve months. Total accounts receivable, which consists of contract billings, unbilled receivables and retainage, net of allowance, increased to approximately $2.0 billion as of June 30, 2021 from $1.8 billion as of December 31, 2020 due primarily to higher levels of revenue, offset, in part, by lower DSOs. See below for related discussion.</w:t>
      </w:r>
    </w:p>
    <w:p>
      <w:pPr>
        <w:spacing w:after="0" w:line="61"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Summary of Financial Condition, Liquidity and Capital Resources</w:t>
      </w:r>
    </w:p>
    <w:p>
      <w:pPr>
        <w:spacing w:after="0" w:line="76"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Including our current assessment of the potential effects of the COVID-19 pandemic on our results of operations and capital resource requirements, 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strategic arrangement and investment funding requirements, share repurchase activity and other liquidity needs for at least the next twelve months.</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1"/>
          <w:szCs w:val="11"/>
          <w:b w:val="1"/>
          <w:bCs w:val="1"/>
          <w:color w:val="auto"/>
        </w:rPr>
        <w:t>Sources and Uses of Cash</w:t>
      </w:r>
    </w:p>
    <w:p>
      <w:pPr>
        <w:spacing w:after="0" w:line="76"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As of June 30, 2021, we had approximately $769 million in working capital, defined as current assets less current liabilities, as compared with $944 million as of December 31, 2020, a decrease of approximately $175 million. Cash and cash equivalents totaled approximately $237 million and $423 million as of June 30, 2021 and December 31, 2020, respectively.</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Sources and uses of cash are summarized below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60" w:type="dxa"/>
            <w:vAlign w:val="bottom"/>
          </w:tcPr>
          <w:p>
            <w:pPr>
              <w:spacing w:after="0"/>
              <w:rPr>
                <w:sz w:val="12"/>
                <w:szCs w:val="12"/>
                <w:color w:val="auto"/>
              </w:rPr>
            </w:pPr>
          </w:p>
        </w:tc>
        <w:tc>
          <w:tcPr>
            <w:tcW w:w="25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1"/>
                <w:szCs w:val="11"/>
                <w:b w:val="1"/>
                <w:bCs w:val="1"/>
                <w:color w:val="auto"/>
              </w:rPr>
              <w:t>For the Six Months Ended June 30,</w:t>
            </w:r>
          </w:p>
        </w:tc>
        <w:tc>
          <w:tcPr>
            <w:tcW w:w="480" w:type="dxa"/>
            <w:vAlign w:val="bottom"/>
            <w:tcBorders>
              <w:bottom w:val="single" w:sz="8" w:color="auto"/>
            </w:tcBorders>
          </w:tcPr>
          <w:p>
            <w:pPr>
              <w:spacing w:after="0"/>
              <w:rPr>
                <w:sz w:val="12"/>
                <w:szCs w:val="12"/>
                <w:color w:val="auto"/>
              </w:rPr>
            </w:pPr>
          </w:p>
        </w:tc>
      </w:tr>
      <w:tr>
        <w:trPr>
          <w:trHeight w:val="133"/>
        </w:trPr>
        <w:tc>
          <w:tcPr>
            <w:tcW w:w="82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1"/>
                <w:szCs w:val="11"/>
                <w:color w:val="auto"/>
              </w:rPr>
            </w:pPr>
          </w:p>
        </w:tc>
      </w:tr>
      <w:tr>
        <w:trPr>
          <w:trHeight w:val="135"/>
        </w:trPr>
        <w:tc>
          <w:tcPr>
            <w:tcW w:w="826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operating activities</w:t>
            </w: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center"/>
              <w:ind w:left="106"/>
              <w:spacing w:after="0"/>
              <w:rPr>
                <w:sz w:val="20"/>
                <w:szCs w:val="20"/>
                <w:color w:val="auto"/>
              </w:rPr>
            </w:pPr>
            <w:r>
              <w:rPr>
                <w:rFonts w:ascii="Arial" w:cs="Arial" w:eastAsia="Arial" w:hAnsi="Arial"/>
                <w:sz w:val="11"/>
                <w:szCs w:val="11"/>
                <w:color w:val="auto"/>
                <w:w w:val="87"/>
              </w:rPr>
              <w:t>349.3</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8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center"/>
              <w:ind w:left="86"/>
              <w:spacing w:after="0"/>
              <w:rPr>
                <w:sz w:val="20"/>
                <w:szCs w:val="20"/>
                <w:color w:val="auto"/>
              </w:rPr>
            </w:pPr>
            <w:r>
              <w:rPr>
                <w:rFonts w:ascii="Arial" w:cs="Arial" w:eastAsia="Arial" w:hAnsi="Arial"/>
                <w:sz w:val="11"/>
                <w:szCs w:val="11"/>
                <w:color w:val="auto"/>
                <w:w w:val="94"/>
              </w:rPr>
              <w:t>467.2</w:t>
            </w:r>
          </w:p>
        </w:tc>
      </w:tr>
      <w:tr>
        <w:trPr>
          <w:trHeight w:val="142"/>
        </w:trPr>
        <w:tc>
          <w:tcPr>
            <w:tcW w:w="826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center"/>
              <w:ind w:left="86"/>
              <w:spacing w:after="0"/>
              <w:rPr>
                <w:sz w:val="20"/>
                <w:szCs w:val="20"/>
                <w:color w:val="auto"/>
              </w:rPr>
            </w:pPr>
            <w:r>
              <w:rPr>
                <w:rFonts w:ascii="Arial" w:cs="Arial" w:eastAsia="Arial" w:hAnsi="Arial"/>
                <w:sz w:val="11"/>
                <w:szCs w:val="11"/>
                <w:color w:val="auto"/>
                <w:w w:val="85"/>
              </w:rPr>
              <w:t>(676.1)</w:t>
            </w:r>
          </w:p>
        </w:tc>
        <w:tc>
          <w:tcPr>
            <w:tcW w:w="100" w:type="dxa"/>
            <w:vAlign w:val="bottom"/>
          </w:tcPr>
          <w:p>
            <w:pPr>
              <w:spacing w:after="0"/>
              <w:rPr>
                <w:sz w:val="12"/>
                <w:szCs w:val="12"/>
                <w:color w:val="auto"/>
              </w:rPr>
            </w:pPr>
          </w:p>
        </w:tc>
        <w:tc>
          <w:tcPr>
            <w:tcW w:w="980" w:type="dxa"/>
            <w:vAlign w:val="bottom"/>
          </w:tcPr>
          <w:p>
            <w:pPr>
              <w:jc w:val="right"/>
              <w:ind w:right="8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center"/>
              <w:ind w:left="66"/>
              <w:spacing w:after="0"/>
              <w:rPr>
                <w:sz w:val="20"/>
                <w:szCs w:val="20"/>
                <w:color w:val="auto"/>
              </w:rPr>
            </w:pPr>
            <w:r>
              <w:rPr>
                <w:rFonts w:ascii="Arial" w:cs="Arial" w:eastAsia="Arial" w:hAnsi="Arial"/>
                <w:sz w:val="11"/>
                <w:szCs w:val="11"/>
                <w:color w:val="auto"/>
                <w:w w:val="91"/>
              </w:rPr>
              <w:t>(136.7)</w:t>
            </w:r>
          </w:p>
        </w:tc>
      </w:tr>
      <w:tr>
        <w:trPr>
          <w:trHeight w:val="146"/>
        </w:trPr>
        <w:tc>
          <w:tcPr>
            <w:tcW w:w="826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(used in) financing activities</w:t>
            </w: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center"/>
              <w:ind w:left="106"/>
              <w:spacing w:after="0"/>
              <w:rPr>
                <w:sz w:val="20"/>
                <w:szCs w:val="20"/>
                <w:color w:val="auto"/>
              </w:rPr>
            </w:pPr>
            <w:r>
              <w:rPr>
                <w:rFonts w:ascii="Arial" w:cs="Arial" w:eastAsia="Arial" w:hAnsi="Arial"/>
                <w:sz w:val="11"/>
                <w:szCs w:val="11"/>
                <w:color w:val="auto"/>
                <w:w w:val="87"/>
              </w:rPr>
              <w:t>140.8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center"/>
              <w:ind w:left="66"/>
              <w:spacing w:after="0"/>
              <w:rPr>
                <w:sz w:val="20"/>
                <w:szCs w:val="20"/>
                <w:color w:val="auto"/>
              </w:rPr>
            </w:pPr>
            <w:r>
              <w:rPr>
                <w:rFonts w:ascii="Arial" w:cs="Arial" w:eastAsia="Arial" w:hAnsi="Arial"/>
                <w:sz w:val="11"/>
                <w:szCs w:val="11"/>
                <w:color w:val="auto"/>
                <w:w w:val="91"/>
              </w:rPr>
              <w:t>(354.6)</w:t>
            </w:r>
          </w:p>
        </w:tc>
      </w:tr>
    </w:tbl>
    <w:p>
      <w:pPr>
        <w:spacing w:after="0" w:line="130"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b w:val="1"/>
          <w:bCs w:val="1"/>
          <w:i w:val="1"/>
          <w:iCs w:val="1"/>
          <w:color w:val="auto"/>
        </w:rPr>
        <w:t xml:space="preserve">Operating Activities. </w:t>
      </w:r>
      <w:r>
        <w:rPr>
          <w:rFonts w:ascii="Arial" w:cs="Arial" w:eastAsia="Arial" w:hAnsi="Arial"/>
          <w:sz w:val="11"/>
          <w:szCs w:val="11"/>
          <w:color w:val="auto"/>
        </w:rPr>
        <w:t>Cash flow from operations is primarily influenced by changes in the timing of demand for our services and operating margins, but can also be affected by working capital needs associated with the various types of services we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provide. Working capital is affected by changes in total accounts receivable, prepaid expenses and other current assets, accounts payable and payroll tax payments, including the effect of deferrals from COVID-19 relief provisions,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six month period ended June 30, 2021 was $349 million, as compared with approximately $467 million for the same period in 2020, for a decrease in cash provided by operating activities of approximately $118 million. The decrease was primarily due to the effect of revenue growth-related working capital changes in assets and liabilities, net, partially offset by an increase in net income and increases in certain expenses that reconcile net income to operating cash flows, including depreciation expense.</w:t>
      </w:r>
    </w:p>
    <w:p>
      <w:pPr>
        <w:spacing w:after="0" w:line="62"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Our days sales outstanding, net of contract liabilities (“DSO”) was 80 as of June 30, 2021 and 86 as of December 31, 2020. DSO is calculated as total accounts receivable, net of allowance, less contract liabilities, divided by average daily revenue for the most recently completed quarter as of the balance sheet date. Our DSOs can fluctuate from period to period due to timing of billings, billing terms, collections and settlements, timing of project close-outs and retainage collections, changes in project and customer mix and the effect of working capital initiatives. The decrease in our DSOs for the six month period ended June 30, 2021 was due to timing of ordinary course billing and collection activities. Other than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6" w:name="page37"/>
    <w:bookmarkEnd w:id="36"/>
    <w:p>
      <w:pPr>
        <w:jc w:val="both"/>
        <w:ind w:firstLine="433"/>
        <w:spacing w:after="0" w:line="312" w:lineRule="auto"/>
        <w:rPr>
          <w:sz w:val="20"/>
          <w:szCs w:val="20"/>
          <w:color w:val="auto"/>
        </w:rPr>
      </w:pPr>
      <w:r>
        <w:rPr>
          <w:rFonts w:ascii="Arial" w:cs="Arial" w:eastAsia="Arial" w:hAnsi="Arial"/>
          <w:sz w:val="9"/>
          <w:szCs w:val="9"/>
          <w:b w:val="1"/>
          <w:bCs w:val="1"/>
          <w:i w:val="1"/>
          <w:iCs w:val="1"/>
          <w:color w:val="auto"/>
        </w:rPr>
        <w:t xml:space="preserve">Investing Activities. </w:t>
      </w:r>
      <w:r>
        <w:rPr>
          <w:rFonts w:ascii="Arial" w:cs="Arial" w:eastAsia="Arial" w:hAnsi="Arial"/>
          <w:sz w:val="9"/>
          <w:szCs w:val="9"/>
          <w:color w:val="auto"/>
        </w:rPr>
        <w:t>Net cash used in investing activities increased by approximately $539 million to $676 million for the six month period ended June 30, 2021 from $137 million for the six month period ended June 30, 2020. We completed seven</w:t>
      </w:r>
      <w:r>
        <w:rPr>
          <w:rFonts w:ascii="Arial" w:cs="Arial" w:eastAsia="Arial" w:hAnsi="Arial"/>
          <w:sz w:val="9"/>
          <w:szCs w:val="9"/>
          <w:b w:val="1"/>
          <w:bCs w:val="1"/>
          <w:i w:val="1"/>
          <w:iCs w:val="1"/>
          <w:color w:val="auto"/>
        </w:rPr>
        <w:t xml:space="preserve"> </w:t>
      </w:r>
      <w:r>
        <w:rPr>
          <w:rFonts w:ascii="Arial" w:cs="Arial" w:eastAsia="Arial" w:hAnsi="Arial"/>
          <w:sz w:val="9"/>
          <w:szCs w:val="9"/>
          <w:color w:val="auto"/>
        </w:rPr>
        <w:t>acquisitions during the six month period ended June 30, 2021, for which we paid $589 million in cash, an increase of approximately $579 million as compared with the same period in 2020. These acquisitions were funded with cash on hand and borrowings under our senior secured credit facility. Capital expenditures totaled $97 million, or $84 million, net of asset disposals for the six month period ended June 30, 2021, as compared with $133 million, or $115 million, net of asset disposals, for the same period in 2020, for a decrease in cash used in investing activities of approximately $31 million. Payments for other investments, which related primarily to investments in certain equity investees, decreased from $17 million for the six month period ended June 30, 2020 to $6 million for the same period in 2021. Proceeds from other investing activities, net, together with proceeds from other investments decreased from $5 million for the six month period ended June 30, 2020 to $3 million for the same period in 2021.</w:t>
      </w:r>
    </w:p>
    <w:p>
      <w:pPr>
        <w:spacing w:after="0" w:line="31"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0"/>
          <w:szCs w:val="10"/>
          <w:b w:val="1"/>
          <w:bCs w:val="1"/>
          <w:i w:val="1"/>
          <w:iCs w:val="1"/>
          <w:color w:val="auto"/>
        </w:rPr>
        <w:t xml:space="preserve">Financing Activities. </w:t>
      </w:r>
      <w:r>
        <w:rPr>
          <w:rFonts w:ascii="Arial" w:cs="Arial" w:eastAsia="Arial" w:hAnsi="Arial"/>
          <w:sz w:val="10"/>
          <w:szCs w:val="10"/>
          <w:color w:val="auto"/>
        </w:rPr>
        <w:t>Net cash provided by financing activities for the six month period ended June 30, 2021 was $141 million, as compared with net cash used in financing activities of $355 million for the same period in 2020, for an increase in cash</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provided by financing activities of $495 million. The increase in cash provided by financing activities was driven primarily by credit facility and other borrowing-related activity, net, which for the six month period ended June 30, 2021 totaled $253 million of borrowings, net of repayments, as compared with $166 million of repayments, net, for the six month period ended June 30, 2020, for an increase in cash provided by financing activities of approximately $419 million, primarily related to our 2021 acquisitions. Additionally, there were no share repurchases for the six month period ended June 30, 2021, whereas for the same period in 2020, share repurchases totaled $120 million, for a reduction in cash used in financing activities in 2021.</w:t>
      </w:r>
    </w:p>
    <w:p>
      <w:pPr>
        <w:spacing w:after="0" w:line="45"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Offsetting the above mentioned increases in cash provided by financing activities, we paid approximately $9 million to holders of our non-controlling interests for the six month period ended June 30, 2021, including $7 million as consideration to acquire 15% of the remaining interests of one of these entities. Additionally, payments of finance lease obligations increased by approximately $15 million for the six month period ended June 30, 2021 as compared with the same period in 2020, for an increase in cash used in financing activities.</w:t>
      </w:r>
    </w:p>
    <w:p>
      <w:pPr>
        <w:spacing w:after="0" w:line="57"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Additionally, payments of acquisition-related contingent consideration included within financing activities totaled $21 million for the six month period ended June 30, 2021 as compared with $10 million for the same period in 2020, for an increase in cash used in financing activities of $11 million. Total payments of acquisition-related contingent consideration, including payments in excess of acquisition-date liabilities, which are classified within operating activities, totaled $44 million for the six month period ended June 30, 2021 as compared with $50 million for the same period in 2020. The method of determining the amount of excess of acquisition-date liabilities was revised in the fourth quarter of 2020 to more closely align the cash flow presentation for such amounts with the economics of the contingent consideration arrangements. Excess of acquisition-date liability payments included within operating cash flows totaled $23 million for the six month period ended June 30, 2021 as compared with $40 million for the same period in 2020.</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Senior Secured Credit Facility</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We have a senior secured credit facility (the “Credit Facility”) maturing on September 19, 2024. Aggregate borrowing commitments under the Credit Facility total $1.75 billion, composed of $1.35 billion of revolving commitments and a term loan totaling $400 million in original principal amount, of which $393 million was outstanding as of June 30, 2021. Borrowings under the Credit Facility are used for working capital requirements, capital expenditures and other corporate purposes, including potential acquisitions or other strategic arrangements, equity investments, share repurchases and the repurchase or prepayment of indebtedness.</w:t>
      </w:r>
    </w:p>
    <w:p>
      <w:pPr>
        <w:spacing w:after="0" w:line="5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We are dependent upon borrowings and letters of credit under the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2020 Form 10-K.</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4.50% Senior Notes</w:t>
      </w:r>
    </w:p>
    <w:p>
      <w:pPr>
        <w:spacing w:after="0" w:line="7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We have $600 million of 4.50% Senior Notes due August 15, 2028 (the “4.50% Senior Notes”). The 4.50% Senior Notes are fully and unconditionally guaranteed on a senior unsecured, joint and several basis by our wholly-owned domestic restricted subsidiaries that guarantee our existing credit facilities, subject to certain exceptions. The 4.50% Senior Notes are subject to certain provisions and covenants, as more fully described in Note 7 - Debt in the notes to the audited consolidated financial statements included in our 2020 Form 10-K.</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Debt Covenants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were in compliance with the provisions and covenants contained in our outstanding debt instruments as of June 30, 2021.</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Additional Information</w:t>
      </w:r>
    </w:p>
    <w:p>
      <w:pPr>
        <w:spacing w:after="0" w:line="72"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For detailed discussion and additional information pertaining to our debt instruments, see Note 7 - Debt in the notes to the audited consolidated financial statements included in our 2020 Form 10-K. Also see Note 7 - Debt in the notes to the consolidated financial statements in this Form 10-Q for current period balances and discussion, which is incorporated by reference.</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Off-Balance Sheet Arrangements</w:t>
      </w:r>
    </w:p>
    <w:p>
      <w:pPr>
        <w:spacing w:after="0" w:line="76" w:lineRule="exact"/>
        <w:rPr>
          <w:sz w:val="20"/>
          <w:szCs w:val="20"/>
          <w:color w:val="auto"/>
        </w:rPr>
      </w:pPr>
    </w:p>
    <w:p>
      <w:pPr>
        <w:jc w:val="both"/>
        <w:ind w:right="20" w:firstLine="433"/>
        <w:spacing w:after="0" w:line="245" w:lineRule="auto"/>
        <w:rPr>
          <w:sz w:val="20"/>
          <w:szCs w:val="20"/>
          <w:color w:val="auto"/>
        </w:rPr>
      </w:pPr>
      <w:r>
        <w:rPr>
          <w:rFonts w:ascii="Arial" w:cs="Arial" w:eastAsia="Arial" w:hAnsi="Arial"/>
          <w:sz w:val="11"/>
          <w:szCs w:val="11"/>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Arial" w:cs="Arial" w:eastAsia="Arial" w:hAnsi="Arial"/>
          <w:sz w:val="11"/>
          <w:szCs w:val="11"/>
          <w:color w:val="252525"/>
        </w:rPr>
        <w:t>with</w:t>
      </w:r>
      <w:r>
        <w:rPr>
          <w:rFonts w:ascii="Arial" w:cs="Arial" w:eastAsia="Arial" w:hAnsi="Arial"/>
          <w:sz w:val="11"/>
          <w:szCs w:val="11"/>
          <w:color w:val="auto"/>
        </w:rPr>
        <w:t xml:space="preserve"> </w:t>
      </w:r>
      <w:r>
        <w:rPr>
          <w:rFonts w:ascii="Arial" w:cs="Arial" w:eastAsia="Arial" w:hAnsi="Arial"/>
          <w:sz w:val="11"/>
          <w:szCs w:val="11"/>
          <w:color w:val="252525"/>
        </w:rPr>
        <w:t>durations of less than twelve months</w:t>
      </w:r>
      <w:r>
        <w:rPr>
          <w:rFonts w:ascii="Arial" w:cs="Arial" w:eastAsia="Arial" w:hAnsi="Arial"/>
          <w:sz w:val="11"/>
          <w:szCs w:val="11"/>
          <w:color w:val="000000"/>
        </w:rPr>
        <w:t>, letter of credit obligations, surety and performance and payment bonds entered into in the normal course of business, self-insurance liabilities, liabilities associated with multiemployer pension plans, liabilities associated</w:t>
      </w:r>
      <w:r>
        <w:rPr>
          <w:rFonts w:ascii="Arial" w:cs="Arial" w:eastAsia="Arial" w:hAnsi="Arial"/>
          <w:sz w:val="11"/>
          <w:szCs w:val="11"/>
          <w:color w:val="252525"/>
        </w:rPr>
        <w:t xml:space="preserve"> </w:t>
      </w:r>
      <w:r>
        <w:rPr>
          <w:rFonts w:ascii="Arial" w:cs="Arial" w:eastAsia="Arial" w:hAnsi="Arial"/>
          <w:sz w:val="11"/>
          <w:szCs w:val="11"/>
          <w:color w:val="000000"/>
        </w:rPr>
        <w:t>with potential funding obligations, indemnification and/or guarantee arrangements relating to our equity and other investment arrangements, including our variable interest entities. Refer to Note 14 - Commitments and Contingencies, Note 4 - Fair Value of Financial Instruments and Note 15 - Related Party Transactions in the notes to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7" w:name="page38"/>
    <w:bookmarkEnd w:id="37"/>
    <w:p>
      <w:pPr>
        <w:spacing w:after="0"/>
        <w:rPr>
          <w:sz w:val="20"/>
          <w:szCs w:val="20"/>
          <w:color w:val="auto"/>
        </w:rPr>
      </w:pPr>
      <w:r>
        <w:rPr>
          <w:rFonts w:ascii="Arial" w:cs="Arial" w:eastAsia="Arial" w:hAnsi="Arial"/>
          <w:sz w:val="11"/>
          <w:szCs w:val="11"/>
          <w:color w:val="auto"/>
        </w:rPr>
        <w:t>consolidated financial statements, which are incorporated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Impact of Inflation</w:t>
      </w:r>
    </w:p>
    <w:p>
      <w:pPr>
        <w:spacing w:after="0" w:line="76"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1"/>
          <w:szCs w:val="11"/>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the effects of climate change and fluctuations in global supply and demand, which have recently caused volatility in the oil and gas markets. We closely monitor inflationary factors and any impact they may have on our business operations, operating results or financial condition.</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1"/>
          <w:szCs w:val="11"/>
          <w:b w:val="1"/>
          <w:bCs w:val="1"/>
          <w:color w:val="auto"/>
        </w:rPr>
        <w:t>ITEM 3.</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Interest Rate Risk</w:t>
      </w:r>
    </w:p>
    <w:p>
      <w:pPr>
        <w:spacing w:after="0" w:line="76" w:lineRule="exact"/>
        <w:rPr>
          <w:sz w:val="20"/>
          <w:szCs w:val="20"/>
          <w:color w:val="auto"/>
        </w:rPr>
      </w:pPr>
    </w:p>
    <w:p>
      <w:pPr>
        <w:jc w:val="both"/>
        <w:ind w:firstLine="433"/>
        <w:spacing w:after="0" w:line="245" w:lineRule="auto"/>
        <w:rPr>
          <w:sz w:val="20"/>
          <w:szCs w:val="20"/>
          <w:color w:val="auto"/>
        </w:rPr>
      </w:pPr>
      <w:r>
        <w:rPr>
          <w:rFonts w:ascii="Arial" w:cs="Arial" w:eastAsia="Arial" w:hAnsi="Arial"/>
          <w:sz w:val="11"/>
          <w:szCs w:val="11"/>
          <w:color w:val="auto"/>
        </w:rPr>
        <w:t>As of June 30, 2021,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June 30, 2021, we had $292 million aggregate principal amount of outstanding revolving loans under our Credit Facility with a weighted average interest rate of 1.37% and a term loan with a balance of $393 million with an interest rate of 1.35%. A 100 basis point increase in the applicable interest rates under our credit facilities would have increased our interest expense by approximately $3 million for the six month period ended June 30, 2021.</w:t>
      </w:r>
    </w:p>
    <w:p>
      <w:pPr>
        <w:spacing w:after="0" w:line="61" w:lineRule="exact"/>
        <w:rPr>
          <w:sz w:val="20"/>
          <w:szCs w:val="20"/>
          <w:color w:val="auto"/>
        </w:rPr>
      </w:pPr>
    </w:p>
    <w:p>
      <w:pPr>
        <w:jc w:val="both"/>
        <w:ind w:right="20" w:firstLine="433"/>
        <w:spacing w:after="0" w:line="258" w:lineRule="auto"/>
        <w:rPr>
          <w:sz w:val="20"/>
          <w:szCs w:val="20"/>
          <w:color w:val="auto"/>
        </w:rPr>
      </w:pPr>
      <w:r>
        <w:rPr>
          <w:rFonts w:ascii="Arial" w:cs="Arial" w:eastAsia="Arial" w:hAnsi="Arial"/>
          <w:sz w:val="11"/>
          <w:szCs w:val="11"/>
          <w:color w:val="auto"/>
        </w:rPr>
        <w:t>As of June 30, 2021, our fixed interest rate debt primarily included $600 million aggregate principal amount of 4.50% Senior Notes and $313 million of finance lease obligations, which accrued interest at a weighted average interest rate of approximately 3.5%. None of this debt subjects us to interest rate risk, but we may be subject to changes in interest rates if and when we refinance this debt at maturity or otherwise.</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Foreign Currency Risk</w:t>
      </w:r>
    </w:p>
    <w:p>
      <w:pPr>
        <w:spacing w:after="0" w:line="76" w:lineRule="exact"/>
        <w:rPr>
          <w:sz w:val="20"/>
          <w:szCs w:val="20"/>
          <w:color w:val="auto"/>
        </w:rPr>
      </w:pPr>
    </w:p>
    <w:p>
      <w:pPr>
        <w:jc w:val="both"/>
        <w:ind w:firstLine="433"/>
        <w:spacing w:after="0" w:line="244" w:lineRule="auto"/>
        <w:rPr>
          <w:sz w:val="20"/>
          <w:szCs w:val="20"/>
          <w:color w:val="auto"/>
        </w:rPr>
      </w:pPr>
      <w:r>
        <w:rPr>
          <w:rFonts w:ascii="Arial" w:cs="Arial" w:eastAsia="Arial" w:hAnsi="Arial"/>
          <w:sz w:val="11"/>
          <w:szCs w:val="11"/>
          <w:color w:val="auto"/>
        </w:rPr>
        <w:t>Certain of our consolidated revenue and operating expenses are in foreign currencies. Our foreign operations are primarily in Canada. Revenue generated from foreign operations represented 2% of our total revenue for the six month period ended June 30, 2021.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six month period ended June 30, 2021. Translation gains or losses, which are recorded in other comprehensive income or loss, result from translation of the assets and liabilities of our foreign subsidiaries into U.S. dollars.</w:t>
      </w:r>
    </w:p>
    <w:p>
      <w:pPr>
        <w:spacing w:after="0" w:line="61" w:lineRule="exact"/>
        <w:rPr>
          <w:sz w:val="20"/>
          <w:szCs w:val="20"/>
          <w:color w:val="auto"/>
        </w:rPr>
      </w:pPr>
    </w:p>
    <w:p>
      <w:pPr>
        <w:jc w:val="both"/>
        <w:ind w:right="20" w:firstLine="433"/>
        <w:spacing w:after="0" w:line="369" w:lineRule="auto"/>
        <w:rPr>
          <w:sz w:val="20"/>
          <w:szCs w:val="20"/>
          <w:color w:val="auto"/>
        </w:rPr>
      </w:pPr>
      <w:r>
        <w:rPr>
          <w:rFonts w:ascii="Arial" w:cs="Arial" w:eastAsia="Arial" w:hAnsi="Arial"/>
          <w:sz w:val="9"/>
          <w:szCs w:val="9"/>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June 30, 2021. We may enter into foreign currency derivative contracts in the future to manage such exposure.</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Other Market Risk</w:t>
      </w:r>
    </w:p>
    <w:p>
      <w:pPr>
        <w:spacing w:after="0" w:line="76"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1"/>
          <w:szCs w:val="11"/>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121"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Evaluation of Disclosure Controls and Procedures</w:t>
      </w:r>
    </w:p>
    <w:p>
      <w:pPr>
        <w:spacing w:after="0" w:line="76" w:lineRule="exact"/>
        <w:rPr>
          <w:sz w:val="20"/>
          <w:szCs w:val="20"/>
          <w:color w:val="auto"/>
        </w:rPr>
      </w:pPr>
    </w:p>
    <w:p>
      <w:pPr>
        <w:jc w:val="both"/>
        <w:ind w:firstLine="433"/>
        <w:spacing w:after="0" w:line="243" w:lineRule="auto"/>
        <w:rPr>
          <w:sz w:val="20"/>
          <w:szCs w:val="20"/>
          <w:color w:val="auto"/>
        </w:rPr>
      </w:pPr>
      <w:r>
        <w:rPr>
          <w:rFonts w:ascii="Arial" w:cs="Arial" w:eastAsia="Arial" w:hAnsi="Arial"/>
          <w:sz w:val="11"/>
          <w:szCs w:val="11"/>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June 30, 2021.</w:t>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Changes in Internal Control Over Financial Reporting</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There have been no changes in the Company’s internal control over financial reporting during the quarter ended June 30, 2021 that have materially affected, or are reasonably likely to materially affect, the Company’s internal control over financial</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reporting.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8" w:name="page39"/>
    <w:bookmarkEnd w:id="38"/>
    <w:p>
      <w:pPr>
        <w:ind w:left="8"/>
        <w:spacing w:after="0"/>
        <w:tabs>
          <w:tab w:leader="none" w:pos="527" w:val="left"/>
        </w:tabs>
        <w:rPr>
          <w:sz w:val="20"/>
          <w:szCs w:val="20"/>
          <w:color w:val="auto"/>
        </w:rPr>
      </w:pPr>
      <w:r>
        <w:rPr>
          <w:rFonts w:ascii="Arial" w:cs="Arial" w:eastAsia="Arial" w:hAnsi="Arial"/>
          <w:sz w:val="11"/>
          <w:szCs w:val="11"/>
          <w:b w:val="1"/>
          <w:bCs w:val="1"/>
          <w:color w:val="auto"/>
        </w:rPr>
        <w:t>PART II.</w:t>
        <w:tab/>
        <w:t>OTHER INFORMATION</w:t>
      </w:r>
    </w:p>
    <w:p>
      <w:pPr>
        <w:spacing w:after="0" w:line="144" w:lineRule="exact"/>
        <w:rPr>
          <w:sz w:val="20"/>
          <w:szCs w:val="20"/>
          <w:color w:val="auto"/>
        </w:rPr>
      </w:pPr>
    </w:p>
    <w:p>
      <w:pPr>
        <w:ind w:left="8"/>
        <w:spacing w:after="0"/>
        <w:tabs>
          <w:tab w:leader="none" w:pos="487" w:val="left"/>
        </w:tabs>
        <w:rPr>
          <w:sz w:val="20"/>
          <w:szCs w:val="20"/>
          <w:color w:val="auto"/>
        </w:rPr>
      </w:pPr>
      <w:r>
        <w:rPr>
          <w:rFonts w:ascii="Arial" w:cs="Arial" w:eastAsia="Arial" w:hAnsi="Arial"/>
          <w:sz w:val="11"/>
          <w:szCs w:val="11"/>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76" w:lineRule="exact"/>
        <w:rPr>
          <w:sz w:val="20"/>
          <w:szCs w:val="20"/>
          <w:color w:val="auto"/>
        </w:rPr>
      </w:pPr>
    </w:p>
    <w:p>
      <w:pPr>
        <w:ind w:left="8" w:right="20" w:firstLine="433"/>
        <w:spacing w:after="0" w:line="258" w:lineRule="auto"/>
        <w:rPr>
          <w:sz w:val="20"/>
          <w:szCs w:val="20"/>
          <w:color w:val="auto"/>
        </w:rPr>
      </w:pPr>
      <w:r>
        <w:rPr>
          <w:rFonts w:ascii="Arial" w:cs="Arial" w:eastAsia="Arial" w:hAnsi="Arial"/>
          <w:sz w:val="11"/>
          <w:szCs w:val="11"/>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2020 Form 10-K.</w:t>
      </w:r>
    </w:p>
    <w:p>
      <w:pPr>
        <w:spacing w:after="0" w:line="121" w:lineRule="exact"/>
        <w:rPr>
          <w:sz w:val="20"/>
          <w:szCs w:val="20"/>
          <w:color w:val="auto"/>
        </w:rPr>
      </w:pPr>
    </w:p>
    <w:p>
      <w:pPr>
        <w:ind w:left="8"/>
        <w:spacing w:after="0"/>
        <w:tabs>
          <w:tab w:leader="none" w:pos="567" w:val="left"/>
        </w:tabs>
        <w:rPr>
          <w:sz w:val="20"/>
          <w:szCs w:val="20"/>
          <w:color w:val="auto"/>
        </w:rPr>
      </w:pPr>
      <w:r>
        <w:rPr>
          <w:rFonts w:ascii="Arial" w:cs="Arial" w:eastAsia="Arial" w:hAnsi="Arial"/>
          <w:sz w:val="11"/>
          <w:szCs w:val="11"/>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76" w:lineRule="exact"/>
        <w:rPr>
          <w:sz w:val="20"/>
          <w:szCs w:val="20"/>
          <w:color w:val="auto"/>
        </w:rPr>
      </w:pPr>
    </w:p>
    <w:p>
      <w:pPr>
        <w:ind w:left="8" w:right="20"/>
        <w:spacing w:after="0" w:line="258" w:lineRule="auto"/>
        <w:rPr>
          <w:sz w:val="20"/>
          <w:szCs w:val="20"/>
          <w:color w:val="auto"/>
        </w:rPr>
      </w:pPr>
      <w:r>
        <w:rPr>
          <w:rFonts w:ascii="Arial" w:cs="Arial" w:eastAsia="Arial" w:hAnsi="Arial"/>
          <w:sz w:val="11"/>
          <w:szCs w:val="11"/>
          <w:color w:val="auto"/>
        </w:rPr>
        <w:t>Subject to the potential effects of the COVID-19 pandemic on certain of the risks we normally face in operating our business, including those disclosed in our 2020 Form 10-K, there have been no material changes to either the cautionary statement regarding forward-looking statements or to any of the risk factors disclosed in our 2020 Form 10-K, as updated by our Quarterly Report on Form 10-Q and other filings we make with the SEC.</w:t>
      </w:r>
    </w:p>
    <w:p>
      <w:pPr>
        <w:spacing w:after="0" w:line="121" w:lineRule="exact"/>
        <w:rPr>
          <w:sz w:val="20"/>
          <w:szCs w:val="20"/>
          <w:color w:val="auto"/>
        </w:rPr>
      </w:pPr>
    </w:p>
    <w:p>
      <w:pPr>
        <w:ind w:left="8"/>
        <w:spacing w:after="0"/>
        <w:tabs>
          <w:tab w:leader="none" w:pos="487" w:val="left"/>
        </w:tabs>
        <w:rPr>
          <w:sz w:val="20"/>
          <w:szCs w:val="20"/>
          <w:color w:val="auto"/>
        </w:rPr>
      </w:pPr>
      <w:r>
        <w:rPr>
          <w:rFonts w:ascii="Arial" w:cs="Arial" w:eastAsia="Arial" w:hAnsi="Arial"/>
          <w:sz w:val="11"/>
          <w:szCs w:val="11"/>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76" w:lineRule="exact"/>
        <w:rPr>
          <w:sz w:val="20"/>
          <w:szCs w:val="20"/>
          <w:color w:val="auto"/>
        </w:rPr>
      </w:pPr>
    </w:p>
    <w:p>
      <w:pPr>
        <w:ind w:left="268"/>
        <w:spacing w:after="0"/>
        <w:rPr>
          <w:sz w:val="20"/>
          <w:szCs w:val="20"/>
          <w:color w:val="auto"/>
        </w:rPr>
      </w:pPr>
      <w:r>
        <w:rPr>
          <w:rFonts w:ascii="Arial" w:cs="Arial" w:eastAsia="Arial" w:hAnsi="Arial"/>
          <w:sz w:val="11"/>
          <w:szCs w:val="11"/>
          <w:b w:val="1"/>
          <w:bCs w:val="1"/>
          <w:i w:val="1"/>
          <w:iCs w:val="1"/>
          <w:color w:val="auto"/>
        </w:rPr>
        <w:t>Issuer Purchases of Equity Securities</w:t>
      </w:r>
    </w:p>
    <w:p>
      <w:pPr>
        <w:spacing w:after="0" w:line="7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following table provides information about repurchases of our common stock during the quarter ended June 30, 2021:</w:t>
      </w:r>
    </w:p>
    <w:p>
      <w:pPr>
        <w:spacing w:after="0" w:line="200" w:lineRule="exact"/>
        <w:rPr>
          <w:sz w:val="20"/>
          <w:szCs w:val="20"/>
          <w:color w:val="auto"/>
        </w:rPr>
      </w:pPr>
    </w:p>
    <w:p>
      <w:pPr>
        <w:spacing w:after="0" w:line="24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860" w:type="dxa"/>
            <w:vAlign w:val="bottom"/>
            <w:vMerge w:val="restart"/>
          </w:tcPr>
          <w:p>
            <w:pPr>
              <w:spacing w:after="0"/>
              <w:rPr>
                <w:sz w:val="20"/>
                <w:szCs w:val="20"/>
                <w:color w:val="auto"/>
              </w:rPr>
            </w:pPr>
            <w:r>
              <w:rPr>
                <w:rFonts w:ascii="Arial" w:cs="Arial" w:eastAsia="Arial" w:hAnsi="Arial"/>
                <w:sz w:val="11"/>
                <w:szCs w:val="11"/>
                <w:b w:val="1"/>
                <w:bCs w:val="1"/>
                <w:color w:val="auto"/>
              </w:rPr>
              <w:t>Period</w:t>
            </w:r>
          </w:p>
        </w:tc>
        <w:tc>
          <w:tcPr>
            <w:tcW w:w="100" w:type="dxa"/>
            <w:vAlign w:val="bottom"/>
            <w:vMerge w:val="restart"/>
          </w:tcPr>
          <w:p>
            <w:pPr>
              <w:spacing w:after="0"/>
              <w:rPr>
                <w:sz w:val="10"/>
                <w:szCs w:val="10"/>
                <w:color w:val="auto"/>
              </w:rPr>
            </w:pPr>
          </w:p>
        </w:tc>
        <w:tc>
          <w:tcPr>
            <w:tcW w:w="1380" w:type="dxa"/>
            <w:vAlign w:val="bottom"/>
          </w:tcPr>
          <w:p>
            <w:pPr>
              <w:jc w:val="right"/>
              <w:ind w:right="86"/>
              <w:spacing w:after="0"/>
              <w:rPr>
                <w:sz w:val="20"/>
                <w:szCs w:val="20"/>
                <w:color w:val="auto"/>
              </w:rPr>
            </w:pPr>
            <w:r>
              <w:rPr>
                <w:rFonts w:ascii="Arial" w:cs="Arial" w:eastAsia="Arial" w:hAnsi="Arial"/>
                <w:sz w:val="11"/>
                <w:szCs w:val="11"/>
                <w:b w:val="1"/>
                <w:bCs w:val="1"/>
                <w:color w:val="auto"/>
                <w:w w:val="98"/>
              </w:rPr>
              <w:t>Total Number of Shares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Average Price Paid per</w:t>
            </w:r>
          </w:p>
        </w:tc>
        <w:tc>
          <w:tcPr>
            <w:tcW w:w="2160" w:type="dxa"/>
            <w:vAlign w:val="bottom"/>
          </w:tcPr>
          <w:p>
            <w:pPr>
              <w:ind w:left="40"/>
              <w:spacing w:after="0"/>
              <w:rPr>
                <w:sz w:val="20"/>
                <w:szCs w:val="20"/>
                <w:color w:val="auto"/>
              </w:rPr>
            </w:pPr>
            <w:r>
              <w:rPr>
                <w:rFonts w:ascii="Arial" w:cs="Arial" w:eastAsia="Arial" w:hAnsi="Arial"/>
                <w:sz w:val="11"/>
                <w:szCs w:val="11"/>
                <w:b w:val="1"/>
                <w:bCs w:val="1"/>
                <w:color w:val="auto"/>
                <w:w w:val="88"/>
              </w:rPr>
              <w:t>Total Number of Shares Purchased as Part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tcPr>
          <w:p>
            <w:pPr>
              <w:jc w:val="right"/>
              <w:ind w:right="26"/>
              <w:spacing w:after="0"/>
              <w:rPr>
                <w:sz w:val="20"/>
                <w:szCs w:val="20"/>
                <w:color w:val="auto"/>
              </w:rPr>
            </w:pPr>
            <w:r>
              <w:rPr>
                <w:rFonts w:ascii="Arial" w:cs="Arial" w:eastAsia="Arial" w:hAnsi="Arial"/>
                <w:sz w:val="11"/>
                <w:szCs w:val="11"/>
                <w:b w:val="1"/>
                <w:bCs w:val="1"/>
                <w:color w:val="auto"/>
                <w:w w:val="89"/>
              </w:rPr>
              <w:t>Approximate Dollar Value of Shares that May</w:t>
            </w:r>
          </w:p>
        </w:tc>
        <w:tc>
          <w:tcPr>
            <w:tcW w:w="0" w:type="dxa"/>
            <w:vAlign w:val="bottom"/>
          </w:tcPr>
          <w:p>
            <w:pPr>
              <w:spacing w:after="0"/>
              <w:rPr>
                <w:sz w:val="1"/>
                <w:szCs w:val="1"/>
                <w:color w:val="auto"/>
              </w:rPr>
            </w:pPr>
          </w:p>
        </w:tc>
      </w:tr>
      <w:tr>
        <w:trPr>
          <w:trHeight w:val="144"/>
        </w:trPr>
        <w:tc>
          <w:tcPr>
            <w:tcW w:w="38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380" w:type="dxa"/>
            <w:vAlign w:val="bottom"/>
            <w:tcBorders>
              <w:bottom w:val="single" w:sz="8" w:color="auto"/>
            </w:tcBorders>
          </w:tcPr>
          <w:p>
            <w:pPr>
              <w:jc w:val="right"/>
              <w:ind w:right="346"/>
              <w:spacing w:after="0" w:line="145" w:lineRule="exact"/>
              <w:rPr>
                <w:sz w:val="20"/>
                <w:szCs w:val="20"/>
                <w:color w:val="auto"/>
              </w:rPr>
            </w:pPr>
            <w:r>
              <w:rPr>
                <w:rFonts w:ascii="Arial" w:cs="Arial" w:eastAsia="Arial" w:hAnsi="Arial"/>
                <w:sz w:val="11"/>
                <w:szCs w:val="11"/>
                <w:b w:val="1"/>
                <w:bCs w:val="1"/>
                <w:color w:val="auto"/>
              </w:rPr>
              <w:t xml:space="preserve">Purchased </w:t>
            </w:r>
            <w:r>
              <w:rPr>
                <w:rFonts w:ascii="Arial" w:cs="Arial" w:eastAsia="Arial" w:hAnsi="Arial"/>
                <w:sz w:val="14"/>
                <w:szCs w:val="14"/>
                <w:b w:val="1"/>
                <w:bCs w:val="1"/>
                <w:color w:val="auto"/>
                <w:vertAlign w:val="superscript"/>
              </w:rPr>
              <w:t>(a)</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Share</w:t>
            </w:r>
          </w:p>
        </w:tc>
        <w:tc>
          <w:tcPr>
            <w:tcW w:w="80" w:type="dxa"/>
            <w:vAlign w:val="bottom"/>
            <w:tcBorders>
              <w:bottom w:val="single" w:sz="8" w:color="CCEEFF"/>
            </w:tcBorders>
          </w:tcPr>
          <w:p>
            <w:pPr>
              <w:spacing w:after="0"/>
              <w:rPr>
                <w:sz w:val="12"/>
                <w:szCs w:val="12"/>
                <w:color w:val="auto"/>
              </w:rPr>
            </w:pPr>
          </w:p>
        </w:tc>
        <w:tc>
          <w:tcPr>
            <w:tcW w:w="216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Publicly Announced Program</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jc w:val="right"/>
              <w:ind w:right="166"/>
              <w:spacing w:after="0" w:line="145" w:lineRule="exact"/>
              <w:rPr>
                <w:sz w:val="20"/>
                <w:szCs w:val="20"/>
                <w:color w:val="auto"/>
              </w:rPr>
            </w:pPr>
            <w:r>
              <w:rPr>
                <w:rFonts w:ascii="Arial" w:cs="Arial" w:eastAsia="Arial" w:hAnsi="Arial"/>
                <w:sz w:val="11"/>
                <w:szCs w:val="11"/>
                <w:b w:val="1"/>
                <w:bCs w:val="1"/>
                <w:color w:val="auto"/>
                <w:w w:val="93"/>
              </w:rPr>
              <w:t xml:space="preserve">Yet be Purchased under the Program </w:t>
            </w:r>
            <w:r>
              <w:rPr>
                <w:rFonts w:ascii="Arial" w:cs="Arial" w:eastAsia="Arial" w:hAnsi="Arial"/>
                <w:sz w:val="14"/>
                <w:szCs w:val="14"/>
                <w:b w:val="1"/>
                <w:bCs w:val="1"/>
                <w:color w:val="auto"/>
                <w:w w:val="93"/>
                <w:vertAlign w:val="superscript"/>
              </w:rPr>
              <w:t>(b)</w:t>
            </w:r>
          </w:p>
        </w:tc>
        <w:tc>
          <w:tcPr>
            <w:tcW w:w="0" w:type="dxa"/>
            <w:vAlign w:val="bottom"/>
          </w:tcPr>
          <w:p>
            <w:pPr>
              <w:spacing w:after="0"/>
              <w:rPr>
                <w:sz w:val="1"/>
                <w:szCs w:val="1"/>
                <w:color w:val="auto"/>
              </w:rPr>
            </w:pPr>
          </w:p>
        </w:tc>
      </w:tr>
      <w:tr>
        <w:trPr>
          <w:trHeight w:val="133"/>
        </w:trPr>
        <w:tc>
          <w:tcPr>
            <w:tcW w:w="3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April 1 through April 30</w:t>
            </w:r>
          </w:p>
        </w:tc>
        <w:tc>
          <w:tcPr>
            <w:tcW w:w="1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5,569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98.03</w:t>
            </w:r>
          </w:p>
        </w:tc>
        <w:tc>
          <w:tcPr>
            <w:tcW w:w="80" w:type="dxa"/>
            <w:vAlign w:val="bottom"/>
            <w:shd w:val="clear" w:color="auto" w:fill="CCEEFF"/>
          </w:tcPr>
          <w:p>
            <w:pPr>
              <w:spacing w:after="0"/>
              <w:rPr>
                <w:sz w:val="11"/>
                <w:szCs w:val="11"/>
                <w:color w:val="auto"/>
              </w:rPr>
            </w:pPr>
          </w:p>
        </w:tc>
        <w:tc>
          <w:tcPr>
            <w:tcW w:w="2160" w:type="dxa"/>
            <w:vAlign w:val="bottom"/>
            <w:shd w:val="clear" w:color="auto" w:fill="CCEEFF"/>
          </w:tcPr>
          <w:p>
            <w:pPr>
              <w:ind w:left="200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158,617,588</w:t>
            </w:r>
          </w:p>
        </w:tc>
        <w:tc>
          <w:tcPr>
            <w:tcW w:w="0" w:type="dxa"/>
            <w:vAlign w:val="bottom"/>
          </w:tcPr>
          <w:p>
            <w:pPr>
              <w:spacing w:after="0"/>
              <w:rPr>
                <w:sz w:val="1"/>
                <w:szCs w:val="1"/>
                <w:color w:val="auto"/>
              </w:rPr>
            </w:pPr>
          </w:p>
        </w:tc>
      </w:tr>
      <w:tr>
        <w:trPr>
          <w:trHeight w:val="142"/>
        </w:trPr>
        <w:tc>
          <w:tcPr>
            <w:tcW w:w="3960" w:type="dxa"/>
            <w:vAlign w:val="bottom"/>
            <w:gridSpan w:val="2"/>
          </w:tcPr>
          <w:p>
            <w:pPr>
              <w:spacing w:after="0"/>
              <w:rPr>
                <w:sz w:val="20"/>
                <w:szCs w:val="20"/>
                <w:color w:val="auto"/>
              </w:rPr>
            </w:pPr>
            <w:r>
              <w:rPr>
                <w:rFonts w:ascii="Arial" w:cs="Arial" w:eastAsia="Arial" w:hAnsi="Arial"/>
                <w:sz w:val="11"/>
                <w:szCs w:val="11"/>
                <w:color w:val="auto"/>
              </w:rPr>
              <w:t>May 1 through May 31</w:t>
            </w:r>
          </w:p>
        </w:tc>
        <w:tc>
          <w:tcPr>
            <w:tcW w:w="1380" w:type="dxa"/>
            <w:vAlign w:val="bottom"/>
          </w:tcPr>
          <w:p>
            <w:pPr>
              <w:jc w:val="right"/>
              <w:ind w:right="6"/>
              <w:spacing w:after="0"/>
              <w:rPr>
                <w:sz w:val="20"/>
                <w:szCs w:val="20"/>
                <w:color w:val="auto"/>
              </w:rPr>
            </w:pPr>
            <w:r>
              <w:rPr>
                <w:rFonts w:ascii="Arial" w:cs="Arial" w:eastAsia="Arial" w:hAnsi="Arial"/>
                <w:sz w:val="11"/>
                <w:szCs w:val="11"/>
                <w:color w:val="auto"/>
              </w:rPr>
              <w:t>5,901</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110.38</w:t>
            </w:r>
          </w:p>
        </w:tc>
        <w:tc>
          <w:tcPr>
            <w:tcW w:w="80" w:type="dxa"/>
            <w:vAlign w:val="bottom"/>
          </w:tcPr>
          <w:p>
            <w:pPr>
              <w:spacing w:after="0"/>
              <w:rPr>
                <w:sz w:val="12"/>
                <w:szCs w:val="12"/>
                <w:color w:val="auto"/>
              </w:rPr>
            </w:pPr>
          </w:p>
        </w:tc>
        <w:tc>
          <w:tcPr>
            <w:tcW w:w="2160" w:type="dxa"/>
            <w:vAlign w:val="bottom"/>
          </w:tcPr>
          <w:p>
            <w:pPr>
              <w:ind w:left="20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0" w:type="dxa"/>
            <w:vAlign w:val="bottom"/>
          </w:tcPr>
          <w:p>
            <w:pPr>
              <w:jc w:val="right"/>
              <w:spacing w:after="0"/>
              <w:rPr>
                <w:sz w:val="20"/>
                <w:szCs w:val="20"/>
                <w:color w:val="auto"/>
              </w:rPr>
            </w:pPr>
            <w:r>
              <w:rPr>
                <w:rFonts w:ascii="Arial" w:cs="Arial" w:eastAsia="Arial" w:hAnsi="Arial"/>
                <w:sz w:val="11"/>
                <w:szCs w:val="11"/>
                <w:color w:val="auto"/>
              </w:rPr>
              <w:t>158,617,588</w:t>
            </w:r>
          </w:p>
        </w:tc>
        <w:tc>
          <w:tcPr>
            <w:tcW w:w="0" w:type="dxa"/>
            <w:vAlign w:val="bottom"/>
          </w:tcPr>
          <w:p>
            <w:pPr>
              <w:spacing w:after="0"/>
              <w:rPr>
                <w:sz w:val="1"/>
                <w:szCs w:val="1"/>
                <w:color w:val="auto"/>
              </w:rPr>
            </w:pPr>
          </w:p>
        </w:tc>
      </w:tr>
      <w:tr>
        <w:trPr>
          <w:trHeight w:val="146"/>
        </w:trPr>
        <w:tc>
          <w:tcPr>
            <w:tcW w:w="3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June 1 through June 30</w:t>
            </w:r>
          </w:p>
        </w:tc>
        <w:tc>
          <w:tcPr>
            <w:tcW w:w="13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8,901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110.58</w:t>
            </w:r>
          </w:p>
        </w:tc>
        <w:tc>
          <w:tcPr>
            <w:tcW w:w="80" w:type="dxa"/>
            <w:vAlign w:val="bottom"/>
            <w:shd w:val="clear" w:color="auto" w:fill="CCEEFF"/>
          </w:tcPr>
          <w:p>
            <w:pPr>
              <w:spacing w:after="0"/>
              <w:rPr>
                <w:sz w:val="12"/>
                <w:szCs w:val="12"/>
                <w:color w:val="auto"/>
              </w:rPr>
            </w:pPr>
          </w:p>
        </w:tc>
        <w:tc>
          <w:tcPr>
            <w:tcW w:w="2160" w:type="dxa"/>
            <w:vAlign w:val="bottom"/>
            <w:tcBorders>
              <w:bottom w:val="single" w:sz="8" w:color="auto"/>
            </w:tcBorders>
            <w:shd w:val="clear" w:color="auto" w:fill="CCEEFF"/>
          </w:tcPr>
          <w:p>
            <w:pPr>
              <w:ind w:left="200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158,617,588</w:t>
            </w:r>
          </w:p>
        </w:tc>
        <w:tc>
          <w:tcPr>
            <w:tcW w:w="0" w:type="dxa"/>
            <w:vAlign w:val="bottom"/>
          </w:tcPr>
          <w:p>
            <w:pPr>
              <w:spacing w:after="0"/>
              <w:rPr>
                <w:sz w:val="1"/>
                <w:szCs w:val="1"/>
                <w:color w:val="auto"/>
              </w:rPr>
            </w:pPr>
          </w:p>
        </w:tc>
      </w:tr>
      <w:tr>
        <w:trPr>
          <w:trHeight w:val="131"/>
        </w:trPr>
        <w:tc>
          <w:tcPr>
            <w:tcW w:w="3960" w:type="dxa"/>
            <w:vAlign w:val="bottom"/>
            <w:gridSpan w:val="2"/>
          </w:tcPr>
          <w:p>
            <w:pPr>
              <w:spacing w:after="0"/>
              <w:rPr>
                <w:sz w:val="20"/>
                <w:szCs w:val="20"/>
                <w:color w:val="auto"/>
              </w:rPr>
            </w:pPr>
            <w:r>
              <w:rPr>
                <w:rFonts w:ascii="Arial" w:cs="Arial" w:eastAsia="Arial" w:hAnsi="Arial"/>
                <w:sz w:val="11"/>
                <w:szCs w:val="11"/>
                <w:color w:val="auto"/>
              </w:rPr>
              <w:t>Total</w:t>
            </w:r>
          </w:p>
        </w:tc>
        <w:tc>
          <w:tcPr>
            <w:tcW w:w="13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20,371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Borders>
              <w:bottom w:val="single" w:sz="8" w:color="auto"/>
            </w:tcBorders>
          </w:tcPr>
          <w:p>
            <w:pPr>
              <w:ind w:left="20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08" w:hanging="208"/>
        <w:spacing w:after="0" w:line="239" w:lineRule="auto"/>
        <w:tabs>
          <w:tab w:leader="none" w:pos="206" w:val="left"/>
        </w:tabs>
        <w:numPr>
          <w:ilvl w:val="0"/>
          <w:numId w:val="10"/>
        </w:numPr>
        <w:rPr>
          <w:rFonts w:ascii="Arial" w:cs="Arial" w:eastAsia="Arial" w:hAnsi="Arial"/>
          <w:sz w:val="10"/>
          <w:szCs w:val="10"/>
          <w:color w:val="auto"/>
        </w:rPr>
      </w:pPr>
      <w:r>
        <w:rPr>
          <w:rFonts w:ascii="Arial" w:cs="Arial" w:eastAsia="Arial" w:hAnsi="Arial"/>
          <w:sz w:val="10"/>
          <w:szCs w:val="10"/>
          <w:color w:val="auto"/>
        </w:rPr>
        <w:t>Includes 5,569, 5,721 and 8,901 shares reacquired by the Company on the open market pursuant to the Amended ESPPs in April, May and June of 2021, respectively, and 180 shares withheld for income tax purposes in connection with shares issued under compensation and benefit programs in May of 2021.</w:t>
      </w:r>
    </w:p>
    <w:p>
      <w:pPr>
        <w:spacing w:after="0" w:line="21" w:lineRule="exact"/>
        <w:rPr>
          <w:rFonts w:ascii="Arial" w:cs="Arial" w:eastAsia="Arial" w:hAnsi="Arial"/>
          <w:sz w:val="10"/>
          <w:szCs w:val="10"/>
          <w:color w:val="auto"/>
        </w:rPr>
      </w:pPr>
    </w:p>
    <w:p>
      <w:pPr>
        <w:ind w:left="208" w:right="20" w:hanging="208"/>
        <w:spacing w:after="0" w:line="262" w:lineRule="auto"/>
        <w:tabs>
          <w:tab w:leader="none" w:pos="203" w:val="left"/>
        </w:tabs>
        <w:numPr>
          <w:ilvl w:val="0"/>
          <w:numId w:val="10"/>
        </w:numPr>
        <w:rPr>
          <w:rFonts w:ascii="Arial" w:cs="Arial" w:eastAsia="Arial" w:hAnsi="Arial"/>
          <w:sz w:val="10"/>
          <w:szCs w:val="10"/>
          <w:color w:val="auto"/>
        </w:rPr>
      </w:pPr>
      <w:r>
        <w:rPr>
          <w:rFonts w:ascii="Arial" w:cs="Arial" w:eastAsia="Arial" w:hAnsi="Arial"/>
          <w:sz w:val="10"/>
          <w:szCs w:val="10"/>
          <w:color w:val="auto"/>
        </w:rPr>
        <w:t>As of June 30, 2021, the remaining amount available for share repurchases includes $8.6 million under our December 2018 $100 million share repurchase program, which was publicly announced on December 21, 2018, and the full amount under our March 2020 $150 million share repurchase program, which was publicly announced on March 19, 2020.</w:t>
      </w:r>
    </w:p>
    <w:p>
      <w:pPr>
        <w:spacing w:after="0" w:line="124" w:lineRule="exact"/>
        <w:rPr>
          <w:sz w:val="20"/>
          <w:szCs w:val="20"/>
          <w:color w:val="auto"/>
        </w:rPr>
      </w:pPr>
    </w:p>
    <w:p>
      <w:pPr>
        <w:ind w:left="8"/>
        <w:spacing w:after="0"/>
        <w:tabs>
          <w:tab w:leader="none" w:pos="487" w:val="left"/>
        </w:tabs>
        <w:rPr>
          <w:sz w:val="20"/>
          <w:szCs w:val="20"/>
          <w:color w:val="auto"/>
        </w:rPr>
      </w:pPr>
      <w:r>
        <w:rPr>
          <w:rFonts w:ascii="Arial" w:cs="Arial" w:eastAsia="Arial" w:hAnsi="Arial"/>
          <w:sz w:val="11"/>
          <w:szCs w:val="11"/>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76" w:lineRule="exact"/>
        <w:rPr>
          <w:sz w:val="20"/>
          <w:szCs w:val="20"/>
          <w:color w:val="auto"/>
        </w:rPr>
      </w:pPr>
    </w:p>
    <w:p>
      <w:pPr>
        <w:ind w:left="288"/>
        <w:spacing w:after="0"/>
        <w:rPr>
          <w:sz w:val="20"/>
          <w:szCs w:val="20"/>
          <w:color w:val="auto"/>
        </w:rPr>
      </w:pPr>
      <w:r>
        <w:rPr>
          <w:rFonts w:ascii="Arial" w:cs="Arial" w:eastAsia="Arial" w:hAnsi="Arial"/>
          <w:sz w:val="11"/>
          <w:szCs w:val="11"/>
          <w:color w:val="auto"/>
        </w:rPr>
        <w:t>Not applicable.</w:t>
      </w:r>
    </w:p>
    <w:p>
      <w:pPr>
        <w:spacing w:after="0" w:line="140" w:lineRule="exact"/>
        <w:rPr>
          <w:sz w:val="20"/>
          <w:szCs w:val="20"/>
          <w:color w:val="auto"/>
        </w:rPr>
      </w:pPr>
    </w:p>
    <w:p>
      <w:pPr>
        <w:ind w:left="8"/>
        <w:spacing w:after="0"/>
        <w:tabs>
          <w:tab w:leader="none" w:pos="487" w:val="left"/>
        </w:tabs>
        <w:rPr>
          <w:sz w:val="20"/>
          <w:szCs w:val="20"/>
          <w:color w:val="auto"/>
        </w:rPr>
      </w:pPr>
      <w:r>
        <w:rPr>
          <w:rFonts w:ascii="Arial" w:cs="Arial" w:eastAsia="Arial" w:hAnsi="Arial"/>
          <w:sz w:val="11"/>
          <w:szCs w:val="11"/>
          <w:b w:val="1"/>
          <w:bCs w:val="1"/>
          <w:color w:val="auto"/>
        </w:rPr>
        <w:t>ITEM 6.</w:t>
        <w:tab/>
        <w:t>EXHIBITS</w:t>
      </w:r>
    </w:p>
    <w:p>
      <w:pPr>
        <w:spacing w:after="0" w:line="112" w:lineRule="exact"/>
        <w:rPr>
          <w:sz w:val="20"/>
          <w:szCs w:val="20"/>
          <w:color w:val="auto"/>
        </w:rPr>
      </w:pPr>
    </w:p>
    <w:p>
      <w:pPr>
        <w:ind w:left="328"/>
        <w:spacing w:after="0"/>
        <w:rPr>
          <w:sz w:val="20"/>
          <w:szCs w:val="20"/>
          <w:color w:val="auto"/>
        </w:rPr>
      </w:pPr>
      <w:r>
        <w:rPr>
          <w:rFonts w:ascii="Arial" w:cs="Arial" w:eastAsia="Arial" w:hAnsi="Arial"/>
          <w:sz w:val="11"/>
          <w:szCs w:val="11"/>
          <w:color w:val="auto"/>
        </w:rPr>
        <w:t>The Exhibit Index below contains a list of exhibits filed or furnished with this Form 10-Q.</w:t>
      </w:r>
    </w:p>
    <w:p>
      <w:pPr>
        <w:spacing w:after="0" w:line="5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280" w:type="dxa"/>
            <w:vAlign w:val="bottom"/>
            <w:gridSpan w:val="2"/>
          </w:tcPr>
          <w:p>
            <w:pPr>
              <w:spacing w:after="0"/>
              <w:rPr>
                <w:sz w:val="20"/>
                <w:szCs w:val="20"/>
                <w:color w:val="auto"/>
              </w:rPr>
            </w:pPr>
            <w:r>
              <w:rPr>
                <w:rFonts w:ascii="Arial" w:cs="Arial" w:eastAsia="Arial" w:hAnsi="Arial"/>
                <w:sz w:val="11"/>
                <w:szCs w:val="11"/>
                <w:color w:val="auto"/>
              </w:rPr>
              <w:t>Exhibit No.</w:t>
            </w:r>
          </w:p>
        </w:tc>
        <w:tc>
          <w:tcPr>
            <w:tcW w:w="9120" w:type="dxa"/>
            <w:vAlign w:val="bottom"/>
            <w:gridSpan w:val="6"/>
          </w:tcPr>
          <w:p>
            <w:pPr>
              <w:spacing w:after="0"/>
              <w:rPr>
                <w:sz w:val="20"/>
                <w:szCs w:val="20"/>
                <w:color w:val="auto"/>
              </w:rPr>
            </w:pPr>
            <w:r>
              <w:rPr>
                <w:rFonts w:ascii="Arial" w:cs="Arial" w:eastAsia="Arial" w:hAnsi="Arial"/>
                <w:sz w:val="11"/>
                <w:szCs w:val="11"/>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60"/>
        </w:trPr>
        <w:tc>
          <w:tcPr>
            <w:tcW w:w="500" w:type="dxa"/>
            <w:vAlign w:val="bottom"/>
          </w:tcPr>
          <w:p>
            <w:pPr>
              <w:ind w:left="40"/>
              <w:spacing w:after="0"/>
              <w:rPr>
                <w:sz w:val="20"/>
                <w:szCs w:val="20"/>
                <w:color w:val="auto"/>
              </w:rPr>
            </w:pPr>
            <w:r>
              <w:rPr>
                <w:rFonts w:ascii="Arial" w:cs="Arial" w:eastAsia="Arial" w:hAnsi="Arial"/>
                <w:sz w:val="11"/>
                <w:szCs w:val="11"/>
                <w:color w:val="auto"/>
              </w:rPr>
              <w:t>10.1+</w:t>
            </w:r>
          </w:p>
        </w:tc>
        <w:tc>
          <w:tcPr>
            <w:tcW w:w="780" w:type="dxa"/>
            <w:vAlign w:val="bottom"/>
          </w:tcPr>
          <w:p>
            <w:pPr>
              <w:spacing w:after="0"/>
              <w:rPr>
                <w:sz w:val="13"/>
                <w:szCs w:val="13"/>
                <w:color w:val="auto"/>
              </w:rPr>
            </w:pPr>
          </w:p>
        </w:tc>
        <w:tc>
          <w:tcPr>
            <w:tcW w:w="9120" w:type="dxa"/>
            <w:vAlign w:val="bottom"/>
            <w:gridSpan w:val="6"/>
          </w:tcPr>
          <w:p>
            <w:pPr>
              <w:spacing w:after="0"/>
              <w:rPr>
                <w:rFonts w:ascii="Arial" w:cs="Arial" w:eastAsia="Arial" w:hAnsi="Arial"/>
                <w:sz w:val="11"/>
                <w:szCs w:val="11"/>
                <w:color w:val="0000FF"/>
                <w:w w:val="89"/>
              </w:rPr>
            </w:pPr>
            <w:hyperlink r:id="rId54">
              <w:r>
                <w:rPr>
                  <w:rFonts w:ascii="Arial" w:cs="Arial" w:eastAsia="Arial" w:hAnsi="Arial"/>
                  <w:sz w:val="11"/>
                  <w:szCs w:val="11"/>
                  <w:color w:val="0000FF"/>
                  <w:w w:val="89"/>
                </w:rPr>
                <w:t>MasTec, Inc. Amended and Restated 2013 Incentive Compensation Plan</w:t>
              </w:r>
            </w:hyperlink>
            <w:r>
              <w:rPr>
                <w:rFonts w:ascii="Arial" w:cs="Arial" w:eastAsia="Arial" w:hAnsi="Arial"/>
                <w:sz w:val="11"/>
                <w:szCs w:val="11"/>
                <w:color w:val="000000"/>
                <w:w w:val="89"/>
              </w:rPr>
              <w:t>,</w:t>
            </w:r>
            <w:r>
              <w:rPr>
                <w:rFonts w:ascii="Arial" w:cs="Arial" w:eastAsia="Arial" w:hAnsi="Arial"/>
                <w:sz w:val="11"/>
                <w:szCs w:val="11"/>
                <w:color w:val="0000FF"/>
                <w:w w:val="89"/>
              </w:rPr>
              <w:t xml:space="preserve"> </w:t>
            </w:r>
            <w:r>
              <w:rPr>
                <w:rFonts w:ascii="Arial" w:cs="Arial" w:eastAsia="Arial" w:hAnsi="Arial"/>
                <w:sz w:val="11"/>
                <w:szCs w:val="11"/>
                <w:color w:val="000000"/>
                <w:w w:val="89"/>
              </w:rPr>
              <w:t>filed as Annex A to our Definitive Additional Proxy Materials filed with the SEC on May 13, 2021 and incorporated by reference herein.</w:t>
            </w:r>
          </w:p>
        </w:tc>
      </w:tr>
      <w:tr>
        <w:trPr>
          <w:trHeight w:val="20"/>
        </w:trPr>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24"/>
        </w:trPr>
        <w:tc>
          <w:tcPr>
            <w:tcW w:w="500" w:type="dxa"/>
            <w:vAlign w:val="bottom"/>
          </w:tcPr>
          <w:p>
            <w:pPr>
              <w:ind w:left="40"/>
              <w:spacing w:after="0" w:line="124" w:lineRule="exact"/>
              <w:rPr>
                <w:sz w:val="20"/>
                <w:szCs w:val="20"/>
                <w:color w:val="auto"/>
              </w:rPr>
            </w:pPr>
            <w:r>
              <w:rPr>
                <w:rFonts w:ascii="Arial" w:cs="Arial" w:eastAsia="Arial" w:hAnsi="Arial"/>
                <w:sz w:val="11"/>
                <w:szCs w:val="11"/>
                <w:color w:val="auto"/>
              </w:rPr>
              <w:t>31.1*</w:t>
            </w:r>
          </w:p>
        </w:tc>
        <w:tc>
          <w:tcPr>
            <w:tcW w:w="780" w:type="dxa"/>
            <w:vAlign w:val="bottom"/>
          </w:tcPr>
          <w:p>
            <w:pPr>
              <w:spacing w:after="0"/>
              <w:rPr>
                <w:sz w:val="10"/>
                <w:szCs w:val="10"/>
                <w:color w:val="auto"/>
              </w:rPr>
            </w:pPr>
          </w:p>
        </w:tc>
        <w:tc>
          <w:tcPr>
            <w:tcW w:w="3360" w:type="dxa"/>
            <w:vAlign w:val="bottom"/>
            <w:tcBorders>
              <w:bottom w:val="single" w:sz="8" w:color="0000FF"/>
            </w:tcBorders>
            <w:gridSpan w:val="5"/>
          </w:tcPr>
          <w:p>
            <w:pPr>
              <w:spacing w:after="0" w:line="124" w:lineRule="exact"/>
              <w:rPr>
                <w:rFonts w:ascii="Arial" w:cs="Arial" w:eastAsia="Arial" w:hAnsi="Arial"/>
                <w:sz w:val="11"/>
                <w:szCs w:val="11"/>
                <w:color w:val="0000FF"/>
                <w:w w:val="90"/>
              </w:rPr>
            </w:pPr>
            <w:hyperlink w:anchor="page41">
              <w:r>
                <w:rPr>
                  <w:rFonts w:ascii="Arial" w:cs="Arial" w:eastAsia="Arial" w:hAnsi="Arial"/>
                  <w:sz w:val="11"/>
                  <w:szCs w:val="11"/>
                  <w:color w:val="0000FF"/>
                  <w:w w:val="90"/>
                </w:rPr>
                <w:t>Certifications required by Section 302(a) of the Sarbanes-Oxley Act of 2002.</w:t>
              </w:r>
            </w:hyperlink>
          </w:p>
        </w:tc>
        <w:tc>
          <w:tcPr>
            <w:tcW w:w="5760" w:type="dxa"/>
            <w:vAlign w:val="bottom"/>
          </w:tcPr>
          <w:p>
            <w:pPr>
              <w:spacing w:after="0"/>
              <w:rPr>
                <w:sz w:val="10"/>
                <w:szCs w:val="10"/>
                <w:color w:val="auto"/>
              </w:rPr>
            </w:pPr>
          </w:p>
        </w:tc>
      </w:tr>
      <w:tr>
        <w:trPr>
          <w:trHeight w:val="124"/>
        </w:trPr>
        <w:tc>
          <w:tcPr>
            <w:tcW w:w="500" w:type="dxa"/>
            <w:vAlign w:val="bottom"/>
          </w:tcPr>
          <w:p>
            <w:pPr>
              <w:ind w:left="40"/>
              <w:spacing w:after="0" w:line="124" w:lineRule="exact"/>
              <w:rPr>
                <w:sz w:val="20"/>
                <w:szCs w:val="20"/>
                <w:color w:val="auto"/>
              </w:rPr>
            </w:pPr>
            <w:r>
              <w:rPr>
                <w:rFonts w:ascii="Arial" w:cs="Arial" w:eastAsia="Arial" w:hAnsi="Arial"/>
                <w:sz w:val="11"/>
                <w:szCs w:val="11"/>
                <w:color w:val="auto"/>
              </w:rPr>
              <w:t>31.2*</w:t>
            </w:r>
          </w:p>
        </w:tc>
        <w:tc>
          <w:tcPr>
            <w:tcW w:w="780" w:type="dxa"/>
            <w:vAlign w:val="bottom"/>
          </w:tcPr>
          <w:p>
            <w:pPr>
              <w:spacing w:after="0"/>
              <w:rPr>
                <w:sz w:val="10"/>
                <w:szCs w:val="10"/>
                <w:color w:val="auto"/>
              </w:rPr>
            </w:pPr>
          </w:p>
        </w:tc>
        <w:tc>
          <w:tcPr>
            <w:tcW w:w="3340" w:type="dxa"/>
            <w:vAlign w:val="bottom"/>
            <w:tcBorders>
              <w:bottom w:val="single" w:sz="8" w:color="0000FF"/>
            </w:tcBorders>
            <w:gridSpan w:val="4"/>
          </w:tcPr>
          <w:p>
            <w:pPr>
              <w:spacing w:after="0" w:line="124" w:lineRule="exact"/>
              <w:rPr>
                <w:rFonts w:ascii="Arial" w:cs="Arial" w:eastAsia="Arial" w:hAnsi="Arial"/>
                <w:sz w:val="11"/>
                <w:szCs w:val="11"/>
                <w:color w:val="0000FF"/>
                <w:w w:val="89"/>
              </w:rPr>
            </w:pPr>
            <w:hyperlink w:anchor="page42">
              <w:r>
                <w:rPr>
                  <w:rFonts w:ascii="Arial" w:cs="Arial" w:eastAsia="Arial" w:hAnsi="Arial"/>
                  <w:sz w:val="11"/>
                  <w:szCs w:val="11"/>
                  <w:color w:val="0000FF"/>
                  <w:w w:val="89"/>
                </w:rPr>
                <w:t>Certifications required by Section 302(a) of the Sarbanes-Oxley Act of 2002.</w:t>
              </w:r>
            </w:hyperlink>
          </w:p>
        </w:tc>
        <w:tc>
          <w:tcPr>
            <w:tcW w:w="5780" w:type="dxa"/>
            <w:vAlign w:val="bottom"/>
            <w:gridSpan w:val="2"/>
          </w:tcPr>
          <w:p>
            <w:pPr>
              <w:spacing w:after="0"/>
              <w:rPr>
                <w:sz w:val="10"/>
                <w:szCs w:val="10"/>
                <w:color w:val="auto"/>
              </w:rPr>
            </w:pPr>
          </w:p>
        </w:tc>
      </w:tr>
      <w:tr>
        <w:trPr>
          <w:trHeight w:val="124"/>
        </w:trPr>
        <w:tc>
          <w:tcPr>
            <w:tcW w:w="500" w:type="dxa"/>
            <w:vAlign w:val="bottom"/>
          </w:tcPr>
          <w:p>
            <w:pPr>
              <w:ind w:left="40"/>
              <w:spacing w:after="0" w:line="124" w:lineRule="exact"/>
              <w:rPr>
                <w:sz w:val="20"/>
                <w:szCs w:val="20"/>
                <w:color w:val="auto"/>
              </w:rPr>
            </w:pPr>
            <w:r>
              <w:rPr>
                <w:rFonts w:ascii="Arial" w:cs="Arial" w:eastAsia="Arial" w:hAnsi="Arial"/>
                <w:sz w:val="11"/>
                <w:szCs w:val="11"/>
                <w:color w:val="auto"/>
              </w:rPr>
              <w:t>32.1**</w:t>
            </w:r>
          </w:p>
        </w:tc>
        <w:tc>
          <w:tcPr>
            <w:tcW w:w="780" w:type="dxa"/>
            <w:vAlign w:val="bottom"/>
          </w:tcPr>
          <w:p>
            <w:pPr>
              <w:spacing w:after="0"/>
              <w:rPr>
                <w:sz w:val="10"/>
                <w:szCs w:val="10"/>
                <w:color w:val="auto"/>
              </w:rPr>
            </w:pPr>
          </w:p>
        </w:tc>
        <w:tc>
          <w:tcPr>
            <w:tcW w:w="3220" w:type="dxa"/>
            <w:vAlign w:val="bottom"/>
            <w:tcBorders>
              <w:bottom w:val="single" w:sz="8" w:color="0000FF"/>
            </w:tcBorders>
            <w:gridSpan w:val="3"/>
          </w:tcPr>
          <w:p>
            <w:pPr>
              <w:spacing w:after="0" w:line="124" w:lineRule="exact"/>
              <w:rPr>
                <w:rFonts w:ascii="Arial" w:cs="Arial" w:eastAsia="Arial" w:hAnsi="Arial"/>
                <w:sz w:val="11"/>
                <w:szCs w:val="11"/>
                <w:color w:val="0000FF"/>
                <w:w w:val="89"/>
              </w:rPr>
            </w:pPr>
            <w:hyperlink w:anchor="page43">
              <w:r>
                <w:rPr>
                  <w:rFonts w:ascii="Arial" w:cs="Arial" w:eastAsia="Arial" w:hAnsi="Arial"/>
                  <w:sz w:val="11"/>
                  <w:szCs w:val="11"/>
                  <w:color w:val="0000FF"/>
                  <w:w w:val="89"/>
                </w:rPr>
                <w:t>Certifications required by Section 906 of the Sarbanes-Oxley Act of 2002.</w:t>
              </w:r>
            </w:hyperlink>
          </w:p>
        </w:tc>
        <w:tc>
          <w:tcPr>
            <w:tcW w:w="5900" w:type="dxa"/>
            <w:vAlign w:val="bottom"/>
            <w:gridSpan w:val="3"/>
          </w:tcPr>
          <w:p>
            <w:pPr>
              <w:spacing w:after="0"/>
              <w:rPr>
                <w:sz w:val="10"/>
                <w:szCs w:val="10"/>
                <w:color w:val="auto"/>
              </w:rPr>
            </w:pPr>
          </w:p>
        </w:tc>
      </w:tr>
      <w:tr>
        <w:trPr>
          <w:trHeight w:val="124"/>
        </w:trPr>
        <w:tc>
          <w:tcPr>
            <w:tcW w:w="500" w:type="dxa"/>
            <w:vAlign w:val="bottom"/>
          </w:tcPr>
          <w:p>
            <w:pPr>
              <w:ind w:left="40"/>
              <w:spacing w:after="0" w:line="124" w:lineRule="exact"/>
              <w:rPr>
                <w:sz w:val="20"/>
                <w:szCs w:val="20"/>
                <w:color w:val="auto"/>
              </w:rPr>
            </w:pPr>
            <w:r>
              <w:rPr>
                <w:rFonts w:ascii="Arial" w:cs="Arial" w:eastAsia="Arial" w:hAnsi="Arial"/>
                <w:sz w:val="11"/>
                <w:szCs w:val="11"/>
                <w:color w:val="auto"/>
              </w:rPr>
              <w:t>32.2**</w:t>
            </w:r>
          </w:p>
        </w:tc>
        <w:tc>
          <w:tcPr>
            <w:tcW w:w="780" w:type="dxa"/>
            <w:vAlign w:val="bottom"/>
          </w:tcPr>
          <w:p>
            <w:pPr>
              <w:spacing w:after="0"/>
              <w:rPr>
                <w:sz w:val="10"/>
                <w:szCs w:val="10"/>
                <w:color w:val="auto"/>
              </w:rPr>
            </w:pPr>
          </w:p>
        </w:tc>
        <w:tc>
          <w:tcPr>
            <w:tcW w:w="3220" w:type="dxa"/>
            <w:vAlign w:val="bottom"/>
            <w:tcBorders>
              <w:bottom w:val="single" w:sz="8" w:color="0000FF"/>
            </w:tcBorders>
            <w:gridSpan w:val="3"/>
          </w:tcPr>
          <w:p>
            <w:pPr>
              <w:spacing w:after="0" w:line="124" w:lineRule="exact"/>
              <w:rPr>
                <w:rFonts w:ascii="Arial" w:cs="Arial" w:eastAsia="Arial" w:hAnsi="Arial"/>
                <w:sz w:val="11"/>
                <w:szCs w:val="11"/>
                <w:color w:val="0000FF"/>
                <w:w w:val="89"/>
              </w:rPr>
            </w:pPr>
            <w:hyperlink w:anchor="page44">
              <w:r>
                <w:rPr>
                  <w:rFonts w:ascii="Arial" w:cs="Arial" w:eastAsia="Arial" w:hAnsi="Arial"/>
                  <w:sz w:val="11"/>
                  <w:szCs w:val="11"/>
                  <w:color w:val="0000FF"/>
                  <w:w w:val="89"/>
                </w:rPr>
                <w:t>Certifications required by Section 906 of the Sarbanes-Oxley Act of 2002.</w:t>
              </w:r>
            </w:hyperlink>
          </w:p>
        </w:tc>
        <w:tc>
          <w:tcPr>
            <w:tcW w:w="5900" w:type="dxa"/>
            <w:vAlign w:val="bottom"/>
            <w:gridSpan w:val="3"/>
          </w:tcPr>
          <w:p>
            <w:pPr>
              <w:spacing w:after="0"/>
              <w:rPr>
                <w:sz w:val="10"/>
                <w:szCs w:val="10"/>
                <w:color w:val="auto"/>
              </w:rPr>
            </w:pPr>
          </w:p>
        </w:tc>
      </w:tr>
      <w:tr>
        <w:trPr>
          <w:trHeight w:val="147"/>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101.INS</w:t>
            </w:r>
          </w:p>
        </w:tc>
        <w:tc>
          <w:tcPr>
            <w:tcW w:w="9120" w:type="dxa"/>
            <w:vAlign w:val="bottom"/>
            <w:gridSpan w:val="6"/>
          </w:tcPr>
          <w:p>
            <w:pPr>
              <w:spacing w:after="0"/>
              <w:rPr>
                <w:sz w:val="20"/>
                <w:szCs w:val="20"/>
                <w:color w:val="auto"/>
              </w:rPr>
            </w:pPr>
            <w:r>
              <w:rPr>
                <w:rFonts w:ascii="Arial" w:cs="Arial" w:eastAsia="Arial" w:hAnsi="Arial"/>
                <w:sz w:val="11"/>
                <w:szCs w:val="11"/>
                <w:color w:val="auto"/>
              </w:rPr>
              <w:t>Inline XBRL Instance Document - The instance document does not appear in the interactive data file because its XBRL tags are embedded within the Inline XBRL document.</w:t>
            </w:r>
          </w:p>
        </w:tc>
      </w:tr>
      <w:tr>
        <w:trPr>
          <w:trHeight w:val="144"/>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101.SCH</w:t>
            </w:r>
          </w:p>
        </w:tc>
        <w:tc>
          <w:tcPr>
            <w:tcW w:w="9120" w:type="dxa"/>
            <w:vAlign w:val="bottom"/>
            <w:gridSpan w:val="6"/>
          </w:tcPr>
          <w:p>
            <w:pPr>
              <w:spacing w:after="0"/>
              <w:rPr>
                <w:sz w:val="20"/>
                <w:szCs w:val="20"/>
                <w:color w:val="auto"/>
              </w:rPr>
            </w:pPr>
            <w:r>
              <w:rPr>
                <w:rFonts w:ascii="Arial" w:cs="Arial" w:eastAsia="Arial" w:hAnsi="Arial"/>
                <w:sz w:val="11"/>
                <w:szCs w:val="11"/>
                <w:color w:val="auto"/>
              </w:rPr>
              <w:t>Inline XBRL Taxonomy Extension Schema</w:t>
            </w:r>
          </w:p>
        </w:tc>
      </w:tr>
      <w:tr>
        <w:trPr>
          <w:trHeight w:val="144"/>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101.CAL</w:t>
            </w:r>
          </w:p>
        </w:tc>
        <w:tc>
          <w:tcPr>
            <w:tcW w:w="9120" w:type="dxa"/>
            <w:vAlign w:val="bottom"/>
            <w:gridSpan w:val="6"/>
          </w:tcPr>
          <w:p>
            <w:pPr>
              <w:spacing w:after="0"/>
              <w:rPr>
                <w:sz w:val="20"/>
                <w:szCs w:val="20"/>
                <w:color w:val="auto"/>
              </w:rPr>
            </w:pPr>
            <w:r>
              <w:rPr>
                <w:rFonts w:ascii="Arial" w:cs="Arial" w:eastAsia="Arial" w:hAnsi="Arial"/>
                <w:sz w:val="11"/>
                <w:szCs w:val="11"/>
                <w:color w:val="auto"/>
              </w:rPr>
              <w:t>Inline XBRL Taxonomy Extension Calculation Linkbase</w:t>
            </w:r>
          </w:p>
        </w:tc>
      </w:tr>
      <w:tr>
        <w:trPr>
          <w:trHeight w:val="171"/>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101.DEF</w:t>
            </w:r>
          </w:p>
        </w:tc>
        <w:tc>
          <w:tcPr>
            <w:tcW w:w="9120" w:type="dxa"/>
            <w:vAlign w:val="bottom"/>
            <w:gridSpan w:val="6"/>
          </w:tcPr>
          <w:p>
            <w:pPr>
              <w:spacing w:after="0"/>
              <w:rPr>
                <w:sz w:val="20"/>
                <w:szCs w:val="20"/>
                <w:color w:val="auto"/>
              </w:rPr>
            </w:pPr>
            <w:r>
              <w:rPr>
                <w:rFonts w:ascii="Arial" w:cs="Arial" w:eastAsia="Arial" w:hAnsi="Arial"/>
                <w:sz w:val="11"/>
                <w:szCs w:val="11"/>
                <w:color w:val="auto"/>
              </w:rPr>
              <w:t>Inline XBRL Taxonomy Extension Definition Linkbase</w:t>
            </w:r>
          </w:p>
        </w:tc>
      </w:tr>
      <w:tr>
        <w:trPr>
          <w:trHeight w:val="144"/>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101.LAB</w:t>
            </w:r>
          </w:p>
        </w:tc>
        <w:tc>
          <w:tcPr>
            <w:tcW w:w="9120" w:type="dxa"/>
            <w:vAlign w:val="bottom"/>
            <w:gridSpan w:val="6"/>
          </w:tcPr>
          <w:p>
            <w:pPr>
              <w:spacing w:after="0"/>
              <w:rPr>
                <w:sz w:val="20"/>
                <w:szCs w:val="20"/>
                <w:color w:val="auto"/>
              </w:rPr>
            </w:pPr>
            <w:r>
              <w:rPr>
                <w:rFonts w:ascii="Arial" w:cs="Arial" w:eastAsia="Arial" w:hAnsi="Arial"/>
                <w:sz w:val="11"/>
                <w:szCs w:val="11"/>
                <w:color w:val="auto"/>
              </w:rPr>
              <w:t>Inline XBRL Taxonomy Extension Label Linkbase</w:t>
            </w:r>
          </w:p>
        </w:tc>
      </w:tr>
      <w:tr>
        <w:trPr>
          <w:trHeight w:val="144"/>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101.PRE</w:t>
            </w:r>
          </w:p>
        </w:tc>
        <w:tc>
          <w:tcPr>
            <w:tcW w:w="9120" w:type="dxa"/>
            <w:vAlign w:val="bottom"/>
            <w:gridSpan w:val="6"/>
          </w:tcPr>
          <w:p>
            <w:pPr>
              <w:spacing w:after="0"/>
              <w:rPr>
                <w:sz w:val="20"/>
                <w:szCs w:val="20"/>
                <w:color w:val="auto"/>
              </w:rPr>
            </w:pPr>
            <w:r>
              <w:rPr>
                <w:rFonts w:ascii="Arial" w:cs="Arial" w:eastAsia="Arial" w:hAnsi="Arial"/>
                <w:sz w:val="11"/>
                <w:szCs w:val="11"/>
                <w:color w:val="auto"/>
              </w:rPr>
              <w:t>Inline XBRL Taxonomy Extension Presentation Linkbase</w:t>
            </w:r>
          </w:p>
        </w:tc>
      </w:tr>
      <w:tr>
        <w:trPr>
          <w:trHeight w:val="144"/>
        </w:trPr>
        <w:tc>
          <w:tcPr>
            <w:tcW w:w="500" w:type="dxa"/>
            <w:vAlign w:val="bottom"/>
          </w:tcPr>
          <w:p>
            <w:pPr>
              <w:ind w:left="40"/>
              <w:spacing w:after="0"/>
              <w:rPr>
                <w:sz w:val="20"/>
                <w:szCs w:val="20"/>
                <w:color w:val="auto"/>
              </w:rPr>
            </w:pPr>
            <w:r>
              <w:rPr>
                <w:rFonts w:ascii="Arial" w:cs="Arial" w:eastAsia="Arial" w:hAnsi="Arial"/>
                <w:sz w:val="11"/>
                <w:szCs w:val="11"/>
                <w:color w:val="auto"/>
              </w:rPr>
              <w:t>104</w:t>
            </w:r>
          </w:p>
        </w:tc>
        <w:tc>
          <w:tcPr>
            <w:tcW w:w="780" w:type="dxa"/>
            <w:vAlign w:val="bottom"/>
          </w:tcPr>
          <w:p>
            <w:pPr>
              <w:spacing w:after="0"/>
              <w:rPr>
                <w:sz w:val="12"/>
                <w:szCs w:val="12"/>
                <w:color w:val="auto"/>
              </w:rPr>
            </w:pPr>
          </w:p>
        </w:tc>
        <w:tc>
          <w:tcPr>
            <w:tcW w:w="9120" w:type="dxa"/>
            <w:vAlign w:val="bottom"/>
            <w:gridSpan w:val="6"/>
          </w:tcPr>
          <w:p>
            <w:pPr>
              <w:spacing w:after="0"/>
              <w:rPr>
                <w:sz w:val="20"/>
                <w:szCs w:val="20"/>
                <w:color w:val="auto"/>
              </w:rPr>
            </w:pPr>
            <w:r>
              <w:rPr>
                <w:rFonts w:ascii="Arial" w:cs="Arial" w:eastAsia="Arial" w:hAnsi="Arial"/>
                <w:sz w:val="11"/>
                <w:szCs w:val="11"/>
                <w:color w:val="auto"/>
              </w:rPr>
              <w:t>The cover page of MasTec, Inc.’s Quarterly Report on Form 10-Q for the quarter ended June 30, 2021, formatted in Inline XBRL (included with the Exhibit 101 attachments).</w:t>
            </w:r>
          </w:p>
        </w:tc>
      </w:tr>
    </w:tbl>
    <w:p>
      <w:pPr>
        <w:spacing w:after="0" w:line="62"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______________</w:t>
      </w:r>
    </w:p>
    <w:p>
      <w:pPr>
        <w:spacing w:after="0" w:line="29" w:lineRule="exact"/>
        <w:rPr>
          <w:sz w:val="20"/>
          <w:szCs w:val="20"/>
          <w:color w:val="auto"/>
        </w:rPr>
      </w:pPr>
    </w:p>
    <w:p>
      <w:pPr>
        <w:ind w:left="148" w:hanging="148"/>
        <w:spacing w:after="0"/>
        <w:tabs>
          <w:tab w:leader="none" w:pos="148" w:val="left"/>
        </w:tabs>
        <w:numPr>
          <w:ilvl w:val="0"/>
          <w:numId w:val="11"/>
        </w:numPr>
        <w:rPr>
          <w:rFonts w:ascii="Arial" w:cs="Arial" w:eastAsia="Arial" w:hAnsi="Arial"/>
          <w:sz w:val="10"/>
          <w:szCs w:val="10"/>
          <w:color w:val="auto"/>
        </w:rPr>
      </w:pPr>
      <w:r>
        <w:rPr>
          <w:rFonts w:ascii="Arial" w:cs="Arial" w:eastAsia="Arial" w:hAnsi="Arial"/>
          <w:sz w:val="10"/>
          <w:szCs w:val="10"/>
          <w:color w:val="auto"/>
        </w:rPr>
        <w:t>Filed herewith.</w:t>
      </w:r>
    </w:p>
    <w:p>
      <w:pPr>
        <w:spacing w:after="0" w:line="29" w:lineRule="exact"/>
        <w:rPr>
          <w:sz w:val="20"/>
          <w:szCs w:val="20"/>
          <w:color w:val="auto"/>
        </w:rPr>
      </w:pPr>
    </w:p>
    <w:p>
      <w:pPr>
        <w:ind w:left="8"/>
        <w:spacing w:after="0"/>
        <w:tabs>
          <w:tab w:leader="none" w:pos="167" w:val="left"/>
        </w:tabs>
        <w:rPr>
          <w:sz w:val="20"/>
          <w:szCs w:val="20"/>
          <w:color w:val="auto"/>
        </w:rPr>
      </w:pPr>
      <w:r>
        <w:rPr>
          <w:rFonts w:ascii="Arial" w:cs="Arial" w:eastAsia="Arial" w:hAnsi="Arial"/>
          <w:sz w:val="10"/>
          <w:szCs w:val="10"/>
          <w:color w:val="auto"/>
        </w:rPr>
        <w:t>**</w:t>
      </w:r>
      <w:r>
        <w:rPr>
          <w:sz w:val="20"/>
          <w:szCs w:val="20"/>
          <w:color w:val="auto"/>
        </w:rPr>
        <w:tab/>
      </w:r>
      <w:r>
        <w:rPr>
          <w:rFonts w:ascii="Arial" w:cs="Arial" w:eastAsia="Arial" w:hAnsi="Arial"/>
          <w:sz w:val="8"/>
          <w:szCs w:val="8"/>
          <w:color w:val="auto"/>
        </w:rPr>
        <w:t>Furnished herewith.</w:t>
      </w:r>
    </w:p>
    <w:p>
      <w:pPr>
        <w:spacing w:after="0" w:line="29" w:lineRule="exact"/>
        <w:rPr>
          <w:sz w:val="20"/>
          <w:szCs w:val="20"/>
          <w:color w:val="auto"/>
        </w:rPr>
      </w:pPr>
    </w:p>
    <w:p>
      <w:pPr>
        <w:ind w:left="148" w:hanging="148"/>
        <w:spacing w:after="0"/>
        <w:tabs>
          <w:tab w:leader="none" w:pos="148" w:val="left"/>
        </w:tabs>
        <w:numPr>
          <w:ilvl w:val="0"/>
          <w:numId w:val="12"/>
        </w:numPr>
        <w:rPr>
          <w:rFonts w:ascii="Arial" w:cs="Arial" w:eastAsia="Arial" w:hAnsi="Arial"/>
          <w:sz w:val="10"/>
          <w:szCs w:val="10"/>
          <w:color w:val="auto"/>
        </w:rPr>
      </w:pPr>
      <w:r>
        <w:rPr>
          <w:rFonts w:ascii="Arial" w:cs="Arial" w:eastAsia="Arial" w:hAnsi="Arial"/>
          <w:sz w:val="10"/>
          <w:szCs w:val="10"/>
          <w:color w:val="auto"/>
        </w:rPr>
        <w:t>Management contract or compensation plan arrangement.</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89" w:right="299" w:bottom="1440" w:gutter="0" w:footer="0" w:header="0"/>
        </w:sectPr>
      </w:pPr>
    </w:p>
    <w:bookmarkStart w:id="39" w:name="page40"/>
    <w:bookmarkEnd w:id="39"/>
    <w:p>
      <w:pPr>
        <w:ind w:left="5180"/>
        <w:spacing w:after="0"/>
        <w:rPr>
          <w:sz w:val="20"/>
          <w:szCs w:val="20"/>
          <w:color w:val="auto"/>
        </w:rPr>
      </w:pPr>
      <w:r>
        <w:rPr>
          <w:rFonts w:ascii="Arial" w:cs="Arial" w:eastAsia="Arial" w:hAnsi="Arial"/>
          <w:sz w:val="11"/>
          <w:szCs w:val="11"/>
          <w:b w:val="1"/>
          <w:bCs w:val="1"/>
          <w:color w:val="auto"/>
        </w:rPr>
        <w:t>SIGNATURES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9"/>
          <w:szCs w:val="9"/>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MASTEC, INC.</w:t>
      </w:r>
    </w:p>
    <w:p>
      <w:pPr>
        <w:spacing w:after="0" w:line="18" w:lineRule="exact"/>
        <w:rPr>
          <w:sz w:val="20"/>
          <w:szCs w:val="20"/>
          <w:color w:val="auto"/>
        </w:rPr>
      </w:pPr>
    </w:p>
    <w:p>
      <w:pPr>
        <w:spacing w:after="0"/>
        <w:tabs>
          <w:tab w:leader="none" w:pos="540" w:val="left"/>
        </w:tabs>
        <w:rPr>
          <w:sz w:val="20"/>
          <w:szCs w:val="20"/>
          <w:color w:val="auto"/>
        </w:rPr>
      </w:pP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August 5, 2021</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 xml:space="preserve">/s/ </w:t>
      </w:r>
      <w:r>
        <w:rPr>
          <w:rFonts w:ascii="Arial" w:cs="Arial" w:eastAsia="Arial" w:hAnsi="Arial"/>
          <w:sz w:val="11"/>
          <w:szCs w:val="11"/>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3970655</wp:posOffset>
            </wp:positionH>
            <wp:positionV relativeFrom="paragraph">
              <wp:posOffset>8890</wp:posOffset>
            </wp:positionV>
            <wp:extent cx="242887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428875" cy="571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José R. Mas</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Chief Executive Officer</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(Principal Executive Officer)</w:t>
      </w:r>
    </w:p>
    <w:p>
      <w:pPr>
        <w:spacing w:after="0" w:line="19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 xml:space="preserve">/s/ </w:t>
      </w:r>
      <w:r>
        <w:rPr>
          <w:rFonts w:ascii="Arial" w:cs="Arial" w:eastAsia="Arial" w:hAnsi="Arial"/>
          <w:sz w:val="11"/>
          <w:szCs w:val="11"/>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3970655</wp:posOffset>
            </wp:positionH>
            <wp:positionV relativeFrom="paragraph">
              <wp:posOffset>8890</wp:posOffset>
            </wp:positionV>
            <wp:extent cx="242887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428875" cy="571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George L. Pita</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Chief Financial Officer</w:t>
      </w:r>
    </w:p>
    <w:p>
      <w:pPr>
        <w:spacing w:after="0" w:line="18" w:lineRule="exact"/>
        <w:rPr>
          <w:sz w:val="20"/>
          <w:szCs w:val="20"/>
          <w:color w:val="auto"/>
        </w:rPr>
      </w:pPr>
    </w:p>
    <w:p>
      <w:pPr>
        <w:ind w:left="6260"/>
        <w:spacing w:after="0"/>
        <w:rPr>
          <w:sz w:val="20"/>
          <w:szCs w:val="20"/>
          <w:color w:val="auto"/>
        </w:rPr>
      </w:pPr>
      <w:r>
        <w:rPr>
          <w:rFonts w:ascii="Arial" w:cs="Arial" w:eastAsia="Arial" w:hAnsi="Arial"/>
          <w:sz w:val="10"/>
          <w:szCs w:val="10"/>
          <w:color w:val="auto"/>
        </w:rPr>
        <w:t>(Principal Financial and Accounting Officer)</w:t>
      </w: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40</w:t>
      </w:r>
    </w:p>
    <w:p>
      <w:pPr>
        <w:sectPr>
          <w:pgSz w:w="11900" w:h="16838" w:orient="portrait"/>
          <w:cols w:equalWidth="0" w:num="1">
            <w:col w:w="10159"/>
          </w:cols>
          <w:pgMar w:left="300" w:top="80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1"/>
          <w:szCs w:val="11"/>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CERTIFICATIONS REQUIRED BY SECTION 302(A)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OF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I, José R. Mas, certify that:</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I have reviewed this quarterly report on Form 10-Q of MasTec, Inc.;</w:t>
      </w:r>
    </w:p>
    <w:p>
      <w:pPr>
        <w:spacing w:after="0" w:line="162" w:lineRule="exact"/>
        <w:rPr>
          <w:sz w:val="20"/>
          <w:szCs w:val="20"/>
          <w:color w:val="auto"/>
        </w:rPr>
      </w:pPr>
    </w:p>
    <w:p>
      <w:pPr>
        <w:ind w:right="300"/>
        <w:spacing w:after="0" w:line="258" w:lineRule="auto"/>
        <w:rPr>
          <w:sz w:val="20"/>
          <w:szCs w:val="20"/>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ind w:left="640" w:hanging="323"/>
        <w:spacing w:after="0" w:line="258" w:lineRule="auto"/>
        <w:tabs>
          <w:tab w:leader="none" w:pos="514" w:val="left"/>
        </w:tabs>
        <w:numPr>
          <w:ilvl w:val="0"/>
          <w:numId w:val="13"/>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3" w:lineRule="exact"/>
        <w:rPr>
          <w:rFonts w:ascii="Arial" w:cs="Arial" w:eastAsia="Arial" w:hAnsi="Arial"/>
          <w:sz w:val="11"/>
          <w:szCs w:val="11"/>
          <w:color w:val="auto"/>
        </w:rPr>
      </w:pPr>
    </w:p>
    <w:p>
      <w:pPr>
        <w:ind w:left="640" w:hanging="323"/>
        <w:spacing w:after="0" w:line="258" w:lineRule="auto"/>
        <w:tabs>
          <w:tab w:leader="none" w:pos="519" w:val="left"/>
        </w:tabs>
        <w:numPr>
          <w:ilvl w:val="0"/>
          <w:numId w:val="13"/>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1"/>
          <w:szCs w:val="11"/>
          <w:color w:val="auto"/>
        </w:rPr>
      </w:pPr>
    </w:p>
    <w:p>
      <w:pPr>
        <w:ind w:left="640" w:hanging="323"/>
        <w:spacing w:after="0" w:line="258" w:lineRule="auto"/>
        <w:tabs>
          <w:tab w:leader="none" w:pos="534" w:val="left"/>
        </w:tabs>
        <w:numPr>
          <w:ilvl w:val="0"/>
          <w:numId w:val="13"/>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1"/>
          <w:szCs w:val="11"/>
          <w:color w:val="auto"/>
        </w:rPr>
      </w:pPr>
    </w:p>
    <w:p>
      <w:pPr>
        <w:ind w:left="640" w:hanging="323"/>
        <w:spacing w:after="0" w:line="258" w:lineRule="auto"/>
        <w:tabs>
          <w:tab w:leader="none" w:pos="552" w:val="left"/>
        </w:tabs>
        <w:numPr>
          <w:ilvl w:val="0"/>
          <w:numId w:val="13"/>
        </w:numPr>
        <w:rPr>
          <w:rFonts w:ascii="Arial" w:cs="Arial" w:eastAsia="Arial" w:hAnsi="Arial"/>
          <w:sz w:val="11"/>
          <w:szCs w:val="11"/>
          <w:color w:val="auto"/>
        </w:rPr>
      </w:pPr>
      <w:r>
        <w:rPr>
          <w:rFonts w:ascii="Arial" w:cs="Arial" w:eastAsia="Arial" w:hAnsi="Arial"/>
          <w:sz w:val="11"/>
          <w:szCs w:val="11"/>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3" w:lineRule="exact"/>
        <w:rPr>
          <w:sz w:val="20"/>
          <w:szCs w:val="20"/>
          <w:color w:val="auto"/>
        </w:rPr>
      </w:pPr>
    </w:p>
    <w:p>
      <w:pPr>
        <w:ind w:right="220"/>
        <w:spacing w:after="0" w:line="258" w:lineRule="auto"/>
        <w:rPr>
          <w:sz w:val="20"/>
          <w:szCs w:val="20"/>
          <w:color w:val="auto"/>
        </w:rPr>
      </w:pPr>
      <w:r>
        <w:rPr>
          <w:rFonts w:ascii="Arial" w:cs="Arial" w:eastAsia="Arial" w:hAnsi="Arial"/>
          <w:sz w:val="11"/>
          <w:szCs w:val="1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left="640" w:right="20" w:hanging="323"/>
        <w:spacing w:after="0" w:line="258" w:lineRule="auto"/>
        <w:tabs>
          <w:tab w:leader="none" w:pos="536" w:val="left"/>
        </w:tabs>
        <w:numPr>
          <w:ilvl w:val="0"/>
          <w:numId w:val="14"/>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1"/>
          <w:szCs w:val="11"/>
          <w:color w:val="auto"/>
        </w:rPr>
      </w:pPr>
    </w:p>
    <w:p>
      <w:pPr>
        <w:ind w:left="500" w:hanging="183"/>
        <w:spacing w:after="0"/>
        <w:tabs>
          <w:tab w:leader="none" w:pos="5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August 5, 2021</w:t>
      </w:r>
    </w:p>
    <w:p>
      <w:pPr>
        <w:spacing w:after="0" w:line="198" w:lineRule="exact"/>
        <w:rPr>
          <w:sz w:val="20"/>
          <w:szCs w:val="20"/>
          <w:color w:val="auto"/>
        </w:rPr>
      </w:pPr>
    </w:p>
    <w:p>
      <w:pPr>
        <w:ind w:left="5020"/>
        <w:spacing w:after="0"/>
        <w:rPr>
          <w:sz w:val="20"/>
          <w:szCs w:val="20"/>
          <w:color w:val="auto"/>
        </w:rPr>
      </w:pPr>
      <w:r>
        <w:rPr>
          <w:rFonts w:ascii="Arial" w:cs="Arial" w:eastAsia="Arial" w:hAnsi="Arial"/>
          <w:sz w:val="11"/>
          <w:szCs w:val="11"/>
          <w:color w:val="auto"/>
        </w:rPr>
        <w:t>/s</w:t>
      </w:r>
      <w:r>
        <w:rPr>
          <w:rFonts w:ascii="Arial" w:cs="Arial" w:eastAsia="Arial" w:hAnsi="Arial"/>
          <w:sz w:val="11"/>
          <w:szCs w:val="11"/>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67525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675255" cy="571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1"/>
          <w:szCs w:val="11"/>
          <w:color w:val="auto"/>
        </w:rPr>
        <w:t>José R. Mas</w:t>
      </w:r>
    </w:p>
    <w:p>
      <w:pPr>
        <w:ind w:left="5020"/>
        <w:spacing w:after="0" w:line="205" w:lineRule="auto"/>
        <w:rPr>
          <w:sz w:val="20"/>
          <w:szCs w:val="20"/>
          <w:color w:val="auto"/>
        </w:rPr>
      </w:pPr>
      <w:r>
        <w:rPr>
          <w:rFonts w:ascii="Arial" w:cs="Arial" w:eastAsia="Arial" w:hAnsi="Arial"/>
          <w:sz w:val="11"/>
          <w:szCs w:val="11"/>
          <w:color w:val="auto"/>
        </w:rPr>
        <w:t>Chief Executive Officer</w:t>
      </w:r>
    </w:p>
    <w:p>
      <w:pPr>
        <w:ind w:left="5020"/>
        <w:spacing w:after="0"/>
        <w:rPr>
          <w:sz w:val="20"/>
          <w:szCs w:val="20"/>
          <w:color w:val="auto"/>
        </w:rPr>
      </w:pPr>
      <w:r>
        <w:rPr>
          <w:rFonts w:ascii="Arial" w:cs="Arial" w:eastAsia="Arial" w:hAnsi="Arial"/>
          <w:sz w:val="11"/>
          <w:szCs w:val="11"/>
          <w:color w:val="auto"/>
        </w:rPr>
        <w:t>(Principal Executive Officer)</w:t>
      </w:r>
    </w:p>
    <w:p>
      <w:pPr>
        <w:sectPr>
          <w:pgSz w:w="11900" w:h="16838" w:orient="portrait"/>
          <w:cols w:equalWidth="0" w:num="1">
            <w:col w:w="11300"/>
          </w:cols>
          <w:pgMar w:left="300" w:top="644" w:right="299" w:bottom="1440" w:gutter="0" w:footer="0" w:header="0"/>
        </w:sectPr>
      </w:pPr>
    </w:p>
    <w:bookmarkStart w:id="41" w:name="page42"/>
    <w:bookmarkEnd w:id="41"/>
    <w:p>
      <w:pPr>
        <w:jc w:val="right"/>
        <w:spacing w:after="0"/>
        <w:rPr>
          <w:sz w:val="20"/>
          <w:szCs w:val="20"/>
          <w:color w:val="auto"/>
        </w:rPr>
      </w:pPr>
      <w:r>
        <w:rPr>
          <w:rFonts w:ascii="Arial" w:cs="Arial" w:eastAsia="Arial" w:hAnsi="Arial"/>
          <w:sz w:val="11"/>
          <w:szCs w:val="11"/>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CERTIFICATIONS REQUIRED BY SECTION 302(A)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OF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I, George L. Pita, certify that:</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I have reviewed this quarterly report on Form 10-Q of MasTec, Inc.;</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ind w:left="640" w:hanging="323"/>
        <w:spacing w:after="0" w:line="258" w:lineRule="auto"/>
        <w:tabs>
          <w:tab w:leader="none" w:pos="514" w:val="left"/>
        </w:tabs>
        <w:numPr>
          <w:ilvl w:val="0"/>
          <w:numId w:val="15"/>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3" w:lineRule="exact"/>
        <w:rPr>
          <w:rFonts w:ascii="Arial" w:cs="Arial" w:eastAsia="Arial" w:hAnsi="Arial"/>
          <w:sz w:val="11"/>
          <w:szCs w:val="11"/>
          <w:color w:val="auto"/>
        </w:rPr>
      </w:pPr>
    </w:p>
    <w:p>
      <w:pPr>
        <w:ind w:left="640" w:hanging="323"/>
        <w:spacing w:after="0" w:line="258" w:lineRule="auto"/>
        <w:tabs>
          <w:tab w:leader="none" w:pos="519" w:val="left"/>
        </w:tabs>
        <w:numPr>
          <w:ilvl w:val="0"/>
          <w:numId w:val="15"/>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1"/>
          <w:szCs w:val="11"/>
          <w:color w:val="auto"/>
        </w:rPr>
      </w:pPr>
    </w:p>
    <w:p>
      <w:pPr>
        <w:ind w:left="640" w:hanging="323"/>
        <w:spacing w:after="0" w:line="258" w:lineRule="auto"/>
        <w:tabs>
          <w:tab w:leader="none" w:pos="534" w:val="left"/>
        </w:tabs>
        <w:numPr>
          <w:ilvl w:val="0"/>
          <w:numId w:val="15"/>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1"/>
          <w:szCs w:val="11"/>
          <w:color w:val="auto"/>
        </w:rPr>
      </w:pPr>
    </w:p>
    <w:p>
      <w:pPr>
        <w:ind w:left="640" w:hanging="323"/>
        <w:spacing w:after="0" w:line="258" w:lineRule="auto"/>
        <w:tabs>
          <w:tab w:leader="none" w:pos="552" w:val="left"/>
        </w:tabs>
        <w:numPr>
          <w:ilvl w:val="0"/>
          <w:numId w:val="15"/>
        </w:numPr>
        <w:rPr>
          <w:rFonts w:ascii="Arial" w:cs="Arial" w:eastAsia="Arial" w:hAnsi="Arial"/>
          <w:sz w:val="11"/>
          <w:szCs w:val="11"/>
          <w:color w:val="auto"/>
        </w:rPr>
      </w:pPr>
      <w:r>
        <w:rPr>
          <w:rFonts w:ascii="Arial" w:cs="Arial" w:eastAsia="Arial" w:hAnsi="Arial"/>
          <w:sz w:val="11"/>
          <w:szCs w:val="11"/>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left="640" w:right="20" w:hanging="323"/>
        <w:spacing w:after="0" w:line="258" w:lineRule="auto"/>
        <w:tabs>
          <w:tab w:leader="none" w:pos="536" w:val="left"/>
        </w:tabs>
        <w:numPr>
          <w:ilvl w:val="0"/>
          <w:numId w:val="16"/>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1"/>
          <w:szCs w:val="11"/>
          <w:color w:val="auto"/>
        </w:rPr>
      </w:pPr>
    </w:p>
    <w:p>
      <w:pPr>
        <w:ind w:left="500" w:hanging="183"/>
        <w:spacing w:after="0"/>
        <w:tabs>
          <w:tab w:leader="none" w:pos="5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August 5, 2021</w:t>
      </w:r>
    </w:p>
    <w:p>
      <w:pPr>
        <w:spacing w:after="0" w:line="198" w:lineRule="exact"/>
        <w:rPr>
          <w:sz w:val="20"/>
          <w:szCs w:val="20"/>
          <w:color w:val="auto"/>
        </w:rPr>
      </w:pPr>
    </w:p>
    <w:p>
      <w:pPr>
        <w:ind w:left="5020"/>
        <w:spacing w:after="0"/>
        <w:rPr>
          <w:sz w:val="20"/>
          <w:szCs w:val="20"/>
          <w:color w:val="auto"/>
        </w:rPr>
      </w:pPr>
      <w:r>
        <w:rPr>
          <w:rFonts w:ascii="Arial" w:cs="Arial" w:eastAsia="Arial" w:hAnsi="Arial"/>
          <w:sz w:val="11"/>
          <w:szCs w:val="11"/>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67525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675255" cy="571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1"/>
          <w:szCs w:val="11"/>
          <w:color w:val="auto"/>
        </w:rPr>
        <w:t>George L. Pita</w:t>
      </w:r>
    </w:p>
    <w:p>
      <w:pPr>
        <w:ind w:left="5020"/>
        <w:spacing w:after="0" w:line="205" w:lineRule="auto"/>
        <w:rPr>
          <w:sz w:val="20"/>
          <w:szCs w:val="20"/>
          <w:color w:val="auto"/>
        </w:rPr>
      </w:pPr>
      <w:r>
        <w:rPr>
          <w:rFonts w:ascii="Arial" w:cs="Arial" w:eastAsia="Arial" w:hAnsi="Arial"/>
          <w:sz w:val="11"/>
          <w:szCs w:val="11"/>
          <w:color w:val="auto"/>
        </w:rPr>
        <w:t>Chief Financial Officer</w:t>
      </w:r>
    </w:p>
    <w:p>
      <w:pPr>
        <w:ind w:left="5020"/>
        <w:spacing w:after="0"/>
        <w:rPr>
          <w:sz w:val="20"/>
          <w:szCs w:val="20"/>
          <w:color w:val="auto"/>
        </w:rPr>
      </w:pPr>
      <w:r>
        <w:rPr>
          <w:rFonts w:ascii="Arial" w:cs="Arial" w:eastAsia="Arial" w:hAnsi="Arial"/>
          <w:sz w:val="11"/>
          <w:szCs w:val="11"/>
          <w:color w:val="auto"/>
        </w:rPr>
        <w:t>(Principal Financial and Accounting Officer)</w:t>
      </w:r>
    </w:p>
    <w:p>
      <w:pPr>
        <w:sectPr>
          <w:pgSz w:w="11900" w:h="16838" w:orient="portrait"/>
          <w:cols w:equalWidth="0" w:num="1">
            <w:col w:w="11300"/>
          </w:cols>
          <w:pgMar w:left="300" w:top="644"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11"/>
          <w:szCs w:val="11"/>
          <w:b w:val="1"/>
          <w:bCs w:val="1"/>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18 U.S.C. SECTION 1350,</w:t>
      </w:r>
    </w:p>
    <w:p>
      <w:pPr>
        <w:jc w:val="center"/>
        <w:spacing w:after="0"/>
        <w:rPr>
          <w:sz w:val="20"/>
          <w:szCs w:val="20"/>
          <w:color w:val="auto"/>
        </w:rPr>
      </w:pPr>
      <w:r>
        <w:rPr>
          <w:rFonts w:ascii="Arial" w:cs="Arial" w:eastAsia="Arial" w:hAnsi="Arial"/>
          <w:sz w:val="11"/>
          <w:szCs w:val="11"/>
          <w:b w:val="1"/>
          <w:bCs w:val="1"/>
          <w:color w:val="auto"/>
        </w:rPr>
        <w:t>AS ADOPTED PURSUANT TO</w:t>
      </w:r>
    </w:p>
    <w:p>
      <w:pPr>
        <w:jc w:val="center"/>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In connection with the Quarterly Report of MasTec, Inc. (the “Company”) on Form 10-Q for the period ended June 30, 2021 as filed with the Securities and Exchange Commission on the date hereof (the “Report”), I, José R. Mas, Chief Executive Officer of</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MasTec, Inc., certify, pursuant to 18 U.S.C. Section 1350, as adopted pursuant to Section 906 of the Sarbanes-Oxley Act of 2002, that, to the best of my knowledge:</w:t>
      </w:r>
    </w:p>
    <w:p>
      <w:pPr>
        <w:spacing w:after="0" w:line="154" w:lineRule="exact"/>
        <w:rPr>
          <w:sz w:val="20"/>
          <w:szCs w:val="20"/>
          <w:color w:val="auto"/>
        </w:rPr>
      </w:pPr>
    </w:p>
    <w:p>
      <w:pPr>
        <w:ind w:left="540" w:hanging="223"/>
        <w:spacing w:after="0"/>
        <w:tabs>
          <w:tab w:leader="none" w:pos="5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62" w:lineRule="exact"/>
        <w:rPr>
          <w:rFonts w:ascii="Arial" w:cs="Arial" w:eastAsia="Arial" w:hAnsi="Arial"/>
          <w:sz w:val="11"/>
          <w:szCs w:val="11"/>
          <w:color w:val="auto"/>
        </w:rPr>
      </w:pPr>
    </w:p>
    <w:p>
      <w:pPr>
        <w:ind w:left="160" w:right="4460" w:firstLine="157"/>
        <w:spacing w:after="0" w:line="309" w:lineRule="auto"/>
        <w:tabs>
          <w:tab w:leader="none" w:pos="552"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 August 5, 2021</w:t>
      </w:r>
    </w:p>
    <w:p>
      <w:pPr>
        <w:spacing w:after="0" w:line="152" w:lineRule="exact"/>
        <w:rPr>
          <w:sz w:val="20"/>
          <w:szCs w:val="20"/>
          <w:color w:val="auto"/>
        </w:rPr>
      </w:pPr>
    </w:p>
    <w:p>
      <w:pPr>
        <w:ind w:left="4400"/>
        <w:spacing w:after="0"/>
        <w:rPr>
          <w:sz w:val="20"/>
          <w:szCs w:val="20"/>
          <w:color w:val="auto"/>
        </w:rPr>
      </w:pPr>
      <w:r>
        <w:rPr>
          <w:rFonts w:ascii="Arial" w:cs="Arial" w:eastAsia="Arial" w:hAnsi="Arial"/>
          <w:sz w:val="11"/>
          <w:szCs w:val="11"/>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8890</wp:posOffset>
            </wp:positionV>
            <wp:extent cx="257238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572385" cy="571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1"/>
          <w:szCs w:val="11"/>
          <w:color w:val="auto"/>
        </w:rPr>
        <w:t>José R. Mas</w:t>
      </w:r>
    </w:p>
    <w:p>
      <w:pPr>
        <w:ind w:left="4840"/>
        <w:spacing w:after="0" w:line="205" w:lineRule="auto"/>
        <w:rPr>
          <w:sz w:val="20"/>
          <w:szCs w:val="20"/>
          <w:color w:val="auto"/>
        </w:rPr>
      </w:pPr>
      <w:r>
        <w:rPr>
          <w:rFonts w:ascii="Arial" w:cs="Arial" w:eastAsia="Arial" w:hAnsi="Arial"/>
          <w:sz w:val="11"/>
          <w:szCs w:val="11"/>
          <w:color w:val="auto"/>
        </w:rPr>
        <w:t>Chief Executive Officer</w:t>
      </w:r>
    </w:p>
    <w:p>
      <w:pPr>
        <w:ind w:left="4840"/>
        <w:spacing w:after="0"/>
        <w:rPr>
          <w:sz w:val="20"/>
          <w:szCs w:val="20"/>
          <w:color w:val="auto"/>
        </w:rPr>
      </w:pPr>
      <w:r>
        <w:rPr>
          <w:rFonts w:ascii="Arial" w:cs="Arial" w:eastAsia="Arial" w:hAnsi="Arial"/>
          <w:sz w:val="11"/>
          <w:szCs w:val="11"/>
          <w:color w:val="auto"/>
        </w:rPr>
        <w:t>(Principal Executive Officer)</w:t>
      </w:r>
    </w:p>
    <w:p>
      <w:pPr>
        <w:spacing w:after="0" w:line="226"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The certification set forth above is being furnished as an exhibit solely pursuant to Section 906 of the Sarbanes-Oxley Act of 2002 and is not being filed as part of the Quarterly Report on Form 10-Q for the period ended June 30, 2021, or as a separate disclosure document of the Company or the certifying officers.</w:t>
      </w:r>
    </w:p>
    <w:p>
      <w:pPr>
        <w:sectPr>
          <w:pgSz w:w="11900" w:h="16838" w:orient="portrait"/>
          <w:cols w:equalWidth="0" w:num="1">
            <w:col w:w="11300"/>
          </w:cols>
          <w:pgMar w:left="300" w:top="644"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1"/>
          <w:szCs w:val="11"/>
          <w:b w:val="1"/>
          <w:bCs w:val="1"/>
          <w:color w:val="auto"/>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18 U.S.C. SECTION 1350,</w:t>
      </w:r>
    </w:p>
    <w:p>
      <w:pPr>
        <w:jc w:val="center"/>
        <w:spacing w:after="0"/>
        <w:rPr>
          <w:sz w:val="20"/>
          <w:szCs w:val="20"/>
          <w:color w:val="auto"/>
        </w:rPr>
      </w:pPr>
      <w:r>
        <w:rPr>
          <w:rFonts w:ascii="Arial" w:cs="Arial" w:eastAsia="Arial" w:hAnsi="Arial"/>
          <w:sz w:val="11"/>
          <w:szCs w:val="11"/>
          <w:b w:val="1"/>
          <w:bCs w:val="1"/>
          <w:color w:val="auto"/>
        </w:rPr>
        <w:t>AS ADOPTED PURSUANT TO</w:t>
      </w:r>
    </w:p>
    <w:p>
      <w:pPr>
        <w:jc w:val="center"/>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In connection with the Quarterly Report of MasTec, Inc. (the “Company”) on Form 10-Q for the period ended June 30, 2021 as filed with the Securities and Exchange Commission on the date hereof (the “Report”), I, George L. Pita, Chief Financial Officer of</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MasTec, Inc., certify, pursuant to 18 U.S.C. Section 1350, as adopted pursuant to Section 906 of the Sarbanes-Oxley Act of 2002, that, to the best of my knowledge:</w:t>
      </w:r>
    </w:p>
    <w:p>
      <w:pPr>
        <w:spacing w:after="0" w:line="154" w:lineRule="exact"/>
        <w:rPr>
          <w:sz w:val="20"/>
          <w:szCs w:val="20"/>
          <w:color w:val="auto"/>
        </w:rPr>
      </w:pPr>
    </w:p>
    <w:p>
      <w:pPr>
        <w:ind w:left="540" w:hanging="223"/>
        <w:spacing w:after="0"/>
        <w:tabs>
          <w:tab w:leader="none" w:pos="5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62" w:lineRule="exact"/>
        <w:rPr>
          <w:rFonts w:ascii="Arial" w:cs="Arial" w:eastAsia="Arial" w:hAnsi="Arial"/>
          <w:sz w:val="11"/>
          <w:szCs w:val="11"/>
          <w:color w:val="auto"/>
        </w:rPr>
      </w:pPr>
    </w:p>
    <w:p>
      <w:pPr>
        <w:ind w:left="540" w:hanging="223"/>
        <w:spacing w:after="0"/>
        <w:tabs>
          <w:tab w:leader="none" w:pos="5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August 5, 2021</w:t>
      </w:r>
    </w:p>
    <w:p>
      <w:pPr>
        <w:spacing w:after="0" w:line="198" w:lineRule="exact"/>
        <w:rPr>
          <w:sz w:val="20"/>
          <w:szCs w:val="20"/>
          <w:color w:val="auto"/>
        </w:rPr>
      </w:pPr>
    </w:p>
    <w:p>
      <w:pPr>
        <w:ind w:left="5020"/>
        <w:spacing w:after="0"/>
        <w:rPr>
          <w:sz w:val="20"/>
          <w:szCs w:val="20"/>
          <w:color w:val="auto"/>
        </w:rPr>
      </w:pPr>
      <w:r>
        <w:rPr>
          <w:rFonts w:ascii="Arial" w:cs="Arial" w:eastAsia="Arial" w:hAnsi="Arial"/>
          <w:sz w:val="11"/>
          <w:szCs w:val="11"/>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67525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675255" cy="571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11"/>
          <w:szCs w:val="11"/>
          <w:color w:val="auto"/>
        </w:rPr>
        <w:t>George L. Pita</w:t>
      </w:r>
    </w:p>
    <w:p>
      <w:pPr>
        <w:ind w:left="5020"/>
        <w:spacing w:after="0" w:line="205" w:lineRule="auto"/>
        <w:rPr>
          <w:sz w:val="20"/>
          <w:szCs w:val="20"/>
          <w:color w:val="auto"/>
        </w:rPr>
      </w:pPr>
      <w:r>
        <w:rPr>
          <w:rFonts w:ascii="Arial" w:cs="Arial" w:eastAsia="Arial" w:hAnsi="Arial"/>
          <w:sz w:val="11"/>
          <w:szCs w:val="11"/>
          <w:color w:val="auto"/>
        </w:rPr>
        <w:t>Chief Financial Officer</w:t>
      </w:r>
    </w:p>
    <w:p>
      <w:pPr>
        <w:ind w:left="5020"/>
        <w:spacing w:after="0"/>
        <w:rPr>
          <w:sz w:val="20"/>
          <w:szCs w:val="20"/>
          <w:color w:val="auto"/>
        </w:rPr>
      </w:pPr>
      <w:r>
        <w:rPr>
          <w:rFonts w:ascii="Arial" w:cs="Arial" w:eastAsia="Arial" w:hAnsi="Arial"/>
          <w:sz w:val="11"/>
          <w:szCs w:val="11"/>
          <w:color w:val="auto"/>
        </w:rPr>
        <w:t>(Principal Financial and Accounting Officer)</w:t>
      </w:r>
    </w:p>
    <w:p>
      <w:pPr>
        <w:spacing w:after="0" w:line="226" w:lineRule="exact"/>
        <w:rPr>
          <w:sz w:val="20"/>
          <w:szCs w:val="20"/>
          <w:color w:val="auto"/>
        </w:rPr>
      </w:pPr>
    </w:p>
    <w:p>
      <w:pPr>
        <w:spacing w:after="0" w:line="258" w:lineRule="auto"/>
        <w:rPr>
          <w:sz w:val="20"/>
          <w:szCs w:val="20"/>
          <w:color w:val="auto"/>
        </w:rPr>
      </w:pPr>
      <w:r>
        <w:rPr>
          <w:rFonts w:ascii="Arial" w:cs="Arial" w:eastAsia="Arial" w:hAnsi="Arial"/>
          <w:sz w:val="11"/>
          <w:szCs w:val="11"/>
          <w:color w:val="auto"/>
        </w:rPr>
        <w:t>The certification set forth above is being furnished as an exhibit solely pursuant to Section 906 of the Sarbanes-Oxley Act of 2002 and is not being filed as part of the Quarterly Report on Form 10-Q for the period ended June 30, 2021, or as a separate disclosure document of the Company or the certifying officers.</w:t>
      </w:r>
    </w:p>
    <w:sectPr>
      <w:pgSz w:w="11900" w:h="16838" w:orient="portrait"/>
      <w:cols w:equalWidth="0" w:num="1">
        <w:col w:w="11300"/>
      </w:cols>
      <w:pgMar w:left="300" w:top="64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4" Type="http://schemas.openxmlformats.org/officeDocument/2006/relationships/hyperlink" Target="https://www.sec.gov/Archives/edgar/data/15615/000114036121017224/nc10024558x1_defa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2021-08-05T17:40:27Z</dcterms:created>
  <dcterms:modified xsi:type="dcterms:W3CDTF">2021-08-05T17:40:27Z</dcterms:modified>
</cp:coreProperties>
</file>