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QUARTERLY REPORT PURSUANT TO SECTION 13 OR 15(d)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OF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2019</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ind w:left="39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47" w:lineRule="exact"/>
        <w:rPr>
          <w:sz w:val="24"/>
          <w:szCs w:val="24"/>
          <w:color w:val="auto"/>
        </w:rPr>
      </w:pPr>
    </w:p>
    <w:tbl>
      <w:tblPr>
        <w:tblLayout w:type="fixed"/>
        <w:tblInd w:w="1740" w:type="dxa"/>
        <w:tblCellMar>
          <w:top w:w="0" w:type="dxa"/>
          <w:left w:w="0" w:type="dxa"/>
          <w:bottom w:w="0" w:type="dxa"/>
          <w:right w:w="0" w:type="dxa"/>
        </w:tblCellMar>
      </w:tblPr>
      <w:tr>
        <w:trPr>
          <w:trHeight w:val="212"/>
        </w:trPr>
        <w:tc>
          <w:tcPr>
            <w:tcW w:w="232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502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222"/>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(State or other jurisdiction of</w:t>
            </w:r>
          </w:p>
        </w:tc>
        <w:tc>
          <w:tcPr>
            <w:tcW w:w="5020" w:type="dxa"/>
            <w:vAlign w:val="bottom"/>
          </w:tcPr>
          <w:p>
            <w:pPr>
              <w:jc w:val="center"/>
              <w:ind w:left="3926"/>
              <w:spacing w:after="0"/>
              <w:rPr>
                <w:sz w:val="20"/>
                <w:szCs w:val="20"/>
                <w:color w:val="auto"/>
              </w:rPr>
            </w:pPr>
            <w:r>
              <w:rPr>
                <w:rFonts w:ascii="Times New Roman" w:cs="Times New Roman" w:eastAsia="Times New Roman" w:hAnsi="Times New Roman"/>
                <w:sz w:val="14"/>
                <w:szCs w:val="14"/>
                <w:b w:val="1"/>
                <w:bCs w:val="1"/>
                <w:i w:val="1"/>
                <w:iCs w:val="1"/>
                <w:color w:val="auto"/>
                <w:w w:val="96"/>
              </w:rPr>
              <w:t>(I.R.S. Employer</w:t>
            </w:r>
          </w:p>
        </w:tc>
      </w:tr>
      <w:tr>
        <w:trPr>
          <w:trHeight w:val="203"/>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incorporation or organization)</w:t>
            </w:r>
          </w:p>
        </w:tc>
        <w:tc>
          <w:tcPr>
            <w:tcW w:w="5020" w:type="dxa"/>
            <w:vAlign w:val="bottom"/>
          </w:tcPr>
          <w:p>
            <w:pPr>
              <w:jc w:val="center"/>
              <w:ind w:left="3926"/>
              <w:spacing w:after="0"/>
              <w:rPr>
                <w:sz w:val="20"/>
                <w:szCs w:val="20"/>
                <w:color w:val="auto"/>
              </w:rPr>
            </w:pPr>
            <w:r>
              <w:rPr>
                <w:rFonts w:ascii="Times New Roman" w:cs="Times New Roman" w:eastAsia="Times New Roman" w:hAnsi="Times New Roman"/>
                <w:sz w:val="14"/>
                <w:szCs w:val="14"/>
                <w:b w:val="1"/>
                <w:bCs w:val="1"/>
                <w:i w:val="1"/>
                <w:iCs w:val="1"/>
                <w:color w:val="auto"/>
                <w:w w:val="94"/>
              </w:rPr>
              <w:t>Identification No.)</w:t>
            </w:r>
          </w:p>
        </w:tc>
      </w:tr>
      <w:tr>
        <w:trPr>
          <w:trHeight w:val="454"/>
        </w:trPr>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5020" w:type="dxa"/>
            <w:vAlign w:val="bottom"/>
          </w:tcPr>
          <w:p>
            <w:pPr>
              <w:spacing w:after="0"/>
              <w:rPr>
                <w:sz w:val="24"/>
                <w:szCs w:val="24"/>
                <w:color w:val="auto"/>
              </w:rPr>
            </w:pPr>
          </w:p>
        </w:tc>
      </w:tr>
      <w:tr>
        <w:trPr>
          <w:trHeight w:val="270"/>
        </w:trPr>
        <w:tc>
          <w:tcPr>
            <w:tcW w:w="232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Coral Gables, FL</w:t>
            </w:r>
          </w:p>
        </w:tc>
        <w:tc>
          <w:tcPr>
            <w:tcW w:w="5020" w:type="dxa"/>
            <w:vAlign w:val="bottom"/>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220"/>
        </w:trPr>
        <w:tc>
          <w:tcPr>
            <w:tcW w:w="232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i w:val="1"/>
                <w:iCs w:val="1"/>
                <w:color w:val="auto"/>
                <w:w w:val="96"/>
              </w:rPr>
              <w:t>(Address of principal executive offices)</w:t>
            </w:r>
          </w:p>
        </w:tc>
        <w:tc>
          <w:tcPr>
            <w:tcW w:w="5020" w:type="dxa"/>
            <w:vAlign w:val="bottom"/>
          </w:tcPr>
          <w:p>
            <w:pPr>
              <w:jc w:val="center"/>
              <w:ind w:left="3926"/>
              <w:spacing w:after="0"/>
              <w:rPr>
                <w:sz w:val="20"/>
                <w:szCs w:val="20"/>
                <w:color w:val="auto"/>
              </w:rPr>
            </w:pPr>
            <w:r>
              <w:rPr>
                <w:rFonts w:ascii="Times New Roman" w:cs="Times New Roman" w:eastAsia="Times New Roman" w:hAnsi="Times New Roman"/>
                <w:sz w:val="14"/>
                <w:szCs w:val="14"/>
                <w:b w:val="1"/>
                <w:bCs w:val="1"/>
                <w:i w:val="1"/>
                <w:iCs w:val="1"/>
                <w:color w:val="auto"/>
                <w:w w:val="93"/>
              </w:rPr>
              <w:t>(Zip Code)</w:t>
            </w:r>
          </w:p>
        </w:tc>
      </w:tr>
      <w:tr>
        <w:trPr>
          <w:trHeight w:val="178"/>
        </w:trPr>
        <w:tc>
          <w:tcPr>
            <w:tcW w:w="2320" w:type="dxa"/>
            <w:vAlign w:val="bottom"/>
          </w:tcPr>
          <w:p>
            <w:pPr>
              <w:spacing w:after="0"/>
              <w:rPr>
                <w:sz w:val="15"/>
                <w:szCs w:val="15"/>
                <w:color w:val="auto"/>
              </w:rPr>
            </w:pPr>
          </w:p>
        </w:tc>
        <w:tc>
          <w:tcPr>
            <w:tcW w:w="5020" w:type="dxa"/>
            <w:vAlign w:val="bottom"/>
          </w:tcPr>
          <w:p>
            <w:pPr>
              <w:jc w:val="right"/>
              <w:ind w:right="2786"/>
              <w:spacing w:after="0" w:line="178" w:lineRule="exact"/>
              <w:rPr>
                <w:sz w:val="20"/>
                <w:szCs w:val="20"/>
                <w:color w:val="auto"/>
              </w:rPr>
            </w:pPr>
            <w:r>
              <w:rPr>
                <w:rFonts w:ascii="Times New Roman" w:cs="Times New Roman" w:eastAsia="Times New Roman" w:hAnsi="Times New Roman"/>
                <w:sz w:val="16"/>
                <w:szCs w:val="16"/>
                <w:b w:val="1"/>
                <w:bCs w:val="1"/>
                <w:color w:val="auto"/>
              </w:rPr>
              <w:t>(305) 599-1800</w:t>
            </w:r>
          </w:p>
        </w:tc>
      </w:tr>
      <w:tr>
        <w:trPr>
          <w:trHeight w:val="192"/>
        </w:trPr>
        <w:tc>
          <w:tcPr>
            <w:tcW w:w="2320" w:type="dxa"/>
            <w:vAlign w:val="bottom"/>
          </w:tcPr>
          <w:p>
            <w:pPr>
              <w:spacing w:after="0"/>
              <w:rPr>
                <w:sz w:val="16"/>
                <w:szCs w:val="16"/>
                <w:color w:val="auto"/>
              </w:rPr>
            </w:pPr>
          </w:p>
        </w:tc>
        <w:tc>
          <w:tcPr>
            <w:tcW w:w="5020" w:type="dxa"/>
            <w:vAlign w:val="bottom"/>
          </w:tcPr>
          <w:p>
            <w:pPr>
              <w:jc w:val="center"/>
              <w:ind w:right="1626"/>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r>
    </w:tbl>
    <w:p>
      <w:pPr>
        <w:spacing w:after="0" w:line="307" w:lineRule="exact"/>
        <w:rPr>
          <w:sz w:val="24"/>
          <w:szCs w:val="24"/>
          <w:color w:val="auto"/>
        </w:rPr>
      </w:pPr>
    </w:p>
    <w:p>
      <w:pPr>
        <w:jc w:val="both"/>
        <w:ind w:firstLine="64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88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4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9" w:lineRule="exact"/>
        <w:rPr>
          <w:sz w:val="24"/>
          <w:szCs w:val="24"/>
          <w:color w:val="auto"/>
        </w:rPr>
      </w:pPr>
    </w:p>
    <w:p>
      <w:pPr>
        <w:ind w:right="12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660"/>
        <w:spacing w:after="0" w:line="184" w:lineRule="exact"/>
        <w:tabs>
          <w:tab w:leader="none" w:pos="7480" w:val="left"/>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57" w:lineRule="exact"/>
        <w:rPr>
          <w:sz w:val="24"/>
          <w:szCs w:val="24"/>
          <w:color w:val="auto"/>
        </w:rPr>
      </w:pPr>
    </w:p>
    <w:tbl>
      <w:tblPr>
        <w:tblLayout w:type="fixed"/>
        <w:tblInd w:w="128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440" w:type="dxa"/>
            <w:vAlign w:val="bottom"/>
          </w:tcPr>
          <w:p>
            <w:pPr>
              <w:spacing w:after="0"/>
              <w:rPr>
                <w:sz w:val="13"/>
                <w:szCs w:val="13"/>
                <w:color w:val="auto"/>
              </w:rPr>
            </w:pPr>
          </w:p>
        </w:tc>
        <w:tc>
          <w:tcPr>
            <w:tcW w:w="1880" w:type="dxa"/>
            <w:vAlign w:val="bottom"/>
            <w:gridSpan w:val="2"/>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w w:val="94"/>
              </w:rPr>
              <w:t>Trading symbol(s)</w:t>
            </w:r>
          </w:p>
        </w:tc>
        <w:tc>
          <w:tcPr>
            <w:tcW w:w="416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393"/>
        </w:trPr>
        <w:tc>
          <w:tcPr>
            <w:tcW w:w="308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8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640" w:type="dxa"/>
            <w:vAlign w:val="bottom"/>
          </w:tcPr>
          <w:p>
            <w:pPr>
              <w:spacing w:after="0"/>
              <w:rPr>
                <w:sz w:val="24"/>
                <w:szCs w:val="24"/>
                <w:color w:val="auto"/>
              </w:rPr>
            </w:pPr>
          </w:p>
        </w:tc>
        <w:tc>
          <w:tcPr>
            <w:tcW w:w="2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April 29, 2019, MasTec, Inc. had 76,281,846 shares of common stock, $0.10 par value, outstanding.</w:t>
      </w:r>
    </w:p>
    <w:p>
      <w:pPr>
        <w:sectPr>
          <w:pgSz w:w="11900" w:h="16838" w:orient="portrait"/>
          <w:cols w:equalWidth="0" w:num="1">
            <w:col w:w="11420"/>
          </w:cols>
          <w:pgMar w:left="240" w:top="61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QUARTER ENDED MARCH 31, 2019</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37"/>
        </w:trPr>
        <w:tc>
          <w:tcPr>
            <w:tcW w:w="248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Part I. FINANCIAL INFORMATION</w:t>
              </w:r>
            </w:hyperlink>
          </w:p>
        </w:tc>
        <w:tc>
          <w:tcPr>
            <w:tcW w:w="6380" w:type="dxa"/>
            <w:vAlign w:val="bottom"/>
            <w:gridSpan w:val="10"/>
          </w:tcPr>
          <w:p>
            <w:pPr>
              <w:spacing w:after="0"/>
              <w:rPr>
                <w:sz w:val="20"/>
                <w:szCs w:val="20"/>
                <w:color w:val="auto"/>
              </w:rPr>
            </w:pPr>
          </w:p>
        </w:tc>
        <w:tc>
          <w:tcPr>
            <w:tcW w:w="2160" w:type="dxa"/>
            <w:vAlign w:val="bottom"/>
            <w:gridSpan w:val="3"/>
          </w:tcPr>
          <w:p>
            <w:pPr>
              <w:spacing w:after="0"/>
              <w:rPr>
                <w:sz w:val="20"/>
                <w:szCs w:val="20"/>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3">
              <w:r>
                <w:rPr>
                  <w:rFonts w:ascii="Times New Roman" w:cs="Times New Roman" w:eastAsia="Times New Roman" w:hAnsi="Times New Roman"/>
                  <w:sz w:val="16"/>
                  <w:szCs w:val="16"/>
                  <w:color w:val="0000FF"/>
                  <w:w w:val="74"/>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Item 1</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Statements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3">
              <w:r>
                <w:rPr>
                  <w:rFonts w:ascii="Times New Roman" w:cs="Times New Roman" w:eastAsia="Times New Roman" w:hAnsi="Times New Roman"/>
                  <w:sz w:val="16"/>
                  <w:szCs w:val="16"/>
                  <w:color w:val="0000FF"/>
                  <w:w w:val="74"/>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6"/>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Unaudited Consolidated Statements of Comprehensive Income</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4"/>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top w:val="single" w:sz="8" w:color="0000FF"/>
            </w:tcBorders>
          </w:tcPr>
          <w:p>
            <w:pPr>
              <w:jc w:val="right"/>
              <w:spacing w:after="0"/>
              <w:rPr>
                <w:rFonts w:ascii="Times New Roman" w:cs="Times New Roman" w:eastAsia="Times New Roman" w:hAnsi="Times New Roman"/>
                <w:sz w:val="16"/>
                <w:szCs w:val="16"/>
                <w:color w:val="0000FF"/>
                <w:w w:val="74"/>
              </w:rPr>
            </w:pPr>
            <w:hyperlink w:anchor="page5">
              <w:r>
                <w:rPr>
                  <w:rFonts w:ascii="Times New Roman" w:cs="Times New Roman" w:eastAsia="Times New Roman" w:hAnsi="Times New Roman"/>
                  <w:sz w:val="16"/>
                  <w:szCs w:val="16"/>
                  <w:color w:val="0000FF"/>
                  <w:w w:val="74"/>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Unaudited Consolidated Statements of Equity</w:t>
              </w:r>
            </w:hyperlink>
          </w:p>
        </w:tc>
        <w:tc>
          <w:tcPr>
            <w:tcW w:w="4000" w:type="dxa"/>
            <w:vAlign w:val="bottom"/>
            <w:gridSpan w:val="7"/>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74"/>
              </w:rPr>
            </w:pPr>
            <w:hyperlink w:anchor="page6">
              <w:r>
                <w:rPr>
                  <w:rFonts w:ascii="Times New Roman" w:cs="Times New Roman" w:eastAsia="Times New Roman" w:hAnsi="Times New Roman"/>
                  <w:sz w:val="16"/>
                  <w:szCs w:val="16"/>
                  <w:color w:val="0000EE"/>
                  <w:w w:val="74"/>
                </w:rPr>
                <w:t>6</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Condensed Unaudited Consolidated Statements of Cash Flows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7</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8">
              <w:r>
                <w:rPr>
                  <w:rFonts w:ascii="Times New Roman" w:cs="Times New Roman" w:eastAsia="Times New Roman" w:hAnsi="Times New Roman"/>
                  <w:sz w:val="16"/>
                  <w:szCs w:val="16"/>
                  <w:color w:val="0000FF"/>
                  <w:w w:val="74"/>
                </w:rPr>
                <w:t>8</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Item 2</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26</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Item 3</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Quantitative and Qualitative Disclosures About Market Risk</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Item 4</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Controls and Procedures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Part II. OTHER INFORMATION</w:t>
              </w:r>
            </w:hyperlink>
          </w:p>
        </w:tc>
        <w:tc>
          <w:tcPr>
            <w:tcW w:w="6660" w:type="dxa"/>
            <w:vAlign w:val="bottom"/>
            <w:gridSpan w:val="12"/>
          </w:tcPr>
          <w:p>
            <w:pPr>
              <w:spacing w:after="0"/>
              <w:rPr>
                <w:sz w:val="20"/>
                <w:szCs w:val="20"/>
                <w:color w:val="auto"/>
              </w:rPr>
            </w:pPr>
          </w:p>
        </w:tc>
        <w:tc>
          <w:tcPr>
            <w:tcW w:w="2080" w:type="dxa"/>
            <w:vAlign w:val="bottom"/>
            <w:gridSpan w:val="2"/>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Times New Roman" w:cs="Times New Roman" w:eastAsia="Times New Roman" w:hAnsi="Times New Roman"/>
                <w:sz w:val="16"/>
                <w:szCs w:val="16"/>
                <w:color w:val="0000FF"/>
                <w:w w:val="87"/>
              </w:rPr>
            </w:pPr>
            <w:hyperlink w:anchor="page34">
              <w:r>
                <w:rPr>
                  <w:rFonts w:ascii="Times New Roman" w:cs="Times New Roman" w:eastAsia="Times New Roman" w:hAnsi="Times New Roman"/>
                  <w:sz w:val="16"/>
                  <w:szCs w:val="16"/>
                  <w:color w:val="0000FF"/>
                  <w:w w:val="87"/>
                </w:rPr>
                <w:t>34</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Item 1</w:t>
              </w:r>
            </w:hyperlink>
          </w:p>
        </w:tc>
        <w:tc>
          <w:tcPr>
            <w:tcW w:w="340" w:type="dxa"/>
            <w:vAlign w:val="bottom"/>
            <w:gridSpan w:val="2"/>
          </w:tcPr>
          <w:p>
            <w:pPr>
              <w:spacing w:after="0"/>
              <w:rPr>
                <w:sz w:val="20"/>
                <w:szCs w:val="20"/>
                <w:color w:val="auto"/>
              </w:rPr>
            </w:pPr>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Legal Proceedings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Item 1A</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Risk Factors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Unregistered Sales of Equity Securities and Use of Proceeds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8"/>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Item 4</w:t>
              </w:r>
            </w:hyperlink>
          </w:p>
        </w:tc>
        <w:tc>
          <w:tcPr>
            <w:tcW w:w="7740" w:type="dxa"/>
            <w:vAlign w:val="bottom"/>
            <w:gridSpan w:val="16"/>
          </w:tcPr>
          <w:p>
            <w:pPr>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Mine Safety Disclosures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Item 6</w:t>
              </w:r>
            </w:hyperlink>
          </w:p>
        </w:tc>
        <w:tc>
          <w:tcPr>
            <w:tcW w:w="7740" w:type="dxa"/>
            <w:vAlign w:val="bottom"/>
            <w:gridSpan w:val="16"/>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Exhibits</w:t>
              </w:r>
            </w:hyperlink>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4"/>
          </w:tcPr>
          <w:p>
            <w:pPr>
              <w:jc w:val="right"/>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36</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3"/>
          </w:tcPr>
          <w:p>
            <w:pPr>
              <w:ind w:left="440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29" w:right="39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1,518,340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1,396,834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1,312,048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1,237,299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49,940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72,616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63,622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17,058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55,140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37,589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(11,126)</w:t>
            </w: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43,107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26,463</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43,112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26,560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per share (Note 2):</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0.33</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74,991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81,150</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8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0.32</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75,578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82,221</w:t>
            </w:r>
          </w:p>
        </w:tc>
      </w:tr>
      <w:tr>
        <w:trPr>
          <w:trHeight w:val="20"/>
        </w:trPr>
        <w:tc>
          <w:tcPr>
            <w:tcW w:w="8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52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8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43,107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26,463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losses,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37"/>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(losses) gains on equity investee activity, net of tax</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37,545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33,656</w:t>
            </w:r>
          </w:p>
        </w:tc>
      </w:tr>
      <w:tr>
        <w:trPr>
          <w:trHeight w:val="217"/>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Comprehensive income attributable to MasTec, Inc.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37,550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33,753</w:t>
            </w:r>
          </w:p>
        </w:tc>
      </w:tr>
      <w:tr>
        <w:trPr>
          <w:trHeight w:val="20"/>
        </w:trPr>
        <w:tc>
          <w:tcPr>
            <w:tcW w:w="8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unaudited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52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27,422</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14"/>
                <w:szCs w:val="14"/>
                <w:color w:val="auto"/>
              </w:rPr>
              <w:t>(Note 5)</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1,986,335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1,923,970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113,709</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56,558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47,330</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2,262,059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2,168,989</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799,479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747,808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1,140,518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1,100,350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169,370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242,039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253,436</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4,860,393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4,439,953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82,655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669,712</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90,218</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133,033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Billings in excess of costs and earnings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232,253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227,056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73,485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80,937</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1,262,652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1,283,611</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1,539,294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1,324,223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153,850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263,687</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195,965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176,408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3,426,661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3,047,929</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(Note 14)</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$0.10 par value: authorized shares - 145,000,000; issued shares - 91,591,398 and 91,327,009 (including</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1,158,549 and 1,251,533 of unvested stock awards) as of March 31, 2019 and December 31, 2018,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surplus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793,748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789,009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1,118,375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cost: 15,344,917 and 15,329,817 shares as of March 31, 2019 and December 31, 2018,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(466,125)</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1,431,611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1,389,898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2,126</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1,433,732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1,392,024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4,860,393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4,439,953</w:t>
            </w:r>
          </w:p>
        </w:tc>
      </w:tr>
      <w:tr>
        <w:trPr>
          <w:trHeight w:val="20"/>
        </w:trPr>
        <w:tc>
          <w:tcPr>
            <w:tcW w:w="8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29" w:right="23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529"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UNAUDITED CONSOLIDATED STATEMENTS OF EQUITY</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6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9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80" w:type="dxa"/>
            <w:vAlign w:val="bottom"/>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MasTec, Inc.</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2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4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6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88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Ended March 31, 2019</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91,327,009</w:t>
            </w: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$ 9,133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(15,329,817)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$(466,125)</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$789,009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1,118,375</w:t>
            </w:r>
          </w:p>
        </w:tc>
        <w:tc>
          <w:tcPr>
            <w:tcW w:w="1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1,389,898</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$1,392,024</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43,107</w:t>
            </w:r>
          </w:p>
        </w:tc>
        <w:tc>
          <w:tcPr>
            <w:tcW w:w="0" w:type="dxa"/>
            <w:vAlign w:val="bottom"/>
          </w:tcPr>
          <w:p>
            <w:pPr>
              <w:spacing w:after="0"/>
              <w:rPr>
                <w:sz w:val="1"/>
                <w:szCs w:val="1"/>
                <w:color w:val="auto"/>
              </w:rPr>
            </w:pPr>
          </w:p>
        </w:tc>
      </w:tr>
      <w:tr>
        <w:trPr>
          <w:trHeight w:val="237"/>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3,720</w:t>
            </w: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233,362</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stock issuances,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shares withheld for taxes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March 31,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91,591,398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$ 9,159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(15,344,917)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$(466,727)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$793,748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1,161,487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1,431,611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$1,433,732</w:t>
            </w: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Ended March 31, 2018</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90,935,584</w:t>
            </w: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$ 9,094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(8,132,811)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$(147,124)</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$775,387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857,154</w:t>
            </w:r>
          </w:p>
        </w:tc>
        <w:tc>
          <w:tcPr>
            <w:tcW w:w="1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(63,712)</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1,430,799</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2,554</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$1,433,353</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Cumulative effect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adoption, Topic 606</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37"/>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26,463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104,815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stock issuances,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shares withheld for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1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(2,038,720)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0" w:type="dxa"/>
            <w:vAlign w:val="bottom"/>
          </w:tcPr>
          <w:p>
            <w:pPr>
              <w:spacing w:after="0"/>
              <w:rPr>
                <w:sz w:val="1"/>
                <w:szCs w:val="1"/>
                <w:color w:val="auto"/>
              </w:rPr>
            </w:pPr>
          </w:p>
        </w:tc>
      </w:tr>
      <w:tr>
        <w:trPr>
          <w:trHeight w:val="196"/>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91,063,699</w:t>
            </w: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$ 9,106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(10,171,531)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$(245,573)</w:t>
            </w: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$779,449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885,277</w:t>
            </w:r>
          </w:p>
        </w:tc>
        <w:tc>
          <w:tcPr>
            <w:tcW w:w="1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(56,519)</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1,371,740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$1,374,197</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unaudited consolidated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52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43,107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26,463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49,940</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(benefit from) 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Gains on sales of assets, net, including fixed assets held-for-sale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non-cash items,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(97,240)</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55,033</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32,474</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Billings in excess of costs and earnings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16,888</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11,729</w:t>
            </w:r>
          </w:p>
        </w:tc>
      </w:tr>
      <w:tr>
        <w:trPr>
          <w:trHeight w:val="217"/>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83,501</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(22,545)</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5,415</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(30,856)</w:t>
            </w:r>
          </w:p>
        </w:tc>
      </w:tr>
      <w:tr>
        <w:trPr>
          <w:trHeight w:val="231"/>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866,397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816,888</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Repayments of credit facilities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(747,099)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Repayments of other borrowings,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(18,112)</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stock-based awards,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(90,880)</w:t>
            </w:r>
          </w:p>
        </w:tc>
      </w:tr>
      <w:tr>
        <w:trPr>
          <w:trHeight w:val="217"/>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173,773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15,772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40,326</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43,194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40,235</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8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26,220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21,355</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(28,738)</w:t>
            </w:r>
          </w:p>
        </w:tc>
      </w:tr>
      <w:tr>
        <w:trPr>
          <w:trHeight w:val="23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25,755</w:t>
            </w:r>
          </w:p>
        </w:tc>
      </w:tr>
      <w:tr>
        <w:trPr>
          <w:trHeight w:val="33"/>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29" w:right="23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529"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UNAUDITED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2018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2018 contained in the Company’s 2018 Annual Report on Form 10-K (the “2018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either the equity method of accounting or under the fair value option.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the results of which form the basis of making judgments about the Company’s operating results and the carrying values of assets and liabilities that are not readily apparent from other sources. 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allowances for doubtful accounts; fair value estimates, including those related to acquisitions, valuations of goodwill and intangible assets, acquisition-related contingent consideration and equity investments; asset lives used in computing depreciation and amortization; fair values of financial instruments; self-insurance liabilities; other accruals and allowances; income taxes; and the estimated effects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529" w:right="239" w:bottom="1440" w:gutter="0" w:footer="0" w:header="0"/>
        </w:sectPr>
      </w:pPr>
    </w:p>
    <w:bookmarkStart w:id="8" w:name="page9"/>
    <w:bookmarkEnd w:id="8"/>
    <w:p>
      <w:pPr>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and other service agreements, which provide a menu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services in a specific geographic territory that are utilized on an as-needed basis, and are typically priced using time and materials or a fixed price per unit basis; or</w:t>
      </w:r>
    </w:p>
    <w:p>
      <w:pPr>
        <w:spacing w:after="0" w:line="2" w:lineRule="exact"/>
        <w:rPr>
          <w:sz w:val="20"/>
          <w:szCs w:val="20"/>
          <w:color w:val="auto"/>
        </w:rPr>
      </w:pPr>
    </w:p>
    <w:p>
      <w:pPr>
        <w:jc w:val="both"/>
        <w:ind w:firstLine="8"/>
        <w:spacing w:after="0" w:line="252" w:lineRule="auto"/>
        <w:tabs>
          <w:tab w:leader="none" w:pos="25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41% of consolidated revenue for both the three month periods ended March 31, 2019 and 2018.</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6% and 9% of consolidated revenue for the three month periods ended March 31, 2019 and 2018, respectively. Substantially all of the Company’s other revenue is recognized over time.</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The cost estimation process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 uncompleted contracts are recorded in the period in which such losses are determined. For both the three month periods ended March 31, 2019 and 2018, project profit was affected by less than 5% as a result of changes in contract estimates included in projects that were in process as of December 31, 2018 and 2017. Revenue recognized for the three month periods ended March 31, 2019 and 2018 as a result of changes in revenue estimates, including from variable consideration, from performance obligations satisfied or partially satisfied in prior periods totaled approximately $12.5 million and $44.3 million, respectively.</w:t>
      </w:r>
    </w:p>
    <w:p>
      <w:pPr>
        <w:spacing w:after="0" w:line="8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costs, which are amortized over the life of the respective project, were not material for the three month periods ended March 31, 2019 and 2018.</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and is the unit of account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 under contracts for which work is wholly or partially unperformed, including the Company’s share of unearned transaction price from its proportionately consolidated non-controlled joint ventures. As of March 31, 2019, the amount of the Company’s remaining performance obligations was $5.6 billion. The Company expects to recognize approximately $4.4 billion of its remaining performance obligations as revenue during 2019, with the remainder to be recognized primarily in 2020.</w:t>
      </w:r>
    </w:p>
    <w:p>
      <w:pPr>
        <w:spacing w:after="0" w:line="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the transaction price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As of March 31, 2019 and December 31, 2018, the Company included approximately $38 million and $56 million, respectively, of change orders and/or claims in the transaction price for certain contracts that were in the process of being resolved in the normal course of business, including through negotiation, arbitration and other proceedings. These transaction price adjustments are included within costs and earnings in excess of billings or accounts receivable, net of allowance, as appropriate. As of both March 31, 2019 and December 31, 2018, these change orders and/or claims were primarily related to certain pipeline construction projects in the Oil and Gas segment. The Company actively engages with its customers to complete the final approval process, and generally expects these processes to be completed within one year. Amounts ultimately realized upon final acceptance by customers could be higher or lower than such estimated amounts.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15"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See the recent accounting pronouncements discussion below for information pertaining to the effects of recently adopted and other recent accounting pronouncements, as updated from the discussion in the Company’s 2018 Form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2019</w:t>
      </w:r>
    </w:p>
    <w:p>
      <w:pPr>
        <w:spacing w:after="0" w:line="1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Leases. </w:t>
      </w:r>
      <w:r>
        <w:rPr>
          <w:rFonts w:ascii="Times New Roman" w:cs="Times New Roman" w:eastAsia="Times New Roman" w:hAnsi="Times New Roman"/>
          <w:sz w:val="16"/>
          <w:szCs w:val="16"/>
          <w:color w:val="auto"/>
        </w:rPr>
        <w:t>I</w:t>
      </w:r>
      <w:r>
        <w:rPr>
          <w:rFonts w:ascii="Times New Roman" w:cs="Times New Roman" w:eastAsia="Times New Roman" w:hAnsi="Times New Roman"/>
          <w:sz w:val="16"/>
          <w:szCs w:val="16"/>
          <w:color w:val="252525"/>
        </w:rPr>
        <w:t>n February 2016,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Accounting Standards Board (“FASB”)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52525"/>
        </w:rPr>
        <w:t>issued ASU 2016-02,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i w:val="1"/>
          <w:iCs w:val="1"/>
          <w:color w:val="252525"/>
        </w:rPr>
        <w:t>Leases (Topic 842)</w:t>
      </w:r>
      <w:r>
        <w:rPr>
          <w:rFonts w:ascii="Times New Roman" w:cs="Times New Roman" w:eastAsia="Times New Roman" w:hAnsi="Times New Roman"/>
          <w:sz w:val="16"/>
          <w:szCs w:val="16"/>
          <w:color w:val="252525"/>
        </w:rPr>
        <w:t>, which, together with its related clarifying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52525"/>
        </w:rPr>
        <w:t>ASUs (collectively, “ASU 2016-02”), provides revised guidance for lease accounting and related disclosure requirements, including a requirement for lessees to recognize right-of-use assets and lease liabilities on the balance sheet for leases with durations greater than twelve months. Under the new guidance, lessees classify leases as either finance or operating leases. Lease expense is recognized based on an effective interest method for finance leases, and on a straight-line basis over the term of the lease for operating leases.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252525"/>
        </w:rPr>
        <w:t>The Company adopted ASU 2016-02 during the first quarter of 2019 using the modified retrospective method as of January 1, 2019, without adjusting comparative periods in the financial statements. The most significant effect of the new guidance was the recognition of operating lease right-of-use assets and a liability for operating leases. The accounting for finance leases (capital leases) was substantially unchanged. The Company elected to utilize the package of practical expedients that allowed entities to: (1) not reassess whether any expired or existing contracts were or contained leases;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635" w:right="239" w:bottom="1440" w:gutter="0" w:footer="0" w:header="0"/>
        </w:sectPr>
      </w:pPr>
    </w:p>
    <w:bookmarkStart w:id="9" w:name="page10"/>
    <w:bookmarkEnd w:id="9"/>
    <w:p>
      <w:pPr>
        <w:ind w:right="20" w:firstLine="8"/>
        <w:spacing w:after="0" w:line="281" w:lineRule="auto"/>
        <w:tabs>
          <w:tab w:leader="none" w:pos="246" w:val="left"/>
        </w:tabs>
        <w:numPr>
          <w:ilvl w:val="0"/>
          <w:numId w:val="2"/>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252525"/>
        </w:rPr>
        <w:t>retain the existing classification of lease contracts as of the date of adoption; (3) not reassess initial direct costs for any existing leases; and (4) not separate non-lease components for all classes of leased assets.</w:t>
      </w:r>
    </w:p>
    <w:p>
      <w:pPr>
        <w:spacing w:after="0" w:line="1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252525"/>
        </w:rPr>
        <w:t xml:space="preserve">As of </w:t>
      </w:r>
      <w:r>
        <w:rPr>
          <w:rFonts w:ascii="Times New Roman" w:cs="Times New Roman" w:eastAsia="Times New Roman" w:hAnsi="Times New Roman"/>
          <w:sz w:val="16"/>
          <w:szCs w:val="16"/>
          <w:color w:val="000000"/>
        </w:rPr>
        <w:t>March 31, 2019</w:t>
      </w:r>
      <w:r>
        <w:rPr>
          <w:rFonts w:ascii="Times New Roman" w:cs="Times New Roman" w:eastAsia="Times New Roman" w:hAnsi="Times New Roman"/>
          <w:sz w:val="16"/>
          <w:szCs w:val="16"/>
          <w:color w:val="252525"/>
        </w:rPr>
        <w:t xml:space="preserve">, incremental lease assets and liabilities for operating leases totaled $223 million and $227 million, respectively, which amounts approximated the balances recognized at adoption. The adoption of Topic 842 did not have a material effect on the Company's results of operations or cash flows. For additional information about the Company’s leases, see </w:t>
      </w:r>
      <w:r>
        <w:rPr>
          <w:rFonts w:ascii="Times New Roman" w:cs="Times New Roman" w:eastAsia="Times New Roman" w:hAnsi="Times New Roman"/>
          <w:sz w:val="16"/>
          <w:szCs w:val="16"/>
          <w:color w:val="000000"/>
        </w:rPr>
        <w:t>Note 8</w:t>
      </w:r>
      <w:r>
        <w:rPr>
          <w:rFonts w:ascii="Times New Roman" w:cs="Times New Roman" w:eastAsia="Times New Roman" w:hAnsi="Times New Roman"/>
          <w:sz w:val="16"/>
          <w:szCs w:val="16"/>
          <w:color w:val="252525"/>
        </w:rPr>
        <w:t xml:space="preserve"> - Lease Obligations.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252525"/>
        </w:rPr>
        <w:t xml:space="preserve">Reclassification of Tax Effects from Other Comprehensive Income. </w:t>
      </w:r>
      <w:r>
        <w:rPr>
          <w:rFonts w:ascii="Times New Roman" w:cs="Times New Roman" w:eastAsia="Times New Roman" w:hAnsi="Times New Roman"/>
          <w:sz w:val="16"/>
          <w:szCs w:val="16"/>
          <w:color w:val="252525"/>
        </w:rPr>
        <w:t>In February 2018, the FASB issued ASU 2018-02,</w:t>
      </w:r>
      <w:r>
        <w:rPr>
          <w:rFonts w:ascii="Times New Roman" w:cs="Times New Roman" w:eastAsia="Times New Roman" w:hAnsi="Times New Roman"/>
          <w:sz w:val="16"/>
          <w:szCs w:val="16"/>
          <w:i w:val="1"/>
          <w:iCs w:val="1"/>
          <w:color w:val="252525"/>
        </w:rPr>
        <w:t xml:space="preserve"> Income Statement - Reporting Comprehensive Income (Topic </w:t>
      </w:r>
      <w:r>
        <w:rPr>
          <w:rFonts w:ascii="Times New Roman" w:cs="Times New Roman" w:eastAsia="Times New Roman" w:hAnsi="Times New Roman"/>
          <w:sz w:val="16"/>
          <w:szCs w:val="16"/>
          <w:color w:val="252525"/>
        </w:rPr>
        <w:t>220):</w:t>
      </w:r>
      <w:r>
        <w:rPr>
          <w:rFonts w:ascii="Times New Roman" w:cs="Times New Roman" w:eastAsia="Times New Roman" w:hAnsi="Times New Roman"/>
          <w:sz w:val="16"/>
          <w:szCs w:val="16"/>
          <w:i w:val="1"/>
          <w:iCs w:val="1"/>
          <w:color w:val="252525"/>
        </w:rPr>
        <w:t xml:space="preserve"> Reclassification of Certain Tax Effects from Accumulated Other Comprehensive Income </w:t>
      </w:r>
      <w:r>
        <w:rPr>
          <w:rFonts w:ascii="Times New Roman" w:cs="Times New Roman" w:eastAsia="Times New Roman" w:hAnsi="Times New Roman"/>
          <w:sz w:val="16"/>
          <w:szCs w:val="16"/>
          <w:color w:val="252525"/>
        </w:rPr>
        <w:t>(“ASU 2018-02”)</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ASU 2018-02, which the Company adopted</w:t>
      </w:r>
      <w:r>
        <w:rPr>
          <w:rFonts w:ascii="Times New Roman" w:cs="Times New Roman" w:eastAsia="Times New Roman" w:hAnsi="Times New Roman"/>
          <w:sz w:val="16"/>
          <w:szCs w:val="16"/>
          <w:i w:val="1"/>
          <w:iCs w:val="1"/>
          <w:color w:val="252525"/>
        </w:rPr>
        <w:t xml:space="preserve"> </w:t>
      </w:r>
      <w:r>
        <w:rPr>
          <w:rFonts w:ascii="Times New Roman" w:cs="Times New Roman" w:eastAsia="Times New Roman" w:hAnsi="Times New Roman"/>
          <w:sz w:val="16"/>
          <w:szCs w:val="16"/>
          <w:color w:val="252525"/>
        </w:rPr>
        <w:t>during the first quarter of 2019, permitted entities to reclassify the tax effects related to the change in the federal tax rate as a result of the 2017 Tax Act from accumulated other comprehensive income to retained earnings. The Company elected not to reclassify these tax effects, therefore, this ASU had no effect on its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 For both the three month periods ended March 31, 2019 and 2018, anti-dilutive common stock equivalents as calculated under the treasury stock method were de minimis.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MasTec: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Net income - basic and diluted </w:t>
            </w:r>
            <w:r>
              <w:rPr>
                <w:rFonts w:ascii="Times New Roman" w:cs="Times New Roman" w:eastAsia="Times New Roman" w:hAnsi="Times New Roman"/>
                <w:sz w:val="21"/>
                <w:szCs w:val="21"/>
                <w:color w:val="auto"/>
                <w:vertAlign w:val="superscript"/>
              </w:rPr>
              <w:t>(a)</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43,112</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26,560</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81,150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Dilutive common stock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1,071</w:t>
            </w:r>
          </w:p>
        </w:tc>
      </w:tr>
      <w:tr>
        <w:trPr>
          <w:trHeight w:val="217"/>
        </w:trPr>
        <w:tc>
          <w:tcPr>
            <w:tcW w:w="8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75,578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82,221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20955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1"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net income less amounts attributable to non-controlling interests.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Goodwill and Other Intangible Assets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balances for goodwill by reportable segment as of March 31, 2019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Electrical</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206"/>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496.0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1,258.9</w:t>
            </w:r>
          </w:p>
        </w:tc>
      </w:tr>
      <w:tr>
        <w:trPr>
          <w:trHeight w:val="246"/>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impairment loss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(118.4)</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377.6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143.1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1,140.5</w:t>
            </w: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three month period ended March 31, 2019, goodwill included additions of $39.9 million from new business combinations. For the three month period ended March 31, 2019, currency translation effects related to goodwill and accumulated impairment losses totaled approximately $2.0 million of gains and $1.7 million of losses, respectively.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420"/>
          </w:cols>
          <w:pgMar w:left="240" w:top="639"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ectPr>
          <w:pgSz w:w="11900" w:h="16838" w:orient="portrait"/>
          <w:cols w:equalWidth="0" w:num="1">
            <w:col w:w="11420"/>
          </w:cols>
          <w:pgMar w:left="240" w:top="6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gross, as of December 31, 2018</w:t>
      </w:r>
    </w:p>
    <w:p>
      <w:pPr>
        <w:spacing w:after="0" w:line="1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Accumulated amortization</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net, as of December 31, 2018</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Additions from new business combinations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Amortization expense</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Currency translation adjustments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net, as of March 31, 2019</w:t>
      </w:r>
    </w:p>
    <w:p>
      <w:pPr>
        <w:spacing w:after="0" w:line="118"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trade names and non-compete agreements.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b w:val="1"/>
          <w:bCs w:val="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5"/>
                <w:szCs w:val="15"/>
                <w:b w:val="1"/>
                <w:bCs w:val="1"/>
                <w:color w:val="auto"/>
              </w:rPr>
              <w:t>Non-Amortizing</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Amortizing</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6" w:lineRule="exact"/>
              <w:rPr>
                <w:sz w:val="20"/>
                <w:szCs w:val="20"/>
                <w:color w:val="auto"/>
              </w:rPr>
            </w:pPr>
            <w:r>
              <w:rPr>
                <w:rFonts w:ascii="Times New Roman" w:cs="Times New Roman" w:eastAsia="Times New Roman" w:hAnsi="Times New Roman"/>
                <w:sz w:val="15"/>
                <w:szCs w:val="15"/>
                <w:b w:val="1"/>
                <w:bCs w:val="1"/>
                <w:color w:val="auto"/>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Other </w:t>
            </w:r>
            <w:r>
              <w:rPr>
                <w:rFonts w:ascii="Times New Roman" w:cs="Times New Roman" w:eastAsia="Times New Roman" w:hAnsi="Times New Roman"/>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Trade Names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Pre-Qualifications</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Backlog</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224.4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21.1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354.0</w:t>
            </w:r>
          </w:p>
        </w:tc>
        <w:tc>
          <w:tcPr>
            <w:tcW w:w="0" w:type="dxa"/>
            <w:vAlign w:val="bottom"/>
          </w:tcPr>
          <w:p>
            <w:pPr>
              <w:spacing w:after="0"/>
              <w:rPr>
                <w:sz w:val="1"/>
                <w:szCs w:val="1"/>
                <w:color w:val="auto"/>
              </w:rPr>
            </w:pPr>
          </w:p>
        </w:tc>
      </w:tr>
      <w:tr>
        <w:trPr>
          <w:trHeight w:val="274"/>
        </w:trPr>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(184.6)</w:t>
            </w:r>
          </w:p>
        </w:tc>
        <w:tc>
          <w:tcPr>
            <w:tcW w:w="0" w:type="dxa"/>
            <w:vAlign w:val="bottom"/>
          </w:tcPr>
          <w:p>
            <w:pPr>
              <w:spacing w:after="0"/>
              <w:rPr>
                <w:sz w:val="1"/>
                <w:szCs w:val="1"/>
                <w:color w:val="auto"/>
              </w:rPr>
            </w:pPr>
          </w:p>
        </w:tc>
      </w:tr>
      <w:tr>
        <w:trPr>
          <w:trHeight w:val="250"/>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21"/>
                <w:szCs w:val="21"/>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74.0</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169.4</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-1208405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-865505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-522605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4540" w:space="720"/>
            <w:col w:w="6160"/>
          </w:cols>
          <w:pgMar w:left="240" w:top="639" w:right="239" w:bottom="1440" w:gutter="0" w:footer="0" w:header="0"/>
          <w:type w:val="continuous"/>
        </w:sect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Amortization expense associated with intangible assets for the three month periods ended March 31, 2019 and 2018 totaled $4.8 million and $4.9 million, respectively.</w:t>
      </w:r>
    </w:p>
    <w:p>
      <w:pPr>
        <w:spacing w:after="0" w:line="2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2019 Acquisitions. </w:t>
      </w:r>
      <w:r>
        <w:rPr>
          <w:rFonts w:ascii="Times New Roman" w:cs="Times New Roman" w:eastAsia="Times New Roman" w:hAnsi="Times New Roman"/>
          <w:sz w:val="16"/>
          <w:szCs w:val="16"/>
          <w:color w:val="auto"/>
        </w:rPr>
        <w:t>During the first quarter of 2019, MasTec completed two acquisitions, which included: (i) all of the interests in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26282A"/>
        </w:rPr>
        <w:t>company specializing in water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26282A"/>
        </w:rPr>
        <w:t xml:space="preserve">management and pipeline systems for the oil and gas market, which is included in the Company’s Oil and Gas segment; and (ii) certain assets and liabilities of </w:t>
      </w:r>
      <w:r>
        <w:rPr>
          <w:rFonts w:ascii="Times New Roman" w:cs="Times New Roman" w:eastAsia="Times New Roman" w:hAnsi="Times New Roman"/>
          <w:sz w:val="16"/>
          <w:szCs w:val="16"/>
          <w:color w:val="000000"/>
        </w:rPr>
        <w:t>a company</w:t>
      </w:r>
      <w:r>
        <w:rPr>
          <w:rFonts w:ascii="Times New Roman" w:cs="Times New Roman" w:eastAsia="Times New Roman" w:hAnsi="Times New Roman"/>
          <w:sz w:val="16"/>
          <w:szCs w:val="16"/>
          <w:color w:val="26282A"/>
        </w:rPr>
        <w:t xml:space="preserve"> </w:t>
      </w:r>
      <w:r>
        <w:rPr>
          <w:rFonts w:ascii="Times New Roman" w:cs="Times New Roman" w:eastAsia="Times New Roman" w:hAnsi="Times New Roman"/>
          <w:sz w:val="16"/>
          <w:szCs w:val="16"/>
          <w:color w:val="000000"/>
        </w:rPr>
        <w:t>specializing in the construction and maintenance of cell towers, which is included within the Company’s Communications segment. The aggregate purchase price for these entities was composed of approximately $116 million in cash plus earn-out liabilities valued at approximately $15 million, for which the earn-out periods range from three to five years. As of March 31, 2019, the range of remaining potential undiscounted earn-out liabilities for the 2019 acquisitions was estimated to be up to $39 million; however, there is no maximum payment amount. Determination of the estimated fair values of the net assets acquired and the estimated earn-out liabilities for these acquisitions was preliminary as of March 31, 2019; as a result, further adjustments to these estimates may occur.</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2018 Acquisitions. </w:t>
      </w:r>
      <w:r>
        <w:rPr>
          <w:rFonts w:ascii="Times New Roman" w:cs="Times New Roman" w:eastAsia="Times New Roman" w:hAnsi="Times New Roman"/>
          <w:sz w:val="16"/>
          <w:szCs w:val="16"/>
          <w:color w:val="auto"/>
        </w:rPr>
        <w:t>During the first quarter of 2018, MasTec acquired all of the equity interests in a construction management firm specializing in steel building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systems and acquired a wind turbine services company, both of which are included in the Company’s Power Generation and Industrial segment. The aggregate purchase price for these entities was composed of approximately $6.8 million in cash and estimated earn-out liabilities, net, totaling $1.5 million as of March 31, 2019. As of March 31, 2019, the range of remaining potential undiscounted earn-out liabilities, net, for the 2018 acquisitions was estimated to be up to $6 million; however, there is no maximum payment amount.</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 Forma Financial Information and Acquisition Results. </w:t>
      </w:r>
      <w:r>
        <w:rPr>
          <w:rFonts w:ascii="Times New Roman" w:cs="Times New Roman" w:eastAsia="Times New Roman" w:hAnsi="Times New Roman"/>
          <w:sz w:val="16"/>
          <w:szCs w:val="16"/>
          <w:color w:val="auto"/>
        </w:rPr>
        <w:t>For the three month periods ended March 31, 2019 and 2018, unaudited supplemental pro forma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totaled approximately $1,518.3 million and $1,445.6 million, respectively, and unaudited supplemental pro forma net income totaled approximately $43.3 million and $28.5 million, respectively.</w:t>
      </w:r>
    </w:p>
    <w:p>
      <w:pPr>
        <w:spacing w:after="0" w:line="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These unaudited pro forma financial results include the results of operations of the acquired companies as if the acquired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The Company’s unaudited pro forma financial results were prepared by adjusting the historical results of MasTec to include the unaudited historical results of the acquired businesses described above, and then adjusted for (i) acquisition costs; (ii) amortization expense resulting from the acquired intangible assets; (iii) interest expense as a result of the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transactions, as well as other factors, many of which are beyond the Company’s control.</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the three month periods ended March 31, 2019 and 2018, the Company’s consolidated results of operations included acquisition-related revenue of approximately $39.7 million and $76.8 million, respectively, and included acquisition-related net losses of approximately $6.1 million and acquisition-related net income of $2.0 million, respectively, based on the Company’s consolidated effective tax rates. These acquisition-related results do not include the effects of acquisition costs or interest expense associated with consideration paid for the related acquisitions.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financial instruments include cash and cash equivalents, accounts and notes receivable, cash collateral deposited with insurance carriers, life insurance assets, equity investments, deferred compensation plan assets and liabilities, accounts payable and other current liabilities, acquisition-related contingent consideration and debt obligations.</w:t>
      </w:r>
    </w:p>
    <w:p>
      <w:pPr>
        <w:spacing w:after="0" w:line="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639" w:right="239" w:bottom="1440" w:gutter="0" w:footer="0" w:header="0"/>
          <w:type w:val="continuous"/>
        </w:sectPr>
      </w:pPr>
    </w:p>
    <w:bookmarkStart w:id="11" w:name="page12"/>
    <w:bookmarkEnd w:id="11"/>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Acquisition-related contingent consideration, or “earn-outs,” represent the estimated fair value of future amounts payable for acquisitions of businesses and other interests. Acquisition-related contingent consideration is based on management estimates and entity-specific assumptions, which are Level 3 inputs, and is evaluated on an ongoing basis. As of March 31, 2019 and December 31, 2018, the estimated fair value of the Company’s earn-out liabilities totaled $140.5 million and $118.1 million, respectively, of which $30.8 million and $29.6 million, respectively, was included within other current liabilities. The fair value of the Company’s earn-out liabilities is estimated using income approaches such as discounted cash flows or option pricing models, which incorporate significant inputs not observable in the market. Key assumptions include the discount rate and probability-weighted EBITDA projections. Significant changes in any of these assumptions could result in significantly higher or lower potential earn-out liabilities. As of March 31, 2019, the range of potential undiscounted earn-out liabilities was estimated to be between $41 million and $196 million; however, there is no maximum payment amount.</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Acquisition-related contingent consideration activity consists primarily of additions from new business combinations; changes in the expected fair value of future earn-out obligations; and payments. Measurement period adjustments, which are fair value adjustments for earn-out liabilities relating to new information obtained about the facts and circumstances existing as of the date of acquisition for a period of up to one year, are recorded to goodwill. Other revisions to the expected fair value of future earn-out liabilities are reflected as income or expense, as appropriate. Payments of acquisition-related contingent consideration, to the extent they relate to estimated liabilities as of the date of acquisition, are reflected within financing activities in the consolidated statements of cash flows, whereas payments in excess of acquisition date liabilities are classified within operating activities.</w:t>
      </w:r>
    </w:p>
    <w:p>
      <w:pPr>
        <w:spacing w:after="0" w:line="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For the three month periods ended March 31, 2019 and 2018, additions to acquisition-related contingent consideration from new business combinations totaled approximately $15.2 million and $1.5 million, respectively. Fair value adjustments related to acquisition-related contingent consideration, including those related to finalization of completed earn-out arrangements, totaled a net increase of approximately $7.2 million for the three month period ended March 31, 2019 and related to businesses in the Company’s Oil and Gas and Communications segments. Fair value adjustments, net, for the three month period ended March 31, 2018 were de minimis. Measurement period adjustments related to acquisition-related contingent consideration totaled an increase of approximately $2.7 million for the three month period ended March 31, 2018 and related primarily to businesses in the Company’s Oil and Gas segment. There were no payments of acquisition-related contingent consideration during either of the three month periods ended March 31, 2019 or 2018.</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Company’s equity investments as of March 31, 2019 include: (i) the Company’s 33% equity interests in Trans-Pecos Pipeline, LLC (“TPP”) and Comanche Trail Pipeline, LLC (“CTP,” and together with TPP, the “Waha JVs”), which are accounted for as equity method investments; (ii) a $15 million investment in Cross Country Infrastructure Services, Inc. (“CCI”); (iii) the Company’s interests in certain proportionately consolidated non-controlled contractual joint ventures; (iv) the Company’s equity interests in Pensare Acquisition Corp. (“Pensare”); and (v) certain other equity investments. See Note 15 - Related Party Transactions for additional information related to certain of the Company’s equity investments.</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i w:val="1"/>
          <w:iCs w:val="1"/>
          <w:color w:val="auto"/>
        </w:rPr>
        <w:t>Investment Arrangements</w:t>
      </w:r>
      <w:r>
        <w:rPr>
          <w:rFonts w:ascii="Times New Roman" w:cs="Times New Roman" w:eastAsia="Times New Roman" w:hAnsi="Times New Roman"/>
          <w:sz w:val="16"/>
          <w:szCs w:val="16"/>
          <w:color w:val="auto"/>
        </w:rPr>
        <w:t>. From time to time, the Company may participate in selected investment or strategic arrangements, including equity interests in various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entities and participation in contractual joint ventures, some of which may involve the extension of loans or other types of financing arrangements. As of March 31, 2019, the Company determined that certain of its investment arrangements were VIEs. The Company does not, however, have the power to direct the primary activities that most significantly impact the economic performance of these VIEs and the Company is not the primary beneficiary; accordingly, it has not consolidated these VIEs.</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less impairment (“adjusted cost basis”). As of March 31, 2019 and December 31, 2018, the aggregate carrying value of the Company’s equity investments totaled approximately $188 million and $197 million, respectively, including approximately $18 million of equity investments measured on an adjusted cost basis as of both March 31, 2019 and December 31, 2018. There were no impairments of, or material changes in the fair value of these investments during either of the three month periods ended March 31, 2019 or 2018.</w:t>
      </w:r>
    </w:p>
    <w:p>
      <w:pPr>
        <w:spacing w:after="0" w:line="77"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The Waha JVs. </w:t>
      </w:r>
      <w:r>
        <w:rPr>
          <w:rFonts w:ascii="Times New Roman" w:cs="Times New Roman" w:eastAsia="Times New Roman" w:hAnsi="Times New Roman"/>
          <w:sz w:val="16"/>
          <w:szCs w:val="16"/>
          <w:color w:val="auto"/>
        </w:rPr>
        <w:t>The Waha JVs own and operate two pipelines and a header system that transport natural gas to the Mexican border for export. For the three 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ended March 31, 2019 and 2018, the Company made equity contributions to the Waha JVs of approximately $0.8 million and $14.8 million, respectively. In the past, certain subsidiaries of MasTec have provided pipeline construction services to the Waha JVs, for which revenue and related receivables were de minimis for both the three month periods ended March 31, 2019 and 2018 and as of March 31, 2019 and December 31, 2018, respectively.</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Equity in earnings related to the Company’s proportionate share of income from the Waha JVs, which is included within the Company’s Other segment, totaled approximately $6.3 million and $5.6 million for the three month periods ended March 31, 2019 and 2018, respectively. Cumulative undistributed earnings from the Waha JVs, which represents cumulative equity in earnings for the Waha JVs less distributions of earnings, totaled $32.3 million as of March 31, 2019. For the three month periods ended March 31, 2019 and 2018, the Company received $3.9 million and $5.7 million in distributions of earnings, respectively, from the Waha JVs, which amounts are included within operating cash flows. The Company’s net investment in the Waha JVs, which differs from its proportionate share of the net assets of the Waha JVs due primarily to capitalized investment costs, totaled approximately $167 million and $168 million as of March 31, 2019 and December 31, 2018, respectively.</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 ended March 31, 2019, the Company’s proportionate share of unrecognized unrealized activity on these interest rate swaps was losses of approximately $7.2 million, or $5.5 million, net of tax, and for the three month period ended March 31, 2018 was gains of $10.1 million, or $7.7 million, net of tax.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635" w:right="239" w:bottom="1440" w:gutter="0" w:footer="0" w:header="0"/>
        </w:sectPr>
      </w:pPr>
    </w:p>
    <w:bookmarkStart w:id="12" w:name="page13"/>
    <w:bookmarkEnd w:id="12"/>
    <w:p>
      <w:pPr>
        <w:jc w:val="both"/>
        <w:ind w:firstLine="72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Other Investments. </w:t>
      </w:r>
      <w:r>
        <w:rPr>
          <w:rFonts w:ascii="Times New Roman" w:cs="Times New Roman" w:eastAsia="Times New Roman" w:hAnsi="Times New Roman"/>
          <w:sz w:val="16"/>
          <w:szCs w:val="16"/>
          <w:color w:val="auto"/>
        </w:rPr>
        <w:t>During the third quarter of 2017, the Company paid $2.0 million for approximately 4% of the common stock of Pensare and warrants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2.0 million shares of Pensare common stock, which is a special purpose acquisition company focusing on transactions in the telecommunications industry. José R. Mas, MasTec’s Chief Executive Officer, is a director of Pensare. The shares of common stock purchased by MasTec are not transferable or salable until one year after Pensare successfully completes a business combination transaction, with limited exceptions, as specified in the agreement. The warrants are exercisable at a purchase price of $11.50 per share after Pensare successfully completes a business combination transaction. Both the warrants and the shares contained an expiration and/or forfeiture clause without the successful completion of a business combination transaction, for which the required completion date was recently extended to August 1, 2019. On January 31, 2019, Pensare entered into a business combination agreement with U.S TelePacific Holdings Corp. (“TPx”), the completion of which is pending shareholder approval. TPx is a provider of unified communications and cloud-focused managed information technology services.</w:t>
      </w:r>
    </w:p>
    <w:p>
      <w:pPr>
        <w:spacing w:after="0" w:line="83"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6"/>
          <w:szCs w:val="16"/>
          <w:color w:val="auto"/>
        </w:rPr>
        <w:t>The shares, which are measured on an adjusted cost basis, and the warrants, which are derivative financial instruments, are included within other long-term assets in the Company’s consolidated financial statements as of March 31, 2019. Due to the nature of the restrictions, the fair value of the shares is not readily determinable. The fair value of the warrants is determined based on observable and unobservable inputs, including market volatility and the rights and obligations of the warrants, which are Level 3 inputs. For both the three month periods ended March 31, 2019 and 2018, there were no material changes in the fair value of the Company’s investment in Pensare.</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second quarter of 2018, the Company invested $10.0 million for an equity interest of approximately 40% in LifeShield, LLC (“LifeShield”), a home security company, which was measured under the fair value option. As of December 31, 2018, the fair value of this investment was determined to approximate its purchase price. In February 2019, the Company sold its equity interest in LifeShield for approximately $11 million, subject to customary escrow arrangements.</w:t>
      </w:r>
    </w:p>
    <w:p>
      <w:pPr>
        <w:spacing w:after="0" w:line="70"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2014 acquisition of Pacer Construction Holdings Corporation and its affiliated operating companies (collectively, “Pacer”), the Company acquired an investment that is in the final stages of liquidation, and for which the Company has minimal involvement. The net carrying value of this asset, which is included within other current assets, totaled $3.9 million and $2.9 million as of March 31, 2019 and December 31, 2018, respectively.</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both March 31, 2019 and December 31, 2018, the gross carrying amount of the Company’s 4.875% senior notes due March 15, 2023 (the “4.875% Senior Notes”), which are measured at fair value on a non-recurring basis, totaled $400 million. As of March 31, 2019 and December 31, 2018, the estimated fair value of the 4.875% Senior Notes, based on Level 1 inputs, totaled $408.0 million and $392.0 million,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Contract billings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671.3</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Retainage</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earnings in excess of billings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1,022.5</w:t>
            </w:r>
          </w:p>
        </w:tc>
      </w:tr>
      <w:tr>
        <w:trPr>
          <w:trHeight w:val="217"/>
        </w:trPr>
        <w:tc>
          <w:tcPr>
            <w:tcW w:w="8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Retainage and costs and earnings in excess of billings (together, “contract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1,244.9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1,252.7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1,924.0</w:t>
            </w:r>
          </w:p>
        </w:tc>
      </w:tr>
      <w:tr>
        <w:trPr>
          <w:trHeight w:val="20"/>
        </w:trPr>
        <w:tc>
          <w:tcPr>
            <w:tcW w:w="8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Contract assets consist of costs and earnings in excess of billings (“CIEB”) and retainage. CIEB, which is also referred to as work in process, represents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Retainage is not considered to be a significant financing component because the intent is to protect the customer. CIEB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expected to be collected beyond one year are recorded within other long-term assets. Provisions for doubtful accounts and impairment losses on contract assets were not material for the three month periods ended March 31, 2019 or 2018.</w:t>
      </w:r>
    </w:p>
    <w:p>
      <w:pPr>
        <w:spacing w:after="0" w:line="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Under certain contracts, the Company may be entitled to invoice the customer and receive payments in advance of performing the related contract work. In those instances, the Company recognizes a liability for advance billings in excess of revenue recognized, which is referred to as billings in excess of costs and earnings (“BIEC”). BIEC is not considered to be a significant financing component because it is generally used to meet working capital demands that can be higher in the early stages of a contract. Contract liabilities consist primarily of such BIEC, which are generally classified within current liabilities on the Company’s consolidated balance sheets. BIEC totaled approximately $232.3 million and $227.1 million as of March 31, 2019 and December 31, 2018, respectively. For the three month period ended March 31, 2019, the Company recognized revenue of approximately $123.7 million, related to amounts that were included in BIEC as of December 31, 2018, resulting primarily from the advancement of physical progress on the respective projects during the period. Contract liabilities also include the amount of any accrued project losses, which are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637" w:right="23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6"/>
          <w:szCs w:val="16"/>
          <w:color w:val="auto"/>
        </w:rPr>
        <w:t>classified within other current liabilities on the Company’s consolidated balance sheets. Total contract liabilities, including accrued project losses, totaled approximately $243.7 million and $231.6 million as of March 31, 2019 and December 31, 2018, respectively.</w:t>
      </w:r>
    </w:p>
    <w:p>
      <w:pPr>
        <w:spacing w:after="0" w:line="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is party to non-recourse financing arrangements in the ordinary course of business, under which certain receivables are settled with the customer’s bank in return for a nominal fee. These arrangements, under which amounts can vary based on levels of activity, interest rates and changes in customer payment terms, improve the collection cycle time of the related receivables. Cash collected from these arrangements is reflected within cash provided by operating activities in the consolidated statements of cash flows. The discount charge, which is included within interest expense, net, totaled approximately $2.9 million and $1.9 million for the three month periods ended March 31, 2019 and 2018,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1,391.8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166.7</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1,696.4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1,613.5</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747.8</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gross amount of capitalized internal-use software, which is included within office furniture and equipment, totaled $122.5 million and $122.0 million as of March 31, 2019 and December 31, 2018, respectively. Capitalized internal-use software, net of accumulated amortization, totaled $24.8 million and $26.5 million as of March 31, 2019 and December 31, 2018, respectively. Depreciation and amortization expense associated with property and equipment for the three month periods ended March 31, 2019 and 2018 totaled $54.2 million and $45.1 million,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Debt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2"/>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22, 2022</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Revolving loans</w:t>
            </w:r>
          </w:p>
        </w:tc>
        <w:tc>
          <w:tcPr>
            <w:tcW w:w="3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456.9</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376.9</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4.875% Senior Notes</w:t>
            </w: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March 15, 2023</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183.2</w:t>
            </w:r>
          </w:p>
        </w:tc>
      </w:tr>
      <w:tr>
        <w:trPr>
          <w:trHeight w:val="217"/>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long-term debt obligations</w:t>
            </w:r>
          </w:p>
        </w:tc>
        <w:tc>
          <w:tcPr>
            <w:tcW w:w="366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1,638.2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1,417.0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7"/>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66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1,628.8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1,406.9</w:t>
            </w: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r>
      <w:tr>
        <w:trPr>
          <w:trHeight w:val="217"/>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Long-term debt</w:t>
            </w:r>
          </w:p>
        </w:tc>
        <w:tc>
          <w:tcPr>
            <w:tcW w:w="366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1,539.3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1,324.2</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a senior secured credit facility (the “Credit Facility”). Under the Credit Facility, aggregate borrowing commitments totaled approximately $1.5 billion as of March 31, 2019, composed of $1.1 billion of revolving commitments and a term loan of approximately $0.4 billion. The term loan is subject to amortization in quarterly principal installments of $5.0 million. Quarterly principal installments on the term loan are subject to adjustment, if applicable, for certain prepayments.</w:t>
      </w:r>
    </w:p>
    <w:p>
      <w:pPr>
        <w:spacing w:after="0" w:line="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As of March 31, 2019 and December 31, 2018, outstanding revolving loans, which included $153 million and $128 million, respectively, of borrowings denominated in foreign currencies, accrued interest at weighted average rates of approximately 4.19% and 4.23% per annum, respectively. The term loan accrued interest at a rate of 4.00% and 4.27% as of March 31, 2019 and December 31, 2018, respectively. Letters of credit of approximately $90.5 million and $88.2 million were issued as of March 31, 2019 and December 31, 2018, respectively. As of March 31, 2019 and December 31, 2018, letters of credit fees accrued at 0.625% and 0.875% per annum, respectively, for performance standby letters of credit, and at 1.50% and 1.75% per annum, respectively, for financial standby letters of credit. Outstanding letters of credit mature at various dates and most have automatic renewal provisions, subject to prior notice of cancellation. As of March 31, 2019 and December 31, 2018, availability for revolving loans totaled $349.1 million</w:t>
      </w:r>
    </w:p>
    <w:p>
      <w:pPr>
        <w:sectPr>
          <w:pgSz w:w="11900" w:h="16838" w:orient="portrait"/>
          <w:cols w:equalWidth="0" w:num="1">
            <w:col w:w="11420"/>
          </w:cols>
          <w:pgMar w:left="240" w:top="639"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639" w:right="239" w:bottom="1440" w:gutter="0" w:footer="0" w:header="0"/>
          <w:type w:val="continuous"/>
        </w:sectPr>
      </w:pPr>
    </w:p>
    <w:bookmarkStart w:id="14" w:name="page15"/>
    <w:bookmarkEnd w:id="14"/>
    <w:p>
      <w:pPr>
        <w:jc w:val="both"/>
        <w:spacing w:after="0" w:line="263" w:lineRule="auto"/>
        <w:rPr>
          <w:sz w:val="20"/>
          <w:szCs w:val="20"/>
          <w:color w:val="auto"/>
        </w:rPr>
      </w:pPr>
      <w:r>
        <w:rPr>
          <w:rFonts w:ascii="Times New Roman" w:cs="Times New Roman" w:eastAsia="Times New Roman" w:hAnsi="Times New Roman"/>
          <w:sz w:val="16"/>
          <w:szCs w:val="16"/>
          <w:color w:val="auto"/>
        </w:rPr>
        <w:t>and $554.9 million, respectively, or up to $349.1 million and $554.9 million, respectively, for new letters of credit. Revolving loan borrowing capacity included $146.6 million and $91.9 million of availability in either Canadian dollars or Mexican pesos as of March 31, 2019 and December 31, 2018, respectively. The unused facility fee as of March 31, 2019 and December 31, 2018 accrued at a rate of 0.25% and 0.35%, respectively.</w:t>
      </w:r>
    </w:p>
    <w:p>
      <w:pPr>
        <w:spacing w:after="0" w:line="7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w:t>
      </w:r>
    </w:p>
    <w:p>
      <w:pPr>
        <w:spacing w:after="0" w:line="5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(i) the working capital requirements of its foreign operations, and (ii) certain letter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issuances. As of both March 31, 2019 and December 31, 2018, there were no borrowings under the Company’s other credit facilities. Additionally, the Company has a credit facility under which it may issue up to $50.0 million of performance standby letters of credit. As of both March 31, 2019 and December 31, 2018, letters of credit issued under this facility totaled $40.2 million, and accrued fees at 0.50% and 0.75%, respectively, per annum.</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Company’s other credit facilities are subject to customary provisions and covenants.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Guarantees and Covenants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Credit Facility or other outstanding indebtedness. See Note 16 - Supplemental Guarantor Condensed Unaudited Consolidating Financial Information.</w:t>
      </w:r>
    </w:p>
    <w:p>
      <w:pPr>
        <w:spacing w:after="0" w:line="73" w:lineRule="exact"/>
        <w:rPr>
          <w:sz w:val="20"/>
          <w:szCs w:val="20"/>
          <w:color w:val="auto"/>
        </w:rPr>
      </w:pPr>
    </w:p>
    <w:p>
      <w:pPr>
        <w:ind w:left="340" w:right="1420" w:firstLine="324"/>
        <w:spacing w:after="0" w:line="387" w:lineRule="auto"/>
        <w:rPr>
          <w:sz w:val="20"/>
          <w:szCs w:val="20"/>
          <w:color w:val="auto"/>
        </w:rPr>
      </w:pPr>
      <w:r>
        <w:rPr>
          <w:rFonts w:ascii="Times New Roman" w:cs="Times New Roman" w:eastAsia="Times New Roman" w:hAnsi="Times New Roman"/>
          <w:sz w:val="16"/>
          <w:szCs w:val="16"/>
          <w:color w:val="auto"/>
        </w:rPr>
        <w:t xml:space="preserve">MasTec was in compliance with the provisions and covenants of its outstanding debt instruments as of March 31, 2019 and December 31, 2018. </w:t>
      </w:r>
      <w:r>
        <w:rPr>
          <w:rFonts w:ascii="Times New Roman" w:cs="Times New Roman" w:eastAsia="Times New Roman" w:hAnsi="Times New Roman"/>
          <w:sz w:val="16"/>
          <w:szCs w:val="16"/>
          <w:b w:val="1"/>
          <w:bCs w:val="1"/>
          <w:i w:val="1"/>
          <w:iCs w:val="1"/>
          <w:color w:val="auto"/>
        </w:rPr>
        <w:t>Additional Information</w:t>
      </w:r>
    </w:p>
    <w:p>
      <w:pPr>
        <w:spacing w:after="0" w:line="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March 31, 2019 and December 31, 2018, accrued interest payable, which is recorded within other accrued expenses in the consolidated balance sheets, totaled $3.1 million and $7.4 million, respectively. For additional information pertaining to the Company’s debt instruments, including its 4.875% Senior Notes, see Note 7 - Debt in the Company’s 2018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MasTec enters into agreements that provide financing for machinery and equipment. Assets associated with these arrangements, are recorded within property and equipment, with a corresponding amount recorded within the Company’s debt obligations. Expense associated with finance leases is recorded within depreciation and interest expense, and additions are reflected in the consolidated statements of cash flows within the supplemental disclosures of non-cash information. Many of the Company’s finance lease agreements contain a purchase option, which the Company generally intends to exercise, as the purchase option prices are typically below the estimated fair market values of the related assets. The gross amount of assets held under finance leases as of March 31, 2019 and December 31, 2018 totaled $353.0 million and $337.6 million, respectively. Assets held under finance leases, net of accumulated depreciation, totaled $271.3 million and $246.8 million as of March 31, 2019 and December 31, 2018, respectively. Depreciation expense associated with finance leases totaled $10.0 million for the three month period ended March 31, 2019.</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 including related party leases. See Note 15 - Related Party Transactions. These leases allow the Company to conserve cash and provide flexibility as compared with purchasing these assets. The terms of these agreements vary from lease to lease, including some with renewal options. Operating lease costs, which are recorded as rent expense, primarily within costs of revenue, excluding depreciation and amortization, include both fixed and variable components. Fixed costs for operating leases are composed of initial base rent amounts plus any fixed annual increases. Variable costs for operating leases consist primarily of common area maintenance expenses and taxes. In the event the Company cancels or terminates a lease before the end of the lease term, the Company is typically liable for the remaining lease payments, and such payments are generally recorded within rent expense. For operating leases with purchase options, the option to purchase equipment is considered to be at its estimated fair market value. For the three month period ended March 31, 2019, operating lease additions, excluding the effect of the adoption of $233 million, totaled $12 million.</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For the three month period ended March 31, 2019, rent expense for leases that have terms in excess of one year totaled approximately $27.9 million, of which $2.3 million represented variable lease costs. The Company also incurred rent expense for leases with terms of one year or less totaling approximately $92.8 million for the three month period ended March 31, 2019. For the three month period ended March 31, 2018, rent and related expense for operating leases that have non-cancelable terms in excess of one year totaled approximately $26.9 million, and rent and related expense for operating leases having original terms of one year or less totaled approximately $91.7 million. Rent expense for operating leases is generally consistent with the amount of the related payments, and is included within operating activities in the consolidated statements of cash flows.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639" w:right="2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March 31, 2019 were as follows (in millions):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49"/>
        </w:trPr>
        <w:tc>
          <w:tcPr>
            <w:tcW w:w="8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2"/>
        </w:trPr>
        <w:tc>
          <w:tcPr>
            <w:tcW w:w="8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remaining nine months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64.6</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r>
      <w:tr>
        <w:trPr>
          <w:trHeight w:val="33"/>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251.4</w:t>
            </w:r>
          </w:p>
        </w:tc>
      </w:tr>
      <w:tr>
        <w:trPr>
          <w:trHeight w:val="21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205.7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227.2</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Less current portion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73.3</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153.9</w:t>
            </w:r>
          </w:p>
        </w:tc>
      </w:tr>
      <w:tr>
        <w:trPr>
          <w:trHeight w:val="20"/>
        </w:trPr>
        <w:tc>
          <w:tcPr>
            <w:tcW w:w="8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 reviews all contracts for potential leasing arrangements. As of March 31, 2019, finance leases had a weighted average remaining lease term of 2.8 years and a weighted average discount rate of 4.3%. Non-cancelable operating leases had a weighted average remaining lease term of 4.5 years and a weighted average discount rate of 4.4% as of March 31, 2019. If a lease does not contain an implicit rate, the Company uses its incremental borrowing rate to determine the present value of the total lease payments, which is based on the information available as of the lease commencement date, including applicable lease terms and the current economic environment. The Company applies a portfolio approach in determining its incremental borrowing rate given that it has a centrally managed treasury function.</w:t>
      </w:r>
    </w:p>
    <w:p>
      <w:pPr>
        <w:spacing w:after="0" w:line="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 xml:space="preserve">See Note 1 - Business, Basis of Presentation and Significant Accounting Policies for information pertaining to the Company’s January 1, 2019 adoption of ASU 2016-02, </w:t>
      </w:r>
      <w:r>
        <w:rPr>
          <w:rFonts w:ascii="Times New Roman" w:cs="Times New Roman" w:eastAsia="Times New Roman" w:hAnsi="Times New Roman"/>
          <w:sz w:val="16"/>
          <w:szCs w:val="16"/>
          <w:i w:val="1"/>
          <w:iCs w:val="1"/>
          <w:color w:val="auto"/>
        </w:rPr>
        <w:t>Leases (Topic 842)</w:t>
      </w:r>
      <w:r>
        <w:rPr>
          <w:rFonts w:ascii="Times New Roman" w:cs="Times New Roman" w:eastAsia="Times New Roman" w:hAnsi="Times New Roman"/>
          <w:sz w:val="16"/>
          <w:szCs w:val="16"/>
          <w:color w:val="auto"/>
        </w:rPr>
        <w:t>, which, together with its related clarifying ASUs, provided revised guidance for lease accounting and related disclosure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22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March 31, 2019, including employee stock purchase plans, there were approximately 4,178,000 shares available for future grant.</w:t>
      </w:r>
    </w:p>
    <w:p>
      <w:pPr>
        <w:spacing w:after="0" w:line="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Non-cash stock-based compensation expense under all plans totaled $3.7 million and $3.2 million for the three month periods ended March 31, 2019 and 2018, respectively. Income tax benefits associated with stock-based compensation arrangements totaled $3.2 million and $0.8 million for the three month periods ended March 31, 2019 and 2018, respectively. Net tax benefits related to the vesting of share-based payment awards totaled $2.3 million for the three month period ended March 31, 2019, and were de minimis for the three month period ended March 31, 2018.</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March 31, 2019 was approximately $31.4 million, which is expected to be recognized over a weighted average period of approximately 2.4 years. The intrinsic value of restricted shares that vested, which is based on the market price on the date of vesting, totaled $13.6 million and $0.1 million for the three month periods ended March 31, 2019 and 2018,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Grant Date</w:t>
            </w:r>
          </w:p>
        </w:tc>
      </w:tr>
      <w:tr>
        <w:trPr>
          <w:trHeight w:val="245"/>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color w:val="auto"/>
                <w:vertAlign w:val="superscript"/>
              </w:rPr>
              <w:t>(a)</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restricted shares, as of December 31, 2018</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1,270,233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31.80</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221,462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46.90</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Canceled/forfeited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35.53</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Non-vested restricted shares, as of March 31, 2019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1,163,649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39.84</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5,100 and 18,700 restricted stock units as of March 31, 2019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4"/>
          <w:szCs w:val="14"/>
          <w:color w:val="auto"/>
        </w:rPr>
        <w:t xml:space="preserve"> December 31, 2018, respectively.</w:t>
      </w:r>
    </w:p>
    <w:p>
      <w:pPr>
        <w:spacing w:after="0" w:line="261" w:lineRule="exact"/>
        <w:rPr>
          <w:rFonts w:ascii="Times New Roman" w:cs="Times New Roman" w:eastAsia="Times New Roman" w:hAnsi="Times New Roman"/>
          <w:sz w:val="14"/>
          <w:szCs w:val="14"/>
          <w:color w:val="auto"/>
        </w:rPr>
      </w:pPr>
    </w:p>
    <w:p>
      <w:pPr>
        <w:ind w:left="5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635" w:right="2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Plans</w:t>
      </w:r>
    </w:p>
    <w:p>
      <w:pPr>
        <w:spacing w:after="0" w:line="11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80" w:type="dxa"/>
            <w:vAlign w:val="bottom"/>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Cash proceeds </w:t>
            </w:r>
            <w:r>
              <w:rPr>
                <w:rFonts w:ascii="Times New Roman" w:cs="Times New Roman" w:eastAsia="Times New Roman" w:hAnsi="Times New Roman"/>
                <w:sz w:val="15"/>
                <w:szCs w:val="15"/>
                <w:color w:val="auto"/>
              </w:rPr>
              <w:t>(in millions)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35,732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25,638</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per share grant date fair value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Multiemployer Plans. </w:t>
      </w:r>
      <w:r>
        <w:rPr>
          <w:rFonts w:ascii="Times New Roman" w:cs="Times New Roman" w:eastAsia="Times New Roman" w:hAnsi="Times New Roman"/>
          <w:sz w:val="16"/>
          <w:szCs w:val="16"/>
          <w:color w:val="auto"/>
        </w:rPr>
        <w:t>Certain of MasTec’s subsidiaries, including certain subsidiaries in Canada, contribute amounts to multiemployer pension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multiemployer benefit plans and trusts (“MEPPs”),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Times New Roman" w:cs="Times New Roman" w:eastAsia="Times New Roman" w:hAnsi="Times New Roman"/>
                <w:sz w:val="16"/>
                <w:szCs w:val="16"/>
                <w:b w:val="1"/>
                <w:bCs w:val="1"/>
                <w:color w:val="auto"/>
              </w:rPr>
              <w:t xml:space="preserve">Contributions </w:t>
            </w:r>
            <w:r>
              <w:rPr>
                <w:rFonts w:ascii="Times New Roman" w:cs="Times New Roman" w:eastAsia="Times New Roman" w:hAnsi="Times New Roman"/>
                <w:sz w:val="15"/>
                <w:szCs w:val="15"/>
                <w:b w:val="1"/>
                <w:bCs w:val="1"/>
                <w:color w:val="auto"/>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jc w:val="right"/>
              <w:ind w:right="21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jc w:val="right"/>
              <w:ind w:right="4619"/>
              <w:spacing w:after="0"/>
              <w:rPr>
                <w:sz w:val="20"/>
                <w:szCs w:val="20"/>
                <w:color w:val="auto"/>
              </w:rPr>
            </w:pPr>
            <w:r>
              <w:rPr>
                <w:rFonts w:ascii="Times New Roman" w:cs="Times New Roman" w:eastAsia="Times New Roman" w:hAnsi="Times New Roman"/>
                <w:sz w:val="16"/>
                <w:szCs w:val="16"/>
                <w:color w:val="auto"/>
                <w:w w:val="99"/>
              </w:rPr>
              <w:t>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37"/>
        </w:trPr>
        <w:tc>
          <w:tcPr>
            <w:tcW w:w="5040" w:type="dxa"/>
            <w:vAlign w:val="bottom"/>
          </w:tcPr>
          <w:p>
            <w:pPr>
              <w:jc w:val="right"/>
              <w:ind w:right="4619"/>
              <w:spacing w:after="0"/>
              <w:rPr>
                <w:sz w:val="20"/>
                <w:szCs w:val="20"/>
                <w:color w:val="auto"/>
              </w:rPr>
            </w:pPr>
            <w:r>
              <w:rPr>
                <w:rFonts w:ascii="Times New Roman" w:cs="Times New Roman" w:eastAsia="Times New Roman" w:hAnsi="Times New Roman"/>
                <w:sz w:val="16"/>
                <w:szCs w:val="16"/>
                <w:color w:val="auto"/>
                <w:w w:val="99"/>
              </w:rPr>
              <w:t>2018</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Company’s share repurchase programs provide for the repurchase of shares of MasTec common stock from time to time in open market transactions or in privately-negotiated transactions in accordance with applicable securities laws. The timing and the amount of any repurchases is determined based on market conditions, legal requirements, cash flow and liquidity needs and other factors. The Company’s share repurchase programs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w:t>
      </w:r>
    </w:p>
    <w:p>
      <w:pPr>
        <w:spacing w:after="0" w:line="184"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During the three month periods ended March 31, 2019 and 2018, the Company repurchased shares of its common stock under several share repurchase programs. As of March 31, 2019, $128.8 million was available for future share repurchases under all of the Company’s open share repurchase programs.</w:t>
      </w:r>
    </w:p>
    <w:p>
      <w:pPr>
        <w:spacing w:after="0" w:line="1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Share repurchases totaled approximately $0.6 million for the three month period ended March 31, 2019. First quarter 2019 share repurchases were completed under the Company’s $150 million share repurchase program that was authorized in September 2018 (the “September 2018 Share Repurchase Program”). For the three month period ended March 31, 2018, the Company repurchased approximately 2.0 million shares for an aggregate purchase price of $98.4 million under a $100 million share repurchase program that was established in 2016 and completed in the first quarter of 2018. As of March 31, 2019, $28.8 million was available for future share repurchases under the September 2018 Share Repurchase Program, and for the Company’s $100 million share repurchase program that was authorized in December 2018, the full amount was available.</w:t>
      </w:r>
    </w:p>
    <w:p>
      <w:pPr>
        <w:spacing w:after="0" w:line="3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Accumulated other comprehensive loss is composed of unrealized foreign currency gains and losses from fluctuations in foreign currency exchange rates of the Company’s foreign subsidiaries with a functional currency other than the U.S. dollar, as well as unrealized gains and losses from certain investment activities. Unrealized foreign currency activity for both the three month periods ended March 31, 2019 and 2018 were de minimis. Unrealized investment activity for both the three month periods ended March 31, 2019 and 2018 relates to unrealized gains and losses on interest rate swaps associated with the Waha JVs.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420"/>
          </w:cols>
          <w:pgMar w:left="240" w:top="77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2019 and 2018, the Company’s consolidated effective tax rates were 22% and 30%, respectively. The Company’s effective tax rate for the three month period ended March 31, 2019 was favorably affected by the recognition of $2.3 million of excess tax benefits from the vesting of share-based awards and reduced foreign earnings.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for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power facilities, including renewables, related electrical transmission infrastructure, ethanol/biofuel facilities and various types of heavy civil and industrial infrastructure. The Other segment includes equity investees, the services of which vary from those provided by the Company’s primary segments, as well as other small business units that perform construction and other services for a variety of international end-markets.</w:t>
      </w:r>
    </w:p>
    <w:p>
      <w:pPr>
        <w:spacing w:after="0" w:line="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the Company’s common stock or variations in the value of shares granted. Segment EBITDA is calculated in a manner consistent with consolidated EBITDA.</w:t>
      </w:r>
    </w:p>
    <w:p>
      <w:pPr>
        <w:spacing w:after="0" w:line="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Communications </w:t>
            </w:r>
            <w:r>
              <w:rPr>
                <w:rFonts w:ascii="Times New Roman" w:cs="Times New Roman" w:eastAsia="Times New Roman" w:hAnsi="Times New Roman"/>
                <w:sz w:val="21"/>
                <w:szCs w:val="21"/>
                <w:color w:val="auto"/>
                <w:vertAlign w:val="superscript"/>
              </w:rPr>
              <w:t>(a)</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627.1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1,396.8</w:t>
            </w:r>
          </w:p>
        </w:tc>
      </w:tr>
      <w:tr>
        <w:trPr>
          <w:trHeight w:val="20"/>
        </w:trPr>
        <w:tc>
          <w:tcPr>
            <w:tcW w:w="8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45" w:lineRule="exact"/>
        <w:rPr>
          <w:sz w:val="20"/>
          <w:szCs w:val="20"/>
          <w:color w:val="auto"/>
        </w:rPr>
      </w:pPr>
    </w:p>
    <w:p>
      <w:pPr>
        <w:ind w:left="340" w:right="20" w:hanging="332"/>
        <w:spacing w:after="0" w:line="26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15.6% and 17.8% of Communications segment revenue for the three month periods ended March 31, 2019 and 2018,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420"/>
          </w:cols>
          <w:pgMar w:left="240" w:top="799" w:right="239" w:bottom="1440" w:gutter="0" w:footer="0" w:header="0"/>
        </w:sectPr>
      </w:pPr>
    </w:p>
    <w:bookmarkStart w:id="18" w:name="page19"/>
    <w:bookmarkEnd w:id="18"/>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Consolidated EBITDA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Communications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Oil and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Electrical Transmission</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Consolidated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EBITDA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Consolidated EBITDA</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r>
      <w:tr>
        <w:trPr>
          <w:trHeight w:val="33"/>
        </w:trPr>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555"/>
        </w:trPr>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r>
      <w:tr>
        <w:trPr>
          <w:trHeight w:val="33"/>
        </w:trPr>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555"/>
        </w:trPr>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6" w:lineRule="exact"/>
        <w:rPr>
          <w:sz w:val="20"/>
          <w:szCs w:val="20"/>
          <w:color w:val="auto"/>
        </w:rPr>
      </w:pPr>
    </w:p>
    <w:p>
      <w:pPr>
        <w:sectPr>
          <w:pgSz w:w="11900" w:h="16838" w:orient="portrait"/>
          <w:cols w:equalWidth="0" w:num="2">
            <w:col w:w="7860" w:space="720"/>
            <w:col w:w="2840"/>
          </w:cols>
          <w:pgMar w:left="240" w:top="866" w:right="239" w:bottom="1440" w:gutter="0" w:footer="0" w:header="0"/>
        </w:sect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Foreign Operations. </w:t>
      </w:r>
      <w:r>
        <w:rPr>
          <w:rFonts w:ascii="Times New Roman" w:cs="Times New Roman" w:eastAsia="Times New Roman" w:hAnsi="Times New Roman"/>
          <w:sz w:val="16"/>
          <w:szCs w:val="16"/>
          <w:color w:val="auto"/>
        </w:rPr>
        <w:t>MasTec operates in North America, primarily in the United States and Canada, and, to a lesser extent, in Mexico. For both the three month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periods ended March 31, 2019 and 2018, revenue of $1.4 billion was derived from U.S. operations, and revenue of $78.9 million and $33.8 million, respectively, was derived from foreign operations, the majority of which was from the Company’s Canadian operations in its Oil and Gas segment. Long-lived assets held in the U.S. included property and equipment, net, of $764.1 million and $707.4 million as of March 31, 2019 and December 31, 2018, respectively, and, for the Company’s businesses in foreign countries, the majority of which are in Canada, totaled $35.4 million and $40.4 million, respectively. Intangible assets and goodwill, net, related to the Company’s U.S. operations totaled approximately $1.3 billion and $1.2 billion as of March 31, 2019 and December 31, 2018, respectively, and for the Company’s businesses in foreign countries, the majority of which are in Canada, totaled approximately $62.3 million and $61.5 million as of March 31, 2019 and December 31, 2018, respectively. As of March 31, 2019 and December 31, 2018, amounts due from customers from which foreign revenue was derived accounted for approximately 6% and 5%, respectively, of the Company’s consolidated net accounts receivable position, which represents accounts receivable, net, less BIEC.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420"/>
          </w:cols>
          <w:pgMar w:left="240" w:top="866" w:right="239" w:bottom="1440" w:gutter="0" w:footer="0" w:header="0"/>
          <w:type w:val="continuous"/>
        </w:sectPr>
      </w:pPr>
    </w:p>
    <w:bookmarkStart w:id="19" w:name="page20"/>
    <w:bookmarkEnd w:id="19"/>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Customers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Revenue concentration information for significant customers as a percentage of total consolidated revenue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33"/>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AT&amp;T (including DIRECTV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vertAlign w:val="superscript"/>
              </w:rPr>
              <w:t>(a)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w:t>
            </w:r>
          </w:p>
        </w:tc>
      </w:tr>
      <w:tr>
        <w:trPr>
          <w:trHeight w:val="290"/>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Energy Transfer affiliates </w:t>
            </w:r>
            <w:r>
              <w:rPr>
                <w:rFonts w:ascii="Times New Roman" w:cs="Times New Roman" w:eastAsia="Times New Roman" w:hAnsi="Times New Roman"/>
                <w:sz w:val="21"/>
                <w:szCs w:val="21"/>
                <w:color w:val="auto"/>
                <w:vertAlign w:val="superscript"/>
              </w:rPr>
              <w:t>(b)</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w:t>
            </w:r>
          </w:p>
        </w:tc>
      </w:tr>
    </w:tbl>
    <w:p>
      <w:pPr>
        <w:jc w:val="both"/>
        <w:ind w:left="340" w:hanging="332"/>
        <w:spacing w:after="0" w:line="247"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ind w:left="340" w:hanging="332"/>
        <w:spacing w:after="0" w:line="282"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relationship with Energy Transfer affiliates is based upon various construction contracts for pipeline activities with Energy Transfer Partners L.P., and its subsidiaries and affiliates, all of which are consolidated by Energy Transfer Equity, L.P. Revenue from Energy Transfer affiliates is included in the Oil and Gas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 In April 2019, an arbitral tribunal award related to a Canadian acquisition was finalized (the “Award”) for approximately $50 million in favor of MasTec. The collectibility of the Award is uncertain and currently under review. Additionally, MasTec has incurred significant arbitration, legal and other costs related to this matter and expects to incur additional costs while pursuing collection of the Award.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related party leases. See Note 8 - Lease Obligations and Note 15 - Related Party Transactions.</w:t>
      </w:r>
    </w:p>
    <w:p>
      <w:pPr>
        <w:spacing w:after="0" w:line="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surety bond providers and in support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performance under certain contracts as well as certain obligations associated with the Company’s equity investments,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2019 and December 31, 2018, there were $130.7 million and $128.4 million, respectively, of letters of credit issued under the Company’s credit facilities. The Company is not aware of any material claims relating to its outstanding letters of credit as of March 31, 2019 or December 31, 2018.</w:t>
      </w:r>
    </w:p>
    <w:p>
      <w:pPr>
        <w:spacing w:after="0" w:line="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March 31, 2019 and December 31, 2018, outstanding performance and payment bonds approximated $233.1 million and $123.6 million, respectively, and estimated costs to complete projects secured by these bonds totaled $61.3 million and $53.0 million as of March 31, 2019 and December 31, 2018, respectively. These amounts do not include performance and payment bonds associated with the Company’s equity investments.</w:t>
      </w:r>
    </w:p>
    <w:p>
      <w:pPr>
        <w:spacing w:after="0" w:line="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Investment Arrangements. </w:t>
      </w:r>
      <w:r>
        <w:rPr>
          <w:rFonts w:ascii="Times New Roman" w:cs="Times New Roman" w:eastAsia="Times New Roman" w:hAnsi="Times New Roman"/>
          <w:sz w:val="16"/>
          <w:szCs w:val="16"/>
          <w:color w:val="auto"/>
        </w:rPr>
        <w:t>From time to time, the Company may participate in selected investment or strategic arrangements to expand its operations, customer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base or geographic reach, including arrangements that combine the Company’s skills and resources with those of others to allow for the performance of particular projects. The Company holds undivided interests, ranging from 85% to 90%, in multiple proportionately consolidated non-controlled contractual joint ventures that provide infrastructure construction services for electrical transmission projects. The Company also holds a 35% undivided interest in a proportionately consolidated non-controlled Canadian contractual 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2019, the Company was not aware of circumstances that would reasonably lead to material future claims against it in connection with these arrangements. Included in the Company’s cash balances as of March 31, 2019 and December 31, 2018 are amounts held by entities that are proportionately consolidated totaling $26.7 million and $11.8 million, respectively. These amounts are available to support the operations of those entities, but are not available for the Company’s other operations. Advances on project work associated with the Company’s proportionately consolidated contractual joint ventures, which are reflected within other current liabilities, totaled $3.4 million and $7.0 million as of March 31, 2019 and December 31, 2018.</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420"/>
          </w:cols>
          <w:pgMar w:left="240" w:top="635" w:right="239" w:bottom="1440" w:gutter="0" w:footer="0" w:header="0"/>
        </w:sectPr>
      </w:pPr>
    </w:p>
    <w:bookmarkStart w:id="20" w:name="page21"/>
    <w:bookmarkEnd w:id="20"/>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Company has other investment arrangements, under which it may incur costs or provide financing, performance, financial and/or other guarantees. See Note 4 - Fair Value of Financial Instruments and Note 15 - Related Party Transactions for additional details regarding the Company’s other investment arrangements.</w:t>
      </w:r>
    </w:p>
    <w:p>
      <w:pPr>
        <w:spacing w:after="0" w:line="5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As of March 31, 2019 and December 31, 2018, MasTec’s liability for unpaid claims and associated expenses, including incurred but not reported losses related to these policies, totaled $112.8 million and $108.9 million, respectively, of which $73.1 million and $70.8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$3.1 million and $2.9 million as of March 31, 2019 and December 31, 2018, respectively.</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$67.6 million as of both March 31, 2019 and December 31, 2018. Outstanding surety bonds related to self-insurance programs amounted to $34.8 million as of both March 31, 2019 and December 31, 2018. In addition, cash collateral deposited with insurance carriers, which is included within other long-term assets, amounted to $1.6 million for these policies as of both March 31, 2019 and December 31, 2018.</w:t>
      </w:r>
    </w:p>
    <w:p>
      <w:pPr>
        <w:spacing w:after="0" w:line="2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The Company has employment agreements with certain executives and other employees, which provide for compensation and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10 - Other Retirement Plans, certain of MasTec’s subsidiaries are party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multiemployer pension plans, subjects employers to substantial liabilities in the event of an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of March 31, 2019,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The amount the Company could be obligated to pay or contribute in the future cannot be estimated, as these amounts are based on future levels of work of the union employees covered by these plans, investment returns and the level of underfunding of such plans.</w:t>
      </w:r>
    </w:p>
    <w:p>
      <w:pPr>
        <w:spacing w:after="0" w:line="8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March 31, 2019 and December 31, 2018, the Company was not aware of any material asserted or unasserted claims in connection with these indemnity obligations.</w:t>
      </w:r>
    </w:p>
    <w:p>
      <w:pPr>
        <w:spacing w:after="0" w:line="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In the ordinary course of its business, from time to time, MasTec guarantees the obligations of its subsidiaries, including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for a one to two year period following substantial completion of a project. Much of the work performed by the Company is evaluated for defects shortly after the work is completed. Warranty claims are not, and have historically not been, material.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Concentrations of Risk. </w:t>
      </w:r>
      <w:r>
        <w:rPr>
          <w:rFonts w:ascii="Times New Roman" w:cs="Times New Roman" w:eastAsia="Times New Roman" w:hAnsi="Times New Roman"/>
          <w:sz w:val="16"/>
          <w:szCs w:val="16"/>
          <w:color w:val="auto"/>
        </w:rPr>
        <w:t>The Company had approximately 320 customers for the three month period ended March 31, 2019. As of March 31, 2019, three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accounted for approximately 23%, 15% and 12%, respectively, of the Company’s consolidated net accounts receivable position, which represents accounts receivable, net, less BIEC. As of December 31, 2018, three customers each accounted for approximately 26%, 18% and 12%, respectively, of the Company’s consolidated net accounts receivable position. In addition, the Company derived 62% and 74%, respectively, of its revenue from its top ten customers for the three month periods ended March 31, 2019 and 2018.</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from a number of different vendors on a non-exclusive basis, and from time to time, rents equipment to certain entities, including entities that are associated with members of subsidiary management. For the three month periods ended March 31, 2019 and 2018, related party lease payments to such entities for operational facilities and equipment totaled approximately $14.7 million and $7.5 million, respectively. Payables associated with these related party lease arrangements were de minimis as of March 31, 2019, and totaled approximately $1.5 million as of December 31, 2018. Additionally, payments to such related party entities for various types of supplies and services, including ancillary construction services, project-related site restoration and marketing and business development activities, totaled approximately $13.8 million and $9.0 million for the three month periods ended March 31, 2019 and 2018, respectively. As of March 31, 2019 and December 31, 2018, related amounts payable totaled approximately $3.7 million and $15.8 million, respectively. As of December 31, 2018, receivables from equipment rentals to such related parties totaled approximately $0.2 million, which amount was collected in the first quarter of 2019.</w:t>
      </w:r>
    </w:p>
    <w:p>
      <w:pPr>
        <w:spacing w:after="0" w:line="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an arrangement to perform certain construction services for two entities, of which a member of subsidiary management is a minority owner. Revenue from these arrangements totaled approximately $0.3 million and $2.7 million for the three month periods ended March 31, 2019 and 2018, respectively. Related amounts receivable, net of BIEC, totaled approximately $0.2 million and $0.1 million as of March 31, 2019 and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420"/>
          </w:cols>
          <w:pgMar w:left="240" w:top="639" w:right="2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6"/>
          <w:szCs w:val="16"/>
          <w:color w:val="auto"/>
        </w:rPr>
        <w:t>December 31, 2018, respectively. In February 2018, MasTec acquired a construction management firm specializing in steel building systems, of which Juan Carlos Mas, who is the brother of Jorge Mas, Chairman of MasTec’s Board of Directors, and José R. Mas, MasTec’s Chief Executive Officer, was a minority owner, for approximately $6.1 million in cash and an estimated earn-out liability of approximately $1.4 million, net, as adjusted. The net assets acquired included notes payable to the former owners totaling approximately $2.6 million and accrued interest of approximately $0.1 million, which amounts were subsequently repaid. Amounts outstanding for advances made by the Company on behalf of this entity totaled approximately $1.0 million as of both March 31, 2019 and December 31, 2018, which amount is expected to be settled under customary terms associated with the related purchase agreement.</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 rents and leases equipment and purchases equipment supplies and servicing from CCI, in which it has a 15% equity investment. Juan Carlos Mas serves as the chairman of CCI, and a member of management of a MasTec subsidiary is a minority owner. For the three month periods ended March 31, 2019 and 2018, MasTec paid CCI approximately $6.0 million and $5.9 million, net of rebates, respectively, related to these arrangements. Amounts payable to CCI, net of rebates receivable, totaled approximately $6.3 million and $4.9 million as of March 31, 2019 and December 31, 2018, respectively. The Company has also rented equipment to CCI. There was no revenue from equipment rentals to CCI in either of the three month periods ended March 31, 2019 or 2018. As of December 31, 2018, amounts receivable from equipment rentals to CCI totaled approximately $0.3 million, which amount was collected in the first quarter of 2019.</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2019 and 2018, MasTec incurred approximately $1.6 million and $5.0 million, respectively, of expenses under this subcontracting arrangement. As of March 31, 2019 and December 31, 2018, related amounts payable totaled approximately $1.6 million and $0.4 million, respectively.</w:t>
      </w:r>
    </w:p>
    <w:p>
      <w:pPr>
        <w:spacing w:after="0" w:line="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leases employees to a customer in which Jorge Mas and José R. Mas own a majority interest. For both the three month periods ended March 31, 2019 and 2018, MasTec charged approximately $0.2 million to this customer. As of both March 31, 2019 and December 31, 2018, outstanding receivables related to this employee leasing arrangement totaled approximately $0.3 million. The Company also provides satellite communication services to this customer. For the three month periods ended March 31, 2019 and 2018, revenue from satellite communication services provided to this customer totaled approximately $0.2 million and $0.3 million, respectively. As of both March 31, 2019 and December 31, 2018, amounts receivable from this arrangement totaled approximately $0.3 million.</w:t>
      </w:r>
    </w:p>
    <w:p>
      <w:pPr>
        <w:spacing w:after="0" w:line="7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MasTec has a leasing arrangement for an aircraft that is owned by an entity that Jorge Mas owns. For the three month periods ended March 31, 2019 and 2018, MasTec paid approximately $0.7 million and $0.5 million, respectively, related to this leasing arrangement. As of both March 31, 2019 and December 31, 2018, related amounts payable were de minimis.</w:t>
      </w:r>
    </w:p>
    <w:p>
      <w:pPr>
        <w:spacing w:after="0" w:line="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The Company’s Pacer subsidiary has a subcontracting arrangement with a contractual joint venture in which it holds a 35% undivided interest. Revenue recognized by the Company in connection with this arrangement totaled approximately $0.3 million for the three month period ended March 31, 2018, and as of December 31, 2018, related accounts receivable, net of BIEC, was de minimis. There was no activity for three month period ended March 31, 2019. Outstanding performance guarantees on behalf of this contractual joint venture, for which the related project was almost fully complete as of March 31, 2019, totaled Canadian $26.4 million as of both March 31, 2019 and December 31, 2018 (or approximately $19.8 million and $19.4 million, respectively). For three month period ended March 31, 2019, there was no project-related financing provided to this contractual joint venture, and for the three month period ended March 31, 2018, project-related financing totaled approximately $0.6 million.</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primarily in the Company’s Oil and Gas segment. The Company made distributions of earnings to holders of its non-controlling interests of $0.6 million in the first quarter of 2018, which related to amounts earned during 2017.</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Split Dollar Agreements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split dollar life insurance agreements with trusts of which Jorge Mas or José R. Mas is a trustee, for which there were no payments made in either of the three month periods ended March 31, 2019 or 2018. As of both March 31, 2019 and December 31, 2018, life insurance assets associated with these agreements totaled approximately $18.5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Supplemental Guarantor Condensed Unaudited Consolidating Financial Information</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The 4.875% Senior Notes are fully and unconditionally guaranteed on an unsecured, unsubordinated, joint and several basis by certain of the Company’s existing and future 100%-owned direct and indirect domestic subsidiaries that are, as of March 31, 2019,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420"/>
          </w:cols>
          <w:pgMar w:left="240" w:top="63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1,402.4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1,518.3</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1,200.7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1,312.0</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59.0</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72.6</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22.3</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in losses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expense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3.5</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55.1</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43.1</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43.1</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43.2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43.1</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37.5</w:t>
            </w: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1,265.6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1,396.8</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1,136.2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1,237.3</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49.9</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59.2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63.6</w:t>
            </w:r>
          </w:p>
        </w:tc>
      </w:tr>
      <w:tr>
        <w:trPr>
          <w:trHeight w:val="27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17.1</w:t>
            </w:r>
          </w:p>
        </w:tc>
      </w:tr>
      <w:tr>
        <w:trPr>
          <w:trHeight w:val="26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(Loss) 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37.6</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250"/>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26.5</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26.5</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26.5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29.8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26.6</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33.8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33.7</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420"/>
          </w:cols>
          <w:pgMar w:left="240" w:top="685"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As of March 31, 2019</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2,046.3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278.9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2,262.1</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756.6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799.5</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Operating lease assets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223.1</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1,251.5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1,333.7</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1,414.7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1,166.3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189.8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242.0</w:t>
            </w:r>
          </w:p>
        </w:tc>
      </w:tr>
      <w:tr>
        <w:trPr>
          <w:trHeight w:val="250"/>
        </w:trPr>
        <w:tc>
          <w:tcPr>
            <w:tcW w:w="5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1,431.6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5,461.1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1,402.7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(3,435.1)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4,860.4</w:t>
            </w:r>
          </w:p>
        </w:tc>
      </w:tr>
      <w:tr>
        <w:trPr>
          <w:trHeight w:val="268"/>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1,169.3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156.4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1,262.7</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Long-term debt, including finance leases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1,534.7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1,539.3</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153.9</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459.7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470.9</w:t>
            </w: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3,303.6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3,426.7</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1,431.6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2,157.5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1,216.6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(3,372.0)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1,433.7</w:t>
            </w: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1,431.6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5,461.1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1,402.7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(3,435.1)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4,860.4</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As of December 31, 2018</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1,993.0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2,169.0</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747.8</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1,188.0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1,269.7</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1,373.1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816.9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194.6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253.4</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4,440.0</w:t>
            </w:r>
          </w:p>
        </w:tc>
      </w:tr>
      <w:tr>
        <w:trPr>
          <w:trHeight w:val="26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1,185.9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1,283.6</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Long-term debt, including finance leases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1,319.4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1,324.2</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429.2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440.1</w:t>
            </w: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2,934.5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185.9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3,047.9</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2,126.1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1,204.4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(3,328.4)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1,392.0</w:t>
            </w:r>
          </w:p>
        </w:tc>
      </w:tr>
      <w:tr>
        <w:trPr>
          <w:trHeight w:val="250"/>
        </w:trPr>
        <w:tc>
          <w:tcPr>
            <w:tcW w:w="5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1,389.9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5,060.6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1,390.3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4,440.0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420"/>
          </w:cols>
          <w:pgMar w:left="240" w:top="68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2019</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r>
      <w:tr>
        <w:trPr>
          <w:trHeight w:val="26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8.7</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10.4</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862.7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866.4</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(670.8)</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Repayments of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151.5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173.8</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20.6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15.8</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15.6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27.4</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43.2</w:t>
            </w: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Guarantor</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20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2018</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MasTec, Inc.</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114.0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83.5</w:t>
            </w:r>
          </w:p>
        </w:tc>
      </w:tr>
      <w:tr>
        <w:trPr>
          <w:trHeight w:val="26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5.4</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810.6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816.9</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(747.1)</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Repayments of other borrowings,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 of finance lease obligations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(90.9)</w:t>
            </w:r>
          </w:p>
        </w:tc>
      </w:tr>
      <w:tr>
        <w:trPr>
          <w:trHeight w:val="274"/>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66"/>
        </w:trPr>
        <w:tc>
          <w:tcPr>
            <w:tcW w:w="5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Proceeds from stock-based awards,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0.9</w:t>
            </w:r>
          </w:p>
        </w:tc>
      </w:tr>
      <w:tr>
        <w:trPr>
          <w:trHeight w:val="27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financing activities and advances from (to)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36.0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w:t>
            </w:r>
          </w:p>
        </w:tc>
      </w:tr>
      <w:tr>
        <w:trPr>
          <w:trHeight w:val="25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0.7</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50"/>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40.3</w:t>
            </w:r>
          </w:p>
        </w:tc>
      </w:tr>
      <w:tr>
        <w:trPr>
          <w:trHeight w:val="250"/>
        </w:trPr>
        <w:tc>
          <w:tcPr>
            <w:tcW w:w="52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12.6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27.6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40.2</w:t>
            </w:r>
          </w:p>
        </w:tc>
      </w:tr>
    </w:tbl>
    <w:p>
      <w:pPr>
        <w:spacing w:after="0" w:line="200" w:lineRule="exact"/>
        <w:rPr>
          <w:sz w:val="20"/>
          <w:szCs w:val="20"/>
          <w:color w:val="auto"/>
        </w:rPr>
      </w:pPr>
    </w:p>
    <w:p>
      <w:pPr>
        <w:sectPr>
          <w:pgSz w:w="11900" w:h="16838" w:orient="portrait"/>
          <w:cols w:equalWidth="0" w:num="1">
            <w:col w:w="11420"/>
          </w:cols>
          <w:pgMar w:left="240" w:top="523"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420"/>
          </w:cols>
          <w:pgMar w:left="240" w:top="523"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These risks and uncertainties include those described in “Management’s Discussion and Analysis of Financial Condition and Results of Operations,” and elsewhere in this report and in our 2018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00" w:lineRule="exact"/>
        <w:rPr>
          <w:sz w:val="20"/>
          <w:szCs w:val="20"/>
          <w:color w:val="auto"/>
        </w:rPr>
      </w:pP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following is a discussion of our business, financial position and results of operations as of and for the three month periods ended March 31, 2019 and 2018. This discussion and analysis should be read in conjunction with the condensed unaudited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2018 Form 10-K. In this MD&amp;A, “$” means U.S. dollars unless specified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petroleum and natural gas pipeline infrastructure; electrical utility transmission and distribution; power generation, including renewables; heavy civil; and industrial infrastructure. Our customers are primarily in these industries. Including our predecessor companies, we have been in business for 90 years. As of March 31, 2019, we had approximately 19,500 employees, based on a twelve month average, and 400 locations, and offer our services primarily under the MasTec service mark. We have been consistently ranked among the top specialty contractors by Engineering News-Record for the past several years.</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and significant customer concentrations.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65% of our March 31, 2019 estimated backlog in 2019. The following table presents 18-month estimated backlog by reportable segment,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29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4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74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7,551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7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40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7" w:right="2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Approximately 45% of our backlog as of March 31, 2019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or cancellations, regulatory delays or other factors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and regulatory factors. There can be no assurance as to our customers’ requirements or the accuracy of our estimates. As a result, our backlog as of any particular date is an uncertain indicator of future revenue and earnings.</w:t>
      </w:r>
    </w:p>
    <w:p>
      <w:pPr>
        <w:spacing w:after="0" w:line="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Backlog is not a term recognized under U.S. GAAP; however, it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condensed unaudited consolidated financial statements, which is incorporated by reference. As of March 31, 2019, total 18-month backlog differed from the amount of our remaining performance obligations due primarily to the inclusion of $2.7 billion of estimates of future revenue under master service and other service agreements within our backlog estimates, as described above, and the exclusion of approximately $300 million of remaining performance obligations in excess of 18 months, which amount is not included in the backlog estimates above. Backlog expected to be realized in 2019 differed from the amount of remaining performance obligations expected to be recognized for the same period due primarily to the inclusion of approximately $900 million of estimates of future revenue under master service and other service agreements that is included within the related backlog estimate.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We closely monitor the effects of changes in economic and market conditions on our customers. General economic and market conditions can negatively affect demand for our customers’ products and services, which can affect our customers’ planned capital and maintenance budgets in certain end-markets. Market, regulatory and industry factors could affect demand for our services, including (i) changes to our customers’ capital spending plans; (ii) mergers and acquisitions among the customers we serve; (iii) new or changing regulatory requirements or other governmental policy changes or uncertainty; (iv) economic, market or political developments; (v) changes in technology, tax and other incentives; and (v) access to capital for customers in the industries we serve. Availability of transportation and transmission capacity and fluctuations in market prices for oil, gas and other fuel sources can also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weather, customer spending patterns, bidding seasons, project schedules, holidays and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 We base our estimates on historical experience and on various other assumptions that we believe to be reasonable under the circumstances, the results of which form the basis of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During the first quarter of 2019, we performed a quantitative assessment of the goodwill associated with a reporting unit in our Oil and Gas segment in conjunction with our quarterly review for indicators of impairment. Based on the results of this assessment, we determined that the estimated fair value of this reporting unit, which has goodwill with a carrying value of approximately $15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420"/>
          </w:cols>
          <w:pgMar w:left="240" w:top="639" w:right="239" w:bottom="144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6"/>
          <w:szCs w:val="16"/>
          <w:color w:val="auto"/>
        </w:rPr>
        <w:t>million, exceeded it carrying value by approximately 6% as of March 31, 2019. Significant changes in the assumptions or estimates used in management’s assessment, such as a reduction in profitability and/or cash flows, could result in non-cash goodwill charges in the future.</w:t>
      </w:r>
    </w:p>
    <w:p>
      <w:pPr>
        <w:spacing w:after="0" w:line="5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of variable consideration included in the contract transaction price; fair value estimates, including those related to acquisitions, valuations of goodwill, indefinite-lived intangible assets and acquisition-related contingent consideration;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 Refer to Note 1 - Business, Basis of Presentation and Significant Accounting Policies in the notes to the condensed unaudited consolidated financial statements, which is incorporated by reference, and to our 2018 Form 10-K for discussion of our significant accounting policies.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Comparison of Quarterly Results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70485</wp:posOffset>
            </wp:positionV>
            <wp:extent cx="4039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31"/>
        </w:trPr>
        <w:tc>
          <w:tcPr>
            <w:tcW w:w="5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gridSpan w:val="3"/>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w w:val="93"/>
              </w:rPr>
              <w:t>2018</w:t>
            </w:r>
          </w:p>
        </w:tc>
      </w:tr>
      <w:tr>
        <w:trPr>
          <w:trHeight w:val="33"/>
        </w:trPr>
        <w:tc>
          <w:tcPr>
            <w:tcW w:w="5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7"/>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88.6 %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7"/>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37"/>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1"/>
        </w:trPr>
        <w:tc>
          <w:tcPr>
            <w:tcW w:w="5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33"/>
        </w:trPr>
        <w:tc>
          <w:tcPr>
            <w:tcW w:w="5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7"/>
        </w:trPr>
        <w:tc>
          <w:tcPr>
            <w:tcW w:w="5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4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33"/>
        </w:trPr>
        <w:tc>
          <w:tcPr>
            <w:tcW w:w="5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7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80" w:type="dxa"/>
            <w:vAlign w:val="bottom"/>
            <w:gridSpan w:val="9"/>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7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60" w:type="dxa"/>
            <w:vAlign w:val="bottom"/>
          </w:tcPr>
          <w:p>
            <w:pPr>
              <w:spacing w:after="0"/>
              <w:rPr>
                <w:sz w:val="20"/>
                <w:szCs w:val="20"/>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Pr>
          <w:p>
            <w:pPr>
              <w:spacing w:after="0"/>
              <w:rPr>
                <w:sz w:val="20"/>
                <w:szCs w:val="20"/>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Oil and Gas</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Electrical Transmission</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r>
      <w:tr>
        <w:trPr>
          <w:trHeight w:val="217"/>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Consolidated Results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1,518.3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1,396.8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420"/>
          </w:cols>
          <w:pgMar w:left="240" w:top="639"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2019 Compared to Three Months Ended March 31, 2018</w:t>
      </w:r>
    </w:p>
    <w:p>
      <w:pPr>
        <w:spacing w:after="0" w:line="1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March 31, 2019, consolidated revenue totaled $1,518 million as compared with $1,397 million for the same period in 2018, 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of $122 million, or 9%. Revenue increases in our Oil and Gas segment of $85 million, or 16%, and in our Power Generation and Industrial segment of $72 million, or 61%, were partially offset by decreases in our Electrical Transmission segment of $19 million, or 17%, our Communications segment of $14 million, or 2% and our Other segment of $2 million. Acquisitions contributed $40 million in revenue for the three month period ended March 31, 2019, and organic revenue increased by approximately $82 million or 6% as compared with the same period in 2018.</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Communications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Communications revenue was $613 million for the three month period ended March 31, 2019, as compared with $627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2018, a decrease of $14 million, or 2%. Acquisitions contributed $1 million of revenue for the three month period ended March 31, 2019. The decrease in organic revenue of $15 million, or 2%, was primarily driven by a significant decrease in storm restoration services and in install-to-the-home revenue, partially offset by higher levels of wireless and wireline/fiber revenue as compared with the same period in the prior year.</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Oil and Gas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Oil and Gas revenue was $621 million for three month period ended March 31, 2019, as compared with $536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2018, an increase of $85 million, or 16%. Acquisitions contributed $36 million of revenue for the three month period ended March 31, 2019. The increase in organic revenue of $49 million, or 9%, was due primarily to increased demand for pipeline projects, including project activity and timing, partially offset by the effect of regulatory disruptions on selected long-haul pipeline construction activity.</w:t>
      </w:r>
    </w:p>
    <w:p>
      <w:pPr>
        <w:spacing w:after="0" w:line="7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Electrical Transmission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Electrical Transmission revenue was $95 million for the three month period ended March 31, 2019 as compared with $114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2018, a decrease of $19 million, or 17%, due primarily to lower levels of project activity and timing.</w:t>
      </w:r>
    </w:p>
    <w:p>
      <w:pPr>
        <w:spacing w:after="0" w:line="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Power Generation and Industrial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Power Generation and Industrial revenue was $189 million for the three month period ended March 31,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$118 million for the same period in 2018, an increase of $72 million, or 61%. Organic revenue increased by approximately $69 million, or 58%, as compared with the same period in 2018, and acquisitions contributed $3 million of revenue for the three month period ended March 31, 2019. The increase in organic revenue was driven by higher levels of renewable power project activity.</w:t>
      </w:r>
    </w:p>
    <w:p>
      <w:pPr>
        <w:spacing w:after="0" w:line="7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Other Segment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segment revenue decreased by $2 million for the three month period ended March 31, 2019 as compared with the same period in 2018 due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to a decrease in our international oil and gas operations.</w:t>
      </w:r>
    </w:p>
    <w:p>
      <w:pPr>
        <w:spacing w:after="0" w:line="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increased by $75 million, or 6%, from $1,237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three month period ended March 31, 2018 to $1,312 million for the same period in 2019. Higher levels of revenue contributed an increase of $108 million in costs of revenue, excluding depreciation and amortization, offset, in part, by a decrease of approximately $33 million from improved productivity. Costs of revenue, excluding depreciation and amortization, as a percentage of revenue decreased by approximately 220 basis points, from 88.6% of revenue for the three month period ended March 31, 2018 to 86.4% of revenue for the same period in 2019. The basis point decrease was primarily driven by improved project efficiencies, closeouts and mix in our Oil and Gas segment, offset, in part, by reduced project efficiencies and mix, including lower levels of storm restoration services and project inefficiencies and costs incurred to expand operating capacity to support expected future business growth, in our Communications and Power Generation and Industrial segments.</w:t>
      </w:r>
    </w:p>
    <w:p>
      <w:pPr>
        <w:spacing w:after="0" w:line="7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was $59 million, or 3.9% of revenue, for the three month period ended March 31, 2019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$50 million, or 3.6% of revenue, in 2018, an increase of $9 million, or 18%. Acquisitions contributed $3 million of depreciation and amortization for the three month period ended March 31, 2019. As a percentage of revenue, depreciation and amortization increased by approximately 30 basis points due to acquisition activity, as well as equipment purchases, including equipment acquired under finance leases, in support of growth in our businesses.</w:t>
      </w:r>
    </w:p>
    <w:p>
      <w:pPr>
        <w:spacing w:after="0" w:line="7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General and administrative expenses were $73 million, or 4.8% of revenue, for the three month period ended March 31,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$64 million, or 4.6% of revenue, for the same period in 2018, an increase of $9 million, or 14%. Acquisitions contributed $2 million of general and administrative expenses for the three month period ended March 31, 2019. Excluding the effects of acquisitions, administrative expenses increased by approximately $7 million as compared with the same period in the prior year, primarily due to increased administrative costs to support growth in our businesses as well as an increase in various other administrative costs, including incentive and compensation expense, offset by timing of legal matters and other settlements. Overall, general and administrative expenses as a percentage of revenue increased by approximately 20 basis points for the three month period ended March 31, 2019 as compared with the same period in 2018,</w:t>
      </w:r>
    </w:p>
    <w:p>
      <w:pPr>
        <w:spacing w:after="0" w:line="7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of interest income, was $22 million, or 1.5% of revenue, for the three month period ended March 31, 2019 as compared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$17 million, or 1.2% of revenue, in the same period in 2018. The increase in interest expense related primarily to credit facility activity as well as an increase in discount charges on financing arrangements for trade receivables. The increase in credit facility-related interest expense and discount charges resulted primarily from higher average interest rates.</w:t>
      </w:r>
    </w:p>
    <w:p>
      <w:pPr>
        <w:spacing w:after="0" w:line="2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Equity in earnings or losses of unconsolidated affiliates includes our share of income or losses from equity investees.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both the three month periods ended March 31, 2019 and 2018, equity in earnings from unconsolidated affiliates totaled approximately $6 million and related primarily to our investments in the Waha JVs.</w:t>
      </w:r>
    </w:p>
    <w:p>
      <w:pPr>
        <w:spacing w:after="0" w:line="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(income), net. </w:t>
      </w:r>
      <w:r>
        <w:rPr>
          <w:rFonts w:ascii="Times New Roman" w:cs="Times New Roman" w:eastAsia="Times New Roman" w:hAnsi="Times New Roman"/>
          <w:sz w:val="16"/>
          <w:szCs w:val="16"/>
          <w:color w:val="auto"/>
        </w:rPr>
        <w:t>Other expense (income), net, consists primarily of gains or losses from sales of, or changes in estimated recoveries from, assets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certain legal/other settlements and gains or losses from changes to estimated earn-out accruals. Other expense, net, was $4 million for the three month period ended March 31, 2019, as compared with other income, net of $3 million in the same period in 2018. For the three month period ended March 31, 2019, other expense, net, included approximately $7 million of expense from changes to estimated earn-out accruals, offset, in part, by $2 million of gains on sales of equipment, net. For the three month period ended March 31, 2018, other income, net, primarily related to gains on sales of equipment, net.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420"/>
          </w:cols>
          <w:pgMar w:left="240" w:top="583" w:right="239" w:bottom="1440" w:gutter="0" w:footer="0" w:header="0"/>
        </w:sectPr>
      </w:pPr>
    </w:p>
    <w:bookmarkStart w:id="29" w:name="page30"/>
    <w:bookmarkEnd w:id="29"/>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Income tax expense was $12 million for the three month period ended March 31, 2019 as compared with $11 million for the same period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prior year. In the first quarter of 2019, pre-tax income increased to $55 million as compared with $38 million for the same period in the prior year. Our effective tax rate decreased to 21.8% for the three month period ended March 31, 2019 from 29.6% for the same period in 2018, primarily as a result of excess tax benefits, net, from the vesting of share-based awards of approximately $2 million and reduced foreign earnings.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Communications Segment. </w:t>
      </w:r>
      <w:r>
        <w:rPr>
          <w:rFonts w:ascii="Times New Roman" w:cs="Times New Roman" w:eastAsia="Times New Roman" w:hAnsi="Times New Roman"/>
          <w:sz w:val="16"/>
          <w:szCs w:val="16"/>
          <w:color w:val="auto"/>
        </w:rPr>
        <w:t>EBITDA for our Communications segment was $45 million, or 7.4% of revenue, for the three month period ended March 31, 2019,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$82 million, or 13.1% of revenue, for the same period in 2018, a decrease of approximately $37 million, or 45%. Lower levels of revenue contributed a decrease in EBITDA of $2 million. As a percentage of revenue, EBITDA decreased by approximately 570 basis points, or $35 million, primarily due to mix, including from significantly lower levels of storm restoration services as well as project inefficiencies and costs incurred to expand operating capacity to support expected future business growth.</w:t>
      </w:r>
    </w:p>
    <w:p>
      <w:pPr>
        <w:spacing w:after="0" w:line="2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Gas Segment. </w:t>
      </w:r>
      <w:r>
        <w:rPr>
          <w:rFonts w:ascii="Times New Roman" w:cs="Times New Roman" w:eastAsia="Times New Roman" w:hAnsi="Times New Roman"/>
          <w:sz w:val="16"/>
          <w:szCs w:val="16"/>
          <w:color w:val="auto"/>
        </w:rPr>
        <w:t>EBITDA for our Oil and Gas segment was $107 million, or 17.3% of revenue, for the three month period ended March 31, 2019, as compared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$33 million, or 6.2% of revenue, for the same period in 2018, an increase of $74 million, or approximately 225%. Improved productivity contributed an increase in EBITDA of approximately $69 million, and higher levels of revenue contributed an increase in EBITDA of $5 million. EBITDA margins increased by approximately 1,110 basis points due primarily to improved project efficiencies, closeouts and mix.</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Electrical Transmission Segment. </w:t>
      </w:r>
      <w:r>
        <w:rPr>
          <w:rFonts w:ascii="Times New Roman" w:cs="Times New Roman" w:eastAsia="Times New Roman" w:hAnsi="Times New Roman"/>
          <w:sz w:val="16"/>
          <w:szCs w:val="16"/>
          <w:color w:val="auto"/>
        </w:rPr>
        <w:t>EBITDA for our Electrical Transmission segment was $4 million, or 4.0% of revenue, for the three month period ended March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2019, as compared with EBITDA of approximately $5 million, or 4.0% of revenue, for the same period in 2018, a decrease in EBITDA of approximately $1 million, or approximately 18%, due primarily to lower levels of revenue.</w:t>
      </w:r>
    </w:p>
    <w:p>
      <w:pPr>
        <w:spacing w:after="0" w:line="6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Power Generation and Industrial Segment. </w:t>
      </w:r>
      <w:r>
        <w:rPr>
          <w:rFonts w:ascii="Times New Roman" w:cs="Times New Roman" w:eastAsia="Times New Roman" w:hAnsi="Times New Roman"/>
          <w:sz w:val="16"/>
          <w:szCs w:val="16"/>
          <w:color w:val="auto"/>
        </w:rPr>
        <w:t>EBITDA for our Power Generation and Industrial segment was $3 million, or 1.7% of revenue, for the three 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March 31, 2019, as compared with EBITDA of $5 million, or 4.1% of revenue, for the same period in 2018, a decrease in EBITDA of $2 million, or approximately 33%. Higher levels of revenue contributed an increase in EBITDA of $3 million. As a percentage of revenue, segment EBITDA decreased by approximately 240 basis points, or $4 million, as compared with the same period in the prior year, due primarily to a combination of reduced project efficiencies and mix.</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Segment. </w:t>
      </w:r>
      <w:r>
        <w:rPr>
          <w:rFonts w:ascii="Times New Roman" w:cs="Times New Roman" w:eastAsia="Times New Roman" w:hAnsi="Times New Roman"/>
          <w:sz w:val="16"/>
          <w:szCs w:val="16"/>
          <w:color w:val="auto"/>
        </w:rPr>
        <w:t>EBITDA from Other businesses was generally flat at approximately $6 million for both the three month periods ended March 31, 2019 and 2018.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segment EBITDA for both the three month periods ended March 31, 2019 and 2018 related primarily to equity in earnings from unconsolidated affiliates related to our investments in the Waha JVs.</w:t>
      </w:r>
    </w:p>
    <w:p>
      <w:pPr>
        <w:spacing w:after="0" w:line="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w:t>
      </w:r>
      <w:r>
        <w:rPr>
          <w:rFonts w:ascii="Times New Roman" w:cs="Times New Roman" w:eastAsia="Times New Roman" w:hAnsi="Times New Roman"/>
          <w:sz w:val="16"/>
          <w:szCs w:val="16"/>
          <w:color w:val="auto"/>
        </w:rPr>
        <w:t>Corporate EBITDA was negative $30 million for the three month period ended March 31, 2019, as compared with EBITDA of negative $26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2018, for a decrease in EBITDA of approximately $4 million. Corporate EBITDA for the three month period ended March 31, 2019 included approximately $7 million of expense related to changes in estimated earn-out accruals. Excluding the effects of earn-outs, other corporate expenses for the three month period ended March 31, 2019 decreased by approximately $3 million as compared with the same period in the prior year, due primarily to the effect of timing of legal matters and other settlements, partially offset by an increase in various administrative costs, including incentive and compensation expense.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15"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Our foreign operations are primarily in Canada and, to a lesser extent, in Mexico. See Note 13 - Segments and Related Information in the notes to the condensed unaudited consolidated financial statements, which is incorporated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non-cash stock-based compensation expense and any related tax effects. These definitions of EBITDA and Adjusted EBITDA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Non-cash stock-based compensation expense can be subject to volatility from changes in the market price per share of our common stock or variations in the value and number of shares granted. Additionally, these adjusted measures provide a baseline for analyzing trends in our underlying business.</w:t>
      </w:r>
    </w:p>
    <w:p>
      <w:pPr>
        <w:spacing w:after="0" w:line="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420"/>
          </w:cols>
          <w:pgMar w:left="240" w:top="473" w:right="239" w:bottom="1440" w:gutter="0" w:footer="0" w:header="0"/>
        </w:sectPr>
      </w:pPr>
    </w:p>
    <w:bookmarkStart w:id="30" w:name="page31"/>
    <w:bookmarkEnd w:id="30"/>
    <w:p>
      <w:pPr>
        <w:ind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94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940" w:type="dxa"/>
            <w:vAlign w:val="bottom"/>
          </w:tcPr>
          <w:p>
            <w:pPr>
              <w:spacing w:after="0"/>
              <w:rPr>
                <w:sz w:val="20"/>
                <w:szCs w:val="20"/>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
        </w:trPr>
        <w:tc>
          <w:tcPr>
            <w:tcW w:w="512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568"/>
        </w:trPr>
        <w:tc>
          <w:tcPr>
            <w:tcW w:w="10480" w:type="dxa"/>
            <w:vAlign w:val="bottom"/>
            <w:gridSpan w:val="11"/>
          </w:tcPr>
          <w:p>
            <w:pPr>
              <w:ind w:left="660"/>
              <w:spacing w:after="0"/>
              <w:rPr>
                <w:sz w:val="20"/>
                <w:szCs w:val="20"/>
                <w:color w:val="auto"/>
              </w:rPr>
            </w:pPr>
            <w:r>
              <w:rPr>
                <w:rFonts w:ascii="Times New Roman" w:cs="Times New Roman" w:eastAsia="Times New Roman" w:hAnsi="Times New Roman"/>
                <w:sz w:val="16"/>
                <w:szCs w:val="16"/>
                <w:color w:val="auto"/>
              </w:rPr>
              <w:t>A reconciliation of EBITDA to Adjusted EBITDA and Adjusted EBITDA margin by reportable segment, for the periods indicated is as follows:</w:t>
            </w:r>
          </w:p>
        </w:tc>
        <w:tc>
          <w:tcPr>
            <w:tcW w:w="940" w:type="dxa"/>
            <w:vAlign w:val="bottom"/>
          </w:tcPr>
          <w:p>
            <w:pPr>
              <w:spacing w:after="0"/>
              <w:rPr>
                <w:sz w:val="24"/>
                <w:szCs w:val="24"/>
                <w:color w:val="auto"/>
              </w:rPr>
            </w:pPr>
          </w:p>
        </w:tc>
      </w:tr>
      <w:tr>
        <w:trPr>
          <w:trHeight w:val="365"/>
        </w:trPr>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940" w:type="dxa"/>
            <w:vAlign w:val="bottom"/>
          </w:tcPr>
          <w:p>
            <w:pPr>
              <w:spacing w:after="0"/>
              <w:rPr>
                <w:sz w:val="24"/>
                <w:szCs w:val="24"/>
                <w:color w:val="auto"/>
              </w:rPr>
            </w:pPr>
          </w:p>
        </w:tc>
      </w:tr>
      <w:tr>
        <w:trPr>
          <w:trHeight w:val="33"/>
        </w:trPr>
        <w:tc>
          <w:tcPr>
            <w:tcW w:w="5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940" w:type="dxa"/>
            <w:vAlign w:val="bottom"/>
          </w:tcPr>
          <w:p>
            <w:pPr>
              <w:spacing w:after="0"/>
              <w:rPr>
                <w:sz w:val="18"/>
                <w:szCs w:val="18"/>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1"/>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Reportable Segment:</w:t>
            </w: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Communications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and Gas</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Transmission</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Generation and Industrial</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r>
      <w:tr>
        <w:trPr>
          <w:trHeight w:val="237"/>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5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
        </w:trPr>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NM - Percentage is not meaningful</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Diluted Earnings</w:t>
            </w:r>
          </w:p>
        </w:tc>
        <w:tc>
          <w:tcPr>
            <w:tcW w:w="20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Diluted Earnings</w:t>
            </w:r>
          </w:p>
        </w:tc>
      </w:t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0.04</w:t>
            </w:r>
          </w:p>
        </w:tc>
      </w:tr>
      <w:tr>
        <w:trPr>
          <w:trHeight w:val="284"/>
        </w:trPr>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31" w:lineRule="exact"/>
        <w:rPr>
          <w:sz w:val="20"/>
          <w:szCs w:val="20"/>
          <w:color w:val="auto"/>
        </w:rPr>
      </w:pPr>
    </w:p>
    <w:p>
      <w:pPr>
        <w:jc w:val="both"/>
        <w:ind w:left="420" w:hanging="412"/>
        <w:spacing w:after="0" w:line="255" w:lineRule="auto"/>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non-cash stock-based compensation expense, including net tax benefits of $2.3 million from the vesting of share-based awards for the three month period ended March 31, 2019. For the three month period ended March 31, 2018, net tax benefits from the vesting of share-based awards were de minimis. Tax effects are determined based on the tax treatment of the related item, the incremental statutory tax rate of the jurisdictions pertaining to the adjustment, and their effect on pre-tax income. For the three month periods ended March 31, 2019 and 2018, our consolidated effective tax rates, as reported, were 22% and 30%, respectively, and as adjusted, were 26% and 29%,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and investments from time to time, and we may consider opportunities to borrow additional funds, or to repurchase, refinance or retire outstanding debt or</w:t>
      </w:r>
    </w:p>
    <w:p>
      <w:pPr>
        <w:sectPr>
          <w:pgSz w:w="11900" w:h="16838" w:orient="portrait"/>
          <w:cols w:equalWidth="0" w:num="1">
            <w:col w:w="11420"/>
          </w:cols>
          <w:pgMar w:left="240" w:top="639"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420"/>
          </w:cols>
          <w:pgMar w:left="240" w:top="639"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repurchase additional shares of our outstanding common stock in the future under share repurchase authorizations, any of which may require our use of cash.</w:t>
      </w:r>
    </w:p>
    <w:p>
      <w:pPr>
        <w:spacing w:after="0" w:line="1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March 31, 2019, we spent $34 million on capital expenditures, or $26 million, net of asset disposals,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incurred approximately $40 million of equipment purchases under finance leases. We estimate that we will spend approximately $110 million on capital expenditures, or approximately $85 million, net of asset disposals, in 2019, and expect to incur approximately $160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three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31, 2019, we used $94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obligations as of March 31, 2019 was approximately $141 million. Of this amount, $41 million represents the liability for earn-out obligations that have been earned. The remainder is management’s estimate of potential earn-out obligations that are contingent upon future performance. For both the three month periods ended March 31, 2019 and 2018, we made no payments related to earn-out obligations.</w:t>
      </w:r>
    </w:p>
    <w:p>
      <w:pPr>
        <w:spacing w:after="0" w:line="2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three month period ended March 31, 2019, tax payments, net of tax refunds were approximately $3 million. For the three 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31, 2018, tax refunds, net of tax payments, totaled approximately $29 million and resulted primarily from the utilization of certain tax credits, as well as the tax effect of an increase in tax depreciation under the tax provisions of the 2017 Tax Act. Our tax payments vary with changes in taxable income and earnings based on estimates of full year taxable income activity and estimated tax rates.</w:t>
      </w:r>
    </w:p>
    <w:p>
      <w:pPr>
        <w:spacing w:after="0" w:line="7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variations in our business, primarily due to the effect of weather conditions on external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March 31, 2019, we expect that substantially all of our CIEB will be billed to customers in the normal course of business within the next twelve months. Total accounts receivable, which consists of contract billings, CIEB and retainage, net of allowance, increased to $2.0 billion as of March 31, 2019 from $1.9 billion as of December 31, 2018 due primarily to an increase in our days sales outstanding, as discussed below.</w:t>
      </w:r>
    </w:p>
    <w:p>
      <w:pPr>
        <w:spacing w:after="0" w:line="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share repurchase activity and other liquidity needs for at least the next twelve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March 31, 2019, we had approximately $1 billion in working capital, defined as current assets less current liabilities, as compared with $885 million as of December 31, 2018, an increase of approximately $114 million. Cash and cash equivalents totaled approximately $43 million and $27 million as of March 31, 2019 and December 31, 2018, respectively.</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33"/>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33"/>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affected by working capital needs associated with the various types of services we provide. Working capital is affected by changes in accounts receivable, net, prepaid expenses and other current assets, accounts payable, accrued expenses and BIEC, all of which tend to be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420"/>
          </w:cols>
          <w:pgMar w:left="240" w:top="585" w:right="2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6"/>
          <w:szCs w:val="16"/>
          <w:color w:val="auto"/>
        </w:rPr>
        <w:t>related. These working capital items are affected by changes in revenue resulting from the timing and volume of work performed, variability in the timing of customer billings and collections of receivables, as well as settlement of payables and other obligations. Net cash used in operating activities for the three month period ended March 31, 2019 was $47 million, as compared with approximately $84 million of cash provided by operating activities for the same period in 2018. The decrease in cash flow from operations was primarily due to the effect of working capital-related changes in assets and liabilities, net.</w:t>
      </w:r>
    </w:p>
    <w:p>
      <w:pPr>
        <w:spacing w:after="0" w:line="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6"/>
          <w:szCs w:val="16"/>
          <w:color w:val="auto"/>
        </w:rPr>
        <w:t>Our days sales outstanding (“DSO”), net of BIEC, was 104 as of March 31, 2019 as compared with 81 as of December 31, 2018. The increase in DSO, net of BIEC, for the three month period ended March 31, 2019 was primarily related to ordinary course billing activity on certain pipeline construction projects in our Oil and Gas segment, for which substantial amounts have been subsequently collected. DSO, net of BIEC, is calculated as accounts receivable, net, less BIEC, divided by average daily revenue for the most recently completed quarter as of the balance sheet date. DSOs can fluctuate from period to period due to timing of collections and settlements, timing of project close-outs and retainage collections,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increased by $80 million to $111 million for the three month period ended March 31, 2019 from $31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 period ended March 31, 2018. For the three month period ended March 31, 2019 cash paid for acquisitions, net, totaled $94 million, as compared with $4 million for the same period in 2018, an increase of approximately $90 million. For the three month period ended March 31, 2019, we spent $34 million on capital expenditures, or $26 million, net of asset disposals, as compared with $23 million, or $17 million, net of asset disposals, for the same period in the prior year, an increase of $9 million, primarily to support growth in our businesses. For the three month period ended March 31, 2019, payments for other investments totaled $2 million, whereas for the three month period ended March 31, 2018, payments for other investments totaled $15 million and related primarily to our equity investment in the Waha JVs. For the three month period ended March 31, 2019, proceeds from other investments of $10 million related primarily to the sale of an equity investment in a telecommunications entity, whereas for the three month period ended March 31, 2018, proceeds from other investments of $5 million related primarily to recoveries from an investment that is in the final stages of liquidation and is being managed by a receiver.</w:t>
      </w:r>
    </w:p>
    <w:p>
      <w:pPr>
        <w:spacing w:after="0" w:line="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provided by financing activities for the three month period ended March 31, 2019 was $174 million, as compared with cash used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financing activities of $53 million for the three month period ended March 31, 2018, for an increase in cash provided by financing activities of $227 million. Credit facility related activity, net, for the three month period ended March 31, 2019, totaled $196 million of borrowings, net of repayments, as compared with $70 million for the three month period ended March 31, 2018, an increase of $126 million. For the three month period ended March 31, 2019, payments for repurchases of common stock totaled $6 million, and primarily related to settlement of December 2018 share repurchases. Share repurchases for the three month period ended March 31, 2018 totaled $98 million, of which approximately $8 million was settled in April 2018. As of March 31, 2019, we had approximately $129 million available for share repurchases under existing share repurchase authorizations.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Credit Facility</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a senior secured credit facility (the “Credit Facility”). Aggregate borrowing commitments under the Credit Facility total approximately $1.5 billion, composed of $1.1 billion of revolving commitments and a term loan totaling approximately $0.4 billion. Borrowings under the Credit Facility are used for working capital requirements, capital expenditures and other corporate purposes, including equity investments, potential acquisitions or other strategic arrangements, the repurchase or prepayment of indebtedness and share repurchases.</w:t>
      </w:r>
    </w:p>
    <w:p>
      <w:pPr>
        <w:spacing w:after="0" w:line="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 and Note 7 - Debt in the notes to the audited consolidated financial statements included in our 2018 Form 10-K.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4.875% Senior Notes</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have $400 million of 4.875% senior notes due March 15, 2023 (our “4.875% Senior Notes”) outstanding,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2018 Form 10-K. Also, see Note 16 - Supplemental Guarantor Condensed Unaudited Consolidating Financial Information in the notes to the condensed unaudited consolidated financial statements in this Form 10-Q, which is incorporated by reference.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March 31, 2019.</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2018 Form 10-K. Also see Note 7 - Debt in the notes to the condensed unaudited consolidated financial statements in this Form 10-Q for current period balances and discussion, which is incorporated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Times New Roman" w:cs="Times New Roman" w:eastAsia="Times New Roman" w:hAnsi="Times New Roman"/>
          <w:sz w:val="16"/>
          <w:szCs w:val="16"/>
          <w:color w:val="252525"/>
        </w:rPr>
        <w:t>with durations of less than twelve months</w:t>
      </w:r>
      <w:r>
        <w:rPr>
          <w:rFonts w:ascii="Times New Roman" w:cs="Times New Roman" w:eastAsia="Times New Roman" w:hAnsi="Times New Roman"/>
          <w:sz w:val="16"/>
          <w:szCs w:val="16"/>
          <w:color w:val="auto"/>
        </w:rPr>
        <w:t>, letter 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420"/>
          </w:cols>
          <w:pgMar w:left="240" w:top="639" w:right="239" w:bottom="1440" w:gutter="0" w:footer="0" w:header="0"/>
        </w:sectPr>
      </w:pPr>
    </w:p>
    <w:bookmarkStart w:id="33" w:name="page34"/>
    <w:bookmarkEnd w:id="33"/>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caused volatility in the oil and gas markets in recent years. We closely monitor inflationary factors and any impact they may have on our operating results or financial condition.</w:t>
      </w:r>
    </w:p>
    <w:p>
      <w:pPr>
        <w:spacing w:after="0" w:line="233" w:lineRule="exact"/>
        <w:rPr>
          <w:sz w:val="20"/>
          <w:szCs w:val="20"/>
          <w:color w:val="auto"/>
        </w:rPr>
      </w:pPr>
    </w:p>
    <w:p>
      <w:pPr>
        <w:ind w:right="4840"/>
        <w:spacing w:after="0" w:line="388"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As of March 31, 2019,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March 31, 2019, we had $660 million aggregate principal amount of outstanding revolving loans under our Credit Facility with a weighted average interest rate of 4.19% and a term loan with a balance of $372 million with an interest rate of 4.00%. A 100 basis point increase in the applicable interest rates under our credit facilities would have increased our interest expense by approximately $3 million for the three month period ended March 31, 2019.</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March 31, 2019, our fixed interest rate debt primarily included $400 million aggregate principal amount of 4.875% Senior Notes and $206 million of finance lease obligations, which accrued interest at a weighted average interest rate of approximately 4.3%. None of this debt subjects us to interest rate risk, but we may be subject to changes in interest rates if and when we refinance this debt at maturity or otherwise.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6"/>
          <w:szCs w:val="16"/>
          <w:color w:val="auto"/>
        </w:rPr>
        <w:t>Our foreign operations are primarily in Canada. Revenue generated from foreign operations represented 5% of our total revenue for the three month period ended March 31, 2019.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month period ended March 31, 2019. Translation gains or losses, which are recorded in other comprehensive income or loss, result from translation of the assets and liabilities of our foreign subsidiaries into U.S. dollars. For the three month period ended March 31, 2019, net foreign currency translation losses were de minimis.</w:t>
      </w:r>
    </w:p>
    <w:p>
      <w:pPr>
        <w:spacing w:after="0" w:line="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2019. We may enter into foreign currency derivative contracts in the future to manage such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4.</w:t>
        <w:tab/>
        <w:t>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2019.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Certain updates to our internal controls, processes and systems were implemented in connection with the adoption of ASU 2016-02. Notwithstanding, there have been no changes in the Company’s internal control over financial reporting during the quarter ended March 31, 2019 that have materially affected, or are reasonably likely to materially affect, the Company’s internal control over financial reporting.</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420"/>
          </w:cols>
          <w:pgMar w:left="240" w:top="639" w:right="239" w:bottom="1440" w:gutter="0" w:footer="0" w:header="0"/>
        </w:sectPr>
      </w:pPr>
    </w:p>
    <w:bookmarkStart w:id="34" w:name="page35"/>
    <w:bookmarkEnd w:id="34"/>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5"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2018 Form 10-K.</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There have been no material changes to either the cautionary statement regarding forward-looking statements or to any of the risk factors disclosed in our 2018 Form 10-K, as updated by our Quarterly Report on Form 10-Q and other filings we make with the SEC.</w:t>
      </w:r>
    </w:p>
    <w:p>
      <w:pPr>
        <w:spacing w:after="0" w:line="2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quarter ended March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restart"/>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Announced Program </w:t>
            </w:r>
            <w:r>
              <w:rPr>
                <w:rFonts w:ascii="Times New Roman" w:cs="Times New Roman" w:eastAsia="Times New Roman" w:hAnsi="Times New Roman"/>
                <w:sz w:val="21"/>
                <w:szCs w:val="21"/>
                <w:b w:val="1"/>
                <w:bCs w:val="1"/>
                <w:color w:val="auto"/>
                <w:w w:val="99"/>
                <w:vertAlign w:val="superscript"/>
              </w:rPr>
              <w:t>(c)</w:t>
            </w:r>
          </w:p>
        </w:tc>
        <w:tc>
          <w:tcPr>
            <w:tcW w:w="12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 (b)</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(d)</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through January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15,100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1 through February 28</w:t>
            </w: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43.46</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1 through March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128,846,586</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15,358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1" w:lineRule="exact"/>
        <w:rPr>
          <w:sz w:val="20"/>
          <w:szCs w:val="20"/>
          <w:color w:val="auto"/>
        </w:rPr>
      </w:pPr>
    </w:p>
    <w:p>
      <w:pPr>
        <w:ind w:left="420" w:hanging="412"/>
        <w:spacing w:after="0" w:line="261" w:lineRule="auto"/>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15,100 of repurchases under share repurchase programs and 258 of shares withheld for income tax purposes in connection with shares issued under compensation and benefit programs.</w:t>
      </w:r>
    </w:p>
    <w:p>
      <w:pPr>
        <w:spacing w:after="0" w:line="176"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described in (a) above with respect to share repurchases associated with compensation and benefit programs, all shares were acquired in open-market transactions.</w:t>
      </w:r>
    </w:p>
    <w:p>
      <w:pPr>
        <w:spacing w:after="0" w:line="28"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Purchased under our September 2018 $150 million share repurchase program, which was publicly announced on September 11, 2018.</w:t>
      </w:r>
    </w:p>
    <w:p>
      <w:pPr>
        <w:spacing w:after="0" w:line="28" w:lineRule="exact"/>
        <w:rPr>
          <w:rFonts w:ascii="Times New Roman" w:cs="Times New Roman" w:eastAsia="Times New Roman" w:hAnsi="Times New Roman"/>
          <w:sz w:val="14"/>
          <w:szCs w:val="14"/>
          <w:color w:val="auto"/>
        </w:rPr>
      </w:pPr>
    </w:p>
    <w:p>
      <w:pPr>
        <w:ind w:left="420" w:hanging="412"/>
        <w:spacing w:after="0" w:line="282" w:lineRule="auto"/>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2019, includes $28.8 million available for repurchase under our September 2018 share repurchase program and $100.0 million available under our December 2018 share repurchase program, which was publicly announced on December 21, 2018.</w:t>
      </w: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223"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420"/>
          </w:cols>
          <w:pgMar w:left="240" w:top="799" w:right="239" w:bottom="1440" w:gutter="0" w:footer="0" w:header="0"/>
        </w:sectPr>
      </w:pPr>
    </w:p>
    <w:bookmarkStart w:id="35" w:name="page36"/>
    <w:bookmarkEnd w:id="35"/>
    <w:p>
      <w:pPr>
        <w:jc w:val="center"/>
        <w:ind w:left="3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MASTEC, INC.</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Date: May 2, 2019</w:t>
      </w:r>
    </w:p>
    <w:p>
      <w:pPr>
        <w:spacing w:after="0" w:line="8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38735</wp:posOffset>
            </wp:positionV>
            <wp:extent cx="2452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38735</wp:posOffset>
            </wp:positionV>
            <wp:extent cx="24523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420"/>
          </w:cols>
          <w:pgMar w:left="240" w:top="71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w w:val="99"/>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Certifications required by Section 302(a) of the Sarbanes-Oxley Act of 2002</w:t>
              </w:r>
            </w:hyperlink>
          </w:p>
        </w:tc>
      </w:tr>
      <w:tr>
        <w:trPr>
          <w:trHeight w:val="250"/>
        </w:trPr>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Certifications required by Section 906 of the Sarbanes-Oxley Act of 2002</w:t>
              </w:r>
            </w:hyperlink>
          </w:p>
        </w:tc>
        <w:tc>
          <w:tcPr>
            <w:tcW w:w="16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w:anchor="page41">
              <w:r>
                <w:rPr>
                  <w:rFonts w:ascii="Times New Roman" w:cs="Times New Roman" w:eastAsia="Times New Roman" w:hAnsi="Times New Roman"/>
                  <w:sz w:val="16"/>
                  <w:szCs w:val="16"/>
                  <w:color w:val="0000FF"/>
                </w:rPr>
                <w:t>Certifications required by Section 906 of the Sarbanes-Oxley Act of 2002</w:t>
              </w:r>
            </w:hyperlink>
          </w:p>
        </w:tc>
        <w:tc>
          <w:tcPr>
            <w:tcW w:w="180" w:type="dxa"/>
            <w:vAlign w:val="bottom"/>
            <w:gridSpan w:val="2"/>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4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4"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219"/>
          </w:cols>
          <w:pgMar w:left="240" w:top="523"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19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980" w:hanging="486"/>
        <w:spacing w:after="0" w:line="263"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1" w:lineRule="exact"/>
        <w:rPr>
          <w:rFonts w:ascii="Times New Roman" w:cs="Times New Roman" w:eastAsia="Times New Roman" w:hAnsi="Times New Roman"/>
          <w:sz w:val="16"/>
          <w:szCs w:val="16"/>
          <w:color w:val="auto"/>
        </w:rPr>
      </w:pPr>
    </w:p>
    <w:p>
      <w:pPr>
        <w:jc w:val="both"/>
        <w:ind w:left="980" w:hanging="486"/>
        <w:spacing w:after="0" w:line="263"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ind w:left="980" w:right="20" w:hanging="486"/>
        <w:spacing w:after="0" w:line="281"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auto"/>
        </w:rPr>
        <w:t>Date:</w:t>
        <w:tab/>
        <w:t>May 2, 2019</w:t>
      </w: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38735</wp:posOffset>
            </wp:positionV>
            <wp:extent cx="2718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José R. Mas</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420"/>
          </w:cols>
          <w:pgMar w:left="240" w:top="58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19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980" w:hanging="486"/>
        <w:spacing w:after="0" w:line="263"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1" w:lineRule="exact"/>
        <w:rPr>
          <w:rFonts w:ascii="Times New Roman" w:cs="Times New Roman" w:eastAsia="Times New Roman" w:hAnsi="Times New Roman"/>
          <w:sz w:val="16"/>
          <w:szCs w:val="16"/>
          <w:color w:val="auto"/>
        </w:rPr>
      </w:pPr>
    </w:p>
    <w:p>
      <w:pPr>
        <w:jc w:val="both"/>
        <w:ind w:left="980" w:hanging="486"/>
        <w:spacing w:after="0" w:line="263"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ind w:left="980" w:right="20" w:hanging="486"/>
        <w:spacing w:after="0" w:line="281"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980" w:hanging="486"/>
        <w:spacing w:after="0" w:line="281"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auto"/>
        </w:rPr>
        <w:t>Date:</w:t>
        <w:tab/>
        <w:t>May 2, 2019</w:t>
      </w: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38735</wp:posOffset>
            </wp:positionV>
            <wp:extent cx="2718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George L. Pita</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420"/>
          </w:cols>
          <w:pgMar w:left="240" w:top="58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March 31, 2019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1"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auto"/>
        </w:rPr>
        <w:t>Date:</w:t>
        <w:tab/>
        <w:t>May 2, 2019</w:t>
      </w: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38735</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José R. Mas</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March 31, 2019, or as a separate disclosure document of the Company or the certifying officers.</w:t>
      </w:r>
    </w:p>
    <w:p>
      <w:pPr>
        <w:sectPr>
          <w:pgSz w:w="11900" w:h="16838" w:orient="portrait"/>
          <w:cols w:equalWidth="0" w:num="1">
            <w:col w:w="11420"/>
          </w:cols>
          <w:pgMar w:left="240" w:top="583"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March 31, 2019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1"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980" w:hanging="486"/>
        <w:spacing w:after="0"/>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6"/>
          <w:szCs w:val="16"/>
          <w:color w:val="auto"/>
        </w:rPr>
        <w:t>Date:</w:t>
        <w:tab/>
        <w:t>May 2, 2019</w:t>
      </w:r>
    </w:p>
    <w:p>
      <w:pPr>
        <w:spacing w:after="0" w:line="200" w:lineRule="exact"/>
        <w:rPr>
          <w:sz w:val="20"/>
          <w:szCs w:val="20"/>
          <w:color w:val="auto"/>
        </w:rPr>
      </w:pPr>
    </w:p>
    <w:p>
      <w:pPr>
        <w:spacing w:after="0" w:line="2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38735</wp:posOffset>
            </wp:positionV>
            <wp:extent cx="2718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George L. Pita</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March 31, 2019, or as a separate disclosure document of the Company or the certifying officers.</w:t>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Roman"/>
      <w:start w:val="2"/>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2019-12-28T13:18:06Z</dcterms:created>
  <dcterms:modified xsi:type="dcterms:W3CDTF">2019-12-28T13:18:06Z</dcterms:modified>
</cp:coreProperties>
</file>