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right="20" w:firstLine="8"/>
        <w:spacing w:after="0" w:line="269" w:lineRule="auto"/>
        <w:tabs>
          <w:tab w:leader="none" w:pos="373" w:val="left"/>
        </w:tabs>
        <w:numPr>
          <w:ilvl w:val="0"/>
          <w:numId w:val="1"/>
        </w:numPr>
        <w:rPr>
          <w:rFonts w:ascii="MS PGothic" w:cs="MS PGothic" w:eastAsia="MS PGothic" w:hAnsi="MS PGothic"/>
          <w:sz w:val="16"/>
          <w:szCs w:val="16"/>
          <w:color w:val="auto"/>
        </w:rPr>
      </w:pPr>
      <w:r>
        <w:rPr>
          <w:rFonts w:ascii="Arial" w:cs="Arial" w:eastAsia="Arial" w:hAnsi="Arial"/>
          <w:sz w:val="24"/>
          <w:szCs w:val="24"/>
          <w:b w:val="1"/>
          <w:bCs w:val="1"/>
          <w:color w:val="auto"/>
        </w:rPr>
        <w:t>QUARTERLY REPORT 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September 30, 2022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ind w:firstLine="8"/>
        <w:spacing w:after="0" w:line="254" w:lineRule="auto"/>
        <w:tabs>
          <w:tab w:leader="none" w:pos="351" w:val="left"/>
        </w:tabs>
        <w:numPr>
          <w:ilvl w:val="0"/>
          <w:numId w:val="2"/>
        </w:numPr>
        <w:rPr>
          <w:rFonts w:ascii="MS PGothic" w:cs="MS PGothic" w:eastAsia="MS PGothic" w:hAnsi="MS PGothic"/>
          <w:sz w:val="16"/>
          <w:szCs w:val="16"/>
          <w:color w:val="auto"/>
        </w:rPr>
      </w:pPr>
      <w:r>
        <w:rPr>
          <w:rFonts w:ascii="Arial" w:cs="Arial" w:eastAsia="Arial" w:hAnsi="Arial"/>
          <w:sz w:val="24"/>
          <w:szCs w:val="24"/>
          <w:b w:val="1"/>
          <w:bCs w:val="1"/>
          <w:color w:val="auto"/>
        </w:rPr>
        <w:t>TRANSITION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transition period from __ to __</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001-08106</w:t>
      </w:r>
    </w:p>
    <w:p>
      <w:pPr>
        <w:spacing w:after="0" w:line="22"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43180</wp:posOffset>
            </wp:positionV>
            <wp:extent cx="97726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265" cy="18859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MasTec,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122" w:lineRule="exact"/>
        <w:rPr>
          <w:sz w:val="24"/>
          <w:szCs w:val="24"/>
          <w:color w:val="auto"/>
        </w:rPr>
      </w:pPr>
    </w:p>
    <w:tbl>
      <w:tblPr>
        <w:tblLayout w:type="fixed"/>
        <w:tblInd w:w="1140" w:type="dxa"/>
        <w:tblCellMar>
          <w:top w:w="0" w:type="dxa"/>
          <w:left w:w="0" w:type="dxa"/>
          <w:bottom w:w="0" w:type="dxa"/>
          <w:right w:w="0" w:type="dxa"/>
        </w:tblCellMar>
      </w:tblPr>
      <w:tr>
        <w:trPr>
          <w:trHeight w:val="210"/>
        </w:trPr>
        <w:tc>
          <w:tcPr>
            <w:tcW w:w="6180" w:type="dxa"/>
            <w:vAlign w:val="bottom"/>
          </w:tcPr>
          <w:p>
            <w:pPr>
              <w:jc w:val="center"/>
              <w:ind w:right="2744"/>
              <w:spacing w:after="0"/>
              <w:rPr>
                <w:sz w:val="20"/>
                <w:szCs w:val="20"/>
                <w:color w:val="auto"/>
              </w:rPr>
            </w:pPr>
            <w:r>
              <w:rPr>
                <w:rFonts w:ascii="Arial" w:cs="Arial" w:eastAsia="Arial" w:hAnsi="Arial"/>
                <w:sz w:val="16"/>
                <w:szCs w:val="16"/>
                <w:b w:val="1"/>
                <w:bCs w:val="1"/>
                <w:color w:val="auto"/>
                <w:w w:val="97"/>
              </w:rPr>
              <w:t>Florida</w:t>
            </w:r>
          </w:p>
        </w:tc>
        <w:tc>
          <w:tcPr>
            <w:tcW w:w="2120" w:type="dxa"/>
            <w:vAlign w:val="bottom"/>
          </w:tcPr>
          <w:p>
            <w:pPr>
              <w:jc w:val="right"/>
              <w:ind w:right="546"/>
              <w:spacing w:after="0"/>
              <w:rPr>
                <w:sz w:val="20"/>
                <w:szCs w:val="20"/>
                <w:color w:val="auto"/>
              </w:rPr>
            </w:pPr>
            <w:r>
              <w:rPr>
                <w:rFonts w:ascii="Arial" w:cs="Arial" w:eastAsia="Arial" w:hAnsi="Arial"/>
                <w:sz w:val="16"/>
                <w:szCs w:val="16"/>
                <w:b w:val="1"/>
                <w:bCs w:val="1"/>
                <w:color w:val="auto"/>
              </w:rPr>
              <w:t>65-0829355</w:t>
            </w:r>
          </w:p>
        </w:tc>
      </w:tr>
      <w:tr>
        <w:trPr>
          <w:trHeight w:val="181"/>
        </w:trPr>
        <w:tc>
          <w:tcPr>
            <w:tcW w:w="6180" w:type="dxa"/>
            <w:vAlign w:val="bottom"/>
          </w:tcPr>
          <w:p>
            <w:pPr>
              <w:jc w:val="center"/>
              <w:ind w:right="2744"/>
              <w:spacing w:after="0"/>
              <w:rPr>
                <w:sz w:val="20"/>
                <w:szCs w:val="20"/>
                <w:color w:val="auto"/>
              </w:rPr>
            </w:pPr>
            <w:r>
              <w:rPr>
                <w:rFonts w:ascii="Arial" w:cs="Arial" w:eastAsia="Arial" w:hAnsi="Arial"/>
                <w:sz w:val="13"/>
                <w:szCs w:val="13"/>
                <w:b w:val="1"/>
                <w:bCs w:val="1"/>
                <w:i w:val="1"/>
                <w:iCs w:val="1"/>
                <w:color w:val="auto"/>
                <w:w w:val="91"/>
              </w:rPr>
              <w:t>(State or other jurisdiction of incorporation or organization)</w:t>
            </w:r>
          </w:p>
        </w:tc>
        <w:tc>
          <w:tcPr>
            <w:tcW w:w="2120" w:type="dxa"/>
            <w:vAlign w:val="bottom"/>
          </w:tcPr>
          <w:p>
            <w:pPr>
              <w:jc w:val="center"/>
              <w:ind w:left="26"/>
              <w:spacing w:after="0"/>
              <w:rPr>
                <w:sz w:val="20"/>
                <w:szCs w:val="20"/>
                <w:color w:val="auto"/>
              </w:rPr>
            </w:pPr>
            <w:r>
              <w:rPr>
                <w:rFonts w:ascii="Arial" w:cs="Arial" w:eastAsia="Arial" w:hAnsi="Arial"/>
                <w:sz w:val="13"/>
                <w:szCs w:val="13"/>
                <w:b w:val="1"/>
                <w:bCs w:val="1"/>
                <w:i w:val="1"/>
                <w:iCs w:val="1"/>
                <w:color w:val="auto"/>
                <w:w w:val="94"/>
              </w:rPr>
              <w:t>(I.R.S. Employer Identification No.)</w:t>
            </w:r>
          </w:p>
        </w:tc>
      </w:tr>
      <w:tr>
        <w:trPr>
          <w:trHeight w:val="373"/>
        </w:trPr>
        <w:tc>
          <w:tcPr>
            <w:tcW w:w="6180" w:type="dxa"/>
            <w:vAlign w:val="bottom"/>
          </w:tcPr>
          <w:p>
            <w:pPr>
              <w:jc w:val="center"/>
              <w:ind w:right="2764"/>
              <w:spacing w:after="0"/>
              <w:rPr>
                <w:sz w:val="20"/>
                <w:szCs w:val="20"/>
                <w:color w:val="auto"/>
              </w:rPr>
            </w:pPr>
            <w:r>
              <w:rPr>
                <w:rFonts w:ascii="Arial" w:cs="Arial" w:eastAsia="Arial" w:hAnsi="Arial"/>
                <w:sz w:val="16"/>
                <w:szCs w:val="16"/>
                <w:b w:val="1"/>
                <w:bCs w:val="1"/>
                <w:color w:val="auto"/>
                <w:w w:val="90"/>
              </w:rPr>
              <w:t>800 S. Douglas Road, 12th Floor</w:t>
            </w:r>
          </w:p>
        </w:tc>
        <w:tc>
          <w:tcPr>
            <w:tcW w:w="2120" w:type="dxa"/>
            <w:vAlign w:val="bottom"/>
          </w:tcPr>
          <w:p>
            <w:pPr>
              <w:spacing w:after="0"/>
              <w:rPr>
                <w:sz w:val="24"/>
                <w:szCs w:val="24"/>
                <w:color w:val="auto"/>
              </w:rPr>
            </w:pPr>
          </w:p>
        </w:tc>
      </w:tr>
      <w:tr>
        <w:trPr>
          <w:trHeight w:val="216"/>
        </w:trPr>
        <w:tc>
          <w:tcPr>
            <w:tcW w:w="6180" w:type="dxa"/>
            <w:vAlign w:val="bottom"/>
          </w:tcPr>
          <w:p>
            <w:pPr>
              <w:ind w:left="760"/>
              <w:spacing w:after="0"/>
              <w:rPr>
                <w:sz w:val="20"/>
                <w:szCs w:val="20"/>
                <w:color w:val="auto"/>
              </w:rPr>
            </w:pPr>
            <w:r>
              <w:rPr>
                <w:rFonts w:ascii="Arial" w:cs="Arial" w:eastAsia="Arial" w:hAnsi="Arial"/>
                <w:sz w:val="16"/>
                <w:szCs w:val="16"/>
                <w:b w:val="1"/>
                <w:bCs w:val="1"/>
                <w:color w:val="auto"/>
              </w:rPr>
              <w:t>Coral Gables, Florida</w:t>
            </w:r>
          </w:p>
        </w:tc>
        <w:tc>
          <w:tcPr>
            <w:tcW w:w="2120" w:type="dxa"/>
            <w:vAlign w:val="bottom"/>
          </w:tcPr>
          <w:p>
            <w:pPr>
              <w:jc w:val="right"/>
              <w:ind w:right="726"/>
              <w:spacing w:after="0"/>
              <w:rPr>
                <w:sz w:val="20"/>
                <w:szCs w:val="20"/>
                <w:color w:val="auto"/>
              </w:rPr>
            </w:pPr>
            <w:r>
              <w:rPr>
                <w:rFonts w:ascii="Arial" w:cs="Arial" w:eastAsia="Arial" w:hAnsi="Arial"/>
                <w:sz w:val="16"/>
                <w:szCs w:val="16"/>
                <w:b w:val="1"/>
                <w:bCs w:val="1"/>
                <w:color w:val="auto"/>
              </w:rPr>
              <w:t>33134</w:t>
            </w:r>
          </w:p>
        </w:tc>
      </w:tr>
      <w:tr>
        <w:trPr>
          <w:trHeight w:val="181"/>
        </w:trPr>
        <w:tc>
          <w:tcPr>
            <w:tcW w:w="6180" w:type="dxa"/>
            <w:vAlign w:val="bottom"/>
          </w:tcPr>
          <w:p>
            <w:pPr>
              <w:jc w:val="center"/>
              <w:ind w:right="2744"/>
              <w:spacing w:after="0"/>
              <w:rPr>
                <w:sz w:val="20"/>
                <w:szCs w:val="20"/>
                <w:color w:val="auto"/>
              </w:rPr>
            </w:pPr>
            <w:r>
              <w:rPr>
                <w:rFonts w:ascii="Arial" w:cs="Arial" w:eastAsia="Arial" w:hAnsi="Arial"/>
                <w:sz w:val="13"/>
                <w:szCs w:val="13"/>
                <w:b w:val="1"/>
                <w:bCs w:val="1"/>
                <w:i w:val="1"/>
                <w:iCs w:val="1"/>
                <w:color w:val="auto"/>
                <w:w w:val="88"/>
              </w:rPr>
              <w:t>(Address of principal executive offices)</w:t>
            </w:r>
          </w:p>
        </w:tc>
        <w:tc>
          <w:tcPr>
            <w:tcW w:w="2120" w:type="dxa"/>
            <w:vAlign w:val="bottom"/>
          </w:tcPr>
          <w:p>
            <w:pPr>
              <w:jc w:val="center"/>
              <w:ind w:left="46"/>
              <w:spacing w:after="0"/>
              <w:rPr>
                <w:sz w:val="20"/>
                <w:szCs w:val="20"/>
                <w:color w:val="auto"/>
              </w:rPr>
            </w:pPr>
            <w:r>
              <w:rPr>
                <w:rFonts w:ascii="Arial" w:cs="Arial" w:eastAsia="Arial" w:hAnsi="Arial"/>
                <w:sz w:val="13"/>
                <w:szCs w:val="13"/>
                <w:b w:val="1"/>
                <w:bCs w:val="1"/>
                <w:i w:val="1"/>
                <w:iCs w:val="1"/>
                <w:color w:val="auto"/>
                <w:w w:val="93"/>
              </w:rPr>
              <w:t>(Zip Code)</w:t>
            </w:r>
          </w:p>
        </w:tc>
      </w:tr>
      <w:tr>
        <w:trPr>
          <w:trHeight w:val="279"/>
        </w:trPr>
        <w:tc>
          <w:tcPr>
            <w:tcW w:w="6180" w:type="dxa"/>
            <w:vAlign w:val="bottom"/>
          </w:tcPr>
          <w:p>
            <w:pPr>
              <w:jc w:val="right"/>
              <w:ind w:right="1104"/>
              <w:spacing w:after="0"/>
              <w:rPr>
                <w:sz w:val="20"/>
                <w:szCs w:val="20"/>
                <w:color w:val="auto"/>
              </w:rPr>
            </w:pPr>
            <w:r>
              <w:rPr>
                <w:rFonts w:ascii="Arial" w:cs="Arial" w:eastAsia="Arial" w:hAnsi="Arial"/>
                <w:sz w:val="16"/>
                <w:szCs w:val="16"/>
                <w:b w:val="1"/>
                <w:bCs w:val="1"/>
                <w:color w:val="auto"/>
              </w:rPr>
              <w:t>(305) 599-1800</w:t>
            </w:r>
          </w:p>
        </w:tc>
        <w:tc>
          <w:tcPr>
            <w:tcW w:w="2120" w:type="dxa"/>
            <w:vAlign w:val="bottom"/>
          </w:tcPr>
          <w:p>
            <w:pPr>
              <w:spacing w:after="0"/>
              <w:rPr>
                <w:sz w:val="24"/>
                <w:szCs w:val="24"/>
                <w:color w:val="auto"/>
              </w:rPr>
            </w:pPr>
          </w:p>
        </w:tc>
      </w:tr>
      <w:tr>
        <w:trPr>
          <w:trHeight w:val="182"/>
        </w:trPr>
        <w:tc>
          <w:tcPr>
            <w:tcW w:w="6180" w:type="dxa"/>
            <w:vAlign w:val="bottom"/>
          </w:tcPr>
          <w:p>
            <w:pPr>
              <w:jc w:val="center"/>
              <w:ind w:left="2704"/>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2120" w:type="dxa"/>
            <w:vAlign w:val="bottom"/>
          </w:tcPr>
          <w:p>
            <w:pPr>
              <w:spacing w:after="0"/>
              <w:rPr>
                <w:sz w:val="15"/>
                <w:szCs w:val="15"/>
                <w:color w:val="auto"/>
              </w:rPr>
            </w:pPr>
          </w:p>
        </w:tc>
      </w:tr>
    </w:tbl>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9" w:lineRule="exact"/>
        <w:rPr>
          <w:sz w:val="24"/>
          <w:szCs w:val="24"/>
          <w:color w:val="auto"/>
        </w:rPr>
      </w:pPr>
    </w:p>
    <w:tbl>
      <w:tblPr>
        <w:tblLayout w:type="fixed"/>
        <w:tblInd w:w="1420" w:type="dxa"/>
        <w:tblCellMar>
          <w:top w:w="0" w:type="dxa"/>
          <w:left w:w="0" w:type="dxa"/>
          <w:bottom w:w="0" w:type="dxa"/>
          <w:right w:w="0" w:type="dxa"/>
        </w:tblCellMar>
      </w:tblPr>
      <w:tr>
        <w:trPr>
          <w:trHeight w:val="149"/>
        </w:trPr>
        <w:tc>
          <w:tcPr>
            <w:tcW w:w="620" w:type="dxa"/>
            <w:vAlign w:val="bottom"/>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Title of each class</w:t>
            </w:r>
          </w:p>
        </w:tc>
        <w:tc>
          <w:tcPr>
            <w:tcW w:w="202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Trading symbol(s)</w:t>
            </w:r>
          </w:p>
        </w:tc>
        <w:tc>
          <w:tcPr>
            <w:tcW w:w="1300" w:type="dxa"/>
            <w:vAlign w:val="bottom"/>
          </w:tcPr>
          <w:p>
            <w:pPr>
              <w:spacing w:after="0"/>
              <w:rPr>
                <w:sz w:val="12"/>
                <w:szCs w:val="12"/>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Name of each exchange on which registered</w:t>
            </w:r>
          </w:p>
        </w:tc>
      </w:tr>
      <w:tr>
        <w:trPr>
          <w:trHeight w:val="230"/>
        </w:trPr>
        <w:tc>
          <w:tcPr>
            <w:tcW w:w="3660" w:type="dxa"/>
            <w:vAlign w:val="bottom"/>
            <w:gridSpan w:val="3"/>
          </w:tcPr>
          <w:p>
            <w:pPr>
              <w:jc w:val="center"/>
              <w:ind w:right="1420"/>
              <w:spacing w:after="0"/>
              <w:rPr>
                <w:sz w:val="20"/>
                <w:szCs w:val="20"/>
                <w:color w:val="auto"/>
              </w:rPr>
            </w:pPr>
            <w:r>
              <w:rPr>
                <w:rFonts w:ascii="Arial" w:cs="Arial" w:eastAsia="Arial" w:hAnsi="Arial"/>
                <w:sz w:val="16"/>
                <w:szCs w:val="16"/>
                <w:b w:val="1"/>
                <w:bCs w:val="1"/>
                <w:color w:val="auto"/>
                <w:w w:val="91"/>
              </w:rPr>
              <w:t>Common Stock, $0.10 Par Value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MTZ</w:t>
            </w:r>
          </w:p>
        </w:tc>
        <w:tc>
          <w:tcPr>
            <w:tcW w:w="13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388" w:lineRule="exact"/>
        <w:rPr>
          <w:sz w:val="24"/>
          <w:szCs w:val="24"/>
          <w:color w:val="auto"/>
        </w:rPr>
      </w:pPr>
    </w:p>
    <w:p>
      <w:pPr>
        <w:jc w:val="both"/>
        <w:ind w:firstLine="2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jc w:val="both"/>
        <w:ind w:firstLine="171"/>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jc w:val="both"/>
        <w:ind w:firstLine="173"/>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9" w:lineRule="exact"/>
        <w:rPr>
          <w:sz w:val="24"/>
          <w:szCs w:val="24"/>
          <w:color w:val="auto"/>
        </w:rPr>
      </w:pPr>
    </w:p>
    <w:tbl>
      <w:tblPr>
        <w:tblLayout w:type="fixed"/>
        <w:tblInd w:w="84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2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3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880" w:type="dxa"/>
            <w:vAlign w:val="bottom"/>
          </w:tcPr>
          <w:p>
            <w:pPr>
              <w:ind w:left="1420"/>
              <w:spacing w:after="0"/>
              <w:rPr>
                <w:sz w:val="20"/>
                <w:szCs w:val="20"/>
                <w:color w:val="auto"/>
              </w:rPr>
            </w:pPr>
            <w:r>
              <w:rPr>
                <w:rFonts w:ascii="Arial" w:cs="Arial" w:eastAsia="Arial" w:hAnsi="Arial"/>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6" w:lineRule="exact"/>
        <w:rPr>
          <w:sz w:val="24"/>
          <w:szCs w:val="24"/>
          <w:color w:val="auto"/>
        </w:rPr>
      </w:pPr>
    </w:p>
    <w:p>
      <w:pPr>
        <w:ind w:right="420" w:firstLine="162"/>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160" w:right="3300" w:firstLine="9"/>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31, 2022, MasTec, Inc. had 78,234,262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QUARTER ENDED SEPTEMBER 30, 2022</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80"/>
              </w:rPr>
              <w:t>Page</w:t>
            </w:r>
          </w:p>
        </w:tc>
      </w:tr>
      <w:tr>
        <w:trPr>
          <w:trHeight w:val="196"/>
        </w:trPr>
        <w:tc>
          <w:tcPr>
            <w:tcW w:w="2460" w:type="dxa"/>
            <w:vAlign w:val="bottom"/>
            <w:gridSpan w:val="10"/>
          </w:tcPr>
          <w:p>
            <w:pPr>
              <w:spacing w:after="0"/>
              <w:rPr>
                <w:sz w:val="20"/>
                <w:szCs w:val="20"/>
                <w:color w:val="auto"/>
              </w:rPr>
            </w:pPr>
            <w:r>
              <w:rPr>
                <w:rFonts w:ascii="Arial" w:cs="Arial" w:eastAsia="Arial" w:hAnsi="Arial"/>
                <w:sz w:val="16"/>
                <w:szCs w:val="16"/>
                <w:color w:val="0000FF"/>
                <w:w w:val="98"/>
              </w:rPr>
              <w:t>Part I. FINANCIAL INFORMATION</w:t>
            </w:r>
          </w:p>
        </w:tc>
        <w:tc>
          <w:tcPr>
            <w:tcW w:w="8160" w:type="dxa"/>
            <w:vAlign w:val="bottom"/>
            <w:gridSpan w:val="11"/>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0000FF"/>
                <w:w w:val="89"/>
              </w:rPr>
              <w:t>Item 1</w:t>
            </w:r>
          </w:p>
        </w:tc>
        <w:tc>
          <w:tcPr>
            <w:tcW w:w="560" w:type="dxa"/>
            <w:vAlign w:val="bottom"/>
            <w:gridSpan w:val="3"/>
          </w:tcPr>
          <w:p>
            <w:pPr>
              <w:spacing w:after="0"/>
              <w:rPr>
                <w:sz w:val="17"/>
                <w:szCs w:val="17"/>
                <w:color w:val="auto"/>
              </w:rPr>
            </w:pPr>
          </w:p>
        </w:tc>
        <w:tc>
          <w:tcPr>
            <w:tcW w:w="9440" w:type="dxa"/>
            <w:vAlign w:val="bottom"/>
            <w:gridSpan w:val="16"/>
          </w:tcPr>
          <w:p>
            <w:pPr>
              <w:spacing w:after="0"/>
              <w:rPr>
                <w:sz w:val="20"/>
                <w:szCs w:val="20"/>
                <w:color w:val="auto"/>
              </w:rPr>
            </w:pPr>
            <w:r>
              <w:rPr>
                <w:rFonts w:ascii="Arial" w:cs="Arial" w:eastAsia="Arial" w:hAnsi="Arial"/>
                <w:sz w:val="16"/>
                <w:szCs w:val="16"/>
                <w:color w:val="0000FF"/>
              </w:rPr>
              <w:t>Financial Statements (Unaudited)</w:t>
            </w:r>
          </w:p>
        </w:tc>
        <w:tc>
          <w:tcPr>
            <w:tcW w:w="32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Arial" w:cs="Arial" w:eastAsia="Arial" w:hAnsi="Arial"/>
                <w:sz w:val="16"/>
                <w:szCs w:val="16"/>
                <w:color w:val="0000FF"/>
              </w:rPr>
              <w:t>Consolidated Statements of Operations</w:t>
            </w:r>
          </w:p>
        </w:tc>
        <w:tc>
          <w:tcPr>
            <w:tcW w:w="32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gridSpan w:val="12"/>
          </w:tcPr>
          <w:p>
            <w:pPr>
              <w:spacing w:after="0"/>
              <w:rPr>
                <w:sz w:val="20"/>
                <w:szCs w:val="20"/>
                <w:color w:val="auto"/>
              </w:rPr>
            </w:pPr>
            <w:r>
              <w:rPr>
                <w:rFonts w:ascii="Arial" w:cs="Arial" w:eastAsia="Arial" w:hAnsi="Arial"/>
                <w:sz w:val="16"/>
                <w:szCs w:val="16"/>
                <w:color w:val="0000FF"/>
                <w:w w:val="90"/>
              </w:rPr>
              <w:t>Consolidated Statements of Comprehensive Income</w:t>
            </w:r>
          </w:p>
        </w:tc>
        <w:tc>
          <w:tcPr>
            <w:tcW w:w="6080" w:type="dxa"/>
            <w:vAlign w:val="bottom"/>
            <w:gridSpan w:val="4"/>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Arial" w:cs="Arial" w:eastAsia="Arial" w:hAnsi="Arial"/>
                <w:sz w:val="16"/>
                <w:szCs w:val="16"/>
                <w:color w:val="0000FF"/>
              </w:rPr>
              <w:t>4</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gridSpan w:val="12"/>
          </w:tcPr>
          <w:p>
            <w:pPr>
              <w:spacing w:after="0"/>
              <w:rPr>
                <w:sz w:val="20"/>
                <w:szCs w:val="20"/>
                <w:color w:val="auto"/>
              </w:rPr>
            </w:pPr>
            <w:r>
              <w:rPr>
                <w:rFonts w:ascii="Arial" w:cs="Arial" w:eastAsia="Arial" w:hAnsi="Arial"/>
                <w:sz w:val="16"/>
                <w:szCs w:val="16"/>
                <w:color w:val="0000FF"/>
              </w:rPr>
              <w:t>Consolidated Balance Sheets</w:t>
            </w:r>
          </w:p>
        </w:tc>
        <w:tc>
          <w:tcPr>
            <w:tcW w:w="6080" w:type="dxa"/>
            <w:vAlign w:val="bottom"/>
            <w:gridSpan w:val="4"/>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Arial" w:cs="Arial" w:eastAsia="Arial" w:hAnsi="Arial"/>
                <w:sz w:val="16"/>
                <w:szCs w:val="16"/>
                <w:color w:val="0000FF"/>
              </w:rPr>
              <w:t>5</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Arial" w:cs="Arial" w:eastAsia="Arial" w:hAnsi="Arial"/>
                <w:sz w:val="16"/>
                <w:szCs w:val="16"/>
                <w:color w:val="0000FF"/>
              </w:rPr>
              <w:t>Consolidated Statements of Equity</w:t>
            </w:r>
          </w:p>
        </w:tc>
        <w:tc>
          <w:tcPr>
            <w:tcW w:w="320" w:type="dxa"/>
            <w:vAlign w:val="bottom"/>
            <w:gridSpan w:val="3"/>
          </w:tcPr>
          <w:p>
            <w:pPr>
              <w:jc w:val="right"/>
              <w:spacing w:after="0"/>
              <w:rPr>
                <w:sz w:val="20"/>
                <w:szCs w:val="20"/>
                <w:color w:val="auto"/>
              </w:rPr>
            </w:pPr>
            <w:r>
              <w:rPr>
                <w:rFonts w:ascii="Arial" w:cs="Arial" w:eastAsia="Arial" w:hAnsi="Arial"/>
                <w:sz w:val="16"/>
                <w:szCs w:val="16"/>
                <w:color w:val="0000FF"/>
              </w:rPr>
              <w:t>6</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11"/>
          </w:tcPr>
          <w:p>
            <w:pPr>
              <w:spacing w:after="0"/>
              <w:rPr>
                <w:sz w:val="20"/>
                <w:szCs w:val="20"/>
                <w:color w:val="auto"/>
              </w:rPr>
            </w:pPr>
            <w:r>
              <w:rPr>
                <w:rFonts w:ascii="Arial" w:cs="Arial" w:eastAsia="Arial" w:hAnsi="Arial"/>
                <w:sz w:val="16"/>
                <w:szCs w:val="16"/>
                <w:color w:val="0000FF"/>
                <w:w w:val="89"/>
              </w:rPr>
              <w:t>Consolidated Statements of Cash Flows</w:t>
            </w:r>
          </w:p>
        </w:tc>
        <w:tc>
          <w:tcPr>
            <w:tcW w:w="6860" w:type="dxa"/>
            <w:vAlign w:val="bottom"/>
            <w:gridSpan w:val="5"/>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Arial" w:cs="Arial" w:eastAsia="Arial" w:hAnsi="Arial"/>
                <w:sz w:val="16"/>
                <w:szCs w:val="16"/>
                <w:color w:val="0000FF"/>
              </w:rPr>
              <w:t>8</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Arial" w:cs="Arial" w:eastAsia="Arial" w:hAnsi="Arial"/>
                <w:sz w:val="16"/>
                <w:szCs w:val="16"/>
                <w:color w:val="0000FF"/>
              </w:rPr>
              <w:t>Notes to Consolidated Financial Statements (Unaudited)</w:t>
            </w:r>
          </w:p>
        </w:tc>
        <w:tc>
          <w:tcPr>
            <w:tcW w:w="320" w:type="dxa"/>
            <w:vAlign w:val="bottom"/>
            <w:gridSpan w:val="3"/>
          </w:tcPr>
          <w:p>
            <w:pPr>
              <w:jc w:val="right"/>
              <w:spacing w:after="0"/>
              <w:rPr>
                <w:sz w:val="20"/>
                <w:szCs w:val="20"/>
                <w:color w:val="auto"/>
              </w:rPr>
            </w:pPr>
            <w:r>
              <w:rPr>
                <w:rFonts w:ascii="Arial" w:cs="Arial" w:eastAsia="Arial" w:hAnsi="Arial"/>
                <w:sz w:val="16"/>
                <w:szCs w:val="16"/>
                <w:color w:val="0000FF"/>
              </w:rPr>
              <w:t>9</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060" w:type="dxa"/>
            <w:vAlign w:val="bottom"/>
            <w:gridSpan w:val="7"/>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0000FF"/>
                <w:w w:val="89"/>
              </w:rPr>
              <w:t>Item 2</w:t>
            </w:r>
          </w:p>
        </w:tc>
        <w:tc>
          <w:tcPr>
            <w:tcW w:w="560" w:type="dxa"/>
            <w:vAlign w:val="bottom"/>
            <w:gridSpan w:val="3"/>
          </w:tcPr>
          <w:p>
            <w:pPr>
              <w:spacing w:after="0"/>
              <w:rPr>
                <w:sz w:val="17"/>
                <w:szCs w:val="17"/>
                <w:color w:val="auto"/>
              </w:rPr>
            </w:pPr>
          </w:p>
        </w:tc>
        <w:tc>
          <w:tcPr>
            <w:tcW w:w="9440" w:type="dxa"/>
            <w:vAlign w:val="bottom"/>
            <w:gridSpan w:val="16"/>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320" w:type="dxa"/>
            <w:vAlign w:val="bottom"/>
            <w:gridSpan w:val="3"/>
          </w:tcPr>
          <w:p>
            <w:pPr>
              <w:jc w:val="right"/>
              <w:spacing w:after="0"/>
              <w:rPr>
                <w:sz w:val="20"/>
                <w:szCs w:val="20"/>
                <w:color w:val="auto"/>
              </w:rPr>
            </w:pPr>
            <w:r>
              <w:rPr>
                <w:rFonts w:ascii="Arial" w:cs="Arial" w:eastAsia="Arial" w:hAnsi="Arial"/>
                <w:sz w:val="16"/>
                <w:szCs w:val="16"/>
                <w:color w:val="0000FF"/>
              </w:rPr>
              <w:t>30</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1900" w:type="dxa"/>
            <w:vAlign w:val="bottom"/>
            <w:tcBorders>
              <w:left w:val="single" w:sz="8" w:color="0000FF"/>
            </w:tcBorders>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0000FF"/>
                <w:w w:val="89"/>
              </w:rPr>
              <w:t>Item 3</w:t>
            </w:r>
          </w:p>
        </w:tc>
        <w:tc>
          <w:tcPr>
            <w:tcW w:w="1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9440" w:type="dxa"/>
            <w:vAlign w:val="bottom"/>
            <w:gridSpan w:val="16"/>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320" w:type="dxa"/>
            <w:vAlign w:val="bottom"/>
            <w:gridSpan w:val="3"/>
          </w:tcPr>
          <w:p>
            <w:pPr>
              <w:jc w:val="right"/>
              <w:spacing w:after="0"/>
              <w:rPr>
                <w:sz w:val="20"/>
                <w:szCs w:val="20"/>
                <w:color w:val="auto"/>
              </w:rPr>
            </w:pPr>
            <w:r>
              <w:rPr>
                <w:rFonts w:ascii="Arial" w:cs="Arial" w:eastAsia="Arial" w:hAnsi="Arial"/>
                <w:sz w:val="16"/>
                <w:szCs w:val="16"/>
                <w:color w:val="0000FF"/>
              </w:rPr>
              <w:t>44</w:t>
            </w:r>
          </w:p>
        </w:tc>
      </w:tr>
      <w:tr>
        <w:trPr>
          <w:trHeight w:val="20"/>
        </w:trPr>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5540" w:type="dxa"/>
            <w:vAlign w:val="bottom"/>
            <w:tcBorders>
              <w:left w:val="single" w:sz="8" w:color="0000FF"/>
            </w:tcBorders>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0000FF"/>
                <w:w w:val="89"/>
              </w:rPr>
              <w:t>Item 4</w:t>
            </w:r>
          </w:p>
        </w:tc>
        <w:tc>
          <w:tcPr>
            <w:tcW w:w="1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9440" w:type="dxa"/>
            <w:vAlign w:val="bottom"/>
            <w:gridSpan w:val="16"/>
          </w:tcPr>
          <w:p>
            <w:pPr>
              <w:spacing w:after="0"/>
              <w:rPr>
                <w:sz w:val="20"/>
                <w:szCs w:val="20"/>
                <w:color w:val="auto"/>
              </w:rPr>
            </w:pPr>
            <w:r>
              <w:rPr>
                <w:rFonts w:ascii="Arial" w:cs="Arial" w:eastAsia="Arial" w:hAnsi="Arial"/>
                <w:sz w:val="16"/>
                <w:szCs w:val="16"/>
                <w:color w:val="0000FF"/>
              </w:rPr>
              <w:t>Controls and Procedures</w:t>
            </w:r>
          </w:p>
        </w:tc>
        <w:tc>
          <w:tcPr>
            <w:tcW w:w="320" w:type="dxa"/>
            <w:vAlign w:val="bottom"/>
            <w:gridSpan w:val="3"/>
          </w:tcPr>
          <w:p>
            <w:pPr>
              <w:jc w:val="right"/>
              <w:spacing w:after="0"/>
              <w:rPr>
                <w:sz w:val="20"/>
                <w:szCs w:val="20"/>
                <w:color w:val="auto"/>
              </w:rPr>
            </w:pPr>
            <w:r>
              <w:rPr>
                <w:rFonts w:ascii="Arial" w:cs="Arial" w:eastAsia="Arial" w:hAnsi="Arial"/>
                <w:sz w:val="16"/>
                <w:szCs w:val="16"/>
                <w:color w:val="0000FF"/>
              </w:rPr>
              <w:t>45</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10620" w:type="dxa"/>
            <w:vAlign w:val="bottom"/>
            <w:gridSpan w:val="21"/>
          </w:tcPr>
          <w:p>
            <w:pPr>
              <w:spacing w:after="0"/>
              <w:rPr>
                <w:sz w:val="20"/>
                <w:szCs w:val="20"/>
                <w:color w:val="auto"/>
              </w:rPr>
            </w:pPr>
            <w:r>
              <w:rPr>
                <w:rFonts w:ascii="Arial" w:cs="Arial" w:eastAsia="Arial" w:hAnsi="Arial"/>
                <w:sz w:val="16"/>
                <w:szCs w:val="16"/>
                <w:color w:val="0000FF"/>
              </w:rPr>
              <w:t>Part II. OTHER INFORMATION</w:t>
            </w:r>
          </w:p>
        </w:tc>
        <w:tc>
          <w:tcPr>
            <w:tcW w:w="320" w:type="dxa"/>
            <w:vAlign w:val="bottom"/>
            <w:gridSpan w:val="3"/>
          </w:tcPr>
          <w:p>
            <w:pPr>
              <w:jc w:val="right"/>
              <w:spacing w:after="0"/>
              <w:rPr>
                <w:sz w:val="20"/>
                <w:szCs w:val="20"/>
                <w:color w:val="auto"/>
              </w:rPr>
            </w:pPr>
            <w:r>
              <w:rPr>
                <w:rFonts w:ascii="Arial" w:cs="Arial" w:eastAsia="Arial" w:hAnsi="Arial"/>
                <w:sz w:val="16"/>
                <w:szCs w:val="16"/>
                <w:color w:val="0000FF"/>
              </w:rPr>
              <w:t>46</w:t>
            </w:r>
          </w:p>
        </w:tc>
      </w:tr>
      <w:tr>
        <w:trPr>
          <w:trHeight w:val="20"/>
        </w:trPr>
        <w:tc>
          <w:tcPr>
            <w:tcW w:w="2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0000FF"/>
                <w:w w:val="89"/>
              </w:rPr>
              <w:t>Item 1</w:t>
            </w:r>
          </w:p>
        </w:tc>
        <w:tc>
          <w:tcPr>
            <w:tcW w:w="560" w:type="dxa"/>
            <w:vAlign w:val="bottom"/>
            <w:gridSpan w:val="3"/>
          </w:tcPr>
          <w:p>
            <w:pPr>
              <w:spacing w:after="0"/>
              <w:rPr>
                <w:sz w:val="17"/>
                <w:szCs w:val="17"/>
                <w:color w:val="auto"/>
              </w:rPr>
            </w:pPr>
          </w:p>
        </w:tc>
        <w:tc>
          <w:tcPr>
            <w:tcW w:w="9440" w:type="dxa"/>
            <w:vAlign w:val="bottom"/>
            <w:gridSpan w:val="16"/>
          </w:tcPr>
          <w:p>
            <w:pPr>
              <w:spacing w:after="0"/>
              <w:rPr>
                <w:sz w:val="20"/>
                <w:szCs w:val="20"/>
                <w:color w:val="auto"/>
              </w:rPr>
            </w:pPr>
            <w:r>
              <w:rPr>
                <w:rFonts w:ascii="Arial" w:cs="Arial" w:eastAsia="Arial" w:hAnsi="Arial"/>
                <w:sz w:val="16"/>
                <w:szCs w:val="16"/>
                <w:color w:val="0000FF"/>
              </w:rPr>
              <w:t>Legal Proceedings</w:t>
            </w:r>
          </w:p>
        </w:tc>
        <w:tc>
          <w:tcPr>
            <w:tcW w:w="320" w:type="dxa"/>
            <w:vAlign w:val="bottom"/>
            <w:gridSpan w:val="3"/>
          </w:tcPr>
          <w:p>
            <w:pPr>
              <w:jc w:val="right"/>
              <w:spacing w:after="0"/>
              <w:rPr>
                <w:sz w:val="20"/>
                <w:szCs w:val="20"/>
                <w:color w:val="auto"/>
              </w:rPr>
            </w:pPr>
            <w:r>
              <w:rPr>
                <w:rFonts w:ascii="Arial" w:cs="Arial" w:eastAsia="Arial" w:hAnsi="Arial"/>
                <w:sz w:val="16"/>
                <w:szCs w:val="16"/>
                <w:color w:val="0000FF"/>
              </w:rPr>
              <w:t>46</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720" w:type="dxa"/>
            <w:vAlign w:val="bottom"/>
            <w:tcBorders>
              <w:left w:val="single" w:sz="8" w:color="0000FF"/>
            </w:tcBorders>
            <w:gridSpan w:val="10"/>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40" w:type="dxa"/>
            <w:vAlign w:val="bottom"/>
            <w:gridSpan w:val="2"/>
          </w:tcPr>
          <w:p>
            <w:pPr>
              <w:spacing w:after="0"/>
              <w:rPr>
                <w:sz w:val="20"/>
                <w:szCs w:val="20"/>
                <w:color w:val="auto"/>
              </w:rPr>
            </w:pPr>
            <w:r>
              <w:rPr>
                <w:rFonts w:ascii="Arial" w:cs="Arial" w:eastAsia="Arial" w:hAnsi="Arial"/>
                <w:sz w:val="16"/>
                <w:szCs w:val="16"/>
                <w:color w:val="0000FF"/>
                <w:w w:val="94"/>
              </w:rPr>
              <w:t>Item 1A</w:t>
            </w:r>
          </w:p>
        </w:tc>
        <w:tc>
          <w:tcPr>
            <w:tcW w:w="440" w:type="dxa"/>
            <w:vAlign w:val="bottom"/>
            <w:gridSpan w:val="2"/>
          </w:tcPr>
          <w:p>
            <w:pPr>
              <w:spacing w:after="0"/>
              <w:rPr>
                <w:sz w:val="17"/>
                <w:szCs w:val="17"/>
                <w:color w:val="auto"/>
              </w:rPr>
            </w:pPr>
          </w:p>
        </w:tc>
        <w:tc>
          <w:tcPr>
            <w:tcW w:w="9440" w:type="dxa"/>
            <w:vAlign w:val="bottom"/>
            <w:gridSpan w:val="16"/>
          </w:tcPr>
          <w:p>
            <w:pPr>
              <w:spacing w:after="0"/>
              <w:rPr>
                <w:sz w:val="20"/>
                <w:szCs w:val="20"/>
                <w:color w:val="auto"/>
              </w:rPr>
            </w:pPr>
            <w:r>
              <w:rPr>
                <w:rFonts w:ascii="Arial" w:cs="Arial" w:eastAsia="Arial" w:hAnsi="Arial"/>
                <w:sz w:val="16"/>
                <w:szCs w:val="16"/>
                <w:color w:val="0000FF"/>
              </w:rPr>
              <w:t>Risk Factors</w:t>
            </w:r>
          </w:p>
        </w:tc>
        <w:tc>
          <w:tcPr>
            <w:tcW w:w="320" w:type="dxa"/>
            <w:vAlign w:val="bottom"/>
            <w:gridSpan w:val="3"/>
          </w:tcPr>
          <w:p>
            <w:pPr>
              <w:jc w:val="right"/>
              <w:spacing w:after="0"/>
              <w:rPr>
                <w:sz w:val="20"/>
                <w:szCs w:val="20"/>
                <w:color w:val="auto"/>
              </w:rPr>
            </w:pPr>
            <w:r>
              <w:rPr>
                <w:rFonts w:ascii="Arial" w:cs="Arial" w:eastAsia="Arial" w:hAnsi="Arial"/>
                <w:sz w:val="16"/>
                <w:szCs w:val="16"/>
                <w:color w:val="0000FF"/>
              </w:rPr>
              <w:t>46</w:t>
            </w:r>
          </w:p>
        </w:tc>
      </w:tr>
      <w:tr>
        <w:trPr>
          <w:trHeight w:val="20"/>
        </w:trPr>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4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320" w:type="dxa"/>
            <w:vAlign w:val="bottom"/>
            <w:gridSpan w:val="3"/>
          </w:tcPr>
          <w:p>
            <w:pPr>
              <w:jc w:val="right"/>
              <w:spacing w:after="0"/>
              <w:rPr>
                <w:sz w:val="20"/>
                <w:szCs w:val="20"/>
                <w:color w:val="auto"/>
              </w:rPr>
            </w:pPr>
            <w:r>
              <w:rPr>
                <w:rFonts w:ascii="Arial" w:cs="Arial" w:eastAsia="Arial" w:hAnsi="Arial"/>
                <w:sz w:val="16"/>
                <w:szCs w:val="16"/>
                <w:color w:val="0000FF"/>
              </w:rPr>
              <w:t>46</w:t>
            </w:r>
          </w:p>
        </w:tc>
      </w:tr>
      <w:tr>
        <w:trPr>
          <w:trHeight w:val="20"/>
        </w:trPr>
        <w:tc>
          <w:tcPr>
            <w:tcW w:w="2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720" w:type="dxa"/>
            <w:vAlign w:val="bottom"/>
            <w:tcBorders>
              <w:left w:val="single" w:sz="8" w:color="0000FF"/>
            </w:tcBorders>
            <w:gridSpan w:val="10"/>
            <w:shd w:val="clear" w:color="auto" w:fill="0000FF"/>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0000FF"/>
                <w:w w:val="89"/>
              </w:rPr>
              <w:t>Item 4</w:t>
            </w:r>
          </w:p>
        </w:tc>
        <w:tc>
          <w:tcPr>
            <w:tcW w:w="3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Arial" w:cs="Arial" w:eastAsia="Arial" w:hAnsi="Arial"/>
                <w:sz w:val="16"/>
                <w:szCs w:val="16"/>
                <w:color w:val="0000FF"/>
              </w:rPr>
              <w:t>Mine Safety Disclosures</w:t>
            </w:r>
          </w:p>
        </w:tc>
        <w:tc>
          <w:tcPr>
            <w:tcW w:w="320" w:type="dxa"/>
            <w:vAlign w:val="bottom"/>
            <w:gridSpan w:val="3"/>
          </w:tcPr>
          <w:p>
            <w:pPr>
              <w:jc w:val="right"/>
              <w:spacing w:after="0"/>
              <w:rPr>
                <w:sz w:val="20"/>
                <w:szCs w:val="20"/>
                <w:color w:val="auto"/>
              </w:rPr>
            </w:pPr>
            <w:r>
              <w:rPr>
                <w:rFonts w:ascii="Arial" w:cs="Arial" w:eastAsia="Arial" w:hAnsi="Arial"/>
                <w:sz w:val="16"/>
                <w:szCs w:val="16"/>
                <w:color w:val="0000FF"/>
              </w:rPr>
              <w:t>46</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78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0000FF"/>
                <w:w w:val="89"/>
              </w:rPr>
              <w:t>Item 5</w:t>
            </w:r>
          </w:p>
        </w:tc>
        <w:tc>
          <w:tcPr>
            <w:tcW w:w="560" w:type="dxa"/>
            <w:vAlign w:val="bottom"/>
            <w:gridSpan w:val="3"/>
          </w:tcPr>
          <w:p>
            <w:pPr>
              <w:spacing w:after="0"/>
              <w:rPr>
                <w:sz w:val="17"/>
                <w:szCs w:val="17"/>
                <w:color w:val="auto"/>
              </w:rPr>
            </w:pPr>
          </w:p>
        </w:tc>
        <w:tc>
          <w:tcPr>
            <w:tcW w:w="9440" w:type="dxa"/>
            <w:vAlign w:val="bottom"/>
            <w:gridSpan w:val="16"/>
          </w:tcPr>
          <w:p>
            <w:pPr>
              <w:spacing w:after="0"/>
              <w:rPr>
                <w:sz w:val="20"/>
                <w:szCs w:val="20"/>
                <w:color w:val="auto"/>
              </w:rPr>
            </w:pPr>
            <w:r>
              <w:rPr>
                <w:rFonts w:ascii="Arial" w:cs="Arial" w:eastAsia="Arial" w:hAnsi="Arial"/>
                <w:sz w:val="16"/>
                <w:szCs w:val="16"/>
                <w:color w:val="0000FF"/>
              </w:rPr>
              <w:t>Other Information</w:t>
            </w:r>
          </w:p>
        </w:tc>
        <w:tc>
          <w:tcPr>
            <w:tcW w:w="320" w:type="dxa"/>
            <w:vAlign w:val="bottom"/>
            <w:gridSpan w:val="3"/>
          </w:tcPr>
          <w:p>
            <w:pPr>
              <w:jc w:val="right"/>
              <w:spacing w:after="0"/>
              <w:rPr>
                <w:sz w:val="20"/>
                <w:szCs w:val="20"/>
                <w:color w:val="auto"/>
              </w:rPr>
            </w:pPr>
            <w:r>
              <w:rPr>
                <w:rFonts w:ascii="Arial" w:cs="Arial" w:eastAsia="Arial" w:hAnsi="Arial"/>
                <w:sz w:val="16"/>
                <w:szCs w:val="16"/>
                <w:color w:val="0000FF"/>
              </w:rPr>
              <w:t>46</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26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0000FF"/>
                <w:w w:val="89"/>
              </w:rPr>
              <w:t>Item 6</w:t>
            </w:r>
          </w:p>
        </w:tc>
        <w:tc>
          <w:tcPr>
            <w:tcW w:w="560" w:type="dxa"/>
            <w:vAlign w:val="bottom"/>
            <w:gridSpan w:val="3"/>
          </w:tcPr>
          <w:p>
            <w:pPr>
              <w:spacing w:after="0"/>
              <w:rPr>
                <w:sz w:val="17"/>
                <w:szCs w:val="17"/>
                <w:color w:val="auto"/>
              </w:rPr>
            </w:pPr>
          </w:p>
        </w:tc>
        <w:tc>
          <w:tcPr>
            <w:tcW w:w="9440" w:type="dxa"/>
            <w:vAlign w:val="bottom"/>
            <w:gridSpan w:val="16"/>
          </w:tcPr>
          <w:p>
            <w:pPr>
              <w:spacing w:after="0"/>
              <w:rPr>
                <w:sz w:val="20"/>
                <w:szCs w:val="20"/>
                <w:color w:val="auto"/>
              </w:rPr>
            </w:pPr>
            <w:r>
              <w:rPr>
                <w:rFonts w:ascii="Arial" w:cs="Arial" w:eastAsia="Arial" w:hAnsi="Arial"/>
                <w:sz w:val="16"/>
                <w:szCs w:val="16"/>
                <w:color w:val="0000FF"/>
              </w:rPr>
              <w:t>Exhibits</w:t>
            </w:r>
          </w:p>
        </w:tc>
        <w:tc>
          <w:tcPr>
            <w:tcW w:w="320" w:type="dxa"/>
            <w:vAlign w:val="bottom"/>
            <w:gridSpan w:val="3"/>
          </w:tcPr>
          <w:p>
            <w:pPr>
              <w:jc w:val="right"/>
              <w:spacing w:after="0"/>
              <w:rPr>
                <w:sz w:val="20"/>
                <w:szCs w:val="20"/>
                <w:color w:val="auto"/>
              </w:rPr>
            </w:pPr>
            <w:r>
              <w:rPr>
                <w:rFonts w:ascii="Arial" w:cs="Arial" w:eastAsia="Arial" w:hAnsi="Arial"/>
                <w:sz w:val="16"/>
                <w:szCs w:val="16"/>
                <w:color w:val="0000FF"/>
              </w:rPr>
              <w:t>47</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1180" w:type="dxa"/>
            <w:vAlign w:val="bottom"/>
            <w:gridSpan w:val="5"/>
          </w:tcPr>
          <w:p>
            <w:pPr>
              <w:spacing w:after="0"/>
              <w:rPr>
                <w:sz w:val="20"/>
                <w:szCs w:val="20"/>
                <w:color w:val="auto"/>
              </w:rPr>
            </w:pPr>
            <w:r>
              <w:rPr>
                <w:rFonts w:ascii="Arial" w:cs="Arial" w:eastAsia="Arial" w:hAnsi="Arial"/>
                <w:sz w:val="16"/>
                <w:szCs w:val="16"/>
                <w:color w:val="0000FF"/>
              </w:rPr>
              <w:t>SIGNATURES</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Arial" w:cs="Arial" w:eastAsia="Arial" w:hAnsi="Arial"/>
                <w:sz w:val="16"/>
                <w:szCs w:val="16"/>
                <w:color w:val="0000FF"/>
              </w:rPr>
              <w:t>48</w:t>
            </w:r>
          </w:p>
        </w:tc>
      </w:tr>
      <w:tr>
        <w:trPr>
          <w:trHeight w:val="20"/>
        </w:trPr>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895" w:right="479" w:bottom="1440" w:gutter="0" w:footer="0" w:header="0"/>
        </w:sectPr>
      </w:pPr>
    </w:p>
    <w:bookmarkStart w:id="2" w:name="page3"/>
    <w:bookmarkEnd w:id="2"/>
    <w:p>
      <w:pPr>
        <w:spacing w:after="0"/>
        <w:tabs>
          <w:tab w:leader="none" w:pos="760" w:val="left"/>
        </w:tabs>
        <w:rPr>
          <w:sz w:val="20"/>
          <w:szCs w:val="20"/>
          <w:color w:val="auto"/>
        </w:rPr>
      </w:pPr>
      <w:r>
        <w:rPr>
          <w:rFonts w:ascii="Arial" w:cs="Arial" w:eastAsia="Arial" w:hAnsi="Arial"/>
          <w:sz w:val="16"/>
          <w:szCs w:val="16"/>
          <w:b w:val="1"/>
          <w:bCs w:val="1"/>
          <w:color w:val="auto"/>
        </w:rPr>
        <w:t>PART I.</w:t>
        <w:tab/>
        <w:t>FINANCIAL INFORMATION</w:t>
      </w:r>
    </w:p>
    <w:p>
      <w:pPr>
        <w:spacing w:after="0" w:line="275"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1.</w:t>
        <w:tab/>
        <w:t>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in thousands, except per share amounts)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3"/>
              </w:rPr>
              <w:t>For the Three Months Ended</w:t>
            </w:r>
          </w:p>
        </w:tc>
        <w:tc>
          <w:tcPr>
            <w:tcW w:w="120" w:type="dxa"/>
            <w:vAlign w:val="bottom"/>
          </w:tcPr>
          <w:p>
            <w:pPr>
              <w:spacing w:after="0"/>
              <w:rPr>
                <w:sz w:val="16"/>
                <w:szCs w:val="16"/>
                <w:color w:val="auto"/>
              </w:rPr>
            </w:pPr>
          </w:p>
        </w:tc>
        <w:tc>
          <w:tcPr>
            <w:tcW w:w="21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3"/>
              </w:rPr>
              <w:t>For the Nine Months Ended</w:t>
            </w:r>
          </w:p>
        </w:tc>
      </w:tr>
      <w:tr>
        <w:trPr>
          <w:trHeight w:val="213"/>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21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66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r>
      <w:tr>
        <w:trPr>
          <w:trHeight w:val="212"/>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2,513,484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2,404,332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6,769,677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6,142,414</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Costs of revenue, excluding depreciation and amortization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2,187,835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2,057,336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5,949,262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5,246,427</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263,487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262,132</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27,979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23,352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81,242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54,522</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404,243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238,995</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26,885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62,313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39,379</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of unconsolidated affiliates, net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(23,585)</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 (income),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(13,746)</w:t>
            </w:r>
          </w:p>
        </w:tc>
      </w:tr>
      <w:tr>
        <w:trPr>
          <w:trHeight w:val="213"/>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338,290</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(83,956)</w:t>
            </w:r>
          </w:p>
        </w:tc>
      </w:tr>
      <w:tr>
        <w:trPr>
          <w:trHeight w:val="213"/>
        </w:trPr>
        <w:tc>
          <w:tcPr>
            <w:tcW w:w="6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112,457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30,518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254,334</w:t>
            </w:r>
          </w:p>
        </w:tc>
      </w:tr>
      <w:tr>
        <w:trPr>
          <w:trHeight w:val="207"/>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2,147</w:t>
            </w:r>
          </w:p>
        </w:tc>
      </w:tr>
      <w:tr>
        <w:trPr>
          <w:trHeight w:val="209"/>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attributable to MasTec,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48,896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111,087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30,130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252,187</w:t>
            </w:r>
          </w:p>
        </w:tc>
      </w:tr>
      <w:tr>
        <w:trPr>
          <w:trHeight w:val="239"/>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(Note 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Basic earnings per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r>
      <w:tr>
        <w:trPr>
          <w:trHeight w:val="210"/>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weighted average common shares outstanding</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73,936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72,503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74,386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72,481</w:t>
            </w:r>
          </w:p>
        </w:tc>
      </w:tr>
      <w:tr>
        <w:trPr>
          <w:trHeight w:val="145"/>
        </w:trPr>
        <w:tc>
          <w:tcPr>
            <w:tcW w:w="6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16"/>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07"/>
        </w:trPr>
        <w:tc>
          <w:tcPr>
            <w:tcW w:w="6640" w:type="dxa"/>
            <w:vAlign w:val="bottom"/>
          </w:tcPr>
          <w:p>
            <w:pPr>
              <w:ind w:left="140"/>
              <w:spacing w:after="0"/>
              <w:rPr>
                <w:sz w:val="20"/>
                <w:szCs w:val="20"/>
                <w:color w:val="auto"/>
              </w:rPr>
            </w:pPr>
            <w:r>
              <w:rPr>
                <w:rFonts w:ascii="Arial" w:cs="Arial" w:eastAsia="Arial" w:hAnsi="Arial"/>
                <w:sz w:val="16"/>
                <w:szCs w:val="16"/>
                <w:color w:val="auto"/>
              </w:rPr>
              <w:t>Diluted weighted average common shares outstanding</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75,073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73,977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75,576</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73,921</w:t>
            </w: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3"/>
              </w:rPr>
              <w:t>For the Three Months Ended</w:t>
            </w:r>
          </w:p>
        </w:tc>
        <w:tc>
          <w:tcPr>
            <w:tcW w:w="120" w:type="dxa"/>
            <w:vAlign w:val="bottom"/>
          </w:tcPr>
          <w:p>
            <w:pPr>
              <w:spacing w:after="0"/>
              <w:rPr>
                <w:sz w:val="16"/>
                <w:szCs w:val="16"/>
                <w:color w:val="auto"/>
              </w:rPr>
            </w:pPr>
          </w:p>
        </w:tc>
        <w:tc>
          <w:tcPr>
            <w:tcW w:w="21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3"/>
              </w:rPr>
              <w:t>For the Nine Months Ended</w:t>
            </w:r>
          </w:p>
        </w:tc>
      </w:tr>
      <w:tr>
        <w:trPr>
          <w:trHeight w:val="213"/>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21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66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r>
      <w:tr>
        <w:trPr>
          <w:trHeight w:val="212"/>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254,334</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 losses, net of tax</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3"/>
        </w:trPr>
        <w:tc>
          <w:tcPr>
            <w:tcW w:w="66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Unrealized gains (losses) on investment activity, net of tax</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31,667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9,333</w:t>
            </w:r>
          </w:p>
        </w:tc>
      </w:tr>
      <w:tr>
        <w:trPr>
          <w:trHeight w:val="213"/>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55,910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110,138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57,973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263,603</w:t>
            </w:r>
          </w:p>
        </w:tc>
      </w:tr>
      <w:tr>
        <w:trPr>
          <w:trHeight w:val="207"/>
        </w:trPr>
        <w:tc>
          <w:tcPr>
            <w:tcW w:w="66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Comprehensive income attributable to non-controlling interests</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2,147</w:t>
            </w:r>
          </w:p>
        </w:tc>
      </w:tr>
      <w:tr>
        <w:trPr>
          <w:trHeight w:val="209"/>
        </w:trPr>
        <w:tc>
          <w:tcPr>
            <w:tcW w:w="6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Comprehensive income attributable to MasTec,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55,584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108,768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57,585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261,456</w:t>
            </w: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 in thousands, except share information)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360,736</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Accounts receivable, net of allowance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1,057,450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1,019,324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1,617,384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1,227,927</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127,546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92,595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91,488</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129,262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81,884</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3,114,275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2,873,954</w:t>
            </w:r>
          </w:p>
        </w:tc>
        <w:tc>
          <w:tcPr>
            <w:tcW w:w="0" w:type="dxa"/>
            <w:vAlign w:val="bottom"/>
          </w:tcPr>
          <w:p>
            <w:pPr>
              <w:spacing w:after="0"/>
              <w:rPr>
                <w:sz w:val="1"/>
                <w:szCs w:val="1"/>
                <w:color w:val="auto"/>
              </w:rPr>
            </w:pPr>
          </w:p>
        </w:tc>
      </w:tr>
      <w:tr>
        <w:trPr>
          <w:trHeight w:val="207"/>
        </w:trPr>
        <w:tc>
          <w:tcPr>
            <w:tcW w:w="818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1,588,059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1,436,087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260,410</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Goodwill,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1,493,843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1,520,575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intangible assets,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638,318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670,280</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397,081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360,087</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7,475,663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7,121,393</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Current portion of long-term debt, including finance leases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156,756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137,912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95,426</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934,542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663,063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salaries and wages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203,141</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Other accrued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226,879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229,936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249,702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313,965</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108,118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141,155</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1,986,483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1,784,598</w:t>
            </w:r>
          </w:p>
        </w:tc>
        <w:tc>
          <w:tcPr>
            <w:tcW w:w="0" w:type="dxa"/>
            <w:vAlign w:val="bottom"/>
          </w:tcPr>
          <w:p>
            <w:pPr>
              <w:spacing w:after="0"/>
              <w:rPr>
                <w:sz w:val="1"/>
                <w:szCs w:val="1"/>
                <w:color w:val="auto"/>
              </w:rPr>
            </w:pPr>
          </w:p>
        </w:tc>
      </w:tr>
      <w:tr>
        <w:trPr>
          <w:trHeight w:val="207"/>
        </w:trPr>
        <w:tc>
          <w:tcPr>
            <w:tcW w:w="8180" w:type="dxa"/>
            <w:vAlign w:val="bottom"/>
          </w:tcPr>
          <w:p>
            <w:pPr>
              <w:ind w:left="140"/>
              <w:spacing w:after="0"/>
              <w:rPr>
                <w:sz w:val="20"/>
                <w:szCs w:val="20"/>
                <w:color w:val="auto"/>
              </w:rPr>
            </w:pPr>
            <w:r>
              <w:rPr>
                <w:rFonts w:ascii="Arial" w:cs="Arial" w:eastAsia="Arial" w:hAnsi="Arial"/>
                <w:sz w:val="16"/>
                <w:szCs w:val="16"/>
                <w:color w:val="auto"/>
              </w:rPr>
              <w:t>Long-term debt, including finance leases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2,067,548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1,876,233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operating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176,378</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471,020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450,361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235,588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289,962</w:t>
            </w:r>
          </w:p>
        </w:tc>
        <w:tc>
          <w:tcPr>
            <w:tcW w:w="0" w:type="dxa"/>
            <w:vAlign w:val="bottom"/>
          </w:tcPr>
          <w:p>
            <w:pPr>
              <w:spacing w:after="0"/>
              <w:rPr>
                <w:sz w:val="1"/>
                <w:szCs w:val="1"/>
                <w:color w:val="auto"/>
              </w:rPr>
            </w:pPr>
          </w:p>
        </w:tc>
      </w:tr>
      <w:tr>
        <w:trPr>
          <w:trHeight w:val="206"/>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4,929,150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4,577,532</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Commitments and contingencies </w:t>
            </w:r>
            <w:r>
              <w:rPr>
                <w:rFonts w:ascii="Arial" w:cs="Arial" w:eastAsia="Arial" w:hAnsi="Arial"/>
                <w:sz w:val="14"/>
                <w:szCs w:val="14"/>
                <w:color w:val="auto"/>
              </w:rPr>
              <w:t>(</w:t>
            </w:r>
            <w:r>
              <w:rPr>
                <w:rFonts w:ascii="Arial" w:cs="Arial" w:eastAsia="Arial" w:hAnsi="Arial"/>
                <w:sz w:val="16"/>
                <w:szCs w:val="16"/>
                <w:color w:val="auto"/>
              </w:rPr>
              <w:t>Note 14</w:t>
            </w: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Equity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$1.00 par value: authorized shares - 5,000,000; issued and outstanding shares – none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180" w:type="dxa"/>
            <w:vAlign w:val="bottom"/>
          </w:tcPr>
          <w:p>
            <w:pPr>
              <w:ind w:left="140"/>
              <w:spacing w:after="0" w:line="166" w:lineRule="exact"/>
              <w:rPr>
                <w:sz w:val="20"/>
                <w:szCs w:val="20"/>
                <w:color w:val="auto"/>
              </w:rPr>
            </w:pPr>
            <w:r>
              <w:rPr>
                <w:rFonts w:ascii="Arial" w:cs="Arial" w:eastAsia="Arial" w:hAnsi="Arial"/>
                <w:sz w:val="16"/>
                <w:szCs w:val="16"/>
                <w:color w:val="auto"/>
                <w:w w:val="93"/>
              </w:rPr>
              <w:t>Common stock, $0.10 par value: authorized shares - 145,000,000; issued shares - 95,467,645 and 95,371,211 (including</w:t>
            </w: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9,547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9,537</w:t>
            </w:r>
          </w:p>
        </w:tc>
        <w:tc>
          <w:tcPr>
            <w:tcW w:w="0" w:type="dxa"/>
            <w:vAlign w:val="bottom"/>
          </w:tcPr>
          <w:p>
            <w:pPr>
              <w:spacing w:after="0"/>
              <w:rPr>
                <w:sz w:val="1"/>
                <w:szCs w:val="1"/>
                <w:color w:val="auto"/>
              </w:rPr>
            </w:pPr>
          </w:p>
        </w:tc>
      </w:tr>
      <w:tr>
        <w:trPr>
          <w:trHeight w:val="209"/>
        </w:trPr>
        <w:tc>
          <w:tcPr>
            <w:tcW w:w="8180" w:type="dxa"/>
            <w:vAlign w:val="bottom"/>
          </w:tcPr>
          <w:p>
            <w:pPr>
              <w:ind w:left="140"/>
              <w:spacing w:after="0"/>
              <w:rPr>
                <w:sz w:val="20"/>
                <w:szCs w:val="20"/>
                <w:color w:val="auto"/>
              </w:rPr>
            </w:pPr>
            <w:r>
              <w:rPr>
                <w:rFonts w:ascii="Arial" w:cs="Arial" w:eastAsia="Arial" w:hAnsi="Arial"/>
                <w:sz w:val="16"/>
                <w:szCs w:val="16"/>
                <w:color w:val="auto"/>
                <w:w w:val="97"/>
              </w:rPr>
              <w:t>1,660,427 and 1,747,385 of unvested stock awards) as of September 30, 2022 and December 31, 2021, respectively</w:t>
            </w: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surplus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1,055,239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1,033,615</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2,192,518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2,162,388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(78,776)</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1"/>
              </w:rPr>
              <w:t>Treasury stock, at cost: 19,933,055 and 18,941,926 shares as of September 30, 2022 and December 31, 2021, respectively</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(663,910)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(586,955)</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MasTec, Inc.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2,542,073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2,539,809</w:t>
            </w:r>
          </w:p>
        </w:tc>
        <w:tc>
          <w:tcPr>
            <w:tcW w:w="0" w:type="dxa"/>
            <w:vAlign w:val="bottom"/>
          </w:tcPr>
          <w:p>
            <w:pPr>
              <w:spacing w:after="0"/>
              <w:rPr>
                <w:sz w:val="1"/>
                <w:szCs w:val="1"/>
                <w:color w:val="auto"/>
              </w:rPr>
            </w:pPr>
          </w:p>
        </w:tc>
      </w:tr>
      <w:tr>
        <w:trPr>
          <w:trHeight w:val="206"/>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4,052</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2,546,513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2,543,861</w:t>
            </w:r>
          </w:p>
        </w:tc>
        <w:tc>
          <w:tcPr>
            <w:tcW w:w="0" w:type="dxa"/>
            <w:vAlign w:val="bottom"/>
          </w:tcPr>
          <w:p>
            <w:pPr>
              <w:spacing w:after="0"/>
              <w:rPr>
                <w:sz w:val="1"/>
                <w:szCs w:val="1"/>
                <w:color w:val="auto"/>
              </w:rPr>
            </w:pPr>
          </w:p>
        </w:tc>
      </w:tr>
      <w:tr>
        <w:trPr>
          <w:trHeight w:val="206"/>
        </w:trPr>
        <w:tc>
          <w:tcPr>
            <w:tcW w:w="8180" w:type="dxa"/>
            <w:vAlign w:val="bottom"/>
          </w:tcPr>
          <w:p>
            <w:pPr>
              <w:ind w:left="220"/>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7,475,663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7,121,393</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CONSOLIDATED STATEMENTS OF EQUITY</w:t>
      </w:r>
    </w:p>
    <w:p>
      <w:pPr>
        <w:spacing w:after="0" w:line="8"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(unaudited - in thousands, except shares)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1540" w:type="dxa"/>
            <w:vAlign w:val="bottom"/>
            <w:gridSpan w:val="4"/>
            <w:vMerge w:val="restart"/>
          </w:tcPr>
          <w:p>
            <w:pPr>
              <w:jc w:val="right"/>
              <w:ind w:right="159"/>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6"/>
                <w:szCs w:val="16"/>
                <w:color w:val="auto"/>
              </w:rPr>
            </w:pPr>
          </w:p>
        </w:tc>
        <w:tc>
          <w:tcPr>
            <w:tcW w:w="1720" w:type="dxa"/>
            <w:vAlign w:val="bottom"/>
            <w:gridSpan w:val="3"/>
            <w:vMerge w:val="restart"/>
          </w:tcPr>
          <w:p>
            <w:pPr>
              <w:ind w:left="340"/>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6"/>
                <w:szCs w:val="16"/>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960" w:type="dxa"/>
            <w:vAlign w:val="bottom"/>
          </w:tcPr>
          <w:p>
            <w:pPr>
              <w:spacing w:after="0"/>
              <w:rPr>
                <w:sz w:val="14"/>
                <w:szCs w:val="14"/>
                <w:color w:val="auto"/>
              </w:rPr>
            </w:pPr>
          </w:p>
        </w:tc>
        <w:tc>
          <w:tcPr>
            <w:tcW w:w="154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00"/>
              <w:spacing w:after="0" w:line="142" w:lineRule="exact"/>
              <w:rPr>
                <w:sz w:val="20"/>
                <w:szCs w:val="20"/>
                <w:color w:val="auto"/>
              </w:rPr>
            </w:pPr>
            <w:r>
              <w:rPr>
                <w:rFonts w:ascii="Arial" w:cs="Arial" w:eastAsia="Arial" w:hAnsi="Arial"/>
                <w:sz w:val="16"/>
                <w:szCs w:val="16"/>
                <w:b w:val="1"/>
                <w:bCs w:val="1"/>
                <w:color w:val="auto"/>
                <w:w w:val="98"/>
              </w:rPr>
              <w:t>Other</w:t>
            </w:r>
          </w:p>
        </w:tc>
        <w:tc>
          <w:tcPr>
            <w:tcW w:w="1080" w:type="dxa"/>
            <w:vAlign w:val="bottom"/>
            <w:gridSpan w:val="3"/>
          </w:tcPr>
          <w:p>
            <w:pPr>
              <w:jc w:val="center"/>
              <w:ind w:right="80"/>
              <w:spacing w:after="0" w:line="142" w:lineRule="exact"/>
              <w:rPr>
                <w:sz w:val="20"/>
                <w:szCs w:val="20"/>
                <w:color w:val="auto"/>
              </w:rPr>
            </w:pPr>
            <w:r>
              <w:rPr>
                <w:rFonts w:ascii="Arial" w:cs="Arial" w:eastAsia="Arial" w:hAnsi="Arial"/>
                <w:sz w:val="16"/>
                <w:szCs w:val="16"/>
                <w:b w:val="1"/>
                <w:bCs w:val="1"/>
                <w:color w:val="auto"/>
                <w:w w:val="92"/>
              </w:rPr>
              <w:t>MasTec, Inc.</w:t>
            </w: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Shares</w:t>
            </w:r>
          </w:p>
        </w:tc>
        <w:tc>
          <w:tcPr>
            <w:tcW w:w="7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2"/>
                <w:szCs w:val="12"/>
                <w:color w:val="auto"/>
              </w:rPr>
            </w:pPr>
          </w:p>
        </w:tc>
        <w:tc>
          <w:tcPr>
            <w:tcW w:w="800" w:type="dxa"/>
            <w:vAlign w:val="bottom"/>
            <w:gridSpan w:val="2"/>
          </w:tcPr>
          <w:p>
            <w:pPr>
              <w:ind w:left="60"/>
              <w:spacing w:after="0" w:line="142" w:lineRule="exact"/>
              <w:rPr>
                <w:sz w:val="20"/>
                <w:szCs w:val="20"/>
                <w:color w:val="auto"/>
              </w:rPr>
            </w:pPr>
            <w:r>
              <w:rPr>
                <w:rFonts w:ascii="Arial" w:cs="Arial" w:eastAsia="Arial" w:hAnsi="Arial"/>
                <w:sz w:val="16"/>
                <w:szCs w:val="16"/>
                <w:b w:val="1"/>
                <w:bCs w:val="1"/>
                <w:color w:val="auto"/>
              </w:rPr>
              <w:t>Capital</w:t>
            </w:r>
          </w:p>
        </w:tc>
        <w:tc>
          <w:tcPr>
            <w:tcW w:w="900" w:type="dxa"/>
            <w:vAlign w:val="bottom"/>
            <w:gridSpan w:val="2"/>
          </w:tcPr>
          <w:p>
            <w:pPr>
              <w:ind w:left="100"/>
              <w:spacing w:after="0" w:line="142" w:lineRule="exact"/>
              <w:rPr>
                <w:sz w:val="20"/>
                <w:szCs w:val="20"/>
                <w:color w:val="auto"/>
              </w:rPr>
            </w:pPr>
            <w:r>
              <w:rPr>
                <w:rFonts w:ascii="Arial" w:cs="Arial" w:eastAsia="Arial" w:hAnsi="Arial"/>
                <w:sz w:val="16"/>
                <w:szCs w:val="16"/>
                <w:b w:val="1"/>
                <w:bCs w:val="1"/>
                <w:color w:val="auto"/>
              </w:rPr>
              <w:t>Retained</w:t>
            </w:r>
          </w:p>
        </w:tc>
        <w:tc>
          <w:tcPr>
            <w:tcW w:w="1220" w:type="dxa"/>
            <w:vAlign w:val="bottom"/>
            <w:gridSpan w:val="3"/>
          </w:tcPr>
          <w:p>
            <w:pPr>
              <w:ind w:left="40"/>
              <w:spacing w:after="0" w:line="142" w:lineRule="exact"/>
              <w:rPr>
                <w:sz w:val="20"/>
                <w:szCs w:val="20"/>
                <w:color w:val="auto"/>
              </w:rPr>
            </w:pPr>
            <w:r>
              <w:rPr>
                <w:rFonts w:ascii="Arial" w:cs="Arial" w:eastAsia="Arial" w:hAnsi="Arial"/>
                <w:sz w:val="16"/>
                <w:szCs w:val="16"/>
                <w:b w:val="1"/>
                <w:bCs w:val="1"/>
                <w:color w:val="auto"/>
                <w:w w:val="96"/>
              </w:rPr>
              <w:t>Comprehensive</w:t>
            </w:r>
          </w:p>
        </w:tc>
        <w:tc>
          <w:tcPr>
            <w:tcW w:w="108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w w:val="97"/>
              </w:rPr>
              <w:t>Shareholders’</w:t>
            </w:r>
          </w:p>
        </w:tc>
        <w:tc>
          <w:tcPr>
            <w:tcW w:w="940" w:type="dxa"/>
            <w:vAlign w:val="bottom"/>
            <w:gridSpan w:val="3"/>
          </w:tcPr>
          <w:p>
            <w:pPr>
              <w:ind w:left="40"/>
              <w:spacing w:after="0" w:line="142" w:lineRule="exact"/>
              <w:rPr>
                <w:sz w:val="20"/>
                <w:szCs w:val="20"/>
                <w:color w:val="auto"/>
              </w:rPr>
            </w:pPr>
            <w:r>
              <w:rPr>
                <w:rFonts w:ascii="Arial" w:cs="Arial" w:eastAsia="Arial" w:hAnsi="Arial"/>
                <w:sz w:val="16"/>
                <w:szCs w:val="16"/>
                <w:b w:val="1"/>
                <w:bCs w:val="1"/>
                <w:color w:val="auto"/>
              </w:rPr>
              <w:t>Controlling</w:t>
            </w:r>
          </w:p>
        </w:tc>
        <w:tc>
          <w:tcPr>
            <w:tcW w:w="82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b w:val="1"/>
                <w:bCs w:val="1"/>
                <w:color w:val="auto"/>
              </w:rPr>
              <w:t>Surplus</w:t>
            </w: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0"/>
              </w:rPr>
              <w:t>Loss</w:t>
            </w:r>
          </w:p>
        </w:tc>
        <w:tc>
          <w:tcPr>
            <w:tcW w:w="18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Equity</w:t>
            </w:r>
          </w:p>
        </w:tc>
        <w:tc>
          <w:tcPr>
            <w:tcW w:w="12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Interests</w:t>
            </w: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For the Three Months</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4"/>
              </w:rPr>
              <w:t>Ended September 30, 2022</w:t>
            </w:r>
          </w:p>
        </w:tc>
        <w:tc>
          <w:tcPr>
            <w:tcW w:w="8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4"/>
              </w:rPr>
              <w:t>Balance as of June 30, 2022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95,491,405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9,549</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(19,933,055)</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u w:val="single" w:color="auto"/>
                <w:color w:val="auto"/>
                <w:w w:val="95"/>
              </w:rPr>
              <w:t>$</w:t>
            </w:r>
            <w:r>
              <w:rPr>
                <w:rFonts w:ascii="Arial" w:cs="Arial" w:eastAsia="Arial" w:hAnsi="Arial"/>
                <w:sz w:val="16"/>
                <w:szCs w:val="16"/>
                <w:color w:val="auto"/>
                <w:w w:val="95"/>
              </w:rPr>
              <w:t>(663,910)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1,049,576</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2,143,622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(58,009)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2,480,828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4,114</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$2,484,942</w:t>
            </w: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49,222</w:t>
            </w:r>
          </w:p>
        </w:tc>
        <w:tc>
          <w:tcPr>
            <w:tcW w:w="0" w:type="dxa"/>
            <w:vAlign w:val="bottom"/>
          </w:tcPr>
          <w:p>
            <w:pPr>
              <w:spacing w:after="0"/>
              <w:rPr>
                <w:sz w:val="1"/>
                <w:szCs w:val="1"/>
                <w:color w:val="auto"/>
              </w:rPr>
            </w:pPr>
          </w:p>
        </w:tc>
      </w:tr>
      <w:tr>
        <w:trPr>
          <w:trHeight w:val="220"/>
        </w:trPr>
        <w:tc>
          <w:tcPr>
            <w:tcW w:w="1960" w:type="dxa"/>
            <w:vAlign w:val="bottom"/>
          </w:tcPr>
          <w:p>
            <w:pPr>
              <w:ind w:left="140"/>
              <w:spacing w:after="0"/>
              <w:rPr>
                <w:sz w:val="20"/>
                <w:szCs w:val="20"/>
                <w:color w:val="auto"/>
              </w:rPr>
            </w:pPr>
            <w:r>
              <w:rPr>
                <w:rFonts w:ascii="Arial" w:cs="Arial" w:eastAsia="Arial" w:hAnsi="Arial"/>
                <w:sz w:val="16"/>
                <w:szCs w:val="16"/>
                <w:color w:val="auto"/>
              </w:rPr>
              <w:t>Other comprehensive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Pr>
          <w:p>
            <w:pPr>
              <w:ind w:left="140"/>
              <w:spacing w:after="0"/>
              <w:rPr>
                <w:sz w:val="20"/>
                <w:szCs w:val="20"/>
                <w:color w:val="auto"/>
              </w:rPr>
            </w:pPr>
            <w:r>
              <w:rPr>
                <w:rFonts w:ascii="Arial" w:cs="Arial" w:eastAsia="Arial" w:hAnsi="Arial"/>
                <w:sz w:val="16"/>
                <w:szCs w:val="16"/>
                <w:color w:val="auto"/>
              </w:rPr>
              <w:t>income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6,688</w:t>
            </w:r>
          </w:p>
        </w:tc>
        <w:tc>
          <w:tcPr>
            <w:tcW w:w="0" w:type="dxa"/>
            <w:vAlign w:val="bottom"/>
          </w:tcPr>
          <w:p>
            <w:pPr>
              <w:spacing w:after="0"/>
              <w:rPr>
                <w:sz w:val="1"/>
                <w:szCs w:val="1"/>
                <w:color w:val="auto"/>
              </w:rPr>
            </w:pPr>
          </w:p>
        </w:tc>
      </w:tr>
      <w:tr>
        <w:trPr>
          <w:trHeight w:val="169"/>
        </w:trPr>
        <w:tc>
          <w:tcPr>
            <w:tcW w:w="19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Non-cash stock-based</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5,698</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5,698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5,698</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60" w:type="dxa"/>
            <w:vAlign w:val="bottom"/>
          </w:tcPr>
          <w:p>
            <w:pPr>
              <w:ind w:left="140"/>
              <w:spacing w:after="0"/>
              <w:rPr>
                <w:sz w:val="20"/>
                <w:szCs w:val="20"/>
                <w:color w:val="auto"/>
              </w:rPr>
            </w:pPr>
            <w:r>
              <w:rPr>
                <w:rFonts w:ascii="Arial" w:cs="Arial" w:eastAsia="Arial" w:hAnsi="Arial"/>
                <w:sz w:val="16"/>
                <w:szCs w:val="16"/>
                <w:color w:val="auto"/>
              </w:rPr>
              <w:t>Forfeiture of restricted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Pr>
          <w:p>
            <w:pPr>
              <w:ind w:left="140"/>
              <w:spacing w:after="0"/>
              <w:rPr>
                <w:sz w:val="20"/>
                <w:szCs w:val="20"/>
                <w:color w:val="auto"/>
              </w:rPr>
            </w:pPr>
            <w:r>
              <w:rPr>
                <w:rFonts w:ascii="Arial" w:cs="Arial" w:eastAsia="Arial" w:hAnsi="Arial"/>
                <w:sz w:val="16"/>
                <w:szCs w:val="16"/>
                <w:color w:val="auto"/>
              </w:rPr>
              <w:t>shares, net</w:t>
            </w:r>
          </w:p>
        </w:tc>
        <w:tc>
          <w:tcPr>
            <w:tcW w:w="800" w:type="dxa"/>
            <w:vAlign w:val="bottom"/>
          </w:tcPr>
          <w:p>
            <w:pPr>
              <w:jc w:val="right"/>
              <w:spacing w:after="0"/>
              <w:rPr>
                <w:sz w:val="20"/>
                <w:szCs w:val="20"/>
                <w:color w:val="auto"/>
              </w:rPr>
            </w:pPr>
            <w:r>
              <w:rPr>
                <w:rFonts w:ascii="Arial" w:cs="Arial" w:eastAsia="Arial" w:hAnsi="Arial"/>
                <w:sz w:val="16"/>
                <w:szCs w:val="16"/>
                <w:color w:val="auto"/>
              </w:rPr>
              <w:t>(23,312)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Shares withheld for taxes,</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0"/>
              </w:rPr>
              <w:t>net of other stock issuances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46"/>
        </w:trPr>
        <w:tc>
          <w:tcPr>
            <w:tcW w:w="1960" w:type="dxa"/>
            <w:vAlign w:val="bottom"/>
          </w:tcPr>
          <w:p>
            <w:pPr>
              <w:ind w:left="20"/>
              <w:spacing w:after="0" w:line="146" w:lineRule="exact"/>
              <w:rPr>
                <w:sz w:val="20"/>
                <w:szCs w:val="20"/>
                <w:color w:val="auto"/>
              </w:rPr>
            </w:pPr>
            <w:r>
              <w:rPr>
                <w:rFonts w:ascii="Arial" w:cs="Arial" w:eastAsia="Arial" w:hAnsi="Arial"/>
                <w:sz w:val="16"/>
                <w:szCs w:val="16"/>
                <w:color w:val="auto"/>
                <w:w w:val="93"/>
              </w:rPr>
              <w:t>Balance as of September 30,</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95,467,645</w:t>
            </w:r>
          </w:p>
        </w:tc>
        <w:tc>
          <w:tcPr>
            <w:tcW w:w="8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9"/>
              </w:rPr>
              <w:t>9,547</w:t>
            </w:r>
          </w:p>
        </w:tc>
        <w:tc>
          <w:tcPr>
            <w:tcW w:w="80" w:type="dxa"/>
            <w:vAlign w:val="bottom"/>
          </w:tcPr>
          <w:p>
            <w:pPr>
              <w:spacing w:after="0"/>
              <w:rPr>
                <w:sz w:val="12"/>
                <w:szCs w:val="12"/>
                <w:color w:val="auto"/>
              </w:rPr>
            </w:pPr>
          </w:p>
        </w:tc>
        <w:tc>
          <w:tcPr>
            <w:tcW w:w="8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w w:val="90"/>
              </w:rPr>
              <w:t>(19,933,055)</w:t>
            </w:r>
          </w:p>
        </w:tc>
        <w:tc>
          <w:tcPr>
            <w:tcW w:w="100" w:type="dxa"/>
            <w:vAlign w:val="bottom"/>
          </w:tcPr>
          <w:p>
            <w:pPr>
              <w:spacing w:after="0"/>
              <w:rPr>
                <w:sz w:val="12"/>
                <w:szCs w:val="12"/>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u w:val="single" w:color="auto"/>
                <w:color w:val="auto"/>
                <w:w w:val="95"/>
              </w:rPr>
              <w:t>$</w:t>
            </w:r>
            <w:r>
              <w:rPr>
                <w:rFonts w:ascii="Arial" w:cs="Arial" w:eastAsia="Arial" w:hAnsi="Arial"/>
                <w:sz w:val="16"/>
                <w:szCs w:val="16"/>
                <w:color w:val="auto"/>
                <w:w w:val="95"/>
              </w:rPr>
              <w:t>(663,910)</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u w:val="single" w:color="auto"/>
                <w:color w:val="auto"/>
                <w:w w:val="8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1,055,239</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2,192,518</w:t>
            </w:r>
          </w:p>
        </w:tc>
        <w:tc>
          <w:tcPr>
            <w:tcW w:w="80" w:type="dxa"/>
            <w:vAlign w:val="bottom"/>
          </w:tcPr>
          <w:p>
            <w:pPr>
              <w:spacing w:after="0"/>
              <w:rPr>
                <w:sz w:val="12"/>
                <w:szCs w:val="12"/>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(51,321)</w:t>
            </w:r>
          </w:p>
        </w:tc>
        <w:tc>
          <w:tcPr>
            <w:tcW w:w="80" w:type="dxa"/>
            <w:vAlign w:val="bottom"/>
          </w:tcPr>
          <w:p>
            <w:pPr>
              <w:spacing w:after="0"/>
              <w:rPr>
                <w:sz w:val="12"/>
                <w:szCs w:val="12"/>
                <w:color w:val="auto"/>
              </w:rPr>
            </w:pPr>
          </w:p>
        </w:tc>
        <w:tc>
          <w:tcPr>
            <w:tcW w:w="18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2,542,073</w:t>
            </w:r>
          </w:p>
        </w:tc>
        <w:tc>
          <w:tcPr>
            <w:tcW w:w="80" w:type="dxa"/>
            <w:vAlign w:val="bottom"/>
          </w:tcPr>
          <w:p>
            <w:pPr>
              <w:spacing w:after="0"/>
              <w:rPr>
                <w:sz w:val="12"/>
                <w:szCs w:val="12"/>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4,440</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2"/>
              </w:rPr>
              <w:t>$2,546,513</w:t>
            </w:r>
          </w:p>
        </w:tc>
        <w:tc>
          <w:tcPr>
            <w:tcW w:w="0" w:type="dxa"/>
            <w:vAlign w:val="bottom"/>
          </w:tcPr>
          <w:p>
            <w:pPr>
              <w:spacing w:after="0"/>
              <w:rPr>
                <w:sz w:val="1"/>
                <w:szCs w:val="1"/>
                <w:color w:val="auto"/>
              </w:rPr>
            </w:pPr>
          </w:p>
        </w:tc>
      </w:tr>
      <w:tr>
        <w:trPr>
          <w:trHeight w:val="209"/>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2022</w:t>
            </w: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9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For the Three Months</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w w:val="94"/>
              </w:rPr>
              <w:t>Ended September 30, 2021</w:t>
            </w: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Balance as of June 30, 2021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93,256,202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9,326</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(18,941,926)</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u w:val="single" w:color="auto"/>
                <w:color w:val="auto"/>
                <w:w w:val="95"/>
              </w:rPr>
              <w:t>$</w:t>
            </w:r>
            <w:r>
              <w:rPr>
                <w:rFonts w:ascii="Arial" w:cs="Arial" w:eastAsia="Arial" w:hAnsi="Arial"/>
                <w:sz w:val="16"/>
                <w:szCs w:val="16"/>
                <w:color w:val="auto"/>
                <w:w w:val="95"/>
              </w:rPr>
              <w:t>(586,955)</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841,190</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1,974,657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(79,856)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2,158,362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3,007</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$2,161,369</w:t>
            </w:r>
          </w:p>
        </w:tc>
        <w:tc>
          <w:tcPr>
            <w:tcW w:w="0" w:type="dxa"/>
            <w:vAlign w:val="bottom"/>
          </w:tcPr>
          <w:p>
            <w:pPr>
              <w:spacing w:after="0"/>
              <w:rPr>
                <w:sz w:val="1"/>
                <w:szCs w:val="1"/>
                <w:color w:val="auto"/>
              </w:rPr>
            </w:pPr>
          </w:p>
        </w:tc>
      </w:tr>
      <w:tr>
        <w:trPr>
          <w:trHeight w:val="220"/>
        </w:trPr>
        <w:tc>
          <w:tcPr>
            <w:tcW w:w="19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111,087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111,087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1,370</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112,457</w:t>
            </w:r>
          </w:p>
        </w:tc>
        <w:tc>
          <w:tcPr>
            <w:tcW w:w="0" w:type="dxa"/>
            <w:vAlign w:val="bottom"/>
          </w:tcPr>
          <w:p>
            <w:pPr>
              <w:spacing w:after="0"/>
              <w:rPr>
                <w:sz w:val="1"/>
                <w:szCs w:val="1"/>
                <w:color w:val="auto"/>
              </w:rPr>
            </w:pPr>
          </w:p>
        </w:tc>
      </w:tr>
      <w:tr>
        <w:trPr>
          <w:trHeight w:val="246"/>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6"/>
              </w:rPr>
              <w:t>Other comprehensive loss</w:t>
            </w: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w:t>
            </w:r>
          </w:p>
        </w:tc>
        <w:tc>
          <w:tcPr>
            <w:tcW w:w="0" w:type="dxa"/>
            <w:vAlign w:val="bottom"/>
          </w:tcPr>
          <w:p>
            <w:pPr>
              <w:spacing w:after="0"/>
              <w:rPr>
                <w:sz w:val="1"/>
                <w:szCs w:val="1"/>
                <w:color w:val="auto"/>
              </w:rPr>
            </w:pPr>
          </w:p>
        </w:tc>
      </w:tr>
      <w:tr>
        <w:trPr>
          <w:trHeight w:val="220"/>
        </w:trPr>
        <w:tc>
          <w:tcPr>
            <w:tcW w:w="1960" w:type="dxa"/>
            <w:vAlign w:val="bottom"/>
          </w:tcPr>
          <w:p>
            <w:pPr>
              <w:ind w:left="140"/>
              <w:spacing w:after="0"/>
              <w:rPr>
                <w:sz w:val="20"/>
                <w:szCs w:val="20"/>
                <w:color w:val="auto"/>
              </w:rPr>
            </w:pPr>
            <w:r>
              <w:rPr>
                <w:rFonts w:ascii="Arial" w:cs="Arial" w:eastAsia="Arial" w:hAnsi="Arial"/>
                <w:sz w:val="16"/>
                <w:szCs w:val="16"/>
                <w:color w:val="auto"/>
              </w:rPr>
              <w:t>Non-cash stock-based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Pr>
          <w:p>
            <w:pPr>
              <w:ind w:left="140"/>
              <w:spacing w:after="0"/>
              <w:rPr>
                <w:sz w:val="20"/>
                <w:szCs w:val="20"/>
                <w:color w:val="auto"/>
              </w:rPr>
            </w:pPr>
            <w:r>
              <w:rPr>
                <w:rFonts w:ascii="Arial" w:cs="Arial" w:eastAsia="Arial" w:hAnsi="Arial"/>
                <w:sz w:val="16"/>
                <w:szCs w:val="16"/>
                <w:color w:val="auto"/>
              </w:rPr>
              <w:t>compensation</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6,073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6,073</w:t>
            </w: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Forfeiture of restricted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net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960" w:type="dxa"/>
            <w:vAlign w:val="bottom"/>
          </w:tcPr>
          <w:p>
            <w:pPr>
              <w:ind w:left="140"/>
              <w:spacing w:after="0"/>
              <w:rPr>
                <w:sz w:val="20"/>
                <w:szCs w:val="20"/>
                <w:color w:val="auto"/>
              </w:rPr>
            </w:pPr>
            <w:r>
              <w:rPr>
                <w:rFonts w:ascii="Arial" w:cs="Arial" w:eastAsia="Arial" w:hAnsi="Arial"/>
                <w:sz w:val="16"/>
                <w:szCs w:val="16"/>
                <w:color w:val="auto"/>
                <w:w w:val="97"/>
              </w:rPr>
              <w:t>Shares withheld for taxes,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Pr>
          <w:p>
            <w:pPr>
              <w:ind w:left="140"/>
              <w:spacing w:after="0"/>
              <w:rPr>
                <w:sz w:val="20"/>
                <w:szCs w:val="20"/>
                <w:color w:val="auto"/>
              </w:rPr>
            </w:pPr>
            <w:r>
              <w:rPr>
                <w:rFonts w:ascii="Arial" w:cs="Arial" w:eastAsia="Arial" w:hAnsi="Arial"/>
                <w:sz w:val="16"/>
                <w:szCs w:val="16"/>
                <w:color w:val="auto"/>
                <w:w w:val="90"/>
              </w:rPr>
              <w:t>net of other stock issuances</w:t>
            </w:r>
          </w:p>
        </w:tc>
        <w:tc>
          <w:tcPr>
            <w:tcW w:w="80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 to non-</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controlling interests</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46"/>
        </w:trPr>
        <w:tc>
          <w:tcPr>
            <w:tcW w:w="1960" w:type="dxa"/>
            <w:vAlign w:val="bottom"/>
          </w:tcPr>
          <w:p>
            <w:pPr>
              <w:ind w:left="20"/>
              <w:spacing w:after="0" w:line="146" w:lineRule="exact"/>
              <w:rPr>
                <w:sz w:val="20"/>
                <w:szCs w:val="20"/>
                <w:color w:val="auto"/>
              </w:rPr>
            </w:pPr>
            <w:r>
              <w:rPr>
                <w:rFonts w:ascii="Arial" w:cs="Arial" w:eastAsia="Arial" w:hAnsi="Arial"/>
                <w:sz w:val="16"/>
                <w:szCs w:val="16"/>
                <w:color w:val="auto"/>
                <w:w w:val="93"/>
              </w:rPr>
              <w:t>Balance as of September 30,</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93,246,800</w:t>
            </w:r>
          </w:p>
        </w:tc>
        <w:tc>
          <w:tcPr>
            <w:tcW w:w="8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9"/>
              </w:rPr>
              <w:t>9,325</w:t>
            </w:r>
          </w:p>
        </w:tc>
        <w:tc>
          <w:tcPr>
            <w:tcW w:w="80" w:type="dxa"/>
            <w:vAlign w:val="bottom"/>
          </w:tcPr>
          <w:p>
            <w:pPr>
              <w:spacing w:after="0"/>
              <w:rPr>
                <w:sz w:val="12"/>
                <w:szCs w:val="12"/>
                <w:color w:val="auto"/>
              </w:rPr>
            </w:pPr>
          </w:p>
        </w:tc>
        <w:tc>
          <w:tcPr>
            <w:tcW w:w="8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w w:val="90"/>
              </w:rPr>
              <w:t>(18,941,926)</w:t>
            </w:r>
          </w:p>
        </w:tc>
        <w:tc>
          <w:tcPr>
            <w:tcW w:w="100" w:type="dxa"/>
            <w:vAlign w:val="bottom"/>
          </w:tcPr>
          <w:p>
            <w:pPr>
              <w:spacing w:after="0"/>
              <w:rPr>
                <w:sz w:val="12"/>
                <w:szCs w:val="12"/>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u w:val="single" w:color="auto"/>
                <w:color w:val="auto"/>
                <w:w w:val="95"/>
              </w:rPr>
              <w:t>$</w:t>
            </w:r>
            <w:r>
              <w:rPr>
                <w:rFonts w:ascii="Arial" w:cs="Arial" w:eastAsia="Arial" w:hAnsi="Arial"/>
                <w:sz w:val="16"/>
                <w:szCs w:val="16"/>
                <w:color w:val="auto"/>
                <w:w w:val="95"/>
              </w:rPr>
              <w:t>(586,955)</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847,242</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2,085,744</w:t>
            </w:r>
          </w:p>
        </w:tc>
        <w:tc>
          <w:tcPr>
            <w:tcW w:w="80" w:type="dxa"/>
            <w:vAlign w:val="bottom"/>
          </w:tcPr>
          <w:p>
            <w:pPr>
              <w:spacing w:after="0"/>
              <w:rPr>
                <w:sz w:val="12"/>
                <w:szCs w:val="12"/>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(82,175)</w:t>
            </w:r>
          </w:p>
        </w:tc>
        <w:tc>
          <w:tcPr>
            <w:tcW w:w="80" w:type="dxa"/>
            <w:vAlign w:val="bottom"/>
          </w:tcPr>
          <w:p>
            <w:pPr>
              <w:spacing w:after="0"/>
              <w:rPr>
                <w:sz w:val="12"/>
                <w:szCs w:val="12"/>
                <w:color w:val="auto"/>
              </w:rPr>
            </w:pPr>
          </w:p>
        </w:tc>
        <w:tc>
          <w:tcPr>
            <w:tcW w:w="18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2,273,181</w:t>
            </w:r>
          </w:p>
        </w:tc>
        <w:tc>
          <w:tcPr>
            <w:tcW w:w="80" w:type="dxa"/>
            <w:vAlign w:val="bottom"/>
          </w:tcPr>
          <w:p>
            <w:pPr>
              <w:spacing w:after="0"/>
              <w:rPr>
                <w:sz w:val="12"/>
                <w:szCs w:val="12"/>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4,301</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2"/>
              </w:rPr>
              <w:t>$2,277,482</w:t>
            </w:r>
          </w:p>
        </w:tc>
        <w:tc>
          <w:tcPr>
            <w:tcW w:w="0" w:type="dxa"/>
            <w:vAlign w:val="bottom"/>
          </w:tcPr>
          <w:p>
            <w:pPr>
              <w:spacing w:after="0"/>
              <w:rPr>
                <w:sz w:val="1"/>
                <w:szCs w:val="1"/>
                <w:color w:val="auto"/>
              </w:rPr>
            </w:pPr>
          </w:p>
        </w:tc>
      </w:tr>
      <w:tr>
        <w:trPr>
          <w:trHeight w:val="214"/>
        </w:trPr>
        <w:tc>
          <w:tcPr>
            <w:tcW w:w="1960" w:type="dxa"/>
            <w:vAlign w:val="bottom"/>
          </w:tcPr>
          <w:p>
            <w:pPr>
              <w:ind w:left="20"/>
              <w:spacing w:after="0"/>
              <w:rPr>
                <w:sz w:val="20"/>
                <w:szCs w:val="20"/>
                <w:color w:val="auto"/>
              </w:rPr>
            </w:pPr>
            <w:r>
              <w:rPr>
                <w:rFonts w:ascii="Arial" w:cs="Arial" w:eastAsia="Arial" w:hAnsi="Arial"/>
                <w:sz w:val="16"/>
                <w:szCs w:val="16"/>
                <w:color w:val="auto"/>
              </w:rPr>
              <w:t>2021</w:t>
            </w: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CONSOLIDATED STATEMENTS OF EQUITY</w:t>
      </w:r>
    </w:p>
    <w:p>
      <w:pPr>
        <w:spacing w:after="0" w:line="8"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(unaudited - in thousands, except shares)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1540" w:type="dxa"/>
            <w:vAlign w:val="bottom"/>
            <w:gridSpan w:val="4"/>
            <w:vMerge w:val="restart"/>
          </w:tcPr>
          <w:p>
            <w:pPr>
              <w:ind w:left="220"/>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6"/>
                <w:szCs w:val="16"/>
                <w:color w:val="auto"/>
              </w:rPr>
            </w:pPr>
          </w:p>
        </w:tc>
        <w:tc>
          <w:tcPr>
            <w:tcW w:w="1720" w:type="dxa"/>
            <w:vAlign w:val="bottom"/>
            <w:gridSpan w:val="3"/>
            <w:vMerge w:val="restart"/>
          </w:tcPr>
          <w:p>
            <w:pPr>
              <w:jc w:val="right"/>
              <w:ind w:right="259"/>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6"/>
                <w:szCs w:val="16"/>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960" w:type="dxa"/>
            <w:vAlign w:val="bottom"/>
          </w:tcPr>
          <w:p>
            <w:pPr>
              <w:spacing w:after="0"/>
              <w:rPr>
                <w:sz w:val="14"/>
                <w:szCs w:val="14"/>
                <w:color w:val="auto"/>
              </w:rPr>
            </w:pPr>
          </w:p>
        </w:tc>
        <w:tc>
          <w:tcPr>
            <w:tcW w:w="154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00"/>
              <w:spacing w:after="0" w:line="142" w:lineRule="exact"/>
              <w:rPr>
                <w:sz w:val="20"/>
                <w:szCs w:val="20"/>
                <w:color w:val="auto"/>
              </w:rPr>
            </w:pPr>
            <w:r>
              <w:rPr>
                <w:rFonts w:ascii="Arial" w:cs="Arial" w:eastAsia="Arial" w:hAnsi="Arial"/>
                <w:sz w:val="16"/>
                <w:szCs w:val="16"/>
                <w:b w:val="1"/>
                <w:bCs w:val="1"/>
                <w:color w:val="auto"/>
                <w:w w:val="98"/>
              </w:rPr>
              <w:t>Other</w:t>
            </w:r>
          </w:p>
        </w:tc>
        <w:tc>
          <w:tcPr>
            <w:tcW w:w="1080" w:type="dxa"/>
            <w:vAlign w:val="bottom"/>
            <w:gridSpan w:val="3"/>
          </w:tcPr>
          <w:p>
            <w:pPr>
              <w:jc w:val="center"/>
              <w:ind w:right="80"/>
              <w:spacing w:after="0" w:line="142" w:lineRule="exact"/>
              <w:rPr>
                <w:sz w:val="20"/>
                <w:szCs w:val="20"/>
                <w:color w:val="auto"/>
              </w:rPr>
            </w:pPr>
            <w:r>
              <w:rPr>
                <w:rFonts w:ascii="Arial" w:cs="Arial" w:eastAsia="Arial" w:hAnsi="Arial"/>
                <w:sz w:val="16"/>
                <w:szCs w:val="16"/>
                <w:b w:val="1"/>
                <w:bCs w:val="1"/>
                <w:color w:val="auto"/>
                <w:w w:val="92"/>
              </w:rPr>
              <w:t>MasTec, Inc.</w:t>
            </w: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Shares</w:t>
            </w:r>
          </w:p>
        </w:tc>
        <w:tc>
          <w:tcPr>
            <w:tcW w:w="7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9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Shares</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2"/>
                <w:szCs w:val="12"/>
                <w:color w:val="auto"/>
              </w:rPr>
            </w:pPr>
          </w:p>
        </w:tc>
        <w:tc>
          <w:tcPr>
            <w:tcW w:w="800" w:type="dxa"/>
            <w:vAlign w:val="bottom"/>
            <w:gridSpan w:val="2"/>
          </w:tcPr>
          <w:p>
            <w:pPr>
              <w:ind w:left="60"/>
              <w:spacing w:after="0" w:line="142" w:lineRule="exact"/>
              <w:rPr>
                <w:sz w:val="20"/>
                <w:szCs w:val="20"/>
                <w:color w:val="auto"/>
              </w:rPr>
            </w:pPr>
            <w:r>
              <w:rPr>
                <w:rFonts w:ascii="Arial" w:cs="Arial" w:eastAsia="Arial" w:hAnsi="Arial"/>
                <w:sz w:val="16"/>
                <w:szCs w:val="16"/>
                <w:b w:val="1"/>
                <w:bCs w:val="1"/>
                <w:color w:val="auto"/>
              </w:rPr>
              <w:t>Capital</w:t>
            </w:r>
          </w:p>
        </w:tc>
        <w:tc>
          <w:tcPr>
            <w:tcW w:w="900" w:type="dxa"/>
            <w:vAlign w:val="bottom"/>
            <w:gridSpan w:val="2"/>
          </w:tcPr>
          <w:p>
            <w:pPr>
              <w:ind w:left="100"/>
              <w:spacing w:after="0" w:line="142" w:lineRule="exact"/>
              <w:rPr>
                <w:sz w:val="20"/>
                <w:szCs w:val="20"/>
                <w:color w:val="auto"/>
              </w:rPr>
            </w:pPr>
            <w:r>
              <w:rPr>
                <w:rFonts w:ascii="Arial" w:cs="Arial" w:eastAsia="Arial" w:hAnsi="Arial"/>
                <w:sz w:val="16"/>
                <w:szCs w:val="16"/>
                <w:b w:val="1"/>
                <w:bCs w:val="1"/>
                <w:color w:val="auto"/>
              </w:rPr>
              <w:t>Retained</w:t>
            </w:r>
          </w:p>
        </w:tc>
        <w:tc>
          <w:tcPr>
            <w:tcW w:w="1220" w:type="dxa"/>
            <w:vAlign w:val="bottom"/>
            <w:gridSpan w:val="3"/>
          </w:tcPr>
          <w:p>
            <w:pPr>
              <w:ind w:left="40"/>
              <w:spacing w:after="0" w:line="142" w:lineRule="exact"/>
              <w:rPr>
                <w:sz w:val="20"/>
                <w:szCs w:val="20"/>
                <w:color w:val="auto"/>
              </w:rPr>
            </w:pPr>
            <w:r>
              <w:rPr>
                <w:rFonts w:ascii="Arial" w:cs="Arial" w:eastAsia="Arial" w:hAnsi="Arial"/>
                <w:sz w:val="16"/>
                <w:szCs w:val="16"/>
                <w:b w:val="1"/>
                <w:bCs w:val="1"/>
                <w:color w:val="auto"/>
                <w:w w:val="96"/>
              </w:rPr>
              <w:t>Comprehensive</w:t>
            </w:r>
          </w:p>
        </w:tc>
        <w:tc>
          <w:tcPr>
            <w:tcW w:w="108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w w:val="97"/>
              </w:rPr>
              <w:t>Shareholders’</w:t>
            </w:r>
          </w:p>
        </w:tc>
        <w:tc>
          <w:tcPr>
            <w:tcW w:w="940" w:type="dxa"/>
            <w:vAlign w:val="bottom"/>
            <w:gridSpan w:val="3"/>
          </w:tcPr>
          <w:p>
            <w:pPr>
              <w:ind w:left="40"/>
              <w:spacing w:after="0" w:line="142" w:lineRule="exact"/>
              <w:rPr>
                <w:sz w:val="20"/>
                <w:szCs w:val="20"/>
                <w:color w:val="auto"/>
              </w:rPr>
            </w:pPr>
            <w:r>
              <w:rPr>
                <w:rFonts w:ascii="Arial" w:cs="Arial" w:eastAsia="Arial" w:hAnsi="Arial"/>
                <w:sz w:val="16"/>
                <w:szCs w:val="16"/>
                <w:b w:val="1"/>
                <w:bCs w:val="1"/>
                <w:color w:val="auto"/>
              </w:rPr>
              <w:t>Controlling</w:t>
            </w:r>
          </w:p>
        </w:tc>
        <w:tc>
          <w:tcPr>
            <w:tcW w:w="82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b w:val="1"/>
                <w:bCs w:val="1"/>
                <w:color w:val="auto"/>
              </w:rPr>
              <w:t>Surplus</w:t>
            </w: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0"/>
              </w:rPr>
              <w:t>Loss</w:t>
            </w:r>
          </w:p>
        </w:tc>
        <w:tc>
          <w:tcPr>
            <w:tcW w:w="18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Equity</w:t>
            </w:r>
          </w:p>
        </w:tc>
        <w:tc>
          <w:tcPr>
            <w:tcW w:w="12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Interests</w:t>
            </w: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For the Nine Months</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4"/>
              </w:rPr>
              <w:t>Ended September 30, 2022</w:t>
            </w:r>
          </w:p>
        </w:tc>
        <w:tc>
          <w:tcPr>
            <w:tcW w:w="8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960" w:type="dxa"/>
            <w:vAlign w:val="bottom"/>
          </w:tcPr>
          <w:p>
            <w:pPr>
              <w:ind w:left="20"/>
              <w:spacing w:after="0" w:line="146" w:lineRule="exact"/>
              <w:rPr>
                <w:sz w:val="20"/>
                <w:szCs w:val="20"/>
                <w:color w:val="auto"/>
              </w:rPr>
            </w:pPr>
            <w:r>
              <w:rPr>
                <w:rFonts w:ascii="Arial" w:cs="Arial" w:eastAsia="Arial" w:hAnsi="Arial"/>
                <w:sz w:val="16"/>
                <w:szCs w:val="16"/>
                <w:color w:val="auto"/>
                <w:w w:val="95"/>
              </w:rPr>
              <w:t>Balance as of December 31,</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89"/>
              </w:rPr>
              <w:t>95,371,211</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w w:val="99"/>
              </w:rPr>
              <w:t>9,537</w:t>
            </w:r>
          </w:p>
        </w:tc>
        <w:tc>
          <w:tcPr>
            <w:tcW w:w="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w w:val="90"/>
              </w:rPr>
              <w:t>(18,941,926)</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(586,955)</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w w:val="89"/>
              </w:rPr>
              <w:t>1,033,615</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2,162,388</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(78,776)</w:t>
            </w: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2,539,809</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4,052</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w w:val="92"/>
              </w:rPr>
              <w:t>$2,543,861</w:t>
            </w:r>
          </w:p>
        </w:tc>
        <w:tc>
          <w:tcPr>
            <w:tcW w:w="0" w:type="dxa"/>
            <w:vAlign w:val="bottom"/>
          </w:tcPr>
          <w:p>
            <w:pPr>
              <w:spacing w:after="0"/>
              <w:rPr>
                <w:sz w:val="1"/>
                <w:szCs w:val="1"/>
                <w:color w:val="auto"/>
              </w:rPr>
            </w:pPr>
          </w:p>
        </w:tc>
      </w:tr>
      <w:tr>
        <w:trPr>
          <w:trHeight w:val="209"/>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2021</w:t>
            </w: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30,518</w:t>
            </w:r>
          </w:p>
        </w:tc>
        <w:tc>
          <w:tcPr>
            <w:tcW w:w="0" w:type="dxa"/>
            <w:vAlign w:val="bottom"/>
          </w:tcPr>
          <w:p>
            <w:pPr>
              <w:spacing w:after="0"/>
              <w:rPr>
                <w:sz w:val="1"/>
                <w:szCs w:val="1"/>
                <w:color w:val="auto"/>
              </w:rPr>
            </w:pPr>
          </w:p>
        </w:tc>
      </w:tr>
      <w:tr>
        <w:trPr>
          <w:trHeight w:val="220"/>
        </w:trPr>
        <w:tc>
          <w:tcPr>
            <w:tcW w:w="1960" w:type="dxa"/>
            <w:vAlign w:val="bottom"/>
          </w:tcPr>
          <w:p>
            <w:pPr>
              <w:ind w:left="140"/>
              <w:spacing w:after="0"/>
              <w:rPr>
                <w:sz w:val="20"/>
                <w:szCs w:val="20"/>
                <w:color w:val="auto"/>
              </w:rPr>
            </w:pPr>
            <w:r>
              <w:rPr>
                <w:rFonts w:ascii="Arial" w:cs="Arial" w:eastAsia="Arial" w:hAnsi="Arial"/>
                <w:sz w:val="16"/>
                <w:szCs w:val="16"/>
                <w:color w:val="auto"/>
              </w:rPr>
              <w:t>Other comprehensive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Pr>
          <w:p>
            <w:pPr>
              <w:ind w:left="140"/>
              <w:spacing w:after="0"/>
              <w:rPr>
                <w:sz w:val="20"/>
                <w:szCs w:val="20"/>
                <w:color w:val="auto"/>
              </w:rPr>
            </w:pPr>
            <w:r>
              <w:rPr>
                <w:rFonts w:ascii="Arial" w:cs="Arial" w:eastAsia="Arial" w:hAnsi="Arial"/>
                <w:sz w:val="16"/>
                <w:szCs w:val="16"/>
                <w:color w:val="auto"/>
              </w:rPr>
              <w:t>income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27,455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27,455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27,455</w:t>
            </w: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stock-based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18,870</w:t>
            </w:r>
          </w:p>
        </w:tc>
        <w:tc>
          <w:tcPr>
            <w:tcW w:w="0" w:type="dxa"/>
            <w:vAlign w:val="bottom"/>
          </w:tcPr>
          <w:p>
            <w:pPr>
              <w:spacing w:after="0"/>
              <w:rPr>
                <w:sz w:val="1"/>
                <w:szCs w:val="1"/>
                <w:color w:val="auto"/>
              </w:rPr>
            </w:pPr>
          </w:p>
        </w:tc>
      </w:tr>
      <w:tr>
        <w:trPr>
          <w:trHeight w:val="220"/>
        </w:trPr>
        <w:tc>
          <w:tcPr>
            <w:tcW w:w="1960" w:type="dxa"/>
            <w:vAlign w:val="bottom"/>
          </w:tcPr>
          <w:p>
            <w:pPr>
              <w:ind w:left="140"/>
              <w:spacing w:after="0"/>
              <w:rPr>
                <w:sz w:val="20"/>
                <w:szCs w:val="20"/>
                <w:color w:val="auto"/>
              </w:rPr>
            </w:pPr>
            <w:r>
              <w:rPr>
                <w:rFonts w:ascii="Arial" w:cs="Arial" w:eastAsia="Arial" w:hAnsi="Arial"/>
                <w:sz w:val="16"/>
                <w:szCs w:val="16"/>
                <w:color w:val="auto"/>
              </w:rPr>
              <w:t>Issuance of restricted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Pr>
          <w:p>
            <w:pPr>
              <w:ind w:left="140"/>
              <w:spacing w:after="0"/>
              <w:rPr>
                <w:sz w:val="20"/>
                <w:szCs w:val="20"/>
                <w:color w:val="auto"/>
              </w:rPr>
            </w:pPr>
            <w:r>
              <w:rPr>
                <w:rFonts w:ascii="Arial" w:cs="Arial" w:eastAsia="Arial" w:hAnsi="Arial"/>
                <w:sz w:val="16"/>
                <w:szCs w:val="16"/>
                <w:color w:val="auto"/>
              </w:rPr>
              <w:t>shares, net</w:t>
            </w:r>
          </w:p>
        </w:tc>
        <w:tc>
          <w:tcPr>
            <w:tcW w:w="800" w:type="dxa"/>
            <w:vAlign w:val="bottom"/>
          </w:tcPr>
          <w:p>
            <w:pPr>
              <w:jc w:val="right"/>
              <w:spacing w:after="0"/>
              <w:rPr>
                <w:sz w:val="20"/>
                <w:szCs w:val="20"/>
                <w:color w:val="auto"/>
              </w:rPr>
            </w:pPr>
            <w:r>
              <w:rPr>
                <w:rFonts w:ascii="Arial" w:cs="Arial" w:eastAsia="Arial" w:hAnsi="Arial"/>
                <w:sz w:val="16"/>
                <w:szCs w:val="16"/>
                <w:color w:val="auto"/>
              </w:rPr>
              <w:t>145,450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Shares withheld for taxes,</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0"/>
              </w:rPr>
              <w:t>net of other stock issuances</w:t>
            </w:r>
          </w:p>
        </w:tc>
        <w:tc>
          <w:tcPr>
            <w:tcW w:w="8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3"/>
              </w:rPr>
              <w:t>(49,016)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(4,122)</w:t>
            </w:r>
          </w:p>
        </w:tc>
        <w:tc>
          <w:tcPr>
            <w:tcW w:w="0" w:type="dxa"/>
            <w:vAlign w:val="bottom"/>
          </w:tcPr>
          <w:p>
            <w:pPr>
              <w:spacing w:after="0"/>
              <w:rPr>
                <w:sz w:val="1"/>
                <w:szCs w:val="1"/>
                <w:color w:val="auto"/>
              </w:rPr>
            </w:pPr>
          </w:p>
        </w:tc>
      </w:tr>
      <w:tr>
        <w:trPr>
          <w:trHeight w:val="220"/>
        </w:trPr>
        <w:tc>
          <w:tcPr>
            <w:tcW w:w="1960" w:type="dxa"/>
            <w:vAlign w:val="bottom"/>
          </w:tcPr>
          <w:p>
            <w:pPr>
              <w:ind w:left="140"/>
              <w:spacing w:after="0"/>
              <w:rPr>
                <w:sz w:val="20"/>
                <w:szCs w:val="20"/>
                <w:color w:val="auto"/>
              </w:rPr>
            </w:pPr>
            <w:r>
              <w:rPr>
                <w:rFonts w:ascii="Arial" w:cs="Arial" w:eastAsia="Arial" w:hAnsi="Arial"/>
                <w:sz w:val="16"/>
                <w:szCs w:val="16"/>
                <w:color w:val="auto"/>
              </w:rPr>
              <w:t>Acquisition of treasury</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Pr>
          <w:p>
            <w:pPr>
              <w:ind w:left="140"/>
              <w:spacing w:after="0"/>
              <w:rPr>
                <w:sz w:val="20"/>
                <w:szCs w:val="20"/>
                <w:color w:val="auto"/>
              </w:rPr>
            </w:pPr>
            <w:r>
              <w:rPr>
                <w:rFonts w:ascii="Arial" w:cs="Arial" w:eastAsia="Arial" w:hAnsi="Arial"/>
                <w:sz w:val="16"/>
                <w:szCs w:val="16"/>
                <w:color w:val="auto"/>
              </w:rPr>
              <w:t>stock, at cost</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(1,124,286)</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(81,291)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(81,291)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(81,291)</w:t>
            </w: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shares in</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4"/>
              </w:rPr>
              <w:t>connection with acquisition</w:t>
            </w: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133,157</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4,336</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6,886</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11,222</w:t>
            </w:r>
          </w:p>
        </w:tc>
        <w:tc>
          <w:tcPr>
            <w:tcW w:w="0" w:type="dxa"/>
            <w:vAlign w:val="bottom"/>
          </w:tcPr>
          <w:p>
            <w:pPr>
              <w:spacing w:after="0"/>
              <w:rPr>
                <w:sz w:val="1"/>
                <w:szCs w:val="1"/>
                <w:color w:val="auto"/>
              </w:rPr>
            </w:pPr>
          </w:p>
        </w:tc>
      </w:tr>
      <w:tr>
        <w:trPr>
          <w:trHeight w:val="146"/>
        </w:trPr>
        <w:tc>
          <w:tcPr>
            <w:tcW w:w="1960" w:type="dxa"/>
            <w:vAlign w:val="bottom"/>
          </w:tcPr>
          <w:p>
            <w:pPr>
              <w:ind w:left="20"/>
              <w:spacing w:after="0" w:line="146" w:lineRule="exact"/>
              <w:rPr>
                <w:sz w:val="20"/>
                <w:szCs w:val="20"/>
                <w:color w:val="auto"/>
              </w:rPr>
            </w:pPr>
            <w:r>
              <w:rPr>
                <w:rFonts w:ascii="Arial" w:cs="Arial" w:eastAsia="Arial" w:hAnsi="Arial"/>
                <w:sz w:val="16"/>
                <w:szCs w:val="16"/>
                <w:color w:val="auto"/>
                <w:w w:val="93"/>
              </w:rPr>
              <w:t>Balance as of September 30,</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89"/>
              </w:rPr>
              <w:t>95,467,645</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w w:val="99"/>
              </w:rPr>
              <w:t>9,547</w:t>
            </w:r>
          </w:p>
        </w:tc>
        <w:tc>
          <w:tcPr>
            <w:tcW w:w="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w w:val="90"/>
              </w:rPr>
              <w:t>(19,933,055)</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(663,910)</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w w:val="89"/>
              </w:rPr>
              <w:t>1,055,239</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2,192,518</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(51,321)</w:t>
            </w: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2,542,073</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4,440</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w w:val="92"/>
              </w:rPr>
              <w:t>$2,546,513</w:t>
            </w:r>
          </w:p>
        </w:tc>
        <w:tc>
          <w:tcPr>
            <w:tcW w:w="0" w:type="dxa"/>
            <w:vAlign w:val="bottom"/>
          </w:tcPr>
          <w:p>
            <w:pPr>
              <w:spacing w:after="0"/>
              <w:rPr>
                <w:sz w:val="1"/>
                <w:szCs w:val="1"/>
                <w:color w:val="auto"/>
              </w:rPr>
            </w:pPr>
          </w:p>
        </w:tc>
      </w:tr>
      <w:tr>
        <w:trPr>
          <w:trHeight w:val="209"/>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2022</w:t>
            </w: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9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For the Nine Months</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w w:val="94"/>
              </w:rPr>
              <w:t>Ended September 30, 2021</w:t>
            </w: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5"/>
              </w:rPr>
              <w:t>Balance as of December 31,</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93,107,440</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9,311</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0"/>
              </w:rPr>
              <w:t>(18,941,926)</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(586,955)</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837,453</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1,833,557</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(91,444)</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2,001,922</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$2,005,525</w:t>
            </w:r>
          </w:p>
        </w:tc>
        <w:tc>
          <w:tcPr>
            <w:tcW w:w="0" w:type="dxa"/>
            <w:vAlign w:val="bottom"/>
          </w:tcPr>
          <w:p>
            <w:pPr>
              <w:spacing w:after="0"/>
              <w:rPr>
                <w:sz w:val="1"/>
                <w:szCs w:val="1"/>
                <w:color w:val="auto"/>
              </w:rPr>
            </w:pP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252,187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252,187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2,147</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254,334</w:t>
            </w: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9,269</w:t>
            </w:r>
          </w:p>
        </w:tc>
        <w:tc>
          <w:tcPr>
            <w:tcW w:w="0" w:type="dxa"/>
            <w:vAlign w:val="bottom"/>
          </w:tcPr>
          <w:p>
            <w:pPr>
              <w:spacing w:after="0"/>
              <w:rPr>
                <w:sz w:val="1"/>
                <w:szCs w:val="1"/>
                <w:color w:val="auto"/>
              </w:rPr>
            </w:pPr>
          </w:p>
        </w:tc>
      </w:tr>
      <w:tr>
        <w:trPr>
          <w:trHeight w:val="220"/>
        </w:trPr>
        <w:tc>
          <w:tcPr>
            <w:tcW w:w="1960" w:type="dxa"/>
            <w:vAlign w:val="bottom"/>
          </w:tcPr>
          <w:p>
            <w:pPr>
              <w:ind w:left="140"/>
              <w:spacing w:after="0"/>
              <w:rPr>
                <w:sz w:val="20"/>
                <w:szCs w:val="20"/>
                <w:color w:val="auto"/>
              </w:rPr>
            </w:pPr>
            <w:r>
              <w:rPr>
                <w:rFonts w:ascii="Arial" w:cs="Arial" w:eastAsia="Arial" w:hAnsi="Arial"/>
                <w:sz w:val="16"/>
                <w:szCs w:val="16"/>
                <w:color w:val="auto"/>
              </w:rPr>
              <w:t>Non-cash stock-based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Pr>
          <w:p>
            <w:pPr>
              <w:ind w:left="140"/>
              <w:spacing w:after="0"/>
              <w:rPr>
                <w:sz w:val="20"/>
                <w:szCs w:val="20"/>
                <w:color w:val="auto"/>
              </w:rPr>
            </w:pPr>
            <w:r>
              <w:rPr>
                <w:rFonts w:ascii="Arial" w:cs="Arial" w:eastAsia="Arial" w:hAnsi="Arial"/>
                <w:sz w:val="16"/>
                <w:szCs w:val="16"/>
                <w:color w:val="auto"/>
              </w:rPr>
              <w:t>compensation</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17,673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17,673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17,673</w:t>
            </w: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restricted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net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960" w:type="dxa"/>
            <w:vAlign w:val="bottom"/>
          </w:tcPr>
          <w:p>
            <w:pPr>
              <w:ind w:left="140"/>
              <w:spacing w:after="0"/>
              <w:rPr>
                <w:sz w:val="20"/>
                <w:szCs w:val="20"/>
                <w:color w:val="auto"/>
              </w:rPr>
            </w:pPr>
            <w:r>
              <w:rPr>
                <w:rFonts w:ascii="Arial" w:cs="Arial" w:eastAsia="Arial" w:hAnsi="Arial"/>
                <w:sz w:val="16"/>
                <w:szCs w:val="16"/>
                <w:color w:val="auto"/>
                <w:w w:val="95"/>
              </w:rPr>
              <w:t>Other stock issuances, net</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Pr>
          <w:p>
            <w:pPr>
              <w:ind w:left="140"/>
              <w:spacing w:after="0"/>
              <w:rPr>
                <w:sz w:val="20"/>
                <w:szCs w:val="20"/>
                <w:color w:val="auto"/>
              </w:rPr>
            </w:pPr>
            <w:r>
              <w:rPr>
                <w:rFonts w:ascii="Arial" w:cs="Arial" w:eastAsia="Arial" w:hAnsi="Arial"/>
                <w:sz w:val="16"/>
                <w:szCs w:val="16"/>
                <w:color w:val="auto"/>
                <w:w w:val="92"/>
              </w:rPr>
              <w:t>of shares withheld for taxes</w:t>
            </w:r>
          </w:p>
        </w:tc>
        <w:tc>
          <w:tcPr>
            <w:tcW w:w="800" w:type="dxa"/>
            <w:vAlign w:val="bottom"/>
          </w:tcPr>
          <w:p>
            <w:pPr>
              <w:jc w:val="right"/>
              <w:spacing w:after="0"/>
              <w:rPr>
                <w:sz w:val="20"/>
                <w:szCs w:val="20"/>
                <w:color w:val="auto"/>
              </w:rPr>
            </w:pPr>
            <w:r>
              <w:rPr>
                <w:rFonts w:ascii="Arial" w:cs="Arial" w:eastAsia="Arial" w:hAnsi="Arial"/>
                <w:sz w:val="16"/>
                <w:szCs w:val="16"/>
                <w:color w:val="auto"/>
              </w:rPr>
              <w:t>7,339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(2,442)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(2,441)</w:t>
            </w: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 to non-</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controlling interests</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20"/>
        </w:trPr>
        <w:tc>
          <w:tcPr>
            <w:tcW w:w="1960" w:type="dxa"/>
            <w:vAlign w:val="bottom"/>
          </w:tcPr>
          <w:p>
            <w:pPr>
              <w:ind w:left="140"/>
              <w:spacing w:after="0"/>
              <w:rPr>
                <w:sz w:val="20"/>
                <w:szCs w:val="20"/>
                <w:color w:val="auto"/>
              </w:rPr>
            </w:pPr>
            <w:r>
              <w:rPr>
                <w:rFonts w:ascii="Arial" w:cs="Arial" w:eastAsia="Arial" w:hAnsi="Arial"/>
                <w:sz w:val="16"/>
                <w:szCs w:val="16"/>
                <w:color w:val="auto"/>
              </w:rPr>
              <w:t>Purchase of non-</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controlling interests</w:t>
            </w: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(5,429)</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(6,802)</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3"/>
              </w:rPr>
              <w:t>Balance as of September 30,</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93,246,800</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9,325</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0"/>
              </w:rPr>
              <w:t>(18,941,926)</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(586,955)</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847,242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2,085,744</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(82,175)</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2,273,181</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4,301</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$2,277,482</w:t>
            </w: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30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2"/>
              </w:rPr>
              <w:t>For the Nine Months Ended September 30,</w:t>
            </w:r>
          </w:p>
        </w:tc>
      </w:tr>
      <w:tr>
        <w:trPr>
          <w:trHeight w:val="210"/>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r>
      <w:tr>
        <w:trPr>
          <w:trHeight w:val="199"/>
        </w:trPr>
        <w:tc>
          <w:tcPr>
            <w:tcW w:w="20" w:type="dxa"/>
            <w:vAlign w:val="bottom"/>
            <w:shd w:val="clear" w:color="auto" w:fill="CCEEFF"/>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30,518</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254,334</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263,487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262,132</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54,522</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Non-cash stock-based compensation expense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18,870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17,673</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(Benefit from) provision for deferred income taxes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Equity in earnings of unconsolidated affiliates,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(19,423)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(23,585)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Gains on sales of assets,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(10,704)</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Non-cash interest expense,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2,342</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non-cash items,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(8,218)</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6"/>
                <w:szCs w:val="16"/>
                <w:color w:val="auto"/>
              </w:rPr>
              <w:t>Changes in assets and liabilities, net of acquisitions: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(59,665)</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Contract assets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(383,053)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(109,399)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11,968</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Other assets, current and long-term portion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34,060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(8,998)</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134,487</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Contract liabilities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(66,027)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(7,478)</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liabilities, current and long-term portion</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(10,753)</w:t>
            </w:r>
          </w:p>
        </w:tc>
        <w:tc>
          <w:tcPr>
            <w:tcW w:w="20" w:type="dxa"/>
            <w:vAlign w:val="bottom"/>
            <w:tcBorders>
              <w:bottom w:val="single" w:sz="8" w:color="auto"/>
            </w:tcBorders>
            <w:shd w:val="clear" w:color="auto" w:fill="CCEEFF"/>
          </w:tcPr>
          <w:p>
            <w:pPr>
              <w:spacing w:after="0"/>
              <w:rPr>
                <w:sz w:val="19"/>
                <w:szCs w:val="19"/>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8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118,671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499,097</w:t>
            </w:r>
          </w:p>
        </w:tc>
        <w:tc>
          <w:tcPr>
            <w:tcW w:w="20" w:type="dxa"/>
            <w:vAlign w:val="bottom"/>
            <w:tcBorders>
              <w:bottom w:val="single" w:sz="8" w:color="auto"/>
            </w:tcBorders>
          </w:tcPr>
          <w:p>
            <w:pPr>
              <w:spacing w:after="0"/>
              <w:rPr>
                <w:sz w:val="17"/>
                <w:szCs w:val="17"/>
                <w:color w:val="auto"/>
              </w:rPr>
            </w:pPr>
          </w:p>
        </w:tc>
      </w:tr>
      <w:tr>
        <w:trPr>
          <w:trHeight w:val="199"/>
        </w:trPr>
        <w:tc>
          <w:tcPr>
            <w:tcW w:w="20" w:type="dxa"/>
            <w:vAlign w:val="bottom"/>
            <w:shd w:val="clear" w:color="auto" w:fill="CCEEFF"/>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Cash paid for acquisitions, net of cash acquired</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(71,841)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(604,907)</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expenditures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(132,348)</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Proceeds from sale of property and equipment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47,195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25,465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Payments for other investments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(7,111)</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Proceeds from other investments</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557</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investing activities, net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20" w:type="dxa"/>
            <w:vAlign w:val="bottom"/>
            <w:shd w:val="clear" w:color="auto" w:fill="CCEEFF"/>
          </w:tcPr>
          <w:p>
            <w:pPr>
              <w:spacing w:after="0"/>
              <w:rPr>
                <w:sz w:val="19"/>
                <w:szCs w:val="19"/>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8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(241,694)</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(716,694)</w:t>
            </w:r>
          </w:p>
        </w:tc>
        <w:tc>
          <w:tcPr>
            <w:tcW w:w="20" w:type="dxa"/>
            <w:vAlign w:val="bottom"/>
            <w:tcBorders>
              <w:top w:val="single" w:sz="8" w:color="auto"/>
              <w:bottom w:val="single" w:sz="8" w:color="auto"/>
            </w:tcBorders>
          </w:tcPr>
          <w:p>
            <w:pPr>
              <w:spacing w:after="0"/>
              <w:rPr>
                <w:sz w:val="17"/>
                <w:szCs w:val="17"/>
                <w:color w:val="auto"/>
              </w:rPr>
            </w:pPr>
          </w:p>
        </w:tc>
      </w:tr>
      <w:tr>
        <w:trPr>
          <w:trHeight w:val="199"/>
        </w:trPr>
        <w:tc>
          <w:tcPr>
            <w:tcW w:w="20" w:type="dxa"/>
            <w:vAlign w:val="bottom"/>
            <w:shd w:val="clear" w:color="auto" w:fill="CCEEFF"/>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Proceeds from credit facilities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2,578,000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795,414</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Repayments of credit facilities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(2,429,583)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(606,575)</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Payments of finance lease obligations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(131,259)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(117,437)</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Repurchases of common stock</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Payments of acquisition-related contingent consideration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(35,149)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(21,675)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Payments for acquisition-related contingent 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Payments to non-controlling interests, including acquisition of interests</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(8,965)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Payments for stock-based awards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(3,795)</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financing activities, net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(2,503)</w:t>
            </w:r>
          </w:p>
        </w:tc>
        <w:tc>
          <w:tcPr>
            <w:tcW w:w="20" w:type="dxa"/>
            <w:vAlign w:val="bottom"/>
            <w:tcBorders>
              <w:bottom w:val="single" w:sz="8" w:color="auto"/>
            </w:tcBorders>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34,464</w:t>
            </w:r>
          </w:p>
        </w:tc>
        <w:tc>
          <w:tcPr>
            <w:tcW w:w="20" w:type="dxa"/>
            <w:vAlign w:val="bottom"/>
            <w:tcBorders>
              <w:bottom w:val="single" w:sz="8" w:color="auto"/>
            </w:tcBorders>
            <w:shd w:val="clear" w:color="auto" w:fill="CCEEFF"/>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6"/>
                <w:szCs w:val="16"/>
                <w:color w:val="auto"/>
              </w:rPr>
              <w:t>Effect of currency translation on cash</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7"/>
                <w:szCs w:val="17"/>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Net decrease in cash and cash equivalents</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(265,060)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(183,194)</w:t>
            </w:r>
          </w:p>
        </w:tc>
        <w:tc>
          <w:tcPr>
            <w:tcW w:w="20" w:type="dxa"/>
            <w:vAlign w:val="bottom"/>
            <w:tcBorders>
              <w:bottom w:val="single" w:sz="8" w:color="auto"/>
            </w:tcBorders>
            <w:shd w:val="clear" w:color="auto" w:fill="CCEEFF"/>
          </w:tcPr>
          <w:p>
            <w:pPr>
              <w:spacing w:after="0"/>
              <w:rPr>
                <w:sz w:val="19"/>
                <w:szCs w:val="19"/>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8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 beginning of period</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360,736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423,118</w:t>
            </w:r>
          </w:p>
        </w:tc>
        <w:tc>
          <w:tcPr>
            <w:tcW w:w="20" w:type="dxa"/>
            <w:vAlign w:val="bottom"/>
            <w:tcBorders>
              <w:bottom w:val="single" w:sz="8" w:color="auto"/>
            </w:tcBorders>
          </w:tcPr>
          <w:p>
            <w:pPr>
              <w:spacing w:after="0"/>
              <w:rPr>
                <w:sz w:val="17"/>
                <w:szCs w:val="17"/>
                <w:color w:val="auto"/>
              </w:rPr>
            </w:pPr>
          </w:p>
        </w:tc>
      </w:tr>
      <w:tr>
        <w:trPr>
          <w:trHeight w:val="210"/>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 end of period</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239,924</w:t>
            </w:r>
          </w:p>
        </w:tc>
        <w:tc>
          <w:tcPr>
            <w:tcW w:w="20" w:type="dxa"/>
            <w:vAlign w:val="bottom"/>
            <w:tcBorders>
              <w:bottom w:val="single" w:sz="8" w:color="auto"/>
            </w:tcBorders>
            <w:shd w:val="clear" w:color="auto" w:fill="CCEEFF"/>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8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Supplemental cash flow information:</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00"/>
              <w:spacing w:after="0"/>
              <w:rPr>
                <w:sz w:val="20"/>
                <w:szCs w:val="20"/>
                <w:color w:val="auto"/>
              </w:rPr>
            </w:pPr>
            <w:r>
              <w:rPr>
                <w:rFonts w:ascii="Arial" w:cs="Arial" w:eastAsia="Arial" w:hAnsi="Arial"/>
                <w:sz w:val="16"/>
                <w:szCs w:val="16"/>
                <w:color w:val="auto"/>
              </w:rPr>
              <w:t>Interest paid</w:t>
            </w:r>
          </w:p>
        </w:tc>
        <w:tc>
          <w:tcPr>
            <w:tcW w:w="320" w:type="dxa"/>
            <w:vAlign w:val="bottom"/>
          </w:tcPr>
          <w:p>
            <w:pPr>
              <w:jc w:val="right"/>
              <w:ind w:right="16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69,327</w:t>
            </w:r>
          </w:p>
        </w:tc>
        <w:tc>
          <w:tcPr>
            <w:tcW w:w="10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49,133</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paid, net of refunds</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1"/>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62,720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00" w:type="dxa"/>
            <w:vAlign w:val="bottom"/>
          </w:tcPr>
          <w:p>
            <w:pPr>
              <w:ind w:left="60"/>
              <w:spacing w:after="0"/>
              <w:rPr>
                <w:sz w:val="20"/>
                <w:szCs w:val="20"/>
                <w:color w:val="auto"/>
              </w:rPr>
            </w:pPr>
            <w:r>
              <w:rPr>
                <w:rFonts w:ascii="Arial" w:cs="Arial" w:eastAsia="Arial" w:hAnsi="Arial"/>
                <w:sz w:val="16"/>
                <w:szCs w:val="16"/>
                <w:color w:val="auto"/>
              </w:rPr>
              <w:t>Supplemental disclosure of non-cash information:</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Additions to property and equipment from finance leases</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128,337</w:t>
            </w:r>
          </w:p>
        </w:tc>
        <w:tc>
          <w:tcPr>
            <w:tcW w:w="20" w:type="dxa"/>
            <w:vAlign w:val="bottom"/>
          </w:tcPr>
          <w:p>
            <w:pPr>
              <w:spacing w:after="0"/>
              <w:rPr>
                <w:sz w:val="18"/>
                <w:szCs w:val="18"/>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11240"/>
          </w:cols>
          <w:pgMar w:left="320" w:top="774" w:right="339" w:bottom="1440"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(Unaudited)</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Business, Basis of Presentation and Significant Accounting Policies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Nature of the Business</w:t>
      </w:r>
    </w:p>
    <w:p>
      <w:pPr>
        <w:spacing w:after="0" w:line="11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power delivery services, including transmission and distribution; wireless, wireline/fiber and customer fulfillment activities; power generation, primarily from clean energy and renewable sources; pipeline infrastructure, including natural gas pipeline and distribution infrastructure; heavy civil; and industrial infrastructure. MasTec’s customers are primarily in these industries. MasTec reports its results under five reportable segments: (1) Communications; (2) Clean Energy and Infrastructure; (3) Oil and Gas; (4) Power Delivery; and (5) Other. In the first quarter of 2022, the Company began integrating the acquisition of Henkels &amp; McCoy Holdings, Inc., formerly known as Henkels &amp; McCoy Group, Inc. (“HMG”), into its operations. The HMG acquisition was completed on December 30, 2021, with its initial balance sheet reported within the Company’s Power Delivery segment. During the first quarter of 2022, the Company reported portions of HMG’s operations within its Power Delivery, Communications and Oil and Gas segments, as appropriate, and HMG’s corporate functions within its Corporate results. Accordingly, HMG’s December 31, 2021 balance sheet information was recast to conform with the new reporting structure. See Note 13 - Segments and Related Information.</w:t>
      </w:r>
    </w:p>
    <w:p>
      <w:pPr>
        <w:spacing w:after="0" w:line="7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 October 2022, MasTec completed the acquisition of Infrastructure Energy Alternatives, Inc. (“IEA”), a leading utility-scale renewable energy infrastructure solutions providers in North America. IEA has expertise in engineering, procurement, construction and other service capabilities, with long-standing relationships across a diverse customer base. The Company expects to include IEA within its Clean Energy and Infrastructure segment. See Note 3 – Acquisitions, Goodwill and Other Intangible Assets, Net, for additional information.</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2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2021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2021 contained in the Company’s 2021 Annual Report on Form 10-K (the “2021 Form 10-K”). In management’s opinion, all normal and recurring adjustments considered necessary for a fair presentation of the financial position, results of operations and cash flows for the periods presented have been included. When necessary, certain prior year amounts have been reclassified to conform with the current period presentation, including for the first quarter 2022 change in segment balance sheet information for HMG, as discussed above. In addition, in the fourth quarter of 2021, the Company updated its presentation of gains or losses, net, from the sale of property and equipment to include such amounts within general and administrative expenses. Previously, such gains or losses were included within other income or expense. 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11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except for mandatorily redeemable non-controlling interests, which are recorded within other liabilities. Net income or loss attributable to non-controlling interests is reported as a separate line item below net income or loss. The Company applies the equity method of accounting for its investments in entities for which it does not have a controlling financial interest, but over which it has the ability to exert significant influence.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Translation of Foreign Currencies</w:t>
      </w:r>
    </w:p>
    <w:p>
      <w:pPr>
        <w:spacing w:after="0" w:line="1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these consolidated financial statements, “$” means U.S. dollars unless otherwise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ind w:left="340"/>
        <w:spacing w:after="0"/>
        <w:rPr>
          <w:sz w:val="20"/>
          <w:szCs w:val="20"/>
          <w:color w:val="auto"/>
        </w:rPr>
      </w:pPr>
      <w:r>
        <w:rPr>
          <w:rFonts w:ascii="Arial" w:cs="Arial" w:eastAsia="Arial" w:hAnsi="Arial"/>
          <w:sz w:val="16"/>
          <w:szCs w:val="16"/>
          <w:b w:val="1"/>
          <w:bCs w:val="1"/>
          <w:i w:val="1"/>
          <w:iCs w:val="1"/>
          <w:color w:val="auto"/>
        </w:rPr>
        <w:t>Management Estimates</w:t>
      </w:r>
    </w:p>
    <w:p>
      <w:pPr>
        <w:spacing w:after="0" w:line="113" w:lineRule="exact"/>
        <w:rPr>
          <w:sz w:val="20"/>
          <w:szCs w:val="20"/>
          <w:color w:val="auto"/>
        </w:rPr>
      </w:pPr>
    </w:p>
    <w:p>
      <w:pPr>
        <w:jc w:val="both"/>
        <w:ind w:firstLine="175"/>
        <w:spacing w:after="0" w:line="280" w:lineRule="auto"/>
        <w:rPr>
          <w:sz w:val="20"/>
          <w:szCs w:val="20"/>
          <w:color w:val="auto"/>
        </w:rPr>
      </w:pPr>
      <w:r>
        <w:rPr>
          <w:rFonts w:ascii="Arial" w:cs="Arial" w:eastAsia="Arial" w:hAnsi="Arial"/>
          <w:sz w:val="15"/>
          <w:szCs w:val="15"/>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that management believes to be reasonable under the circumstances, including the potential future effects of macroeconomic trends and events, such as rising inflation and interest rate levels; recessionary issues; climate-related matters; market, regulatory and industry factors; global events, such as the ongoing military conflict in Ukraine; and public health matters. These estimates form the basis for making judgments about the Company’s operating results and the carrying values of assets and liabilities that are not readily apparent from other sources. While management believes that such estimates are reasonable when considered in conjunction with the Company’s consolidated financial position and results of operations taken as a whole, actual results could differ materially from these estimates.</w:t>
      </w:r>
    </w:p>
    <w:p>
      <w:pPr>
        <w:spacing w:after="0" w:line="6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intangible and other assets, acquisition-related contingent consideration and other liabilities, equity investments and long-lived assets; allowances for credit losses; asset lives used in computing depreciation and amortization; fair values of financial instruments; self-insurance liabilities; certain other accruals and allowances; income taxes; and the estimated effects of litigation and other contingencies.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General Economic, Regulatory and Market Conditions</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The Company has experienced, and may continue to experience, direct and indirect negative effects on its business and operations from negative economic, regulatory and market conditions, including recent inflationary effects on fuel prices, labor and materials costs, rising interest rates, potential recessionary impacts and supply chain disruptions that could negatively affect demand for new projects and/or delay existing project timing or cause increased project costs. The Company may also experience negative effects from possible longer-term changes in consumer and customer behavior resulting from the effects of the COVID-19 pandemic. While the adverse effects of the COVID-19 pandemic began to subside in 2022, its effects vary, and economic conditions and business activities could be disrupted in the future. The extent to which general economic, regulatory and market conditions could affect the Company’s business, operations and financial results is uncertain as it will depend upon numerous evolving factors that management may not be able to accurately predict, and, therefore, any future impacts on the Company’s business, financial condition and/or results of operations cannot be quantified or predicted with specificity.</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2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recognizes revenue from contracts with customers when, or as, control of promised services and goods is transferred to customers. The amount of revenue recognized reflects the consideration to which the Company expects to be entitled in exchange for the services and goods transferred. The Company primarily recognizes revenue over time utilizing the cost-to-cost measure of progress, which best depicts the continuous transfer of control of goods or services to the customer, and correspondingly, when performance obligations are satisfied for the related contracts.</w:t>
      </w:r>
    </w:p>
    <w:p>
      <w:pPr>
        <w:spacing w:after="0" w:line="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b w:val="1"/>
          <w:bCs w:val="1"/>
          <w:i w:val="1"/>
          <w:iCs w:val="1"/>
          <w:color w:val="auto"/>
        </w:rPr>
        <w:t xml:space="preserve">Contracts. </w:t>
      </w:r>
      <w:r>
        <w:rPr>
          <w:rFonts w:ascii="Arial" w:cs="Arial" w:eastAsia="Arial" w:hAnsi="Arial"/>
          <w:sz w:val="15"/>
          <w:szCs w:val="15"/>
          <w:color w:val="auto"/>
        </w:rPr>
        <w:t>The Company derives revenue primarily from construction projects performed under: (i) master and other service agreements, which generally provide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projects performed under master service and other service agreements totaled 52% and 37% of consolidated revenue for the three month periods ended September 30, 2022 and 2021, respectively, and totaled 54% and 35% for the nine month periods ended September 30, 2022 and 2021, respectively.</w:t>
      </w:r>
    </w:p>
    <w:p>
      <w:pPr>
        <w:spacing w:after="0" w:line="7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For certain master service and other service agreements, revenue is recognized at a point in time, primarily for install-to-the-home and certain other wireless services in the Company’s Communications segment. This is generally when the work order has been fulfilled, which is typically the same day the work is initiated. Point in time revenue accounted for approximately 4% of consolidated revenue in each of the three and nine month periods ended September 30, 2022 and 2021. Substantially all of the Company’s other revenue is recognized over time.</w:t>
      </w:r>
    </w:p>
    <w:p>
      <w:pPr>
        <w:spacing w:after="0" w:line="20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The total contract transaction price and cost estimation processes used for recognizing revenue over time under the cost-to-cost method is based on the professional knowledge and experience of the Company’s project managers, engineers, operational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the Company’s profit recognition. Changes in these factors could result in revisions to revenue in the period in which the revisions are determined, which could materially affect the Company’s consolidated results of operations for that period. Provisions for losses on uncompleted contracts are recorded in the period in which such losses are determined. For both the nine month periods ended September 30, 2022 and 2021, project profit was affected by less than 5% as a result of changes in contract estimates included in projects that were in process as of December 31, 2021 and 2020. Changes in recognized revenue, net, as a result of changes in total contract transaction price estimates, including from variable consideration, from performance obligations satisfied or partially satisfied in prior periods, for the three month periods ended September 30, 2022 and 2021 totaled net increases of approximately $3.8 million and $5.2 million, respectively. For the nine month periods ended September 30, 2022 and 2021, such changes totaled net increases of approximately $10.7 million and $36.9 million, respectively.</w:t>
      </w:r>
    </w:p>
    <w:p>
      <w:pPr>
        <w:spacing w:after="0" w:line="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Performance Obligations. </w:t>
      </w:r>
      <w:r>
        <w:rPr>
          <w:rFonts w:ascii="Arial" w:cs="Arial" w:eastAsia="Arial" w:hAnsi="Arial"/>
          <w:sz w:val="16"/>
          <w:szCs w:val="16"/>
          <w:color w:val="auto"/>
        </w:rPr>
        <w:t>A performance obligation is a contractual promise to transfer a distinct good or service to a customer. The transaction price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 is allocated to each distinct performance obligation and recognized as revenue when or as the performance obligation is satisfied. The majority of the Company’s performance obligations are completed within one year.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 w:name="page11"/>
    <w:bookmarkEnd w:id="10"/>
    <w:p>
      <w:pPr>
        <w:jc w:val="both"/>
        <w:ind w:firstLine="648"/>
        <w:spacing w:after="0" w:line="284" w:lineRule="auto"/>
        <w:rPr>
          <w:sz w:val="20"/>
          <w:szCs w:val="20"/>
          <w:color w:val="auto"/>
        </w:rPr>
      </w:pPr>
      <w:r>
        <w:rPr>
          <w:rFonts w:ascii="Arial" w:cs="Arial" w:eastAsia="Arial" w:hAnsi="Arial"/>
          <w:sz w:val="15"/>
          <w:szCs w:val="15"/>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September 30, 2022, the amount of the Company’s remaining performance obligations was $5.3 billion. Based on current expectations, the Company anticipates it will recognize approximately $1.6 billion of its remaining performance obligations as revenue during 2022, with the vast majority of the remaining balance expected to be recognized in 2023.</w:t>
      </w:r>
    </w:p>
    <w:p>
      <w:pPr>
        <w:spacing w:after="0" w:line="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Variable Consideration. </w:t>
      </w:r>
      <w:r>
        <w:rPr>
          <w:rFonts w:ascii="Arial" w:cs="Arial" w:eastAsia="Arial" w:hAnsi="Arial"/>
          <w:sz w:val="16"/>
          <w:szCs w:val="16"/>
          <w:color w:val="auto"/>
        </w:rPr>
        <w:t>Transaction prices for the Company’s contracts may include variable consideration, which comprises items such as change orders, claims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engineering studies and legal opinions, past practices with the customer, specific discussions, correspondence or preliminary negotiations with the customer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As of September 30, 2022 and December 31, 2021, the Company included approximately $141 million and $104 million, respectively, of change orders and/or claims in transaction prices for certain contracts that were in the process of being resolved in the ordinary course of business, including through negotiation, arbitration and other proceedings. These transaction price adjustments, when earned, are included within contract assets or accounts receivable, net of allowance, as appropriate. As of both September 30, 2022 and December 31, 2021, these change orders and/or claims primarily related to certain projects in the Company’s Clean Energy and Infrastructure and Power Delivery segments. The Company actively engages with its customers to complete the final approval process and generally expects these processes to be completed within one year. Amounts ultimately realized upon final agreement by customers could be higher or lower than such estimated amounts.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discussion below describes the effects of recent accounting pronouncements, as updated from the discussion in the Company’s 2021 Form 10-K.</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 xml:space="preserve">In October 2021, the Financial Accounting Standards Board (“FASB”) issued Accounting Standards Update (“ASU”) 2021-08, </w:t>
      </w:r>
      <w:r>
        <w:rPr>
          <w:rFonts w:ascii="Arial" w:cs="Arial" w:eastAsia="Arial" w:hAnsi="Arial"/>
          <w:sz w:val="15"/>
          <w:szCs w:val="15"/>
          <w:i w:val="1"/>
          <w:iCs w:val="1"/>
          <w:color w:val="auto"/>
        </w:rPr>
        <w:t>Business Combinations (Topic</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805): Accounting for Contract Assets and Contract Liabilities from Contracts with Customers </w:t>
      </w:r>
      <w:r>
        <w:rPr>
          <w:rFonts w:ascii="Arial" w:cs="Arial" w:eastAsia="Arial" w:hAnsi="Arial"/>
          <w:sz w:val="15"/>
          <w:szCs w:val="15"/>
          <w:color w:val="auto"/>
        </w:rPr>
        <w:t>(“ASU 2021-08”) to improve consistency for revenue recognition in the post-acquisition period for acquired contracts as compared to contracts entered into subsequent to acquisition. ASU 2021-08 requires an acquirer to recognize and measure contract assets and contract liabilities acquired in a business combination in accordance with Topic 606, Revenue from Contracts with Customers, rather than at fair value. ASU 2021-08 is effective for fiscal years, and for interim periods within those fiscal years, beginning after December 15, 2022, with early adoption permitted. The Company does not expect that this ASU will have a material effect on its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Earnings Per Share</w:t>
      </w:r>
    </w:p>
    <w:p>
      <w:pPr>
        <w:spacing w:after="0" w:line="13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Basic earnings per share is computed by dividing net income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primarily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underlying the Company’s earnings per share calculations for the periods indicated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34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93"/>
              </w:rPr>
              <w:t>For the Three Months Ended</w:t>
            </w:r>
          </w:p>
        </w:tc>
        <w:tc>
          <w:tcPr>
            <w:tcW w:w="120" w:type="dxa"/>
            <w:vAlign w:val="bottom"/>
          </w:tcPr>
          <w:p>
            <w:pPr>
              <w:spacing w:after="0"/>
              <w:rPr>
                <w:sz w:val="16"/>
                <w:szCs w:val="16"/>
                <w:color w:val="auto"/>
              </w:rPr>
            </w:pPr>
          </w:p>
        </w:tc>
        <w:tc>
          <w:tcPr>
            <w:tcW w:w="21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3"/>
              </w:rPr>
              <w:t>For the Nine Months Ended</w:t>
            </w:r>
          </w:p>
        </w:tc>
      </w:tr>
      <w:tr>
        <w:trPr>
          <w:trHeight w:val="213"/>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8"/>
                <w:szCs w:val="18"/>
                <w:color w:val="auto"/>
              </w:rPr>
            </w:pPr>
          </w:p>
        </w:tc>
        <w:tc>
          <w:tcPr>
            <w:tcW w:w="21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66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r>
      <w:tr>
        <w:trPr>
          <w:trHeight w:val="19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MasTec:</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66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Net income - basic </w:t>
            </w:r>
            <w:r>
              <w:rPr>
                <w:rFonts w:ascii="Arial" w:cs="Arial" w:eastAsia="Arial" w:hAnsi="Arial"/>
                <w:sz w:val="21"/>
                <w:szCs w:val="21"/>
                <w:color w:val="auto"/>
                <w:vertAlign w:val="superscript"/>
              </w:rPr>
              <w:t>(a)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48,896</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111,087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30,130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252,187</w:t>
            </w:r>
          </w:p>
        </w:tc>
      </w:tr>
      <w:tr>
        <w:trPr>
          <w:trHeight w:val="216"/>
        </w:trPr>
        <w:tc>
          <w:tcPr>
            <w:tcW w:w="66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Fair value gain (loss) related to resolved contingent payments </w:t>
            </w:r>
            <w:r>
              <w:rPr>
                <w:rFonts w:ascii="Arial" w:cs="Arial" w:eastAsia="Arial" w:hAnsi="Arial"/>
                <w:sz w:val="21"/>
                <w:szCs w:val="21"/>
                <w:color w:val="auto"/>
                <w:vertAlign w:val="superscript"/>
              </w:rPr>
              <w:t>(b)</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6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Net income - diluted </w:t>
            </w:r>
            <w:r>
              <w:rPr>
                <w:rFonts w:ascii="Arial" w:cs="Arial" w:eastAsia="Arial" w:hAnsi="Arial"/>
                <w:sz w:val="21"/>
                <w:szCs w:val="21"/>
                <w:color w:val="auto"/>
                <w:vertAlign w:val="superscript"/>
              </w:rPr>
              <w:t>(a)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48,753</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111,087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28,671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252,187</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640" w:type="dxa"/>
            <w:vAlign w:val="bottom"/>
          </w:tcPr>
          <w:p>
            <w:pPr>
              <w:ind w:left="140"/>
              <w:spacing w:after="0" w:line="216" w:lineRule="exact"/>
              <w:rPr>
                <w:sz w:val="20"/>
                <w:szCs w:val="20"/>
                <w:color w:val="auto"/>
              </w:rPr>
            </w:pPr>
            <w:r>
              <w:rPr>
                <w:rFonts w:ascii="Arial" w:cs="Arial" w:eastAsia="Arial" w:hAnsi="Arial"/>
                <w:sz w:val="16"/>
                <w:szCs w:val="16"/>
                <w:color w:val="auto"/>
              </w:rPr>
              <w:t>Weighted average shares outstanding - basic</w:t>
            </w:r>
            <w:r>
              <w:rPr>
                <w:rFonts w:ascii="Arial" w:cs="Arial" w:eastAsia="Arial" w:hAnsi="Arial"/>
                <w:sz w:val="21"/>
                <w:szCs w:val="21"/>
                <w:color w:val="auto"/>
                <w:vertAlign w:val="superscript"/>
              </w:rPr>
              <w:t>(c)</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73,936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72,503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74,386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72,481</w:t>
            </w:r>
          </w:p>
        </w:tc>
      </w:tr>
      <w:tr>
        <w:trPr>
          <w:trHeight w:val="216"/>
        </w:trPr>
        <w:tc>
          <w:tcPr>
            <w:tcW w:w="66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Dilutive common stock equivalents </w:t>
            </w:r>
            <w:r>
              <w:rPr>
                <w:rFonts w:ascii="Arial" w:cs="Arial" w:eastAsia="Arial" w:hAnsi="Arial"/>
                <w:sz w:val="21"/>
                <w:szCs w:val="21"/>
                <w:color w:val="auto"/>
                <w:vertAlign w:val="superscript"/>
              </w:rPr>
              <w:t>(d)(e)</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w:t>
            </w:r>
          </w:p>
        </w:tc>
      </w:tr>
      <w:tr>
        <w:trPr>
          <w:trHeight w:val="207"/>
        </w:trPr>
        <w:tc>
          <w:tcPr>
            <w:tcW w:w="6640" w:type="dxa"/>
            <w:vAlign w:val="bottom"/>
          </w:tcPr>
          <w:p>
            <w:pPr>
              <w:ind w:left="180"/>
              <w:spacing w:after="0"/>
              <w:rPr>
                <w:sz w:val="20"/>
                <w:szCs w:val="20"/>
                <w:color w:val="auto"/>
              </w:rPr>
            </w:pPr>
            <w:r>
              <w:rPr>
                <w:rFonts w:ascii="Arial" w:cs="Arial" w:eastAsia="Arial" w:hAnsi="Arial"/>
                <w:sz w:val="16"/>
                <w:szCs w:val="16"/>
                <w:color w:val="auto"/>
              </w:rPr>
              <w:t>Weighted average shares outstanding - diluted</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75,073</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73,977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75,576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73,921</w:t>
            </w:r>
          </w:p>
        </w:tc>
      </w:tr>
    </w:tbl>
    <w:p>
      <w:pPr>
        <w:spacing w:after="0" w:line="130" w:lineRule="exact"/>
        <w:rPr>
          <w:sz w:val="20"/>
          <w:szCs w:val="20"/>
          <w:color w:val="auto"/>
        </w:rPr>
      </w:pPr>
    </w:p>
    <w:p>
      <w:pPr>
        <w:jc w:val="both"/>
        <w:ind w:left="340" w:hanging="332"/>
        <w:spacing w:after="0" w:line="278" w:lineRule="auto"/>
        <w:tabs>
          <w:tab w:leader="none" w:pos="337" w:val="left"/>
        </w:tabs>
        <w:numPr>
          <w:ilvl w:val="0"/>
          <w:numId w:val="3"/>
        </w:numPr>
        <w:rPr>
          <w:rFonts w:ascii="Arial" w:cs="Arial" w:eastAsia="Arial" w:hAnsi="Arial"/>
          <w:sz w:val="13"/>
          <w:szCs w:val="13"/>
          <w:color w:val="auto"/>
        </w:rPr>
      </w:pPr>
      <w:r>
        <w:rPr>
          <w:rFonts w:ascii="Arial" w:cs="Arial" w:eastAsia="Arial" w:hAnsi="Arial"/>
          <w:sz w:val="13"/>
          <w:szCs w:val="13"/>
          <w:color w:val="auto"/>
        </w:rPr>
        <w:t>For basic net income, calculated as total net income or loss less amounts attributable to non-controlling interests. For diluted net income, calculated as total net income or loss, less amounts attributable to non-controlling interests, adjusted for the fair value gain or loss, if any, related to additional contingent payments to the former owners of an acquired business for which the contingency has been resolved as of the respective period. See discussion above and in Note 3 – Acquisitions, Goodwill and Other Intangible Assets, Net.</w:t>
      </w:r>
    </w:p>
    <w:p>
      <w:pPr>
        <w:ind w:left="340" w:right="20" w:hanging="332"/>
        <w:spacing w:after="0" w:line="283" w:lineRule="auto"/>
        <w:tabs>
          <w:tab w:leader="none" w:pos="332"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three and nine month periods ended September 30, 2022, represents the fair value gain or loss related to additional contingent payments for which the contingency has been resolved as of September 30, 2022. See Note 3 – Acquisitions, Goodwill and Other Intangible Assets, Net for additional information.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 w:name="page12"/>
    <w:bookmarkEnd w:id="11"/>
    <w:p>
      <w:pPr>
        <w:ind w:left="340" w:right="20" w:hanging="332"/>
        <w:spacing w:after="0" w:line="266" w:lineRule="auto"/>
        <w:tabs>
          <w:tab w:leader="none" w:pos="337"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the three and nine month periods ended September 30, 2022, basic shares include approximately 140,000 and 114,000 weighted average shares, respectively, related to additional contingent payments.</w:t>
      </w:r>
    </w:p>
    <w:p>
      <w:pPr>
        <w:ind w:left="340" w:right="20" w:hanging="332"/>
        <w:spacing w:after="0" w:line="251"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the three and nine month periods ended September 30, 2022, weighted average anti-dilutive common stock equivalents totaled approximately 8,000 and 135,000 respectively, and for the three and nine month periods ended September 30, 2021, totaled approximately 10,000 and 109,000, respectively.</w:t>
      </w:r>
    </w:p>
    <w:p>
      <w:pPr>
        <w:ind w:left="340" w:hanging="332"/>
        <w:spacing w:after="0" w:line="283" w:lineRule="auto"/>
        <w:tabs>
          <w:tab w:leader="none" w:pos="337"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the three and nine month periods ended September 30, 2022, common stock equivalents included approximately 11,000 and 37,000 weighted average shares, respectively, related to additional contingent payments to the former owners of an acquired business.</w:t>
      </w:r>
    </w:p>
    <w:p>
      <w:pPr>
        <w:spacing w:after="0" w:line="1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For the nine month period ended September 30, 2022, the Company repurchased approximately 1,124,000 shares of its common stock, the effect of which on the Company’s weighted average shares outstanding for the period was a reduction of approximately 598,000 shares. See Note 11 – Equity for details of the Company’s share repurchase transactions. Additionally, in May 2022 and December 2021, the Company issued approximately 133,000 and 1,975,000 shares, respectively, of its common stock in conjunction with the HMG acquisition. In addition, in October 2022, the Company issued approximately 2,652,000 shares of its common stock in connection with the recently completed acquisition of IEA. See Note 3 – Acquisitions, Goodwill and Other Intangible Assets, Net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Acquisitions, Goodwill and Other Intangible Assets, Net</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following table provides a reconciliation of changes in goodwill by reportable segment for the nine month period ended September 30, 2022 (in millions). Goodwill balances as of December 31, 2021 were recast in the first quarter of 2022 to reflect the change in segment reporting for the HMG acquisition, as discussed in Note 1 – Business, Basis of Presentation and Significant Accounting Policies. Goodwill was reallocated based on the estimated relative fair value of the respective HMG reporting units. See Note 13 – Segments and Related Information for additional information.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Clean Energy</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8"/>
        </w:trPr>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5"/>
                <w:szCs w:val="15"/>
                <w:b w:val="1"/>
                <w:bCs w:val="1"/>
                <w:color w:val="auto"/>
                <w:w w:val="89"/>
              </w:rPr>
              <w:t>and</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12"/>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5"/>
                <w:szCs w:val="15"/>
                <w:b w:val="1"/>
                <w:bCs w:val="1"/>
                <w:color w:val="auto"/>
              </w:rPr>
              <w:t>Communications</w:t>
            </w:r>
          </w:p>
        </w:tc>
        <w:tc>
          <w:tcPr>
            <w:tcW w:w="12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6"/>
              </w:rPr>
              <w:t>Infrastructure</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5"/>
                <w:szCs w:val="15"/>
                <w:b w:val="1"/>
                <w:bCs w:val="1"/>
                <w:color w:val="auto"/>
              </w:rPr>
              <w:t>Oil and Gas</w:t>
            </w:r>
          </w:p>
        </w:tc>
        <w:tc>
          <w:tcPr>
            <w:tcW w:w="1260" w:type="dxa"/>
            <w:vAlign w:val="bottom"/>
            <w:gridSpan w:val="3"/>
          </w:tcPr>
          <w:p>
            <w:pPr>
              <w:ind w:left="80"/>
              <w:spacing w:after="0"/>
              <w:rPr>
                <w:sz w:val="20"/>
                <w:szCs w:val="20"/>
                <w:color w:val="auto"/>
              </w:rPr>
            </w:pPr>
            <w:r>
              <w:rPr>
                <w:rFonts w:ascii="Arial" w:cs="Arial" w:eastAsia="Arial" w:hAnsi="Arial"/>
                <w:sz w:val="15"/>
                <w:szCs w:val="15"/>
                <w:b w:val="1"/>
                <w:bCs w:val="1"/>
                <w:color w:val="auto"/>
              </w:rPr>
              <w:t>Power Delivery</w:t>
            </w:r>
          </w:p>
        </w:tc>
        <w:tc>
          <w:tcPr>
            <w:tcW w:w="1060" w:type="dxa"/>
            <w:vAlign w:val="bottom"/>
            <w:gridSpan w:val="2"/>
          </w:tcPr>
          <w:p>
            <w:pPr>
              <w:jc w:val="right"/>
              <w:spacing w:after="0"/>
              <w:rPr>
                <w:sz w:val="20"/>
                <w:szCs w:val="20"/>
                <w:color w:val="auto"/>
              </w:rPr>
            </w:pPr>
            <w:r>
              <w:rPr>
                <w:rFonts w:ascii="Arial" w:cs="Arial" w:eastAsia="Arial" w:hAnsi="Arial"/>
                <w:sz w:val="15"/>
                <w:szCs w:val="15"/>
                <w:b w:val="1"/>
                <w:bCs w:val="1"/>
                <w:color w:val="auto"/>
                <w:w w:val="96"/>
              </w:rPr>
              <w:t>Total Goodwill</w:t>
            </w:r>
          </w:p>
        </w:tc>
      </w:tr>
      <w:tr>
        <w:trPr>
          <w:trHeight w:val="214"/>
        </w:trPr>
        <w:tc>
          <w:tcPr>
            <w:tcW w:w="4620" w:type="dxa"/>
            <w:vAlign w:val="bottom"/>
            <w:tcBorders>
              <w:top w:val="single" w:sz="8" w:color="CCEEFF"/>
            </w:tcBorders>
            <w:shd w:val="clear" w:color="auto" w:fill="CCEEFF"/>
          </w:tcPr>
          <w:p>
            <w:pPr>
              <w:ind w:left="20"/>
              <w:spacing w:after="0" w:line="214" w:lineRule="exact"/>
              <w:rPr>
                <w:sz w:val="20"/>
                <w:szCs w:val="20"/>
                <w:color w:val="auto"/>
              </w:rPr>
            </w:pPr>
            <w:r>
              <w:rPr>
                <w:rFonts w:ascii="Arial" w:cs="Arial" w:eastAsia="Arial" w:hAnsi="Arial"/>
                <w:sz w:val="16"/>
                <w:szCs w:val="16"/>
                <w:color w:val="auto"/>
              </w:rPr>
              <w:t xml:space="preserve">Goodwill, gross, as of December 31, 2021 </w:t>
            </w:r>
            <w:r>
              <w:rPr>
                <w:rFonts w:ascii="Arial" w:cs="Arial" w:eastAsia="Arial" w:hAnsi="Arial"/>
                <w:sz w:val="21"/>
                <w:szCs w:val="21"/>
                <w:color w:val="auto"/>
                <w:vertAlign w:val="superscript"/>
              </w:rPr>
              <w:t>(a)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561.3</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1,645.3</w:t>
            </w:r>
          </w:p>
        </w:tc>
      </w:tr>
      <w:tr>
        <w:trPr>
          <w:trHeight w:val="216"/>
        </w:trPr>
        <w:tc>
          <w:tcPr>
            <w:tcW w:w="46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Accumulated impairment loss </w:t>
            </w:r>
            <w:r>
              <w:rPr>
                <w:rFonts w:ascii="Arial" w:cs="Arial" w:eastAsia="Arial" w:hAnsi="Arial"/>
                <w:sz w:val="21"/>
                <w:szCs w:val="21"/>
                <w:color w:val="auto"/>
                <w:vertAlign w:val="superscript"/>
              </w:rPr>
              <w:t>(b)</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(124.7)</w:t>
            </w: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net, as of 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436.6</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1,520.6</w:t>
            </w:r>
          </w:p>
        </w:tc>
      </w:tr>
      <w:tr>
        <w:trPr>
          <w:trHeight w:val="207"/>
        </w:trPr>
        <w:tc>
          <w:tcPr>
            <w:tcW w:w="4620" w:type="dxa"/>
            <w:vAlign w:val="bottom"/>
          </w:tcPr>
          <w:p>
            <w:pPr>
              <w:ind w:left="140"/>
              <w:spacing w:after="0"/>
              <w:rPr>
                <w:sz w:val="20"/>
                <w:szCs w:val="20"/>
                <w:color w:val="auto"/>
              </w:rPr>
            </w:pPr>
            <w:r>
              <w:rPr>
                <w:rFonts w:ascii="Arial" w:cs="Arial" w:eastAsia="Arial" w:hAnsi="Arial"/>
                <w:sz w:val="16"/>
                <w:szCs w:val="16"/>
                <w:color w:val="auto"/>
              </w:rPr>
              <w:t>Additions from new business combinations</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19"/>
        </w:trPr>
        <w:tc>
          <w:tcPr>
            <w:tcW w:w="46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Measurement period adjustments </w:t>
            </w:r>
            <w:r>
              <w:rPr>
                <w:rFonts w:ascii="Arial" w:cs="Arial" w:eastAsia="Arial" w:hAnsi="Arial"/>
                <w:sz w:val="21"/>
                <w:szCs w:val="21"/>
                <w:color w:val="auto"/>
                <w:vertAlign w:val="superscript"/>
              </w:rPr>
              <w:t>(c)</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Currency translation adjustments</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net as of September 30,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174.1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445.5</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1,493.8</w:t>
            </w:r>
          </w:p>
        </w:tc>
      </w:tr>
    </w:tbl>
    <w:p>
      <w:pPr>
        <w:spacing w:after="0" w:line="157" w:lineRule="exact"/>
        <w:rPr>
          <w:sz w:val="20"/>
          <w:szCs w:val="20"/>
          <w:color w:val="auto"/>
        </w:rPr>
      </w:pPr>
    </w:p>
    <w:p>
      <w:pPr>
        <w:ind w:left="340" w:right="20" w:hanging="332"/>
        <w:spacing w:after="0" w:line="266" w:lineRule="auto"/>
        <w:tabs>
          <w:tab w:leader="none" w:pos="329"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above described change in segment reporting for the HMG acquisition resulted in a decrease in goodwill for the Power Delivery segment of $23.4 million and increases in goodwill for the Communications and Oil and Gas segments of $13.0 million and $10.4 million, respectively, as of December 31, 2021.</w:t>
      </w: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Accumulated impairment losses include the effects of currency translation gains and/or losses.</w:t>
      </w:r>
    </w:p>
    <w:p>
      <w:pPr>
        <w:spacing w:after="0" w:line="6"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adjustments to preliminary estimates of fair value within the measurement period of up to one year from the date of acquisition.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changes in other intangible assets, net, for the period indicated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5"/>
          </w:tcPr>
          <w:p>
            <w:pPr>
              <w:ind w:left="880"/>
              <w:spacing w:after="0"/>
              <w:rPr>
                <w:sz w:val="20"/>
                <w:szCs w:val="20"/>
                <w:color w:val="auto"/>
              </w:rPr>
            </w:pPr>
            <w:r>
              <w:rPr>
                <w:rFonts w:ascii="Arial" w:cs="Arial" w:eastAsia="Arial" w:hAnsi="Arial"/>
                <w:sz w:val="15"/>
                <w:szCs w:val="15"/>
                <w:b w:val="1"/>
                <w:bCs w:val="1"/>
                <w:color w:val="auto"/>
                <w:w w:val="93"/>
              </w:rPr>
              <w:t>Other Intangible Assets</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Non-Amortizing</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Amortizing</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220"/>
              <w:spacing w:after="0" w:line="144" w:lineRule="exact"/>
              <w:rPr>
                <w:sz w:val="20"/>
                <w:szCs w:val="20"/>
                <w:color w:val="auto"/>
              </w:rPr>
            </w:pPr>
            <w:r>
              <w:rPr>
                <w:rFonts w:ascii="Arial" w:cs="Arial" w:eastAsia="Arial" w:hAnsi="Arial"/>
                <w:sz w:val="15"/>
                <w:szCs w:val="15"/>
                <w:b w:val="1"/>
                <w:bCs w:val="1"/>
                <w:color w:val="auto"/>
                <w:w w:val="91"/>
              </w:rPr>
              <w:t>Customer</w:t>
            </w: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5"/>
                <w:szCs w:val="15"/>
                <w:b w:val="1"/>
                <w:bCs w:val="1"/>
                <w:color w:val="auto"/>
                <w:w w:val="95"/>
              </w:rPr>
              <w:t>Pre-</w:t>
            </w: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5"/>
                <w:szCs w:val="15"/>
                <w:b w:val="1"/>
                <w:bCs w:val="1"/>
                <w:color w:val="auto"/>
                <w:w w:val="89"/>
              </w:rPr>
              <w:t>Relationships</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Trade Names</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and Backlog</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Qualifications</w:t>
            </w:r>
          </w:p>
        </w:tc>
        <w:tc>
          <w:tcPr>
            <w:tcW w:w="200" w:type="dxa"/>
            <w:vAlign w:val="bottom"/>
          </w:tcPr>
          <w:p>
            <w:pPr>
              <w:spacing w:after="0"/>
              <w:rPr>
                <w:sz w:val="18"/>
                <w:szCs w:val="18"/>
                <w:color w:val="auto"/>
              </w:rPr>
            </w:pPr>
          </w:p>
        </w:tc>
        <w:tc>
          <w:tcPr>
            <w:tcW w:w="1080" w:type="dxa"/>
            <w:vAlign w:val="bottom"/>
            <w:gridSpan w:val="2"/>
          </w:tcPr>
          <w:p>
            <w:pPr>
              <w:ind w:left="120"/>
              <w:spacing w:after="0" w:line="216" w:lineRule="exact"/>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19"/>
                <w:szCs w:val="19"/>
                <w:b w:val="1"/>
                <w:bCs w:val="1"/>
                <w:color w:val="auto"/>
                <w:vertAlign w:val="superscript"/>
              </w:rPr>
              <w:t>(a)</w:t>
            </w:r>
          </w:p>
        </w:tc>
        <w:tc>
          <w:tcPr>
            <w:tcW w:w="260" w:type="dxa"/>
            <w:vAlign w:val="bottom"/>
          </w:tcPr>
          <w:p>
            <w:pPr>
              <w:spacing w:after="0"/>
              <w:rPr>
                <w:sz w:val="18"/>
                <w:szCs w:val="18"/>
                <w:color w:val="auto"/>
              </w:rPr>
            </w:pPr>
          </w:p>
        </w:tc>
        <w:tc>
          <w:tcPr>
            <w:tcW w:w="940" w:type="dxa"/>
            <w:vAlign w:val="bottom"/>
          </w:tcPr>
          <w:p>
            <w:pPr>
              <w:jc w:val="right"/>
              <w:ind w:right="36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gross,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763.1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996.1</w:t>
            </w:r>
          </w:p>
        </w:tc>
        <w:tc>
          <w:tcPr>
            <w:tcW w:w="0" w:type="dxa"/>
            <w:vAlign w:val="bottom"/>
          </w:tcPr>
          <w:p>
            <w:pPr>
              <w:spacing w:after="0"/>
              <w:rPr>
                <w:sz w:val="1"/>
                <w:szCs w:val="1"/>
                <w:color w:val="auto"/>
              </w:rPr>
            </w:pPr>
          </w:p>
        </w:tc>
      </w:tr>
      <w:tr>
        <w:trPr>
          <w:trHeight w:val="213"/>
        </w:trPr>
        <w:tc>
          <w:tcPr>
            <w:tcW w:w="4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amortization</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(325.8)</w:t>
            </w:r>
          </w:p>
        </w:tc>
        <w:tc>
          <w:tcPr>
            <w:tcW w:w="0" w:type="dxa"/>
            <w:vAlign w:val="bottom"/>
          </w:tcPr>
          <w:p>
            <w:pPr>
              <w:spacing w:after="0"/>
              <w:rPr>
                <w:sz w:val="1"/>
                <w:szCs w:val="1"/>
                <w:color w:val="auto"/>
              </w:rPr>
            </w:pPr>
          </w:p>
        </w:tc>
      </w:tr>
      <w:tr>
        <w:trPr>
          <w:trHeight w:val="19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 as of December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485.1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670.3</w:t>
            </w:r>
          </w:p>
        </w:tc>
        <w:tc>
          <w:tcPr>
            <w:tcW w:w="0" w:type="dxa"/>
            <w:vAlign w:val="bottom"/>
          </w:tcPr>
          <w:p>
            <w:pPr>
              <w:spacing w:after="0"/>
              <w:rPr>
                <w:sz w:val="1"/>
                <w:szCs w:val="1"/>
                <w:color w:val="auto"/>
              </w:rPr>
            </w:pPr>
          </w:p>
        </w:tc>
      </w:tr>
      <w:tr>
        <w:trPr>
          <w:trHeight w:val="193"/>
        </w:trPr>
        <w:tc>
          <w:tcPr>
            <w:tcW w:w="4320" w:type="dxa"/>
            <w:vAlign w:val="bottom"/>
          </w:tcPr>
          <w:p>
            <w:pPr>
              <w:ind w:left="140"/>
              <w:spacing w:after="0"/>
              <w:rPr>
                <w:sz w:val="20"/>
                <w:szCs w:val="20"/>
                <w:color w:val="auto"/>
              </w:rPr>
            </w:pPr>
            <w:r>
              <w:rPr>
                <w:rFonts w:ascii="Arial" w:cs="Arial" w:eastAsia="Arial" w:hAnsi="Arial"/>
                <w:sz w:val="16"/>
                <w:szCs w:val="16"/>
                <w:color w:val="auto"/>
              </w:rPr>
              <w:t>Additions from new business combinations</w:t>
            </w:r>
          </w:p>
        </w:tc>
        <w:tc>
          <w:tcPr>
            <w:tcW w:w="1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Measurement period adjustments </w:t>
            </w:r>
            <w:r>
              <w:rPr>
                <w:rFonts w:ascii="Arial" w:cs="Arial" w:eastAsia="Arial" w:hAnsi="Arial"/>
                <w:sz w:val="21"/>
                <w:szCs w:val="21"/>
                <w:color w:val="auto"/>
                <w:vertAlign w:val="superscript"/>
              </w:rPr>
              <w:t>(b)</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w:t>
            </w:r>
          </w:p>
        </w:tc>
        <w:tc>
          <w:tcPr>
            <w:tcW w:w="0" w:type="dxa"/>
            <w:vAlign w:val="bottom"/>
          </w:tcPr>
          <w:p>
            <w:pPr>
              <w:spacing w:after="0"/>
              <w:rPr>
                <w:sz w:val="1"/>
                <w:szCs w:val="1"/>
                <w:color w:val="auto"/>
              </w:rPr>
            </w:pPr>
          </w:p>
        </w:tc>
      </w:tr>
      <w:tr>
        <w:trPr>
          <w:trHeight w:val="213"/>
        </w:trPr>
        <w:tc>
          <w:tcPr>
            <w:tcW w:w="4320" w:type="dxa"/>
            <w:vAlign w:val="bottom"/>
          </w:tcPr>
          <w:p>
            <w:pPr>
              <w:ind w:left="140"/>
              <w:spacing w:after="0"/>
              <w:rPr>
                <w:sz w:val="20"/>
                <w:szCs w:val="20"/>
                <w:color w:val="auto"/>
              </w:rPr>
            </w:pPr>
            <w:r>
              <w:rPr>
                <w:rFonts w:ascii="Arial" w:cs="Arial" w:eastAsia="Arial" w:hAnsi="Arial"/>
                <w:sz w:val="16"/>
                <w:szCs w:val="16"/>
                <w:color w:val="auto"/>
              </w:rPr>
              <w:t>Currency translation adjustments</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expense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(81.2)</w:t>
            </w:r>
          </w:p>
        </w:tc>
        <w:tc>
          <w:tcPr>
            <w:tcW w:w="0" w:type="dxa"/>
            <w:vAlign w:val="bottom"/>
          </w:tcPr>
          <w:p>
            <w:pPr>
              <w:spacing w:after="0"/>
              <w:rPr>
                <w:sz w:val="1"/>
                <w:szCs w:val="1"/>
                <w:color w:val="auto"/>
              </w:rPr>
            </w:pPr>
          </w:p>
        </w:tc>
      </w:tr>
      <w:tr>
        <w:trPr>
          <w:trHeight w:val="193"/>
        </w:trPr>
        <w:tc>
          <w:tcPr>
            <w:tcW w:w="4320" w:type="dxa"/>
            <w:vAlign w:val="bottom"/>
          </w:tcPr>
          <w:p>
            <w:pPr>
              <w:ind w:left="20"/>
              <w:spacing w:after="0"/>
              <w:rPr>
                <w:sz w:val="20"/>
                <w:szCs w:val="20"/>
                <w:color w:val="auto"/>
              </w:rPr>
            </w:pPr>
            <w:r>
              <w:rPr>
                <w:rFonts w:ascii="Arial" w:cs="Arial" w:eastAsia="Arial" w:hAnsi="Arial"/>
                <w:sz w:val="16"/>
                <w:szCs w:val="16"/>
                <w:color w:val="auto"/>
              </w:rPr>
              <w:t>Other intangible assets, net, as of September 30,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480.8</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43.8</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638.3</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principally of trade names and non-compete agreements.</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adjustments to preliminary estimates of fair value within the measurement period of up to one year from the date of acquisition.</w:t>
      </w:r>
    </w:p>
    <w:p>
      <w:pPr>
        <w:spacing w:after="0" w:line="1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Quarterly Assessment for Indicators of Impairment</w:t>
      </w:r>
      <w:r>
        <w:rPr>
          <w:rFonts w:ascii="Arial" w:cs="Arial" w:eastAsia="Arial" w:hAnsi="Arial"/>
          <w:sz w:val="16"/>
          <w:szCs w:val="16"/>
          <w:color w:val="auto"/>
        </w:rPr>
        <w:t>. During the third quarter of 2022, the Company performed a quarterly review for indicators of impairment,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considered its results for the nine month period ended September 30, 2022, together with its expectations of future results, including consideration of the potential effects of shifts in timing for certain projects. In conjunction with this quarterly review, management performed a quantitative assessment of the goodwill associated with two reporting units within its Oil and Gas segment and one reporting unit within its Power Delivery segment. Based on the results of these assessments, management determined that the estimated fair values of these reporting units substantially exceeded their carrying values as of September 30, 2022. Significant changes in the assumptions or estimates used in management’s assessment, such as a reduction in profitability and/or cash flows, changes in market conditions, including decreases in market activity levels and/or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p>
      <w:pPr>
        <w:spacing w:after="0"/>
        <w:rPr>
          <w:sz w:val="20"/>
          <w:szCs w:val="20"/>
          <w:color w:val="auto"/>
        </w:rPr>
      </w:pPr>
      <w:r>
        <w:rPr>
          <w:rFonts w:ascii="Arial" w:cs="Arial" w:eastAsia="Arial" w:hAnsi="Arial"/>
          <w:sz w:val="15"/>
          <w:szCs w:val="15"/>
          <w:color w:val="auto"/>
        </w:rPr>
        <w:t>the effects of rising inflation, including on interest rates, could result in non-cash impairment charges to goodwill and indefinite-lived intangible assets in the future.</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Recent Acquisitions</w:t>
      </w:r>
    </w:p>
    <w:p>
      <w:pPr>
        <w:spacing w:after="0" w:line="12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seeks to grow and diversify its business both organically and through acquisitions and/or strategic arrangements in order to deepen its market presence, broaden its geographic reach and expand its service offerings.</w:t>
      </w:r>
    </w:p>
    <w:p>
      <w:pPr>
        <w:spacing w:after="0" w:line="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b w:val="1"/>
          <w:bCs w:val="1"/>
          <w:i w:val="1"/>
          <w:iCs w:val="1"/>
          <w:color w:val="auto"/>
        </w:rPr>
        <w:t xml:space="preserve">2022 Acquisitions. </w:t>
      </w:r>
      <w:r>
        <w:rPr>
          <w:rFonts w:ascii="Arial" w:cs="Arial" w:eastAsia="Arial" w:hAnsi="Arial"/>
          <w:sz w:val="15"/>
          <w:szCs w:val="15"/>
          <w:color w:val="auto"/>
        </w:rPr>
        <w:t>For the nine month period ended September 30, 2022, MasTec completed four acquisitions, which included all of the equity interests of (i)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infrastructure construction company focusing on water, sewer and utility projects and with expertise in excavation and site work, which acquisition is included within the Company’s Oil and Gas segment and was effective in January; (ii) a telecommunications company specializing in wireline services, which acquisition is included within the Company’s Communications segment and was effective as of the end of May; (iii) a company specializing in the construction of overhead high voltage transmission lines, which acquisition is included within the Company’s Power Delivery segment and was effective in July; and (iv) a company that specializes in the production of concrete and aggregate products, which acquisition is included within the Company’s Clean Energy and Infrastructure segment and was effective in August. The aggregate purchase price for these acquisitions was composed of approximately $50.2 million in cash, net of cash acquired and earn-out liabilities valued at approximately $3.9 million. Determination of the estimated fair values of net assets acquired and the estimated earn-out liabilities and consideration transferred for these acquisitions was preliminary as of September 30, 2022; as a result, further adjustments to these estimates may occur.</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2021 Acquisitions. </w:t>
      </w:r>
      <w:r>
        <w:rPr>
          <w:rFonts w:ascii="Arial" w:cs="Arial" w:eastAsia="Arial" w:hAnsi="Arial"/>
          <w:sz w:val="16"/>
          <w:szCs w:val="16"/>
          <w:color w:val="auto"/>
        </w:rPr>
        <w:t>During 2021, MasTec completed fourteen acquisitions, including all of the equity interests of the following:</w:t>
      </w:r>
    </w:p>
    <w:p>
      <w:pPr>
        <w:spacing w:after="0" w:line="113" w:lineRule="exact"/>
        <w:rPr>
          <w:sz w:val="20"/>
          <w:szCs w:val="20"/>
          <w:color w:val="auto"/>
        </w:rPr>
      </w:pPr>
    </w:p>
    <w:p>
      <w:pPr>
        <w:jc w:val="both"/>
        <w:ind w:firstLine="656"/>
        <w:spacing w:after="0" w:line="303" w:lineRule="auto"/>
        <w:tabs>
          <w:tab w:leader="none" w:pos="868" w:val="left"/>
        </w:tabs>
        <w:numPr>
          <w:ilvl w:val="0"/>
          <w:numId w:val="7"/>
        </w:numPr>
        <w:rPr>
          <w:rFonts w:ascii="Arial" w:cs="Arial" w:eastAsia="Arial" w:hAnsi="Arial"/>
          <w:sz w:val="14"/>
          <w:szCs w:val="14"/>
          <w:color w:val="auto"/>
        </w:rPr>
      </w:pPr>
      <w:r>
        <w:rPr>
          <w:rFonts w:ascii="Arial" w:cs="Arial" w:eastAsia="Arial" w:hAnsi="Arial"/>
          <w:sz w:val="14"/>
          <w:szCs w:val="14"/>
          <w:color w:val="auto"/>
        </w:rPr>
        <w:t>Within the Company’s Power Delivery segment: HMG, an industry-leading utility services firm providing critical infrastructure design, construction and maintenance services to the power and renewables, telecommunications, gas distribution and pipeline services end-markets, which acquisition was effective in December. In the first quarter of 2022, MasTec integrated and began reporting the results of HMG within its Power Delivery, Communications and Oil and Gas segments, as appropriate, and began reporting HMG’s corporate functions within its corporate results. See Note 13 – Segments and Related Information. During 2021, the Company also acquired an electric utility distribution contractor and a company specializing in vegetation management services for the electric and telecommunications industries, which acquisitions were effective in December; and Intren, LLC (“INTREN”), a premier specialty utility contractor primarily providing electrical distribution network services under various multi-year master service agreements to some of the nation’s largest utilities, municipalities and cooperatives, which acquisition was effective in May;</w:t>
      </w:r>
    </w:p>
    <w:p>
      <w:pPr>
        <w:spacing w:after="0" w:line="48" w:lineRule="exact"/>
        <w:rPr>
          <w:rFonts w:ascii="Arial" w:cs="Arial" w:eastAsia="Arial" w:hAnsi="Arial"/>
          <w:sz w:val="14"/>
          <w:szCs w:val="14"/>
          <w:color w:val="auto"/>
        </w:rPr>
      </w:pPr>
    </w:p>
    <w:p>
      <w:pPr>
        <w:ind w:right="20" w:firstLine="656"/>
        <w:spacing w:after="0" w:line="328" w:lineRule="auto"/>
        <w:tabs>
          <w:tab w:leader="none" w:pos="895" w:val="left"/>
        </w:tabs>
        <w:numPr>
          <w:ilvl w:val="0"/>
          <w:numId w:val="7"/>
        </w:numPr>
        <w:rPr>
          <w:rFonts w:ascii="Arial" w:cs="Arial" w:eastAsia="Arial" w:hAnsi="Arial"/>
          <w:sz w:val="15"/>
          <w:szCs w:val="15"/>
          <w:color w:val="auto"/>
        </w:rPr>
      </w:pPr>
      <w:r>
        <w:rPr>
          <w:rFonts w:ascii="Arial" w:cs="Arial" w:eastAsia="Arial" w:hAnsi="Arial"/>
          <w:sz w:val="15"/>
          <w:szCs w:val="15"/>
          <w:color w:val="auto"/>
        </w:rPr>
        <w:t>within the Company’s Clean Energy and Infrastructure segment: a heavy civil infrastructure construction company focusing on transportation projects; and a heavy industrial general contractor with concrete, piping and electrical capabilities, which acquisitions were effective in February and April, respectively;</w:t>
      </w:r>
    </w:p>
    <w:p>
      <w:pPr>
        <w:spacing w:after="0" w:line="28" w:lineRule="exact"/>
        <w:rPr>
          <w:rFonts w:ascii="Arial" w:cs="Arial" w:eastAsia="Arial" w:hAnsi="Arial"/>
          <w:sz w:val="15"/>
          <w:szCs w:val="15"/>
          <w:color w:val="auto"/>
        </w:rPr>
      </w:pPr>
    </w:p>
    <w:p>
      <w:pPr>
        <w:jc w:val="both"/>
        <w:ind w:right="20" w:firstLine="656"/>
        <w:spacing w:after="0" w:line="284" w:lineRule="auto"/>
        <w:tabs>
          <w:tab w:leader="none" w:pos="936" w:val="left"/>
        </w:tabs>
        <w:numPr>
          <w:ilvl w:val="0"/>
          <w:numId w:val="7"/>
        </w:numPr>
        <w:rPr>
          <w:rFonts w:ascii="Arial" w:cs="Arial" w:eastAsia="Arial" w:hAnsi="Arial"/>
          <w:sz w:val="15"/>
          <w:szCs w:val="15"/>
          <w:color w:val="auto"/>
        </w:rPr>
      </w:pPr>
      <w:r>
        <w:rPr>
          <w:rFonts w:ascii="Arial" w:cs="Arial" w:eastAsia="Arial" w:hAnsi="Arial"/>
          <w:sz w:val="15"/>
          <w:szCs w:val="15"/>
          <w:color w:val="auto"/>
        </w:rPr>
        <w:t>within the Company’s Communications segment: a telecommunications company specializing in cabling, plant and other network services, which acquisition was effective in November; a telecommunications and utility technical services company focusing on outside plant telecommunications engineering; a telecommunications and cable services provider; and a utilities infrastructure company, providing power line construction and repair services, all of which acquisitions were effective in May; and business operations specializing in install-to-the-home services, which acquisition was effective in August; and</w:t>
      </w:r>
    </w:p>
    <w:p>
      <w:pPr>
        <w:spacing w:after="0" w:line="74" w:lineRule="exact"/>
        <w:rPr>
          <w:rFonts w:ascii="Arial" w:cs="Arial" w:eastAsia="Arial" w:hAnsi="Arial"/>
          <w:sz w:val="15"/>
          <w:szCs w:val="15"/>
          <w:color w:val="auto"/>
        </w:rPr>
      </w:pPr>
    </w:p>
    <w:p>
      <w:pPr>
        <w:jc w:val="both"/>
        <w:ind w:firstLine="656"/>
        <w:spacing w:after="0" w:line="286" w:lineRule="auto"/>
        <w:tabs>
          <w:tab w:leader="none" w:pos="928" w:val="left"/>
        </w:tabs>
        <w:numPr>
          <w:ilvl w:val="0"/>
          <w:numId w:val="7"/>
        </w:numPr>
        <w:rPr>
          <w:rFonts w:ascii="Arial" w:cs="Arial" w:eastAsia="Arial" w:hAnsi="Arial"/>
          <w:sz w:val="15"/>
          <w:szCs w:val="15"/>
          <w:color w:val="auto"/>
        </w:rPr>
      </w:pPr>
      <w:r>
        <w:rPr>
          <w:rFonts w:ascii="Arial" w:cs="Arial" w:eastAsia="Arial" w:hAnsi="Arial"/>
          <w:sz w:val="15"/>
          <w:szCs w:val="15"/>
          <w:color w:val="auto"/>
        </w:rPr>
        <w:t>within the Company’s Oil and Gas segment: an infrastructure construction company focusing on water, sewer and utility projects, along with expertise in site work; and a company specializing in environmental services for energy infrastructure and heavy civil projects, both of which acquisitions were effective in December; and a pipeline contractor focusing on integrity and maintenance work related to gas distribution infrastructure, which acquisition was effective in February.</w:t>
      </w:r>
    </w:p>
    <w:p>
      <w:pPr>
        <w:spacing w:after="0" w:line="7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These acquisitions were funded with cash on hand, borrowings under the Company’s credit facility and with shares of the Company’s common stock and are subject to customary purchase price adjustments.</w:t>
      </w:r>
    </w:p>
    <w:p>
      <w:pPr>
        <w:spacing w:after="0" w:line="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Determination of the estimated fair values of the net assets acquired and the estimated earn-out liabilities and consideration transferred for certain of the Company’s fourth quarter 2021 acquisitions was preliminary as of September 30, 2022; as a result, further adjustments to such estimates may occur. The following table summarizes the estimated fair values of consideration paid and net assets acquired for the 2021 acquisitions, as adjusted, as of September 30, 2022 (in millions):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1"/>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Acquisition consideration</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HMG</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All other</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09"/>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net of cash acquired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866.6</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1,269.0</w:t>
            </w:r>
          </w:p>
        </w:tc>
      </w:tr>
      <w:tr>
        <w:trPr>
          <w:trHeight w:val="213"/>
        </w:trPr>
        <w:tc>
          <w:tcPr>
            <w:tcW w:w="6540" w:type="dxa"/>
            <w:vAlign w:val="bottom"/>
          </w:tcPr>
          <w:p>
            <w:pPr>
              <w:ind w:left="140"/>
              <w:spacing w:after="0"/>
              <w:rPr>
                <w:sz w:val="20"/>
                <w:szCs w:val="20"/>
                <w:color w:val="auto"/>
              </w:rPr>
            </w:pPr>
            <w:r>
              <w:rPr>
                <w:rFonts w:ascii="Arial" w:cs="Arial" w:eastAsia="Arial" w:hAnsi="Arial"/>
                <w:sz w:val="16"/>
                <w:szCs w:val="16"/>
                <w:color w:val="auto"/>
              </w:rPr>
              <w:t>Shares transferred</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181.7</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181.7</w:t>
            </w:r>
          </w:p>
        </w:tc>
      </w:tr>
      <w:tr>
        <w:trPr>
          <w:trHeight w:val="219"/>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fair value of contingent consideration</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w:t>
            </w:r>
          </w:p>
        </w:tc>
      </w:tr>
      <w:tr>
        <w:trPr>
          <w:trHeight w:val="207"/>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consideration</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584.1</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969.5</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1,553.6</w:t>
            </w:r>
          </w:p>
        </w:tc>
      </w:tr>
      <w:tr>
        <w:trPr>
          <w:trHeight w:val="19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6540" w:type="dxa"/>
            <w:vAlign w:val="bottom"/>
          </w:tcPr>
          <w:p>
            <w:pPr>
              <w:ind w:left="140"/>
              <w:spacing w:after="0"/>
              <w:rPr>
                <w:sz w:val="20"/>
                <w:szCs w:val="20"/>
                <w:color w:val="auto"/>
              </w:rPr>
            </w:pPr>
            <w:r>
              <w:rPr>
                <w:rFonts w:ascii="Arial" w:cs="Arial" w:eastAsia="Arial" w:hAnsi="Arial"/>
                <w:sz w:val="16"/>
                <w:szCs w:val="16"/>
                <w:color w:val="auto"/>
              </w:rPr>
              <w:t>Accounts receivable and contract assets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409.5</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271.1</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680.6</w:t>
            </w:r>
          </w:p>
        </w:tc>
      </w:tr>
      <w:tr>
        <w:trPr>
          <w:trHeight w:val="219"/>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r>
      <w:tr>
        <w:trPr>
          <w:trHeight w:val="213"/>
        </w:trPr>
        <w:tc>
          <w:tcPr>
            <w:tcW w:w="6540" w:type="dxa"/>
            <w:vAlign w:val="bottom"/>
          </w:tcPr>
          <w:p>
            <w:pPr>
              <w:ind w:left="140"/>
              <w:spacing w:after="0"/>
              <w:rPr>
                <w:sz w:val="20"/>
                <w:szCs w:val="20"/>
                <w:color w:val="auto"/>
              </w:rPr>
            </w:pPr>
            <w:r>
              <w:rPr>
                <w:rFonts w:ascii="Arial" w:cs="Arial" w:eastAsia="Arial" w:hAnsi="Arial"/>
                <w:sz w:val="16"/>
                <w:szCs w:val="16"/>
                <w:color w:val="auto"/>
              </w:rPr>
              <w:t>Property and equipment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252.1</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250.6</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502.7</w:t>
            </w:r>
          </w:p>
        </w:tc>
      </w:tr>
      <w:tr>
        <w:trPr>
          <w:trHeight w:val="219"/>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assets, primarily operating lease right-of-use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w:t>
            </w:r>
          </w:p>
        </w:tc>
      </w:tr>
      <w:tr>
        <w:trPr>
          <w:trHeight w:val="213"/>
        </w:trPr>
        <w:tc>
          <w:tcPr>
            <w:tcW w:w="6540" w:type="dxa"/>
            <w:vAlign w:val="bottom"/>
          </w:tcPr>
          <w:p>
            <w:pPr>
              <w:ind w:left="140"/>
              <w:spacing w:after="0"/>
              <w:rPr>
                <w:sz w:val="20"/>
                <w:szCs w:val="20"/>
                <w:color w:val="auto"/>
              </w:rPr>
            </w:pPr>
            <w:r>
              <w:rPr>
                <w:rFonts w:ascii="Arial" w:cs="Arial" w:eastAsia="Arial" w:hAnsi="Arial"/>
                <w:sz w:val="16"/>
                <w:szCs w:val="16"/>
                <w:color w:val="auto"/>
              </w:rPr>
              <w:t>Amortizing intangible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164.4</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444.2</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608.6</w:t>
            </w:r>
          </w:p>
        </w:tc>
      </w:tr>
      <w:tr>
        <w:trPr>
          <w:trHeight w:val="219"/>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w:t>
            </w:r>
          </w:p>
        </w:tc>
      </w:tr>
      <w:tr>
        <w:trPr>
          <w:trHeight w:val="213"/>
        </w:trPr>
        <w:tc>
          <w:tcPr>
            <w:tcW w:w="6540" w:type="dxa"/>
            <w:vAlign w:val="bottom"/>
          </w:tcPr>
          <w:p>
            <w:pPr>
              <w:ind w:left="140"/>
              <w:spacing w:after="0"/>
              <w:rPr>
                <w:sz w:val="20"/>
                <w:szCs w:val="20"/>
                <w:color w:val="auto"/>
              </w:rPr>
            </w:pPr>
            <w:r>
              <w:rPr>
                <w:rFonts w:ascii="Arial" w:cs="Arial" w:eastAsia="Arial" w:hAnsi="Arial"/>
                <w:sz w:val="16"/>
                <w:szCs w:val="16"/>
                <w:color w:val="auto"/>
              </w:rPr>
              <w:t>Current liabilities, including current portion of operating lease liabilities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(154.3)</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(137.1)</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(291.4)</w:t>
            </w:r>
          </w:p>
        </w:tc>
      </w:tr>
      <w:tr>
        <w:trPr>
          <w:trHeight w:val="219"/>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including finance lease obligations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Long-term liabilities, primarily operating lease liabilities and deferred income taxes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(150.3)</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(226.9)</w:t>
            </w:r>
          </w:p>
        </w:tc>
      </w:tr>
      <w:tr>
        <w:trPr>
          <w:trHeight w:val="212"/>
        </w:trPr>
        <w:tc>
          <w:tcPr>
            <w:tcW w:w="6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identifiable net assets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512.7</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807.2</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1,319.9</w:t>
            </w:r>
          </w:p>
        </w:tc>
      </w:tr>
      <w:tr>
        <w:trPr>
          <w:trHeight w:val="213"/>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Goodwill</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237.3</w:t>
            </w:r>
          </w:p>
        </w:tc>
      </w:tr>
      <w:tr>
        <w:trPr>
          <w:trHeight w:val="213"/>
        </w:trPr>
        <w:tc>
          <w:tcPr>
            <w:tcW w:w="6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net assets acquired, including goodwill</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1,557.2</w:t>
            </w:r>
          </w:p>
        </w:tc>
      </w:tr>
      <w:tr>
        <w:trPr>
          <w:trHeight w:val="213"/>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Bargain purchase gain</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09"/>
        </w:trPr>
        <w:tc>
          <w:tcPr>
            <w:tcW w:w="6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consideration</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584.1</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969.5</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1,553.6</w:t>
            </w:r>
          </w:p>
        </w:tc>
      </w:tr>
    </w:tbl>
    <w:p>
      <w:pPr>
        <w:spacing w:after="0" w:line="130" w:lineRule="exact"/>
        <w:rPr>
          <w:sz w:val="20"/>
          <w:szCs w:val="20"/>
          <w:color w:val="auto"/>
        </w:rPr>
      </w:pPr>
    </w:p>
    <w:p>
      <w:pPr>
        <w:jc w:val="both"/>
        <w:ind w:left="340" w:hanging="332"/>
        <w:spacing w:after="0" w:line="267" w:lineRule="auto"/>
        <w:tabs>
          <w:tab w:leader="none" w:pos="362" w:val="left"/>
        </w:tabs>
        <w:numPr>
          <w:ilvl w:val="0"/>
          <w:numId w:val="8"/>
        </w:numPr>
        <w:rPr>
          <w:rFonts w:ascii="Arial" w:cs="Arial" w:eastAsia="Arial" w:hAnsi="Arial"/>
          <w:sz w:val="14"/>
          <w:szCs w:val="14"/>
          <w:color w:val="auto"/>
        </w:rPr>
      </w:pPr>
      <w:r>
        <w:rPr>
          <w:rFonts w:ascii="Arial" w:cs="Arial" w:eastAsia="Arial" w:hAnsi="Arial"/>
          <w:sz w:val="14"/>
          <w:szCs w:val="14"/>
          <w:color w:val="auto"/>
        </w:rPr>
        <w:t>Acquisition consideration in the table above excludes approximately $65 million of measurement period adjustments for estimated payments that will be made to the sellers of HMG if certain acquired receivables are collected. Given the pass-through nature of these contingent payments, they have been excluded from total consideration and current assets in the table above. See below for related discussion.</w:t>
      </w:r>
    </w:p>
    <w:p>
      <w:pPr>
        <w:spacing w:after="0" w:line="14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Amortizing intangible assets related to the HMG acquisition are primarily composed of customer relationships, and to a lesser extent, trade names and backlog. Customer relationship intangible assets totaled approximately $132 million, and had a weighted average life of approximately 12 years, based on HMG’s operational history and established relationships with, and the nature of, its customers, which are primarily in the utilities industry. The weighted average life of amortizing intangible assets in the aggregate for the HMG acquisition was 11 years. Amortizing intangible assets related to “All other” acquisitions are primarily composed of customer relationships and trade names, which each had a weighted average life of approximately 17 years. The aggregate weighted average life related to “All other” amortizing intangible assets was 17 years. INTREN’s acquired intangible assets, which are included within “All other” acquisitions in the table above, included a customer relationship and a trade name intangible asset representing $281 million in the aggregate, having asset lives of approximately 20 years each based on INTREN’s operational history and established relationships with, and the nature of, its customers, which are primarily in the utilities industry. Amortizing intangible assets are amortized in a manner consistent with the pattern in which the related benefits are expected to be consumed.</w:t>
      </w:r>
    </w:p>
    <w:p>
      <w:pPr>
        <w:spacing w:after="0" w:line="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The goodwill balances for each of the respective acquisitions, including approximately $49 million for INTREN, represent the estimated values of each acquired company’s geographic presence in key markets, assembled workforce, management team’s industry-specific project management expertise and synergies expected to be achieved from the combined operations of each of the acquired companies and MasTec. Approximately $155 million of the goodwill balance related to the 2021 acquisitions is expected to be tax deductible as of September 30, 2022. One of the Company’s fourth quarter 2021 acquisitions within its Power Delivery segment resulted in the recognition of a bargain purchase gain of $3.6 million, of which $0.2 million was recognized during the nine month period ended September 30, 2022.</w:t>
      </w:r>
    </w:p>
    <w:p>
      <w:pPr>
        <w:spacing w:after="0" w:line="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color w:val="auto"/>
        </w:rPr>
        <w:t>The HMG purchase agreement provides for certain additional payments to be made to the sellers if certain acquired receivables are collected by the Company (the “Additional Payments”). Pursuant to the terms of the purchase agreement, a portion of the Additional Payments will be made in cash, with the remainder due in shares of MasTec common stock. The estimated number of potential shares that could be issued related to such Additional Payments will be based on the amounts ultimately collected and the share price as defined within the purchase agreement. Changes in the estimated fair value of potential shares that could be issued, which result from changes in MasTec’s share price as compared with the share price as defined within the purchase agreement, are reflected within other income or expense, as appropriate. An Additional Payment of approximately $29.4 million was made in May 2022, which payment was composed of approximately $18 million in cash and is reflected within financing activities in the consolidated statement of cash flows, and 133,157 shares of MasTec common stock. For the nine month period ended September 30, 2022, a realized gain of approximately $1 million was recognized within other income, net, in connection with this payment. In addition, the HMG purchase agreement provides for a customary net working capital adjustment. In the second quarter of 2022, this working capital adjustment was resolved, resulting in a reduction in purchase consideration for the HMG acquisition of approximately $15 million, which reduction is reflected in the table above. This working capital adjustment had no impact on the number of shares issued in connection with the acquisition.</w:t>
      </w:r>
    </w:p>
    <w:p>
      <w:pPr>
        <w:spacing w:after="0" w:line="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As of September 30, 2022, the estimated fair value of remaining Additional Payments was approximately $31 million, which amount is included within other current liabilities in the consolidated balance sheet and includes the effect of unrealized fair value gains related to the contingent shares. For the three and nine month periods ended September 30, 2022, unrealized fair value measurement activity related to the contingent shares totaled gains of approximately $1.3 million and $4.5 million, respectively, which amounts are reflected within other income, net. The estimated number of shares that would be paid in connection with the remaining Additional Payment liability is approximately 160,000 shares as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4" w:name="page15"/>
    <w:bookmarkEnd w:id="14"/>
    <w:p>
      <w:pPr>
        <w:jc w:val="both"/>
        <w:spacing w:after="0" w:line="269" w:lineRule="auto"/>
        <w:rPr>
          <w:sz w:val="20"/>
          <w:szCs w:val="20"/>
          <w:color w:val="auto"/>
        </w:rPr>
      </w:pPr>
      <w:r>
        <w:rPr>
          <w:rFonts w:ascii="Arial" w:cs="Arial" w:eastAsia="Arial" w:hAnsi="Arial"/>
          <w:sz w:val="16"/>
          <w:szCs w:val="16"/>
          <w:color w:val="auto"/>
        </w:rPr>
        <w:t>of September 30, 2022. The amount of Additional Payments due to the sellers as of September 30, 2022 from collections of acquired receivables totaled approximately $3.9 million, of which the amount due in shares totaled approximately $1.6 million, or 17,500 shares. See Note 2 – Earnings Per Share for the effect of the above referenced shares on the Company’s earnings per share calculations.</w:t>
      </w:r>
    </w:p>
    <w:p>
      <w:pPr>
        <w:spacing w:after="0" w:line="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Included within “All other” acquisition consideration is approximately $455 million of consideration, including estimated earn-out liabilities, for INTREN. Total cash paid for acquisitions, net, includes approximately $78 million of cash acquired. The shares of MasTec common stock transferred in connection with the HMG acquisition in the table above consisted of approximately 2.0 million shares, as determined based on the terms of the purchase agreement, valued at approximately $182 million, based on the market price of the Company’s common stock on the date of closing.</w:t>
      </w:r>
    </w:p>
    <w:p>
      <w:pPr>
        <w:spacing w:after="0" w:line="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The contingent consideration included in the table above is composed of earn-out liabilities, which equal a portion of the acquired companies’ earnings before interest, taxes, depreciation and amortization (“EBITDA”) in excess of thresholds agreed upon with the sellers, if applicable. The earn-out arrangements for the 2021 acquisitions generally range from one to five-year terms, as set forth in the respective purchase agreements, and are valued at approximately $103 million in the aggregate. The earn-out arrangement for the INTREN acquisition included within “All other” acquisitions had a term of less than one year. Earn-outs are generally payable annually and are recorded within other current and other long-term liabilities, as appropriate, in the consolidated balance sheets. See Note 4 - Fair Value of Financial Instruments for details pertaining to fair value estimates for the Company’s earn-out arrangements. As of September 30, 2022, the range of remaining potential undiscounted earn-out liabilities for the 2021 acquisitions was estimated to be between $9 million and $120 million; however, there is no maximum payment amount.</w:t>
      </w:r>
    </w:p>
    <w:p>
      <w:pPr>
        <w:spacing w:after="0" w:line="64"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4"/>
          <w:szCs w:val="14"/>
          <w:b w:val="1"/>
          <w:bCs w:val="1"/>
          <w:i w:val="1"/>
          <w:iCs w:val="1"/>
          <w:color w:val="auto"/>
        </w:rPr>
        <w:t xml:space="preserve">Pro forma results. </w:t>
      </w:r>
      <w:r>
        <w:rPr>
          <w:rFonts w:ascii="Arial" w:cs="Arial" w:eastAsia="Arial" w:hAnsi="Arial"/>
          <w:sz w:val="14"/>
          <w:szCs w:val="14"/>
          <w:color w:val="auto"/>
        </w:rPr>
        <w:t>For the three month periods ended September 30, 2022 and 2021, unaudited supplemental pro forma revenue totaled approximately $2.5</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billion and $3.0 billion, respectively, and unaudited supplemental pro forma net income totaled approximately $54.0 million and $145.4 million, respectively. For the nine month periods ended September 30, 2022 and 2021, unaudited supplemental pro forma revenue totaled approximately $6.8 billion and $7.9 billion, respectively. For the nine month periods ended September 30, 2022 and 2021, unaudited supplemental pro forma net income totaled approximately $37.3 million and $271.0 million, respectively.</w:t>
      </w:r>
    </w:p>
    <w:p>
      <w:pPr>
        <w:spacing w:after="0" w:line="4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b w:val="1"/>
          <w:bCs w:val="1"/>
          <w:i w:val="1"/>
          <w:iCs w:val="1"/>
          <w:color w:val="auto"/>
        </w:rPr>
        <w:t>Acquisition-related results</w:t>
      </w:r>
      <w:r>
        <w:rPr>
          <w:rFonts w:ascii="Arial" w:cs="Arial" w:eastAsia="Arial" w:hAnsi="Arial"/>
          <w:sz w:val="15"/>
          <w:szCs w:val="15"/>
          <w:color w:val="auto"/>
        </w:rPr>
        <w:t>. The Company’s consolidated results of operations included acquisition-related revenue of approximately $569.7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 period ended September 30, 2022, including approximately $429.3 million for HMG, and totaled $1,876.6 million for the nine month period ended September 30, 2022, including approximately $1,457.7 million for HMG and INTREN in the aggregate. For the three and nine month periods ended September 30, 2022, the Company’s consolidated results of operations included acquisition-related net income of approximately $18.4 million and $37.7 million, respectively, based on the Company’s consolidated effective tax rates. The Company’s consolidated results of operations included acquisition-related revenue of approximately $344.4 million and $702.7 million for the three and nine month periods ended September 30, 2021, respectively, including $172.8 million and $275.4 million for INTREN for the respective periods. For the three and nine month periods ended September 30, 2021, the Company’s consolidated results of operations included acquisition-related net losses of approximately $6.6 million and $1.3 million, respectively, based on the Company’s consolidated effective tax rates. These acquisition-related results include amortization of acquired intangible assets and acquisition integration costs, and exclude the effects of interest expense associated with consideration paid for the related acquisitions.</w:t>
      </w:r>
    </w:p>
    <w:p>
      <w:pPr>
        <w:spacing w:after="0" w:line="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i w:val="1"/>
          <w:iCs w:val="1"/>
          <w:color w:val="auto"/>
        </w:rPr>
        <w:t>Acquisition and integration costs</w:t>
      </w:r>
      <w:r>
        <w:rPr>
          <w:rFonts w:ascii="Arial" w:cs="Arial" w:eastAsia="Arial" w:hAnsi="Arial"/>
          <w:sz w:val="15"/>
          <w:szCs w:val="15"/>
          <w:color w:val="auto"/>
        </w:rPr>
        <w:t>. The Company has incurred certain acquisition and integration costs in connection with certain 2021 and 2022 acquisitions,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acquisition-related costs for the recently completed acquisition of IEA, which costs are included within general and administrative expenses, costs of revenue, excluding depreciation and amortization, and other expense. Acquisition and integration costs include i) the costs of integrating acquired entities, such as: employee termination expenses, including employee compensation relating to the elimination of certain positions that were determined to be redundant, and other integration-type costs, including operating cost redundancies, facility consolidation expenses, lease termination expenses, system migration expenses, training and other integration costs, as well as ii) legal, professional and other fees associated with the consummation of these acquisitions, including fees paid in connection with certain transaction-related financing commitments, including bridge financing related to the IEA acquisition. The Company is currently in the process of integrating these acquisitions and expects to incur additional acquisition and integration expenses. Acquisition and integration costs for the three and nine months period ended September 30, 2022 totaled approximately $33.3 million and $59.4 million, respectively, of which $9.2 million and $35.3 million, respectively, was included within general and administrative expenses, and $21.4 million and $2.7 million were included within costs of revenue, excluding depreciation and amortization, and other expense, respectively, for both periods. As of September 30, 2022, approximately $5.6 million was included within current liabilities within the consolidated balance sheets related to such costs.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Q4 2022 Acquisition</w:t>
      </w:r>
    </w:p>
    <w:p>
      <w:pPr>
        <w:spacing w:after="0" w:line="1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b w:val="1"/>
          <w:bCs w:val="1"/>
          <w:i w:val="1"/>
          <w:iCs w:val="1"/>
          <w:color w:val="auto"/>
        </w:rPr>
        <w:t xml:space="preserve">IEA Acquisition. </w:t>
      </w:r>
      <w:r>
        <w:rPr>
          <w:rFonts w:ascii="Arial" w:cs="Arial" w:eastAsia="Arial" w:hAnsi="Arial"/>
          <w:sz w:val="15"/>
          <w:szCs w:val="15"/>
          <w:color w:val="auto"/>
        </w:rPr>
        <w:t>On October 7, 2022 (the “Closing Date”), MasTec completed the acquisition of IEA, a leading clean energy and infrastructure services provider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expertise in renewable energy and heavy civil projects, as well as rail and environmental remediation services. The Company expects to include IEA within its Clean Energy and Infrastructure segment. MasTec acquired IEA for an estimated $610 million in cash and approximately 2.8 million shares of MasTec common stock. The 2.8 million shares include an estimated 128,000 shares to be issued upon the exercise of certain IEA warrants, which warrants remained outstanding following the acquisition. If and when the outstanding warrants are exercised, they will be settled with a combination of such shares of the Company’s common stock and cash. The fair value of the 2.7 million shares issued on the Closing Date, based on the market price of MasTec common stock on such date, was approximately $173 million. The $610 million in cash includes an estimate of $2 million related to the exercise of these warrants. The cash portion of the IEA acquisition was funded with borrowings under a new term loan facility. Additionally, the Company also assumed $300 million of IEA’s 6.625% senior unsecured notes in connection with the acquisition of IEA. See Note 7 - Debt for additional information regarding the new term loan facility, debt assumed and a discussion of the related debt exchange transaction. Due to the limited amount of time since this acquisition, the initial purchase accounting is incomplete; therefore, the Company will complete its initial allocation of purchase price to total net assets acquired for the IEA acquisition in the fourth quarter of 2022. Approximately $11 million of acquisition costs associated with the IEA acquisition has been incurred to date, of which $6 million was incurred in the third quarter of 2022.</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Note 4 – Fair Value of Financial Instruments</w:t>
      </w:r>
    </w:p>
    <w:p>
      <w:pPr>
        <w:spacing w:after="0" w:line="117" w:lineRule="exact"/>
        <w:rPr>
          <w:sz w:val="20"/>
          <w:szCs w:val="20"/>
          <w:color w:val="auto"/>
        </w:rPr>
      </w:pPr>
    </w:p>
    <w:p>
      <w:pPr>
        <w:jc w:val="both"/>
        <w:ind w:right="20" w:firstLine="648"/>
        <w:spacing w:after="0" w:line="295" w:lineRule="auto"/>
        <w:rPr>
          <w:sz w:val="20"/>
          <w:szCs w:val="20"/>
          <w:color w:val="auto"/>
        </w:rPr>
      </w:pPr>
      <w:r>
        <w:rPr>
          <w:rFonts w:ascii="Arial" w:cs="Arial" w:eastAsia="Arial" w:hAnsi="Arial"/>
          <w:sz w:val="15"/>
          <w:szCs w:val="15"/>
          <w:color w:val="auto"/>
        </w:rPr>
        <w:t>The Company’s financial instruments are primarily composed of cash and cash equivalents, accounts and notes receivable, cash collateral deposited with insurance carriers, life insurance assets, equity investments, certain other investments, deferred compensation plan assets and liabilities, accounts payable and other current liabilities, acquisition-related contingent consideration and additional contingent payments, mandatorily redeemable non-controlling interests and debt obligations.</w:t>
      </w:r>
    </w:p>
    <w:p>
      <w:pPr>
        <w:spacing w:after="0" w:line="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Fair value is the price that would be received to sell an asset or the amount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Acquisition-Related Contingent Consideration and Other Liabilities</w:t>
      </w:r>
    </w:p>
    <w:p>
      <w:pPr>
        <w:spacing w:after="0" w:line="1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Acquisition-related contingent consideration and other liabilities is composed of earn-outs, which represent the estimated fair value of future amounts payable for businesses, including for mandatorily redeemable non-controlling interests (together, “Earn-outs”), that are contingent upon the acquired business achieving certain levels of earnings in the future. As of September 30, 2022 and December 31, 2021, the estimated fair value of the Company’s Earn-out liabilities totaled $126.6 million and $160.2 million, respectively, of which $13.9 million related to mandatorily redeemable non-controlling interests as of both periods. Earn-out liabilities included within other current liabilities totaled approximately $29.0 million and $38.8 million as of September 30, 2022 and December 31, 2021, respectively.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as of September 30, 2022, ranged from 12.0% to 16.3%, with a weighted average rate of 12.1% based on the relative fair value of the respective Earn-out liabilities, and probability-weighted projections of earnings before interest, taxes, depreciation and amortization (“EBITDA”). Significant changes in any of these assumptions could result in significantly higher or lower potential Earn-out liabilities. The ultimate payment amounts for the Company’s Earn-out liabilities will be determined based on the actual results achieved by the acquired businesses. As of September 30, 2022, the range of potential undiscounted Earn-out liabilities was estimated to be between $11 million and $165 million; however, there is no maximum payment amount.</w:t>
      </w:r>
    </w:p>
    <w:p>
      <w:pPr>
        <w:spacing w:after="0" w:line="7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color w:val="auto"/>
        </w:rPr>
        <w:t>Earn-out activity consists primarily of additions from new business combinations; changes in the expected fair value of future payment obligations; and payments. Additions from new business combinations for the three and nine month periods ended September 30, 2022 totaled approximately $2.1 million and $3.8 million, respectively. There were no additions from new business combinations for the three month period ended September 30, 2021, and for the nine month period ended September 30, 2021, additions totaled $40.1 million. There were no measurement period adjustments for the three month period ended September 30, 2022, and for the nine month period ended September 30, 2022, measurement period adjustments totaled an increase, net, of approximately $1.5 million and related to a net increase in the Company’s Oil and Gas segment, partially offset by a decrease in its Communications segment. There were no measurement period adjustments in either of the three or nine month periods ended September 30, 2021. For the three and nine month periods ended September 30, 2022, fair value adjustments totaled an increase of approximately $0.1 million and a net decrease of approximately $1.2 million, respectively, and related primarily to the Company’s Communications segment. Fair value adjustments for the three and nine month periods ended September 30, 2021 totaled net decreases of $4.8 million and $14.1 million, respectively, including a $1.0 million decrease related to mandatorily redeemable non-controlling interests for both the three and nine month periods ended September 30, 2021. These fair value adjustments related to decreases in the Company’s Oil and Gas and Clean Energy and Infrastructure segments, partially offset by increases in the Company’s Communications segment. Earn-out payments totaled $11.0 million and $37.8 million for the three and nine month periods ended September 30, 2022, respectively. For the three and nine month periods ended September 30, 2021, Earn-out payments totaled $0.8 million and $47.0 million, respectively, including approximately $2.1 million related to mandatorily redeemable non-controlling interests for the nine month period ended September 30, 2021.</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Equity Investments</w:t>
      </w:r>
    </w:p>
    <w:p>
      <w:pPr>
        <w:spacing w:after="0" w:line="12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The Company’s equity investments as of September 30, 2022 include: (i) the Company’s 33% equity interests in Trans-Pecos Pipeline, LLC (“TPP”) and Comanche Trail Pipeline, LLC (“CTP,” and together with TPP, the “Waha JVs”); (ii) a 15% equity interest in Cross Country Infrastructure Services, Inc. (“CCI”); (iii) the Company’s 50% equity interests in each of FM Technology Holdings, LLC, FM USA Holdings, LLC and All Communications Solutions Holdings, LLC, collectively “FM Tech”; (iv) the Company’s interests in certain proportionately consolidated non-controlled contractual joint ventures; and (v) certain other equity investments.</w:t>
      </w:r>
    </w:p>
    <w:p>
      <w:pPr>
        <w:spacing w:after="0" w:line="6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i w:val="1"/>
          <w:iCs w:val="1"/>
          <w:color w:val="auto"/>
        </w:rPr>
        <w:t>Investment Arrangements</w:t>
      </w:r>
      <w:r>
        <w:rPr>
          <w:rFonts w:ascii="Arial" w:cs="Arial" w:eastAsia="Arial" w:hAnsi="Arial"/>
          <w:sz w:val="15"/>
          <w:szCs w:val="15"/>
          <w:color w:val="auto"/>
        </w:rPr>
        <w:t>. From time to time, the Company may participate in selected investment or strategic arrangements, including equity interests in various</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entities and participation in contractual joint ventures, some of which may involve the extension of loans or other types of financing arrangements. The Company has determined that certain of its investment arrangements are variable interest entities (“VIEs”). As of September 30, 2022, except for one individually insignificant VIE, the Company does not have the power to direct the primary activities that most significantly impact the economic performance of its VIEs, nor is it the primary beneficiary. Accordingly, except for the previously mentioned VIE, the Company’s VIEs are not consolidated.</w:t>
      </w:r>
    </w:p>
    <w:p>
      <w:pPr>
        <w:spacing w:after="0" w:line="5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Equity investments, other than those accounted for as equity method investments or those that are proportionately consolidated, are measured at fair value if their fair values are readily determinable. Equity investments that do not have readily determinable fair values are measured at cost, adjusted for changes from observable market transactions, if any, less impairment (“adjusted cost basis”). As of September 30, 2022 and December 31, 2021, the aggregate carrying value of the Company’s equity investments, including equity investments measured on an adjusted cost basis, totaled approximately $300 million and $267 million, respectively. As of both September 30, 2022 and December 31, 2021, equity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6" w:name="page17"/>
    <w:bookmarkEnd w:id="16"/>
    <w:p>
      <w:pPr>
        <w:jc w:val="both"/>
        <w:ind w:right="20"/>
        <w:spacing w:after="0" w:line="275" w:lineRule="auto"/>
        <w:rPr>
          <w:sz w:val="20"/>
          <w:szCs w:val="20"/>
          <w:color w:val="auto"/>
        </w:rPr>
      </w:pPr>
      <w:r>
        <w:rPr>
          <w:rFonts w:ascii="Arial" w:cs="Arial" w:eastAsia="Arial" w:hAnsi="Arial"/>
          <w:sz w:val="16"/>
          <w:szCs w:val="16"/>
          <w:color w:val="auto"/>
        </w:rPr>
        <w:t>investments measured on an adjusted cost basis, including the Company’s $15 million investment in CCI, totaled approximately $20 million. There were no impairments related to these investments in any of the three or nine month periods ended September 30, 2022 or 2021.</w:t>
      </w:r>
    </w:p>
    <w:p>
      <w:pPr>
        <w:spacing w:after="0" w:line="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i w:val="1"/>
          <w:iCs w:val="1"/>
          <w:color w:val="auto"/>
        </w:rPr>
        <w:t xml:space="preserve">The Waha JVs. </w:t>
      </w:r>
      <w:r>
        <w:rPr>
          <w:rFonts w:ascii="Arial" w:cs="Arial" w:eastAsia="Arial" w:hAnsi="Arial"/>
          <w:sz w:val="15"/>
          <w:szCs w:val="15"/>
          <w:color w:val="auto"/>
        </w:rPr>
        <w:t>The Waha JVs own and operate certain pipeline infrastructure that transports natural gas to the Mexican border for export. The Company’s</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investments in the Waha JVs are accounted for as equity method investments. Equity in earnings related to the Company’s proportionate share of income from the Waha JVs, which is included within the Company’s Other segment, totaled approximately $5.8 million and $20.8 million for the three and nine month periods ended September 30, 2022, respectively, and totaled $8.3 million and $24.6 million for the three and nine month periods ended September 30, 2021, respectively. Distributions of earnings from the Waha JVs, which are included within operating cash flows, totaled $4.4 million and $12.1 million for the three and nine month periods ended September 30, 2022, respectively, and totaled $4.4 million for both the three and nine month periods ended September 30, 2021. Cumulative undistributed earnings from the Waha JVs, which represents cumulative equity in earnings for the Waha JVs less distributions of earnings, totaled $103.6 million as of September 30, 2022. The Company’s net investment in the Waha JVs, which differs from its proportionate share of the net assets of the Waha JVs due primarily to equity method goodwill associated with capitalized investment costs, totaled approximately $257 million and $216 million as of September 30, 2022 and December 31, 2021, respectively.</w:t>
      </w:r>
    </w:p>
    <w:p>
      <w:pPr>
        <w:spacing w:after="0" w:line="20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color w:val="auto"/>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(the “Waha JV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three and nine month periods ended September 30, 2022, the Company’s proportionate share of unrecognized unrealized activity on the Waha JV swaps totaled gains of approximately $13.4 million and $42.0 million, respectively, or $10.1 million and $31.7 million, net of tax, respectively. For the three and nine month periods ended September 30, 2021, the Company’s proportionate share of unrecognized unrealized activity on the Waha JV swaps totaled gains of approximately $1.8 million and $14.1 million, respectively, or $1.3 million and $10.7 million, net of tax, respectively.</w:t>
      </w:r>
    </w:p>
    <w:p>
      <w:pPr>
        <w:spacing w:after="0" w:line="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i w:val="1"/>
          <w:iCs w:val="1"/>
          <w:color w:val="auto"/>
        </w:rPr>
        <w:t xml:space="preserve">Other Investments. </w:t>
      </w:r>
      <w:r>
        <w:rPr>
          <w:rFonts w:ascii="Arial" w:cs="Arial" w:eastAsia="Arial" w:hAnsi="Arial"/>
          <w:sz w:val="15"/>
          <w:szCs w:val="15"/>
          <w:color w:val="auto"/>
        </w:rPr>
        <w:t>The Company has equity interests in certain telecommunications entities that are accounted for as equity method investments. As of</w:t>
      </w:r>
      <w:r>
        <w:rPr>
          <w:rFonts w:ascii="Arial" w:cs="Arial" w:eastAsia="Arial" w:hAnsi="Arial"/>
          <w:sz w:val="15"/>
          <w:szCs w:val="15"/>
          <w:i w:val="1"/>
          <w:iCs w:val="1"/>
          <w:color w:val="auto"/>
        </w:rPr>
        <w:t xml:space="preserve"> </w:t>
      </w:r>
      <w:r>
        <w:rPr>
          <w:rFonts w:ascii="Arial" w:cs="Arial" w:eastAsia="Arial" w:hAnsi="Arial"/>
          <w:sz w:val="15"/>
          <w:szCs w:val="15"/>
          <w:color w:val="auto"/>
        </w:rPr>
        <w:t>September 30, 2022 and December 31, 2021, the Company had an aggregate investment of approximately $21 million and $20 million, respectively, in these entities, including $18 million and $17 million for FM Tech, respectively, as of September 30, 2022 and December 31, 2021. For the three month period ended September 30, 2022 the Company made no equity contributions related to its investments in telecommunications entities, and for the nine month period ended September 30, 2022, equity contributions related to these entities totaled approximately $1.1 million. For the three month period ended September 30, 2021, the Company made no equity contributions related to its investments in these entities, and for the nine month period ended September 30, 2021, equity contributions totaled approximately $2.0 million. For the three month period ended September 30, 2022, equity in earnings, net, related to the Company’s proportionate share of income from these telecommunications entities totaled approximately $0.4 million, and for the nine month period ended September 30, 2022 equity in losses, net totaled approximately $0.5 million. For the three month period ended September 30, 2021, equity in earnings, net, from these telecommunications entities totaled approximately $0.6 million, and for the nine month period ended September 30, 2021, equity in losses was de minimis. The difference between the carrying amount of these investments and the Company’s underlying equity in the net assets of the respective entities relates primarily to equity method goodwill associated with assembled workforce for each of these entities.</w:t>
      </w:r>
    </w:p>
    <w:p>
      <w:pPr>
        <w:spacing w:after="0" w:line="6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Certain of these telecommunications entities provide services to MasTec. Expense recognized in connection with services provided by these entities totaled approximately $2.6 million and $5.1 million for the three and nine month periods ended September 30, 2022, respectively, and totaled $3.2 million and $7.3 million for the three and nine month periods ended September 30, 2021, respectively. As of September 30, 2022 and December 31, 2021, related amounts payable to these entities totaled approximately $0.4 million and $0.3 million, respectively. In addition, the Company had an employee leasing arrangement with one of these entities and has advanced certain amounts to these entities. For both the three and nine month periods ended September 30, 2022, advances to these entities totaled approximately $2.0 million. Employee lease expenses and advances to these entities for the three month period ended September 30, 2021 were de minimis, and for the nine month period ended September 30, 2021, amounts advanced totaled $0.2 million. As of September 30, 2022 and December 31, 2021, employee lease and advances receivable totaled approximately $2.5 million and $0.9 million, respectively.</w:t>
      </w:r>
    </w:p>
    <w:p>
      <w:pPr>
        <w:spacing w:after="0" w:line="2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The Company has 49% equity interests in certain entities included within its Communications and Power Delivery segments that are accounted for as equity method investments, for which its aggregate investment as of September 30, 2022 and December 31, 2021 totaled approximately $3 million and $4 million, respectively. For the three and nine month periods ended September 30, 2022, equity in losses, related to these entities totaled approximately $0.1 million and $0.4 million, respectively. Certain of these entities provide construction services to MasTec. Expense recognized in connection with construction services provided by these entities totaled approximately $0.8 million and $5.8 million for the three and nine month periods ended September 30, 2022, respectively. As of September 30, 2022, related amounts payable totaled approximately $0.1 million. In addition, the Company has line of credit arrangements with these entities, which, as of September 30, 2022 and December 31, 2021, provide for up to $4.5 million and $8.5 million, respectively, of borrowing availability, of which $0.5 million and $0.4 million, respectively, was drawn, which amounts are included within other current assets in the consolidated balance sheets.</w:t>
      </w:r>
    </w:p>
    <w:p>
      <w:pPr>
        <w:spacing w:after="0" w:line="81"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4"/>
          <w:szCs w:val="14"/>
          <w:color w:val="auto"/>
        </w:rPr>
        <w:t>During the first quarter of 2021, MasTec committed to fund up to $2.5 million for a 75% equity interest in Confluence Networks, LLC (“Confluence”), an undersea fiber-optic communications systems developer and VIE. As of September 30, 2022, a total of $1.9 million had been funded, of which $0.2 million was funded during the nine month period ended September 30, 2022. For the three and nine month periods ended September 30, 2021, $0.3 million and $1.3 million, respectively, of funding was provided. Equity in losses related to the Company’s proportionate share of this investment was de minimis for the three month period ended September 30, 2022, and totaled $0.3 million for the nine month period ended September 30, 2022. For the three and nine month periods ended September 30, 2021, equity in losses totaled $0.2 million and $0.6 million, respectively. As of September 30, 2022, MasTec had less than a majority of the members on the board of Confluence and determined that it did not have a controlling financial interest, and therefore does not have the power to direct the primary activities that most significantly impact its economic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 w:name="page18"/>
    <w:bookmarkEnd w:id="17"/>
    <w:p>
      <w:pPr>
        <w:jc w:val="both"/>
        <w:spacing w:after="0" w:line="275" w:lineRule="auto"/>
        <w:rPr>
          <w:sz w:val="20"/>
          <w:szCs w:val="20"/>
          <w:color w:val="auto"/>
        </w:rPr>
      </w:pPr>
      <w:r>
        <w:rPr>
          <w:rFonts w:ascii="Arial" w:cs="Arial" w:eastAsia="Arial" w:hAnsi="Arial"/>
          <w:sz w:val="16"/>
          <w:szCs w:val="16"/>
          <w:color w:val="auto"/>
        </w:rPr>
        <w:t>performance, nor is it the primary beneficiary. The Company has the ability to exert significant influence over Confluence, and as a result, accounts for its investment in Confluence as an equity method investment as of September 30, 2022.</w:t>
      </w:r>
    </w:p>
    <w:p>
      <w:pPr>
        <w:spacing w:after="0" w:line="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The Company has certain equity investments in American Virtual Cloud Technologies, Inc. (“AVCT”), a publicly-traded company in which the Company currently has no active involvement. The Company’s investments in AVCT are included within other current assets in its consolidated financial statements, and include shares of AVCT common stock, which are equity securities, and warrants for the purchase of AVCT common stock, which are derivative financial instruments. Previously, the Company’s investment in AVCT included debentures that were convertible into shares of AVCT common stock, which were available-for-sale securities. In the third quarter of 2021, the Company’s investment in AVCT convertible debentures was automatically converted into shares of AVCT common stock. As of September 30, 2022 and December 31, 2021, the Company’s ownership interest in AVCT’s common stock totaled approximately 1% and 3%, respectively, and its aggregate ownership interest, assuming the exercise of all legally exercisable warrants into AVCT common stock, totaled approximately 1% and 6%, respectively.</w:t>
      </w:r>
    </w:p>
    <w:p>
      <w:pPr>
        <w:spacing w:after="0" w:line="7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As of September 30, 2022 and December 31, 2021, the aggregate fair value of the Company’s investments in AVCT approximated $1 million and $8 million, respectively, with an aggregate cost approximating $6 million as of both periods. Unrealized fair value measurement activity related to the AVCT securities, which is based on the market price of its securities, a Level 1 input, and is recorded within other income or expense, net, totaled losses of approximately $0.1 million and $7.2 million, respectively, for the three and nine month periods ended September 30, 2022. For both the three and nine month periods ended September 30, 2021, unrealized fair value measurement losses, net, totaled approximately $7.6 million, primarily related to the AVCT shares. In the third quarter of 2021, in conjunction with the automatic conversion of the AVCT convertible debentures into shares of AVCT common stock, the Company reclassified a gain of $0.7 million from other comprehensive income to other income, net. For the three and nine month periods ended September 30, 2021, unrealized fair value measurement activity related to the AVCT convertible debentures, which were recognized within other comprehensive income, totaled losses of approximately $2.4 million and $1.1 million, respectively, or $1.8 million and $0.8 million, net of tax, respectively.</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Notes</w:t>
      </w:r>
    </w:p>
    <w:p>
      <w:pPr>
        <w:spacing w:after="0" w:line="113"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4"/>
          <w:szCs w:val="14"/>
          <w:color w:val="auto"/>
        </w:rPr>
        <w:t>As of both September 30, 2022 and December 31, 2021, the gross carrying amount of the Company’s 4.50% senior notes due August 15, 2028 (the “4.50% Senior Notes”) totaled $600 million, and their estimated fair value, based on an exit price approach using Level 1 inputs, totaled $522.0 million and $619.5 million,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Accounts Receivable, Net of Allowance, and Contract Assets and Liabilities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following table provides details of accounts receivable, net of allowance, and contract assets (together, “accounts receivable, net”) as of the dates indicated (in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8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Contract billings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1,027.1</w:t>
            </w:r>
          </w:p>
        </w:tc>
      </w:tr>
      <w:tr>
        <w:trPr>
          <w:trHeight w:val="213"/>
        </w:trPr>
        <w:tc>
          <w:tcPr>
            <w:tcW w:w="822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Less allowance</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10"/>
        </w:trPr>
        <w:tc>
          <w:tcPr>
            <w:tcW w:w="8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receivable, net of allowance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1,019.3</w:t>
            </w:r>
          </w:p>
        </w:tc>
      </w:tr>
      <w:tr>
        <w:trPr>
          <w:trHeight w:val="240"/>
        </w:trPr>
        <w:tc>
          <w:tcPr>
            <w:tcW w:w="8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8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Retainage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w:t>
            </w:r>
          </w:p>
        </w:tc>
      </w:tr>
      <w:tr>
        <w:trPr>
          <w:trHeight w:val="213"/>
        </w:trPr>
        <w:tc>
          <w:tcPr>
            <w:tcW w:w="822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Unbilled receivables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931.1</w:t>
            </w:r>
          </w:p>
        </w:tc>
      </w:tr>
      <w:tr>
        <w:trPr>
          <w:trHeight w:val="209"/>
        </w:trPr>
        <w:tc>
          <w:tcPr>
            <w:tcW w:w="8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Contract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1,227.9</w:t>
            </w:r>
          </w:p>
        </w:tc>
      </w:tr>
    </w:tbl>
    <w:p>
      <w:pPr>
        <w:spacing w:after="0" w:line="2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Contract billings represent the amount of performance obligations that have been billed but not yet collected, whereas contract assets consist of unbilled receivables and retainage. Unbilled receivables represent the estimated value of unbilled 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The increase in unbilled receivables as of September 30, 2022 was driven primarily by ordinary course project activity associated with higher levels of revenue in our Power Delivery and Communications segments. For the nine month period ended September 30, 2022, provisions for credit losses totaled $0.7 million, and for the nine month period ended September 30, 2021, provisions for credit losses totaled a recovery of $11.0 million resulting from successful collection of previously reserved amounts. Impairment losses on contract assets were not material in either period.</w:t>
      </w:r>
    </w:p>
    <w:p>
      <w:pPr>
        <w:spacing w:after="0" w:line="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Contract liabilities consist primarily of deferred revenue.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Contract liabilities also include the amount of any accrued project losses. Total contract liabilities, including accrued project losses, totaled approximately $249.7 million and $314.0 million as of September 30, 2022 and December 31, 2021, respectively, of which deferred revenue comprised approximately $240.8 million and $296.1 million, respectively. The decrease in contract liabilities as of September 30, 2022 was driven primarily by timing of billings for projects in our Clean Energy and Infrastructure, Power Delivery and Communications segments. For the three and nine month periods ended September 30, 2022, the Company recognized revenue of approximately $22.2 million and $268.0 million, respectively, related to amounts that were included in deferred revenue as of December 31, 2021, resulting primarily from the advancement of physical progress on the related projects during the respective periods.</w:t>
      </w:r>
    </w:p>
    <w:p>
      <w:pPr>
        <w:spacing w:after="0" w:line="68"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6"/>
          <w:szCs w:val="16"/>
          <w:color w:val="auto"/>
        </w:rPr>
        <w:t>The Company is party to non-recourse financing arrangements in the ordinary course of business, under which certain receivables are settled with the customer’s bank in return for a nominal fee. Discount charges related to these arrangements, which are included within interest expense, net, totaled approximately $2.4 million and $0.8 million for the three month periods ended September 30, 2022 and 2021, respectively, and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totaled $4.9 million and $2.3 million, respectively, for the nine month periods ended September 30, 2022 and 2021.</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Property and Equipment, Net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provides details of property and equipment, net, including property and equipment held under finance leases as of the dates indicated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8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Land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13"/>
        </w:trPr>
        <w:tc>
          <w:tcPr>
            <w:tcW w:w="8220" w:type="dxa"/>
            <w:vAlign w:val="bottom"/>
          </w:tcPr>
          <w:p>
            <w:pPr>
              <w:ind w:left="60"/>
              <w:spacing w:after="0"/>
              <w:rPr>
                <w:sz w:val="20"/>
                <w:szCs w:val="20"/>
                <w:color w:val="auto"/>
              </w:rPr>
            </w:pPr>
            <w:r>
              <w:rPr>
                <w:rFonts w:ascii="Arial" w:cs="Arial" w:eastAsia="Arial" w:hAnsi="Arial"/>
                <w:sz w:val="16"/>
                <w:szCs w:val="16"/>
                <w:color w:val="auto"/>
              </w:rPr>
              <w:t>Buildings and leasehold improvements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94.1</w:t>
            </w:r>
          </w:p>
        </w:tc>
      </w:tr>
      <w:tr>
        <w:trPr>
          <w:trHeight w:val="219"/>
        </w:trPr>
        <w:tc>
          <w:tcPr>
            <w:tcW w:w="8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Machinery and equipment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2,411.0</w:t>
            </w:r>
          </w:p>
        </w:tc>
      </w:tr>
      <w:tr>
        <w:trPr>
          <w:trHeight w:val="213"/>
        </w:trPr>
        <w:tc>
          <w:tcPr>
            <w:tcW w:w="8220" w:type="dxa"/>
            <w:vAlign w:val="bottom"/>
          </w:tcPr>
          <w:p>
            <w:pPr>
              <w:ind w:left="60"/>
              <w:spacing w:after="0"/>
              <w:rPr>
                <w:sz w:val="20"/>
                <w:szCs w:val="20"/>
                <w:color w:val="auto"/>
              </w:rPr>
            </w:pPr>
            <w:r>
              <w:rPr>
                <w:rFonts w:ascii="Arial" w:cs="Arial" w:eastAsia="Arial" w:hAnsi="Arial"/>
                <w:sz w:val="16"/>
                <w:szCs w:val="16"/>
                <w:color w:val="auto"/>
              </w:rPr>
              <w:t>Office furniture and equipment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262.6</w:t>
            </w:r>
          </w:p>
        </w:tc>
      </w:tr>
      <w:tr>
        <w:trPr>
          <w:trHeight w:val="219"/>
        </w:trPr>
        <w:tc>
          <w:tcPr>
            <w:tcW w:w="8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Construction in progress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r>
      <w:tr>
        <w:trPr>
          <w:trHeight w:val="207"/>
        </w:trPr>
        <w:tc>
          <w:tcPr>
            <w:tcW w:w="8220" w:type="dxa"/>
            <w:vAlign w:val="bottom"/>
          </w:tcPr>
          <w:p>
            <w:pPr>
              <w:ind w:left="300"/>
              <w:spacing w:after="0"/>
              <w:rPr>
                <w:sz w:val="20"/>
                <w:szCs w:val="20"/>
                <w:color w:val="auto"/>
              </w:rPr>
            </w:pPr>
            <w:r>
              <w:rPr>
                <w:rFonts w:ascii="Arial" w:cs="Arial" w:eastAsia="Arial" w:hAnsi="Arial"/>
                <w:sz w:val="16"/>
                <w:szCs w:val="16"/>
                <w:color w:val="auto"/>
              </w:rPr>
              <w:t>Total property and equipment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3,181.1</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2,840.4</w:t>
            </w:r>
          </w:p>
        </w:tc>
      </w:tr>
      <w:tr>
        <w:trPr>
          <w:trHeight w:val="219"/>
        </w:trPr>
        <w:tc>
          <w:tcPr>
            <w:tcW w:w="8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Less accumulated 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(1,404.3)</w:t>
            </w:r>
          </w:p>
        </w:tc>
      </w:tr>
      <w:tr>
        <w:trPr>
          <w:trHeight w:val="207"/>
        </w:trPr>
        <w:tc>
          <w:tcPr>
            <w:tcW w:w="8220" w:type="dxa"/>
            <w:vAlign w:val="bottom"/>
          </w:tcPr>
          <w:p>
            <w:pPr>
              <w:ind w:left="300"/>
              <w:spacing w:after="0"/>
              <w:rPr>
                <w:sz w:val="20"/>
                <w:szCs w:val="20"/>
                <w:color w:val="auto"/>
              </w:rPr>
            </w:pPr>
            <w:r>
              <w:rPr>
                <w:rFonts w:ascii="Arial" w:cs="Arial" w:eastAsia="Arial" w:hAnsi="Arial"/>
                <w:sz w:val="16"/>
                <w:szCs w:val="16"/>
                <w:color w:val="auto"/>
              </w:rPr>
              <w:t>Property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1,436.1</w:t>
            </w:r>
          </w:p>
        </w:tc>
      </w:tr>
    </w:tbl>
    <w:p>
      <w:pPr>
        <w:spacing w:after="0" w:line="2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gross amount of capitalized internal-use software, which is included within office furniture and equipment, totaled $183.6 million and $176.4 million as of September 30, 2022 and December 31, 2021, respectively. Capitalized internal-use software, net of accumulated amortization, totaled $40.4 million and $43.9 million as of September 30, 2022 and December 31, 2021,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Debt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of the carrying values of debt as of the dates indicated (in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20" w:type="dxa"/>
            <w:vAlign w:val="bottom"/>
            <w:vMerge w:val="restart"/>
          </w:tcPr>
          <w:p>
            <w:pPr>
              <w:spacing w:after="0"/>
              <w:rPr>
                <w:sz w:val="16"/>
                <w:szCs w:val="16"/>
                <w:color w:val="auto"/>
              </w:rPr>
            </w:pPr>
          </w:p>
        </w:tc>
        <w:tc>
          <w:tcPr>
            <w:tcW w:w="2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Maturity Date</w:t>
            </w:r>
          </w:p>
        </w:tc>
        <w:tc>
          <w:tcPr>
            <w:tcW w:w="120" w:type="dxa"/>
            <w:vAlign w:val="bottom"/>
            <w:vMerge w:val="restart"/>
          </w:tcPr>
          <w:p>
            <w:pPr>
              <w:spacing w:after="0"/>
              <w:rPr>
                <w:sz w:val="16"/>
                <w:szCs w:val="16"/>
                <w:color w:val="auto"/>
              </w:rPr>
            </w:pPr>
          </w:p>
        </w:tc>
        <w:tc>
          <w:tcPr>
            <w:tcW w:w="160" w:type="dxa"/>
            <w:vAlign w:val="bottom"/>
            <w:vMerge w:val="restart"/>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credit facility:</w:t>
            </w:r>
          </w:p>
        </w:tc>
        <w:tc>
          <w:tcPr>
            <w:tcW w:w="26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November 1, 2026</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80" w:type="dxa"/>
            <w:vAlign w:val="bottom"/>
            <w:gridSpan w:val="2"/>
          </w:tcPr>
          <w:p>
            <w:pPr>
              <w:ind w:left="140"/>
              <w:spacing w:after="0"/>
              <w:rPr>
                <w:sz w:val="20"/>
                <w:szCs w:val="20"/>
                <w:color w:val="auto"/>
              </w:rPr>
            </w:pPr>
            <w:r>
              <w:rPr>
                <w:rFonts w:ascii="Arial" w:cs="Arial" w:eastAsia="Arial" w:hAnsi="Arial"/>
                <w:sz w:val="16"/>
                <w:szCs w:val="16"/>
                <w:color w:val="auto"/>
              </w:rPr>
              <w:t>Revolving loans</w:t>
            </w:r>
          </w:p>
        </w:tc>
        <w:tc>
          <w:tcPr>
            <w:tcW w:w="26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920.5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772.3</w:t>
            </w:r>
          </w:p>
        </w:tc>
        <w:tc>
          <w:tcPr>
            <w:tcW w:w="0" w:type="dxa"/>
            <w:vAlign w:val="bottom"/>
          </w:tcPr>
          <w:p>
            <w:pPr>
              <w:spacing w:after="0"/>
              <w:rPr>
                <w:sz w:val="1"/>
                <w:szCs w:val="1"/>
                <w:color w:val="auto"/>
              </w:rPr>
            </w:pPr>
          </w:p>
        </w:tc>
      </w:tr>
      <w:tr>
        <w:trPr>
          <w:trHeight w:val="219"/>
        </w:trPr>
        <w:tc>
          <w:tcPr>
            <w:tcW w:w="5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Term loan</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3"/>
        </w:trPr>
        <w:tc>
          <w:tcPr>
            <w:tcW w:w="5780" w:type="dxa"/>
            <w:vAlign w:val="bottom"/>
            <w:gridSpan w:val="2"/>
          </w:tcPr>
          <w:p>
            <w:pPr>
              <w:ind w:left="20"/>
              <w:spacing w:after="0"/>
              <w:rPr>
                <w:sz w:val="20"/>
                <w:szCs w:val="20"/>
                <w:color w:val="auto"/>
              </w:rPr>
            </w:pPr>
            <w:r>
              <w:rPr>
                <w:rFonts w:ascii="Arial" w:cs="Arial" w:eastAsia="Arial" w:hAnsi="Arial"/>
                <w:sz w:val="16"/>
                <w:szCs w:val="16"/>
                <w:color w:val="auto"/>
              </w:rPr>
              <w:t>4.50% Senior Notes</w:t>
            </w:r>
          </w:p>
        </w:tc>
        <w:tc>
          <w:tcPr>
            <w:tcW w:w="2600" w:type="dxa"/>
            <w:vAlign w:val="bottom"/>
            <w:gridSpan w:val="3"/>
          </w:tcPr>
          <w:p>
            <w:pPr>
              <w:ind w:left="20"/>
              <w:spacing w:after="0"/>
              <w:rPr>
                <w:sz w:val="20"/>
                <w:szCs w:val="20"/>
                <w:color w:val="auto"/>
              </w:rPr>
            </w:pPr>
            <w:r>
              <w:rPr>
                <w:rFonts w:ascii="Arial" w:cs="Arial" w:eastAsia="Arial" w:hAnsi="Arial"/>
                <w:sz w:val="16"/>
                <w:szCs w:val="16"/>
                <w:color w:val="auto"/>
              </w:rPr>
              <w:t>August 15, 2028</w:t>
            </w:r>
          </w:p>
        </w:tc>
        <w:tc>
          <w:tcPr>
            <w:tcW w:w="1300" w:type="dxa"/>
            <w:vAlign w:val="bottom"/>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1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lease and other obligations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310.3</w:t>
            </w:r>
          </w:p>
        </w:tc>
        <w:tc>
          <w:tcPr>
            <w:tcW w:w="0" w:type="dxa"/>
            <w:vAlign w:val="bottom"/>
          </w:tcPr>
          <w:p>
            <w:pPr>
              <w:spacing w:after="0"/>
              <w:rPr>
                <w:sz w:val="1"/>
                <w:szCs w:val="1"/>
                <w:color w:val="auto"/>
              </w:rPr>
            </w:pPr>
          </w:p>
        </w:tc>
      </w:tr>
      <w:tr>
        <w:trPr>
          <w:trHeight w:val="207"/>
        </w:trPr>
        <w:tc>
          <w:tcPr>
            <w:tcW w:w="5780" w:type="dxa"/>
            <w:vAlign w:val="bottom"/>
            <w:gridSpan w:val="2"/>
          </w:tcPr>
          <w:p>
            <w:pPr>
              <w:ind w:left="140"/>
              <w:spacing w:after="0"/>
              <w:rPr>
                <w:sz w:val="20"/>
                <w:szCs w:val="20"/>
                <w:color w:val="auto"/>
              </w:rPr>
            </w:pPr>
            <w:r>
              <w:rPr>
                <w:rFonts w:ascii="Arial" w:cs="Arial" w:eastAsia="Arial" w:hAnsi="Arial"/>
                <w:sz w:val="16"/>
                <w:szCs w:val="16"/>
                <w:color w:val="auto"/>
              </w:rPr>
              <w:t>Total debt obligations</w:t>
            </w:r>
          </w:p>
        </w:tc>
        <w:tc>
          <w:tcPr>
            <w:tcW w:w="26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2,240.8</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2,032.6</w:t>
            </w:r>
          </w:p>
        </w:tc>
        <w:tc>
          <w:tcPr>
            <w:tcW w:w="0" w:type="dxa"/>
            <w:vAlign w:val="bottom"/>
          </w:tcPr>
          <w:p>
            <w:pPr>
              <w:spacing w:after="0"/>
              <w:rPr>
                <w:sz w:val="1"/>
                <w:szCs w:val="1"/>
                <w:color w:val="auto"/>
              </w:rPr>
            </w:pPr>
          </w:p>
        </w:tc>
      </w:tr>
      <w:tr>
        <w:trPr>
          <w:trHeight w:val="219"/>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Less unamortized deferred financing costs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6"/>
        </w:trPr>
        <w:tc>
          <w:tcPr>
            <w:tcW w:w="5780" w:type="dxa"/>
            <w:vAlign w:val="bottom"/>
            <w:gridSpan w:val="2"/>
          </w:tcPr>
          <w:p>
            <w:pPr>
              <w:ind w:left="140"/>
              <w:spacing w:after="0"/>
              <w:rPr>
                <w:sz w:val="20"/>
                <w:szCs w:val="20"/>
                <w:color w:val="auto"/>
              </w:rPr>
            </w:pPr>
            <w:r>
              <w:rPr>
                <w:rFonts w:ascii="Arial" w:cs="Arial" w:eastAsia="Arial" w:hAnsi="Arial"/>
                <w:sz w:val="16"/>
                <w:szCs w:val="16"/>
                <w:color w:val="auto"/>
              </w:rPr>
              <w:t>Total debt, net of deferred financing costs</w:t>
            </w:r>
          </w:p>
        </w:tc>
        <w:tc>
          <w:tcPr>
            <w:tcW w:w="26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2,224.3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2,014.1</w:t>
            </w:r>
          </w:p>
        </w:tc>
        <w:tc>
          <w:tcPr>
            <w:tcW w:w="0" w:type="dxa"/>
            <w:vAlign w:val="bottom"/>
          </w:tcPr>
          <w:p>
            <w:pPr>
              <w:spacing w:after="0"/>
              <w:rPr>
                <w:sz w:val="1"/>
                <w:szCs w:val="1"/>
                <w:color w:val="auto"/>
              </w:rPr>
            </w:pPr>
          </w:p>
        </w:tc>
      </w:tr>
      <w:tr>
        <w:trPr>
          <w:trHeight w:val="213"/>
        </w:trPr>
        <w:tc>
          <w:tcPr>
            <w:tcW w:w="57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w:t>
            </w:r>
          </w:p>
        </w:tc>
        <w:tc>
          <w:tcPr>
            <w:tcW w:w="2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206"/>
        </w:trPr>
        <w:tc>
          <w:tcPr>
            <w:tcW w:w="5780" w:type="dxa"/>
            <w:vAlign w:val="bottom"/>
            <w:gridSpan w:val="2"/>
          </w:tcPr>
          <w:p>
            <w:pPr>
              <w:ind w:left="220"/>
              <w:spacing w:after="0"/>
              <w:rPr>
                <w:sz w:val="20"/>
                <w:szCs w:val="20"/>
                <w:color w:val="auto"/>
              </w:rPr>
            </w:pPr>
            <w:r>
              <w:rPr>
                <w:rFonts w:ascii="Arial" w:cs="Arial" w:eastAsia="Arial" w:hAnsi="Arial"/>
                <w:sz w:val="16"/>
                <w:szCs w:val="16"/>
                <w:color w:val="auto"/>
              </w:rPr>
              <w:t>Long-term debt</w:t>
            </w:r>
          </w:p>
        </w:tc>
        <w:tc>
          <w:tcPr>
            <w:tcW w:w="2440" w:type="dxa"/>
            <w:vAlign w:val="bottom"/>
            <w:gridSpan w:val="2"/>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2,067.5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1,876.2</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Senior Credit Facility</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 has a senior unsecured credit facility (the “Credit Facility”), which was amended on September 1, 2022. The amendment, among other changes, increased the Company’s aggregate borrowing commitments under the Credit Facility from approximately $2.0 billion to $2.25 billion, which amount is composed of $1.9 billion of revolving commitments, an increase of $250 million from the previous Credit Facility, and a term loan with an original principal amount of $350 million (the “Term Loan”). The amendment also released the guarantees that existed under the previous Credit Facility and removed the requirement that certain subsidiaries of the Company guarantee the obligations thereunder. The other terms and conditions of the Credit Facility remain substantially the same. Additionally, the amendment eliminated the use of London Interbank Offered Rate (“LIBOR”) as a basis to determine certain interest rates and transitioned to the Secured Overnight Financing Rate (“SOFR”) for such purposes. Obligations under the Credit Facility are not secured. Borrowings under the amended Credit Facility will be used for working capital requirements, capital expenditures and other corporate purposes, including acquisitions, equity investments or other strategic arrangements, and/or the repurchase or prepayment of indebtedness, among other corporate borrowing requirements.</w:t>
      </w:r>
    </w:p>
    <w:p>
      <w:pPr>
        <w:spacing w:after="0" w:line="9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Outstanding revolving loans and the Term Loan under the amended Credit Facility bear interest, at the Company’s option, at a rate equal to either (a) Term SOFR, as defined in the amended Credit Facility, plus a margin of 1.125% to 1.625%, or (b) a Base Rate, as defined in the amended Credit Facility, plus a margin of 0.125% to 0.625%. The Base Rate equals the highest of (i) the Federal Funds Rate, as defined in the amended Credit Facility, plus 0.50%, (ii) Bank of America’s prime rate, and (iii) Term SOFR plus 1.00%.</w:t>
      </w:r>
    </w:p>
    <w:p>
      <w:pPr>
        <w:spacing w:after="0" w:line="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Term Loan is subject to amortization in quarterly principal installments of approximately $2.2 million commencing in March 2023, which quarterly installments increase to approximately $4.4 million in March 2025 until maturity. Quarterly principal installments on the Term Loan are subject to adjustment, if applicable, for certain prepayments.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9" w:name="page20"/>
    <w:bookmarkEnd w:id="19"/>
    <w:p>
      <w:pPr>
        <w:jc w:val="both"/>
        <w:ind w:firstLine="648"/>
        <w:spacing w:after="0" w:line="257" w:lineRule="auto"/>
        <w:rPr>
          <w:sz w:val="20"/>
          <w:szCs w:val="20"/>
          <w:color w:val="auto"/>
        </w:rPr>
      </w:pPr>
      <w:r>
        <w:rPr>
          <w:rFonts w:ascii="Arial" w:cs="Arial" w:eastAsia="Arial" w:hAnsi="Arial"/>
          <w:sz w:val="16"/>
          <w:szCs w:val="16"/>
          <w:color w:val="auto"/>
        </w:rPr>
        <w:t>As of September 30, 2022 and December 31, 2021, outstanding revolving loans, which included $0.5 million and $32.3 million, respectively, of borrowings denominated in foreign currencies, accrued interest at weighted average rates of approximately 4.30% and 2.32% per annum, respectively. The Term Loan accrued interest at rates of 4.51% and 1.35% as of September 30, 2022 and December 31, 2021, respectively. Letters of credit of approximately $145.0 million and $166.3 million were issued as of September 30, 2022 and December 31, 2021, respectively. As of September 30, 2022 and December 31, 2021, letter of credit fees accrued at 0.5625% and 0.4375%, respectively, per annum for performance standby letters of credit, and accrued at 1.375% and 1.250%, respectively, per annum for financial standby letters of credit. Outstanding letters of credit mature at various dates and most have automatic renewal provisions, subject to prior notice of cancellation. As of September 30, 2022 and December 31, 2021, availability for revolving loans totaled $834.5 million and $711.5 million, respectively, or up to $505.0 million and $483.7 million, respectively, for new letters of credit. Revolving loan borrowing capacity included $149.5 million and $267.7 million of availability in either Canadian dollars or Mexican pesos as of September 30, 2022 and December 31, 2021, respectively. The unused facility fee as of September 30, 2022 and December 31, 2021 accrued at a rate of 0.200% and 0.175%, respectively, per annum.</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Other Credit Facilities</w:t>
      </w:r>
    </w:p>
    <w:p>
      <w:pPr>
        <w:spacing w:after="0" w:line="11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has other credit facilities that support: (i) the working capital requirements of its foreign operations and (ii) certain letter of credit issuances. There were no outstanding borrowings under the Company’s other credit facilities as of September 30, 2022 or December 31, 2021. Additionally, the Company has a separate credit facility, under which it may issue performance standby letters of credit. As of September 30, 2022 and December 31, 2021, letters of credit issued under this facility totaled $17.4 million and $22.2 million, respectively, which accrued fees at 0.75% and 0.40% per annum, respectively. The Company’s other credit facilities are subject to customary provisions and covenants.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4.50% Senior Notes</w:t>
      </w:r>
    </w:p>
    <w:p>
      <w:pPr>
        <w:spacing w:after="0" w:line="12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The Company has $600.0 million aggregate principal amount of 4.50% senior unsecured notes due August 15, 2028 (the “4.50% Senior Notes”). Pursuant to the terms of the indenture governing the Company’s 4.50% Senior Notes, the existing guarantees on the 4.50% Senior Notes were released substantially concurrent with the September 1, 2022 amendment to the Credit Facility, which, as discussed above, released the guarantors under the previous Credit Facility. Prior to the amendment, the 4.50% Senior Notes were fully and unconditionally guaranteed on a senior unsecured, joint and several basis by certain of the Company’s wholly-owned domestic restricted subsidiaries. Additionally, the indenture that governs the Company’s 4.50% Senior Notes contains a provision whereby certain restrictions that generally limit the ability of the Company and certain of its subsidiaries to (i) pay dividends, (ii) acquire shares of capital stock and (iii) make certain investments, are permanently terminated upon the Company’s 4.50% Senior Notes receiving “investment grade” ratings by Moody’s Investors Service, Inc. and Standard &amp; Poor’s Ratings Group. In the first quarter of 2022, the Company’s 4.50% Senior Notes received such investment grade ratings, and, as a result, the aforementioned restrictions were permanently terminated. The other terms and conditions of the 4.50% Senior Notes remain unchanged.</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12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MasTec was in compliance with the provisions and covenants of its outstanding debt instruments as of both September 30, 2022 and December 31, 2021. As of September 30, 2022 and December 31, 2021, accrued interest payable, which is recorded within other accrued expenses in the consolidated balance sheets, totaled $7.0 million and $11.7 million, respectively. For additional information pertaining to the Company’s debt instruments, see Note 7 - Debt in the Company’s 2021 Form 10-K.</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IEA Acquisition Financing and Acquired Debt</w:t>
      </w:r>
    </w:p>
    <w:p>
      <w:pPr>
        <w:spacing w:after="0" w:line="113" w:lineRule="exact"/>
        <w:rPr>
          <w:sz w:val="20"/>
          <w:szCs w:val="20"/>
          <w:color w:val="auto"/>
        </w:rPr>
      </w:pPr>
    </w:p>
    <w:p>
      <w:pPr>
        <w:jc w:val="both"/>
        <w:ind w:firstLine="729"/>
        <w:spacing w:after="0" w:line="257" w:lineRule="auto"/>
        <w:rPr>
          <w:sz w:val="20"/>
          <w:szCs w:val="20"/>
          <w:color w:val="auto"/>
        </w:rPr>
      </w:pPr>
      <w:r>
        <w:rPr>
          <w:rFonts w:ascii="Arial" w:cs="Arial" w:eastAsia="Arial" w:hAnsi="Arial"/>
          <w:sz w:val="16"/>
          <w:szCs w:val="16"/>
          <w:b w:val="1"/>
          <w:bCs w:val="1"/>
          <w:i w:val="1"/>
          <w:iCs w:val="1"/>
          <w:color w:val="auto"/>
        </w:rPr>
        <w:t xml:space="preserve">New Term Loan Facility. </w:t>
      </w:r>
      <w:r>
        <w:rPr>
          <w:rFonts w:ascii="Arial" w:cs="Arial" w:eastAsia="Arial" w:hAnsi="Arial"/>
          <w:sz w:val="16"/>
          <w:szCs w:val="16"/>
          <w:color w:val="auto"/>
        </w:rPr>
        <w:t>The IEA acquisition, which was completed in October 2022, was funded with the New Term Loan Facility (as defined below).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1, 2022, the Company entered into a new unsecured delayed draw term loan agreement (the “New Term Loan Facility”), which provided for $700.0 million in delayed draw term loan commitments (the “Term Loan Commitments”), composed of $400.0 million in principal amount of three-year commitments (the “Three-Year Tranche”) and $300.0 million in principal amount of five-year commitments (the “Five-Year Tranche”). The Term Loan Commitments were drawn on October 7, 2022, the Closing Date of the IEA acquisition. See Note 3 – Acquisitions, Goodwill and Other Intangible Assets, Net for additional information related to the IEA acquisition. The Company incurred approximately $2.0 million of debt issuance costs in connection with the New Term Loan Facility as of November 1, 2022, which costs will be amortized over the respective terms of the Three- and Five-Year Tranches.</w:t>
      </w:r>
    </w:p>
    <w:p>
      <w:pPr>
        <w:spacing w:after="0" w:line="9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The Three-Year Tranche will mature on October 7, 2025, the three-year anniversary of the Closing Date, and the Five-Year Tranche will mature on October 7, 2027, the five-year anniversary of the Closing Date. Loans under the Three-Year Tranche are not subject to amortization. Loans under the Five-Year Tranche will be amortized in quarterly principal installments, subject to the application of certain prepayments in accordance with the terms of the New Term Loan Facility. Quarterly installments under the Five-Year Tranche of $3.75 million will commence on March 31, 2024 and will increase to $7.5 million on March 31, 2026, until maturity.</w:t>
      </w:r>
    </w:p>
    <w:p>
      <w:pPr>
        <w:spacing w:after="0" w:line="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Outstanding loans under the Three-Year Tranche bear interest, at the Company’s option, at a rate equal to either (a) Term Secured Overnight Financing Rate (“SOFR”), as defined in the New Term Loan Facility, plus a margin of 1.125% to 1.500%, or (b) a Base Rate, as defined below, plus a margin of 0.125% to 0.500%. Outstanding loans under the Five-Year Tranche bear interest, at the Company’s option, at a rate equal to either (a) Term SOFR plus a margin of 1.250% to 1.625%, or (b) a Base Rate, plus a margin of 0.250% to 0.625%. The Base Rate equals the highest of (i) the Federal Funds Rate, as defined in the New Term Loan Facility, plus 0.50%, (ii) Bank of America’s prime rate and (iii) Term SOFR plus 1.00%. In each of the foregoing cases, the applicable margin is based on the Company’s Consolidated Leverage Ratio and Debt Rating, each as defined in the New Term Loan Facility, as of the then most recent fiscal quarter.</w:t>
      </w:r>
    </w:p>
    <w:p>
      <w:pPr>
        <w:spacing w:after="0" w:line="7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obligations under the New Term Loan Facility are not guaranteed and are not secured by any assets of the Company or any of its subsidiaries. The New Term Loan Facility requires the Company to maintain a Consolidated Leverage Ratio, as defined in the New Term Loan Facility, of not more than 3.50 as of the end of any fiscal quarter (subject to the Acquisition Adjustment described below). The New Term Loan Facility also requires the Company to maintain a Consolidated Interest Coverage Ratio, as defined in the Amended Credit Facility, of at least 3.00. The New Term Loan Facility provides that, for purposes of calculating the Consolidated Leverage Ratio, funded indebtedness excludes undrawn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 w:name="page21"/>
    <w:bookmarkEnd w:id="20"/>
    <w:p>
      <w:pPr>
        <w:jc w:val="both"/>
        <w:spacing w:after="0" w:line="256" w:lineRule="auto"/>
        <w:rPr>
          <w:sz w:val="20"/>
          <w:szCs w:val="20"/>
          <w:color w:val="auto"/>
        </w:rPr>
      </w:pPr>
      <w:r>
        <w:rPr>
          <w:rFonts w:ascii="Arial" w:cs="Arial" w:eastAsia="Arial" w:hAnsi="Arial"/>
          <w:sz w:val="16"/>
          <w:szCs w:val="16"/>
          <w:color w:val="auto"/>
        </w:rPr>
        <w:t>standby performance letters of credit included in the calculation of Consolidated Funded Indebtedness (as defined in the New Term Loan Facility). Additionally, notwithstanding the terms discussed above, subject to certain conditions, if a permitted acquisition or series of permitted acquisitions having consideration exceeding $100 million occurs during a fiscal quarter, the Consolidated Leverage Ratio may be temporarily increased to up to 4.00 during such fiscal quarter and the subsequent four fiscal quarters (the “Acquisition Adjustment”). Such right may be exercised no more than two times during the term of the New Term Loan Facility. Subject to customary exceptions, the New Term Loan Facility limits the borrowers’ ability to engage in certain activities, including but not limited to acquisitions, mergers and consolidations, debt incurrence, investments, asset sales, debt prepayments, lien incurrence and the making of distributions on or repurchases of capital stock. However, distributions payable solely in capital stock are permitted. The New Term Loan Facility provides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Bridge Term Loan Facility. </w:t>
      </w:r>
      <w:r>
        <w:rPr>
          <w:rFonts w:ascii="Arial" w:cs="Arial" w:eastAsia="Arial" w:hAnsi="Arial"/>
          <w:sz w:val="16"/>
          <w:szCs w:val="16"/>
          <w:color w:val="auto"/>
        </w:rPr>
        <w:t>The Company incurred approximately $2.7 million of fees and expenses in the third quarter of 2022 in connection with commitments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 bridge term loan facility, which commitments were subsequently terminated in connection with the New Term Loan Facility, which costs are reflected as acquisition and integration costs within other expense.</w:t>
      </w:r>
    </w:p>
    <w:p>
      <w:pPr>
        <w:spacing w:after="0" w:line="8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b w:val="1"/>
          <w:bCs w:val="1"/>
          <w:i w:val="1"/>
          <w:iCs w:val="1"/>
          <w:color w:val="auto"/>
        </w:rPr>
        <w:t xml:space="preserve">IEA 6.625% Senior Notes. </w:t>
      </w:r>
      <w:r>
        <w:rPr>
          <w:rFonts w:ascii="Arial" w:cs="Arial" w:eastAsia="Arial" w:hAnsi="Arial"/>
          <w:sz w:val="15"/>
          <w:szCs w:val="15"/>
          <w:color w:val="auto"/>
        </w:rPr>
        <w:t>Upon consummation of the October 2022 acquisition of IEA, the Company assumed $300 million of 6.625% senior unsecured notes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that mature on August 15, 2029 (the “6.625% IEA Senior Notes”) and that were issued by IEA Energy Services LLC (the “IEA Issuer”), a wholly-owned subsidiary of IEA, in a private placement pursuant to an indenture, dated as of August 17, 2021 (the “IEA Senior Notes Indenture”), by and among the IEA Issuer, the IEA Guarantors (as defined therein) and Wilmington Trust, National Association, as trustee. Prior to the acquisition of IEA by MasTec, the 6.625% IEA Senior Notes were guaranteed by the IEA Guarantors. Effective October 7, 2022, concurrent with the acquisition of IEA and the repayment in full and termination of IEA’s credit facility, which resulted in the release of such guarantors under the prior credit facility, the IEA Guarantors of the 6.625% IEA Senior Notes were automatically and unconditionally released and discharged from their obligations under the IEA Senior Notes Indenture. The 6.625% IEA Senior Notes will be structurally subordinated to all indebtedness and other liabilities, including trade payables, of the Company’s subsidiaries and will be effectively subordinated to any secured indebtedness of the IEA Issuer, to the extent of the value of the collateral securing such indebtedness. Interest on the 6.625% IEA Senior Notes is payable semiannually in arrears on February 15 and August 15 of each year. On October 26, 2022, approximately $74.9 million in principal amount of the 6.625% IEA Senior Notes were exchanged for the same principal amount of MasTec’s 6.625% senior unsecured notes that mature on August 15, 2029 (the “6.625% MasTec Senior Notes”) in a private exchange offer and consent solicitation to certain holders of 6.625% IEA Senior Notes. See discussion of exchange offer and 6.625% MasTec Senior Notes below.</w:t>
      </w:r>
    </w:p>
    <w:p>
      <w:pPr>
        <w:spacing w:after="0" w:line="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At any time prior to August 15, 2024, the IEA Issuer may redeem some or all of the 6.625% IEA Senior Notes at a price equal to 100% of the principal amount of the 6.625% IEA Senior Notes, plus a “make-whole premium,” together with accrued and unpaid interest, if any, to, but not including, the date of redemption. In addition, at any time prior to August 15, 2024, the IEA Issuer may redeem up to 40% of the original principal amount of the 6.625% IEA Senior Notes with the proceeds of certain equity offerings at a redemption price of 106.625% of the principal amount of the 6.625% IEA Senior Notes, together with accrued and unpaid interest, if any, to, but not including, the date of redemption, subject to the right of holders of notes on the relevant record date to receive interest due on the relevant interest payment date. On or after August 15, 2024, the 6.625% IEA Senior Notes are subject to redemption at any time and from time to time at the option of the IEA Issuer, in whole or in part, at specified redemption prices, expressed as percentages of principal amount, of 103.3% declining over a two-year period to 100.0%, subject to the right of holders of notes on the relevant record date to receive interest due on the relevant interest payment date.</w:t>
      </w:r>
    </w:p>
    <w:p>
      <w:pPr>
        <w:spacing w:after="0" w:line="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5"/>
          <w:szCs w:val="15"/>
          <w:color w:val="auto"/>
        </w:rPr>
        <w:t>The terms of the 6.625% IEA Senior Notes Indenture, among other things, limit the IEA Issuer’s ability to incur additional indebtedness; pay dividends or make other restricted payments; make loans and investments; incur liens; sell assets; enter into affiliate transactions; enter into certain sale and leaseback transactions; enter into agreements restricting the IEA Issuer’s subsidiaries’ ability to pay dividends; and merge, consolidate or amalgamate or sell all or substantially all of its property, subject to certain thresholds and exceptions. Certain of such limitations are suspended for so long as the 6.625% IEA Senior Notes are rated “investment grade” by at least two nationally recognized statistical rating agencies, subject to certain conditions. In October 2022, following the acquisition of IEA by MasTec, the 6.625% IEA Senior Notes were rated as investment grade by at least two nationally recognized ratings agencies and, as a result, the aforementioned covenants were suspended.</w:t>
      </w:r>
    </w:p>
    <w:p>
      <w:pPr>
        <w:spacing w:after="0" w:line="7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5"/>
          <w:szCs w:val="15"/>
          <w:color w:val="auto"/>
        </w:rPr>
        <w:t>The 6.625% IEA Senior Notes Indenture provides for customary events of default which include, subject in certain cases to customary grace and cure periods, among others, nonpayment of principal or interest; breach of other covenants or agreements in the 6.625% IEA Senior Notes Indenture; failure to pay certain other indebtedness; failure to pay certain final judgments; failure of certain guarantees to be enforceable; and certain events of bankruptcy or insolvency.</w:t>
      </w:r>
    </w:p>
    <w:p>
      <w:pPr>
        <w:spacing w:after="0" w:line="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b w:val="1"/>
          <w:bCs w:val="1"/>
          <w:i w:val="1"/>
          <w:iCs w:val="1"/>
          <w:color w:val="auto"/>
        </w:rPr>
        <w:t xml:space="preserve">Exchange Offer and 6.625% MasTec Senior Notes. </w:t>
      </w:r>
      <w:r>
        <w:rPr>
          <w:rFonts w:ascii="Arial" w:cs="Arial" w:eastAsia="Arial" w:hAnsi="Arial"/>
          <w:sz w:val="15"/>
          <w:szCs w:val="15"/>
          <w:color w:val="auto"/>
        </w:rPr>
        <w:t>In August 2022, in connection with the Company’s previously announced agreement to acquire IEA, MasTec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commenced a private exchange offer and consent solicitation to certain holders of the 6.625% IEA Senior Notes for up to an aggregate principal amount of $300.0 million of 6.625% MasTec Senior Notes, conditioned upon completion of the IEA acquisition. On October 26, 2022, approximately $74.9 million in principal amount of 6.625% IEA Senior Notes were exchanged for the same principal amount of 6.625% MasTec Senior Notes. The 6.625% MasTec Senior Notes are senior unsecured notes that mature on August 15, 2029. Interest on the 6.625% MasTec Senior Notes is payable semiannually on February 15 and August 15 of each year, commencing on February 15, 2023. The 6.625% MasTec Senior Notes will accrue interest from and including August 15, 2022, such that a tendering holder will receive the same interest payment it would have received had its 6.625% IEA Senior Notes not been tendered in the exchange offer. In connection with the consent solicitation, the Company paid a consent payment to holders of the 6.625% IEA Senior Notes that consented to the changes to the IEA Senior Notes Indenture proposed in such consent solicitation in the amount of $2.50 in cash for each $1,000 principal amount tendered.</w:t>
      </w:r>
    </w:p>
    <w:p>
      <w:pPr>
        <w:spacing w:after="0" w:line="8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6.625% MasTec Senior Notes are general senior unsecured obligations of the Company, and rank equal in right of payment with all of the Company’s existing and future senior unsecured indebtedness and senior in right of payment to any of the Company’s future subordinated indebtedness. The 6.625% MasTec Senior Notes are effectively subordinated to all secured indebtedness of the Company to the extent of the value of the assets securing such indebtedness and are structurally subordinated to all obligations of the subsidiaries of the Company, including trade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payables and the 6.625% IEA Senior Notes.</w:t>
      </w:r>
    </w:p>
    <w:p>
      <w:pPr>
        <w:spacing w:after="0" w:line="1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On or after August 15, 2024, the Company has the option, at any time and from time to time, to redeem all or a portion of the 6.625% MasTec Senior Notes at the redemption prices specified in the indenture that governs the 6.625% MasTec Senior Notes (the “6.625% MasTec Senior Notes Indenture”), plus accrued and unpaid interest, if any, to, but not including, the redemption date, subject to the right of holders of notes on the relevant record date to receive interest due on the relevant interest payment date. In addition, at any time prior to August 15, 2024, the Company may redeem all or a part of the 6.625% MasTec Senior Notes at a redemption price equal to 100% of the principal amount of the 6.625% MasTec Senior Notes redeemed, plus accrued and unpaid interest, if any, to, but not including, the redemption date, subject to the right of holders of notes on the relevant record date to receive interest due on the relevant interest payment date, plus a “make-whole” premium. Further, prior to August 15, 2024, the Company may redeem up to 40% of the aggregate principal amount of the 6.625% MasTec Senior Notes using the net cash proceeds of certain equity offerings, at a redemption price equal to 106.625% of the principal amount of the 6.625% MasTec Senior Notes redeemed, plus accrued and unpaid interest, if any, to, but not including the date of redemption, subject to the right of holders of notes on the relevant record date to receive interest due on the relevant interest payment date, subject to certain conditions.</w:t>
      </w:r>
    </w:p>
    <w:p>
      <w:pPr>
        <w:spacing w:after="0" w:line="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If the Company undergoes a Change of Control, as defined in the 6.625% MasTec Senior Notes Indenture, the Company must make an offer to repurchase all of the 6.625% MasTec Senior Notes then outstanding at a price equal to 101% of their principal amount, plus accrued and unpaid interest, if any, to, but not including, the date of repurchase.</w:t>
      </w:r>
    </w:p>
    <w:p>
      <w:pPr>
        <w:spacing w:after="0" w:line="7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6.625% MasTec Senior Notes Indenture, among other things, generally limits the ability of the Company and certain of its subsidiaries, subject to certain exceptions, to (i) create certain liens and (ii) effect mergers, consolidate or transfer all or substantially all of the Company’s assets, subject to certain thresholds and exceptions. The 6.625% MasTec Senior Notes Indenture provides for customary events of default, which include, subject, in certain cases, to customary grace and cure periods, among others, nonpayment of principal or interest; breach of other covenants or agreements in the 6.625% MasTec Senior Notes Indenture; failure to pay certain other indebtedness; and certain events of bankruptcy or insolvency. Generally, if an event of default occurs and is continuing, the trustee or holders of at least 30% of the 6.625% MasTec Senior Notes then outstanding may declare the principal of, premium, if any, and accrued interest on all of the 6.625% MasTec Senior Notes immediately due and payable. The Company incurred approximately $2 million of fees and expenses in connection with the debt exchange, which amount will be reflected as expense, primarily in the fourth quarter of 2022.</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Lease Obligations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In the ordinary course of business, the Company enters into agreements that provide financing for machinery and equipment and for other of its facility, vehicle and equipment needs, including related party leases. As of September 30, 2022, the Company’s leases have remaining lease terms of up to ten years. Lease agreements may contain renewal clauses, which, if elected, generally extend the term of the lease for one to five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Finance Leases</w:t>
      </w:r>
    </w:p>
    <w:p>
      <w:pPr>
        <w:spacing w:after="0" w:line="12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The gross amount of assets held under finance leases as of September 30, 2022 and December 31, 2021 totaled $624.6 million and $653.5 million, respectively. Assets held under finance leases, net of accumulated depreciation, totaled $458.5 million and $468.5 million as of September 30, 2022 and December 31, 2021, respectively. Depreciation expense associated with finance leases totaled $22.8 million and $21.1 million for the three month periods ended September 30, 2022 and 2021, respectively, and totaled $63.2 million and $58.8 million for the nine month periods ended September 30, 2022 and 2021, respectively.</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12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Operating lease additions for the three month periods ended September 30, 2022 and 2021 totaled $12.7 million and $3.9 million, respectively, and for the nine month periods ended September 30, 2022 and 2021, totaled $58.1 million and $89.2 million, respectively. Acquisition-related lease additions totaled $74.6 million for the nine month period ended September 30, 2021.</w:t>
      </w:r>
    </w:p>
    <w:p>
      <w:pPr>
        <w:spacing w:after="0" w:line="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For the three month periods ended September 30, 2022 and 2021, rent expense for leases that have terms in excess of one year totaled approximately $30.6 million and $26.1 million, respectively, of which $2.3 million and $2.4 million, respectively, represented variable lease costs. For the nine month periods ended September 30, 2022 and 2021, rent expense for such leases totaled approximately $98.5 million and $81.6 million, respectively, of which $7.8 million and $7.5 million, respectively, represented variable lease costs. The Company also incurred rent expense for leases with terms of one year or less totaling approximately $98.8 million and $158.3 million for the three month periods ended September 30, 2022 and 2021, respectively, and totaling approximately $258.1 million and $399.2 million for the nine month periods ended September 30, 2022 and 2021, respectively. Rent expense for operating leases is generally consistent with the amount of the related payments, which payments are included within operating activities in the consolidated statements of cash flows.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6"/>
        </w:trPr>
        <w:tc>
          <w:tcPr>
            <w:tcW w:w="822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Additional Lease Information</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97"/>
        </w:trPr>
        <w:tc>
          <w:tcPr>
            <w:tcW w:w="8220" w:type="dxa"/>
            <w:vAlign w:val="bottom"/>
          </w:tcPr>
          <w:p>
            <w:pPr>
              <w:ind w:left="660"/>
              <w:spacing w:after="0"/>
              <w:rPr>
                <w:sz w:val="20"/>
                <w:szCs w:val="20"/>
                <w:color w:val="auto"/>
              </w:rPr>
            </w:pPr>
            <w:r>
              <w:rPr>
                <w:rFonts w:ascii="Arial" w:cs="Arial" w:eastAsia="Arial" w:hAnsi="Arial"/>
                <w:sz w:val="16"/>
                <w:szCs w:val="16"/>
                <w:color w:val="auto"/>
              </w:rPr>
              <w:t>Future minimum lease commitments as of September 30, 2022 were as follows (in millions):</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3"/>
        </w:trPr>
        <w:tc>
          <w:tcPr>
            <w:tcW w:w="8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Finance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Operating</w:t>
            </w:r>
          </w:p>
        </w:tc>
      </w:tr>
      <w:tr>
        <w:trPr>
          <w:trHeight w:val="213"/>
        </w:trPr>
        <w:tc>
          <w:tcPr>
            <w:tcW w:w="8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Leases</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Leases</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 remaining three months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2023</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141.6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83.2</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2025</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13"/>
        </w:trPr>
        <w:tc>
          <w:tcPr>
            <w:tcW w:w="822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Thereafter</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r>
      <w:tr>
        <w:trPr>
          <w:trHeight w:val="212"/>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minimum lease payments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363.9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269.5</w:t>
            </w:r>
          </w:p>
        </w:tc>
      </w:tr>
      <w:tr>
        <w:trPr>
          <w:trHeight w:val="207"/>
        </w:trPr>
        <w:tc>
          <w:tcPr>
            <w:tcW w:w="82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Less amounts representing interest</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(18.5)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r>
      <w:tr>
        <w:trPr>
          <w:trHeight w:val="213"/>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lease obligations, net of interest</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345.4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w:t>
            </w:r>
          </w:p>
        </w:tc>
      </w:tr>
      <w:tr>
        <w:trPr>
          <w:trHeight w:val="213"/>
        </w:trPr>
        <w:tc>
          <w:tcPr>
            <w:tcW w:w="82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Less current portion</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146.2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w:t>
            </w:r>
          </w:p>
        </w:tc>
      </w:tr>
      <w:tr>
        <w:trPr>
          <w:trHeight w:val="209"/>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portion of lease obligations, net of interest</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199.2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168.5</w:t>
            </w:r>
          </w:p>
        </w:tc>
      </w:tr>
    </w:tbl>
    <w:p>
      <w:pPr>
        <w:spacing w:after="0" w:line="233"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4"/>
          <w:szCs w:val="14"/>
          <w:color w:val="auto"/>
        </w:rPr>
        <w:t>As of September 30, 2022, finance leases had a weighted average remaining lease term of 2.8 years with a weighted average discount rate of 3.6%, and non-cancelable operating leases had a weighted average remaining lease term of 4.2 years with a weighted average discount rate of 2.9%. As of September 30, 2022, future lease obligations for leases that had not yet commenced totaled approximately $23.1 million. These leases commence in 2022 with lease terms ranging from 4 years to 11 years.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 and Other Employee Benefit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has stock-based compensation plans, under which shares of the Company’s common stock are reserved for issuance. Under all stock-based compensation plans in effect as of September 30, 2022, there were approximately 3,428,000 shares available for future grant. Non-cash stock-based compensation expense under all plans totaled $5.7 million and $6.1 million for the three month periods ended September 30, 2022 and 2021, respectively, and totaled $18.9 million and $17.7 million for the nine month periods ended September 30, 2022 and 2021, respectively. Income tax benefits associated with stock-based compensation arrangements totaled $0.9 million and $1.2 million for the three month periods ended September 30, 2022 and 2021, respectively. For the nine month periods ended September 30, 2022 and 2021, such income tax benefits totaled $4.3 million and $3.4 million, respectively, including tax benefits related to the vesting of share-based payment awards totaling $0.9 million and $0.2 million, respectively.</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Restricted Shares</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September 30, 2022, total unearned compensation related to restricted shares was approximately $38.9 million, which amount is expected to be recognized over a weighted average period of approximately 1.9 years. The fair value of restricted shares that vested, which is based on the market price on the date of vesting, totaled $0.3 million for both the three month periods ended September 30, 2022 and 2021, and totaled $19.5 million and $11.6 million for the nine month periods ended September 30, 2022 and 2021, respectively.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56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1"/>
              </w:rPr>
              <w:t>Restricted</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Per Share Weighted</w:t>
            </w:r>
          </w:p>
        </w:tc>
        <w:tc>
          <w:tcPr>
            <w:tcW w:w="0" w:type="dxa"/>
            <w:vAlign w:val="bottom"/>
          </w:tcPr>
          <w:p>
            <w:pPr>
              <w:spacing w:after="0"/>
              <w:rPr>
                <w:sz w:val="1"/>
                <w:szCs w:val="1"/>
                <w:color w:val="auto"/>
              </w:rPr>
            </w:pPr>
          </w:p>
        </w:tc>
      </w:tr>
      <w:tr>
        <w:trPr>
          <w:trHeight w:val="162"/>
        </w:trPr>
        <w:tc>
          <w:tcPr>
            <w:tcW w:w="8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Activity, restricted shares: </w:t>
            </w:r>
            <w:r>
              <w:rPr>
                <w:rFonts w:ascii="Arial" w:cs="Arial" w:eastAsia="Arial" w:hAnsi="Arial"/>
                <w:sz w:val="21"/>
                <w:szCs w:val="21"/>
                <w:b w:val="1"/>
                <w:bCs w:val="1"/>
                <w:color w:val="auto"/>
                <w:vertAlign w:val="superscript"/>
              </w:rPr>
              <w:t>(a)</w:t>
            </w:r>
          </w:p>
        </w:tc>
        <w:tc>
          <w:tcPr>
            <w:tcW w:w="1560" w:type="dxa"/>
            <w:vAlign w:val="bottom"/>
            <w:gridSpan w:val="2"/>
            <w:vMerge w:val="continue"/>
          </w:tcPr>
          <w:p>
            <w:pPr>
              <w:spacing w:after="0"/>
              <w:rPr>
                <w:sz w:val="14"/>
                <w:szCs w:val="14"/>
                <w:color w:val="auto"/>
              </w:rPr>
            </w:pPr>
          </w:p>
        </w:tc>
        <w:tc>
          <w:tcPr>
            <w:tcW w:w="14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3"/>
              </w:rPr>
              <w:t>Average Grant Date</w:t>
            </w:r>
          </w:p>
        </w:tc>
        <w:tc>
          <w:tcPr>
            <w:tcW w:w="0" w:type="dxa"/>
            <w:vAlign w:val="bottom"/>
          </w:tcPr>
          <w:p>
            <w:pPr>
              <w:spacing w:after="0"/>
              <w:rPr>
                <w:sz w:val="1"/>
                <w:szCs w:val="1"/>
                <w:color w:val="auto"/>
              </w:rPr>
            </w:pPr>
          </w:p>
        </w:tc>
      </w:tr>
      <w:tr>
        <w:trPr>
          <w:trHeight w:val="216"/>
        </w:trPr>
        <w:tc>
          <w:tcPr>
            <w:tcW w:w="8220" w:type="dxa"/>
            <w:vAlign w:val="bottom"/>
            <w:vMerge w:val="continue"/>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240" w:type="dxa"/>
            <w:vAlign w:val="bottom"/>
          </w:tcPr>
          <w:p>
            <w:pPr>
              <w:spacing w:after="0"/>
              <w:rPr>
                <w:sz w:val="18"/>
                <w:szCs w:val="18"/>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restricted shares, as of December 31, 2021</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1,748,685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43.73</w:t>
            </w:r>
          </w:p>
        </w:tc>
        <w:tc>
          <w:tcPr>
            <w:tcW w:w="0" w:type="dxa"/>
            <w:vAlign w:val="bottom"/>
          </w:tcPr>
          <w:p>
            <w:pPr>
              <w:spacing w:after="0"/>
              <w:rPr>
                <w:sz w:val="1"/>
                <w:szCs w:val="1"/>
                <w:color w:val="auto"/>
              </w:rPr>
            </w:pPr>
          </w:p>
        </w:tc>
      </w:tr>
      <w:tr>
        <w:trPr>
          <w:trHeight w:val="207"/>
        </w:trPr>
        <w:tc>
          <w:tcPr>
            <w:tcW w:w="822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221,525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84.36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47.81</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43.84</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restricted shares, as of September 30,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1,662,577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48.57</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2,150 and 1,300 restricted stock units as of September 30, 2022 and December 31, 2021, respectively.</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Employee Stock Purchase Plans</w:t>
      </w:r>
    </w:p>
    <w:p>
      <w:pPr>
        <w:spacing w:after="0" w:line="11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The Company has certain employee stock purchase plans (collectively, “ESPPs”), under which shares of the Company’s common stock are available for purchase by eligible participants. Under the ESPPs, eligible participants are permitted to purchase MasTec, Inc. common stock at 85% of the fair market value of the shares on the date of purchase, which occurs on the last trading day of each two week offering period. At the Company’s discretion, share purchases may be satisfied by delivering either newly issued common shares, or common shares reacquired on the open market or in privately negotiated transactions.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3" w:name="page24"/>
    <w:bookmarkEnd w:id="23"/>
    <w:p>
      <w:pPr>
        <w:jc w:val="both"/>
        <w:ind w:firstLine="648"/>
        <w:spacing w:after="0" w:line="259" w:lineRule="auto"/>
        <w:rPr>
          <w:sz w:val="20"/>
          <w:szCs w:val="20"/>
          <w:color w:val="auto"/>
        </w:rPr>
      </w:pPr>
      <w:r>
        <w:rPr>
          <w:rFonts w:ascii="Arial" w:cs="Arial" w:eastAsia="Arial" w:hAnsi="Arial"/>
          <w:sz w:val="16"/>
          <w:szCs w:val="16"/>
          <w:color w:val="auto"/>
        </w:rPr>
        <w:t>For the three month periods ended September 30, 2022 and 2021, 25,495 shares and 21,636 shares, respectively, were purchased by participants under the Company’s ESPPs for $1.7 million and $1.8 million, respectively, and for the nine month periods ended September 30, 2022 and 2021, 82,121 shares and 60,669 shares, respectively, were purchased for $5.3 million and $5.0 million, respectively. All shares purchased by participants under the Company’s ESPPs for the three and nine month periods ended September 30, 2022 and 2021 were reacquired by the Company on the open market. Compensation expense associated with the Company’s ESPPs totaled approximately $0.3 million for both the three month periods ended September 30, 2022 and 2021, and totaled approximately $1.0 million and $0.9 million for the nine month periods ended September 30, 2022 and 2021,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Other Retirement Plans</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Multiemployer Plans. </w:t>
      </w:r>
      <w:r>
        <w:rPr>
          <w:rFonts w:ascii="Arial" w:cs="Arial" w:eastAsia="Arial" w:hAnsi="Arial"/>
          <w:sz w:val="16"/>
          <w:szCs w:val="16"/>
          <w:color w:val="auto"/>
        </w:rPr>
        <w:t>Certain of MasTec’s subsidiaries contribute amounts to multiemployer pension and other multiemployer benefit plans and trusts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(“MEPPs”). Contributions are generally based on fixed amounts per hour per employee for employees covered under these plans. Multiemployer plan contribution rates are determined annually and are assessed on a “pay-as-you-go” basis based on union employee payrolls. Union payrolls cannot be determined for future periods because 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for the periods indicated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2"/>
              </w:rPr>
              <w:t>Multiemployer Plans</w:t>
            </w: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220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Covered Employees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ind w:left="980"/>
              <w:spacing w:after="0"/>
              <w:rPr>
                <w:sz w:val="20"/>
                <w:szCs w:val="20"/>
                <w:color w:val="auto"/>
              </w:rPr>
            </w:pPr>
            <w:r>
              <w:rPr>
                <w:rFonts w:ascii="Arial" w:cs="Arial" w:eastAsia="Arial" w:hAnsi="Arial"/>
                <w:sz w:val="16"/>
                <w:szCs w:val="16"/>
                <w:b w:val="1"/>
                <w:bCs w:val="1"/>
                <w:color w:val="auto"/>
                <w:w w:val="91"/>
              </w:rPr>
              <w:t xml:space="preserve">Contributions </w:t>
            </w:r>
            <w:r>
              <w:rPr>
                <w:rFonts w:ascii="Arial" w:cs="Arial" w:eastAsia="Arial" w:hAnsi="Arial"/>
                <w:sz w:val="15"/>
                <w:szCs w:val="15"/>
                <w:b w:val="1"/>
                <w:bCs w:val="1"/>
                <w:color w:val="auto"/>
                <w:w w:val="91"/>
              </w:rPr>
              <w:t>(in millions)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116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Low</w:t>
            </w:r>
          </w:p>
        </w:tc>
        <w:tc>
          <w:tcPr>
            <w:tcW w:w="116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13"/>
                <w:szCs w:val="13"/>
                <w:color w:val="auto"/>
              </w:rPr>
            </w:pPr>
          </w:p>
        </w:tc>
        <w:tc>
          <w:tcPr>
            <w:tcW w:w="132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Pension</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8"/>
              </w:rPr>
              <w:t>Other</w:t>
            </w:r>
          </w:p>
        </w:tc>
        <w:tc>
          <w:tcPr>
            <w:tcW w:w="240" w:type="dxa"/>
            <w:vAlign w:val="bottom"/>
          </w:tcPr>
          <w:p>
            <w:pPr>
              <w:spacing w:after="0"/>
              <w:rPr>
                <w:sz w:val="13"/>
                <w:szCs w:val="13"/>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Multiemployer</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For the Three Months Ended September 30:</w:t>
            </w: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2021</w:t>
            </w:r>
          </w:p>
        </w:tc>
        <w:tc>
          <w:tcPr>
            <w:tcW w:w="1040" w:type="dxa"/>
            <w:vAlign w:val="bottom"/>
          </w:tcPr>
          <w:p>
            <w:pPr>
              <w:jc w:val="right"/>
              <w:spacing w:after="0"/>
              <w:rPr>
                <w:sz w:val="20"/>
                <w:szCs w:val="20"/>
                <w:color w:val="auto"/>
              </w:rPr>
            </w:pPr>
            <w:r>
              <w:rPr>
                <w:rFonts w:ascii="Arial" w:cs="Arial" w:eastAsia="Arial" w:hAnsi="Arial"/>
                <w:sz w:val="16"/>
                <w:szCs w:val="16"/>
                <w:color w:val="auto"/>
              </w:rPr>
              <w:t>5,116</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6,979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2022</w:t>
            </w:r>
          </w:p>
        </w:tc>
        <w:tc>
          <w:tcPr>
            <w:tcW w:w="1040" w:type="dxa"/>
            <w:vAlign w:val="bottom"/>
          </w:tcPr>
          <w:p>
            <w:pPr>
              <w:jc w:val="right"/>
              <w:spacing w:after="0"/>
              <w:rPr>
                <w:sz w:val="20"/>
                <w:szCs w:val="20"/>
                <w:color w:val="auto"/>
              </w:rPr>
            </w:pPr>
            <w:r>
              <w:rPr>
                <w:rFonts w:ascii="Arial" w:cs="Arial" w:eastAsia="Arial" w:hAnsi="Arial"/>
                <w:sz w:val="16"/>
                <w:szCs w:val="16"/>
                <w:color w:val="auto"/>
              </w:rPr>
              <w:t>6,601</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7,136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103.9</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fluctuations in the number of employees covered under multiemployer plans and associated contributions in the table above related primarily to the timing of activity for the Company’s union resource-based projects. For the three and nine month periods ended September 30, 2022, multiemployer plan activity was driven primarily by acquisition-related project work within the Company’s Power Delivery operations, and, to a lesser extent, its Oil and Gas operations, whereas for the three and nine month periods ended September 30, 2021, activity was driven primarily by project work within the Company’s Oil and Gas operations, and to a lesser extent, its Power Delivery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Equity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Activity</w:t>
      </w:r>
    </w:p>
    <w:p>
      <w:pPr>
        <w:spacing w:after="0" w:line="11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Company’s share repurchase programs provide for the repurchase, from time to time, of MasTec common shares in open market transactions or in privately negotiated transactions in accordance with applicable securities laws. The Company’s share repurchase programs do not have an expiration date and may be modified or suspended at any time at the Company’s discretion. There were no share repurchases under the Company’s share repurchase programs for the three month period ended September 30, 2022, and for the nine month period ended September 30, 2022, the Company repurchased 1.1 million shares of its common stock for an aggregate purchase price of approximately $81.3 million. Of the total repurchased shares, 0.1 million were repurchased in the first quarter of 2022 for $8.6 million under the Company’s December 2018 $100 million share repurchase program, which completed the program. The remaining 1.0 million shares were repurchased for $72.7 million under the Company’s March 2020 $150 million share repurchase program. There were no share repurchases under the Company’s share repurchase programs in either of the three or nine month periods ended September 30, 2021. As of September 30, 2022, $77.3 million was available for future share repurchases under the Company’s March 2020 share repurchase program.</w:t>
      </w:r>
    </w:p>
    <w:p>
      <w:pPr>
        <w:spacing w:after="0" w:line="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Company may use either authorized or unissued shares or treasury shares to meet its share issuance requirements. During the second quarter of 2022, the Company reissued 0.1 million shares of its treasury stock with a cost basis of $4.3 million in settlement of certain Additional Payments in connection with an acquisition. See Note 3 – Acquisitions, Goodwill and Other Intangible Assets, Net, for additional information.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Loss</w:t>
      </w:r>
    </w:p>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Unrealized foreign currency translation activity, net, for the three and nine month periods ended September 30, 2022 and 2021 relates to the Company’s operations in Canada and Mexico. Unrealized investment activity, for the three and nine month periods ended September 30, 2022 relates to unrealized gains associated with the Waha JV interest rate swaps. For the three and nine month periods ended September 30, 2021, unrealized investment activity, net, includes unrealized gains on the Waha JV swaps and unrealized losses on the AVCT convertible debentures prior to their conversion in the third quarter of 2021. The net unrealized gain on the AVCT convertible debentures was reclassified into other income, net, in the third quarter of 2021 in conjunction with the conversion into shares of AVCT common stock. See Note 4 - Fair Value of Financial Instruments for additional information related to the Waha JV swaps and the AVCT convertible debentures.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Note 12 – Income Taxes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 periods ended September 30, 2022 and 2021, the Company’s consolidated effective tax rates were 18.4% and 19.7%, respectively, and for the nine month periods ended September 30, 2022 and 2021, were a benefit of 0.2% and an expense of 24.8%, respectively. The Company’s effective tax rate for the nine month period ended September 30, 2022 included a benefit related to adjustments resulting from finalization of the Company’s 2021 tax returns, a tax benefit related to the vesting of share-based payment awards, and a benefit from the true-up of certain prior year non-deductible expenses. For the nine month period ended September 30, 2021, the Company’s effective tax rate included a benefit related to adjustments resulting from finalization of the Company’s 2020 tax returns, offset, in part, by the tax effect of certain non-deductible share-based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Segments and Related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Segment Discussion</w:t>
      </w:r>
    </w:p>
    <w:p>
      <w:pPr>
        <w:spacing w:after="0" w:line="11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color w:val="auto"/>
        </w:rPr>
        <w:t>The Company manages its operations under five operating segments, which represent its five reportable segments: (1) Communications; (2) Clean Energy and Infrastructure; (3) Oil and Gas; (4) Power Delivery and (5) Other. This structure is generally focused on broad end-user markets for the Company’s labor-based construction services. All five reportable segments derive their revenue from the engineering, installation and maintenance of infrastructure, primarily in North America. In the first quarter of 2022, the Company began integrating the acquisition of HMG into its operations. The HMG acquisition was completed on December 30, 2021, with its initial balance sheet reported within the Company’s Power Delivery segment. During the first quarter of 2022, the Company reported portions of HMG’s operations within its Power Delivery, Communications and Oil and Gas segments, as appropriate, and HMG’s corporate functions within its Corporate results. Accordingly, HMG’s December 31, 2021 balance sheet information was recast to conform with the new reporting structure.</w:t>
      </w:r>
    </w:p>
    <w:p>
      <w:pPr>
        <w:spacing w:after="0" w:line="6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The Communications segment performs engineering, construction, maintenance and customer fulfillment activities related to communications infrastructure, primarily for wireless and wireline/fiber communications and install-to-the-home customers, as well as infrastructure for utilities,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for renewable energy and various types of heavy civil and industrial infrastructure. The Company performs engineering, construction and maintenance services for pipelines and processing facilities for the energy and utilities industries through its Oil and Gas segment. The Power Delivery segment primarily serves the energy and utility industries through the engineering, construction and maintenance of power transmission and distribution infrastructure, including electrical and gas transmission lines, distribution network systems and substations. The Other segment includes certain equity investees, the services of which vary from those provided by the Company’s primary segments, as well as other small business units that perform construction and other services for certain international end-markets.</w:t>
      </w:r>
    </w:p>
    <w:p>
      <w:pPr>
        <w:spacing w:after="0" w:line="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its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calculated in a manner consistent with consolidated EBITDA.</w:t>
      </w:r>
    </w:p>
    <w:p>
      <w:pPr>
        <w:spacing w:after="0" w:line="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tbl>
      <w:tblPr>
        <w:tblLayout w:type="fixed"/>
        <w:tblInd w:w="0" w:type="dxa"/>
        <w:tblCellMar>
          <w:top w:w="0" w:type="dxa"/>
          <w:left w:w="0" w:type="dxa"/>
          <w:bottom w:w="0" w:type="dxa"/>
          <w:right w:w="0" w:type="dxa"/>
        </w:tblCellMar>
      </w:tblPr>
      <w:tr>
        <w:trPr>
          <w:trHeight w:val="163"/>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center"/>
              <w:ind w:right="220"/>
              <w:spacing w:after="0" w:line="163" w:lineRule="exact"/>
              <w:rPr>
                <w:sz w:val="20"/>
                <w:szCs w:val="20"/>
                <w:color w:val="auto"/>
              </w:rPr>
            </w:pPr>
            <w:r>
              <w:rPr>
                <w:rFonts w:ascii="Arial" w:cs="Arial" w:eastAsia="Arial" w:hAnsi="Arial"/>
                <w:sz w:val="16"/>
                <w:szCs w:val="16"/>
                <w:b w:val="1"/>
                <w:bCs w:val="1"/>
                <w:color w:val="auto"/>
                <w:w w:val="93"/>
              </w:rPr>
              <w:t>For the Three Months Ended</w:t>
            </w:r>
          </w:p>
        </w:tc>
        <w:tc>
          <w:tcPr>
            <w:tcW w:w="120" w:type="dxa"/>
            <w:vAlign w:val="bottom"/>
          </w:tcPr>
          <w:p>
            <w:pPr>
              <w:spacing w:after="0"/>
              <w:rPr>
                <w:sz w:val="14"/>
                <w:szCs w:val="14"/>
                <w:color w:val="auto"/>
              </w:rPr>
            </w:pPr>
          </w:p>
        </w:tc>
        <w:tc>
          <w:tcPr>
            <w:tcW w:w="2120" w:type="dxa"/>
            <w:vAlign w:val="bottom"/>
            <w:gridSpan w:val="4"/>
          </w:tcPr>
          <w:p>
            <w:pPr>
              <w:jc w:val="right"/>
              <w:ind w:right="79"/>
              <w:spacing w:after="0" w:line="163" w:lineRule="exact"/>
              <w:rPr>
                <w:sz w:val="20"/>
                <w:szCs w:val="20"/>
                <w:color w:val="auto"/>
              </w:rPr>
            </w:pPr>
            <w:r>
              <w:rPr>
                <w:rFonts w:ascii="Arial" w:cs="Arial" w:eastAsia="Arial" w:hAnsi="Arial"/>
                <w:sz w:val="16"/>
                <w:szCs w:val="16"/>
                <w:b w:val="1"/>
                <w:bCs w:val="1"/>
                <w:color w:val="auto"/>
                <w:w w:val="93"/>
              </w:rPr>
              <w:t>For the Nine Months Ended</w:t>
            </w:r>
          </w:p>
        </w:tc>
      </w:tr>
      <w:tr>
        <w:trPr>
          <w:trHeight w:val="210"/>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21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r>
      <w:tr>
        <w:trPr>
          <w:trHeight w:val="212"/>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r>
      <w:tr>
        <w:trPr>
          <w:trHeight w:val="30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Communications </w:t>
            </w:r>
            <w:r>
              <w:rPr>
                <w:rFonts w:ascii="Arial" w:cs="Arial" w:eastAsia="Arial" w:hAnsi="Arial"/>
                <w:sz w:val="21"/>
                <w:szCs w:val="21"/>
                <w:color w:val="auto"/>
                <w:vertAlign w:val="superscript"/>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1,869.3</w:t>
            </w:r>
          </w:p>
        </w:tc>
      </w:tr>
      <w:tr>
        <w:trPr>
          <w:trHeight w:val="321"/>
        </w:trPr>
        <w:tc>
          <w:tcPr>
            <w:tcW w:w="664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563.2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518.4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1,493.5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1,350.3</w:t>
            </w:r>
          </w:p>
        </w:tc>
      </w:tr>
      <w:tr>
        <w:trPr>
          <w:trHeight w:val="32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2,205.3</w:t>
            </w:r>
          </w:p>
        </w:tc>
      </w:tr>
      <w:tr>
        <w:trPr>
          <w:trHeight w:val="321"/>
        </w:trPr>
        <w:tc>
          <w:tcPr>
            <w:tcW w:w="664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688.4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1,985.4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731.4</w:t>
            </w:r>
          </w:p>
        </w:tc>
      </w:tr>
      <w:tr>
        <w:trPr>
          <w:trHeight w:val="32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r>
      <w:tr>
        <w:trPr>
          <w:trHeight w:val="210"/>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2,513.5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2,404.3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6,769.7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6,142.4</w:t>
            </w:r>
          </w:p>
        </w:tc>
      </w:tr>
    </w:tbl>
    <w:p>
      <w:pPr>
        <w:spacing w:after="0" w:line="170" w:lineRule="exact"/>
        <w:rPr>
          <w:sz w:val="20"/>
          <w:szCs w:val="20"/>
          <w:color w:val="auto"/>
        </w:rPr>
      </w:pPr>
    </w:p>
    <w:p>
      <w:pPr>
        <w:ind w:left="340" w:hanging="332"/>
        <w:spacing w:after="0" w:line="293" w:lineRule="auto"/>
        <w:tabs>
          <w:tab w:leader="none" w:pos="358"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Revenue generated primarily by utilities customers represented 21.8% and 22.2% of Communications segment revenue for the three month periods ended September 30, 2022 and 2021, respectively, and represented 23.7% and 21.0% for the nine month periods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3"/>
              </w:rPr>
              <w:t>For the Three Months Ended</w:t>
            </w:r>
          </w:p>
        </w:tc>
        <w:tc>
          <w:tcPr>
            <w:tcW w:w="120" w:type="dxa"/>
            <w:vAlign w:val="bottom"/>
          </w:tcPr>
          <w:p>
            <w:pPr>
              <w:spacing w:after="0"/>
              <w:rPr>
                <w:sz w:val="16"/>
                <w:szCs w:val="16"/>
                <w:color w:val="auto"/>
              </w:rPr>
            </w:pPr>
          </w:p>
        </w:tc>
        <w:tc>
          <w:tcPr>
            <w:tcW w:w="21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3"/>
              </w:rPr>
              <w:t>For the Nine Months Ended</w:t>
            </w:r>
          </w:p>
        </w:tc>
      </w:tr>
      <w:tr>
        <w:trPr>
          <w:trHeight w:val="210"/>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21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r>
      <w:tr>
        <w:trPr>
          <w:trHeight w:val="212"/>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EBITDA:</w:t>
            </w: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r>
      <w:tr>
        <w:trPr>
          <w:trHeight w:val="30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w:t>
            </w:r>
          </w:p>
        </w:tc>
      </w:tr>
      <w:tr>
        <w:trPr>
          <w:trHeight w:val="321"/>
        </w:trPr>
        <w:tc>
          <w:tcPr>
            <w:tcW w:w="664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32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476.2</w:t>
            </w:r>
          </w:p>
        </w:tc>
      </w:tr>
      <w:tr>
        <w:trPr>
          <w:trHeight w:val="321"/>
        </w:trPr>
        <w:tc>
          <w:tcPr>
            <w:tcW w:w="664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47.8</w:t>
            </w:r>
          </w:p>
        </w:tc>
      </w:tr>
      <w:tr>
        <w:trPr>
          <w:trHeight w:val="32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w:t>
            </w:r>
          </w:p>
        </w:tc>
      </w:tr>
      <w:tr>
        <w:trPr>
          <w:trHeight w:val="210"/>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694.3</w:t>
            </w:r>
          </w:p>
        </w:tc>
      </w:tr>
    </w:tbl>
    <w:p>
      <w:pPr>
        <w:spacing w:after="0" w:line="24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For the three month period ended September 30, 2022, Communications, Oil and Gas, Power Delivery and Corporate EBITDA included $0.5 million, $1.1 million, $20.4 million and $11.2 million, respectively, of acquisition and integration costs related to the Company’s recent acquisitions, and for the nine month period ended September 30, 2022, included $2.4 million, $4.5 million, $34.5 million and $18.0 million, respectively, of such costs. For the three and nine month periods ended September 30, 2022, Corporate EBITDA included fair value losses related to an investment of $0.1 million and $7.2 million, respectively. For both the three and nine month periods ended September 30, 2021, Corporate EBITDA included fair value losses of $6.9 million related to this investment.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3"/>
              </w:rPr>
              <w:t>For the Three Months Ended</w:t>
            </w:r>
          </w:p>
        </w:tc>
        <w:tc>
          <w:tcPr>
            <w:tcW w:w="120" w:type="dxa"/>
            <w:vAlign w:val="bottom"/>
          </w:tcPr>
          <w:p>
            <w:pPr>
              <w:spacing w:after="0"/>
              <w:rPr>
                <w:sz w:val="16"/>
                <w:szCs w:val="16"/>
                <w:color w:val="auto"/>
              </w:rPr>
            </w:pPr>
          </w:p>
        </w:tc>
        <w:tc>
          <w:tcPr>
            <w:tcW w:w="21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3"/>
              </w:rPr>
              <w:t>For the Nine Months Ended</w:t>
            </w:r>
          </w:p>
        </w:tc>
      </w:tr>
      <w:tr>
        <w:trPr>
          <w:trHeight w:val="210"/>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21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r>
      <w:tr>
        <w:trPr>
          <w:trHeight w:val="212"/>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Depreciation and Amortization:</w:t>
            </w: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r>
      <w:tr>
        <w:trPr>
          <w:trHeight w:val="30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r>
      <w:tr>
        <w:trPr>
          <w:trHeight w:val="321"/>
        </w:trPr>
        <w:tc>
          <w:tcPr>
            <w:tcW w:w="664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32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r>
      <w:tr>
        <w:trPr>
          <w:trHeight w:val="321"/>
        </w:trPr>
        <w:tc>
          <w:tcPr>
            <w:tcW w:w="664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41.3</w:t>
            </w:r>
          </w:p>
        </w:tc>
      </w:tr>
      <w:tr>
        <w:trPr>
          <w:trHeight w:val="32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10"/>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depreciation and amortization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316.7</w:t>
            </w:r>
          </w:p>
        </w:tc>
      </w:tr>
    </w:tbl>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 2021</w:t>
            </w:r>
          </w:p>
        </w:tc>
        <w:tc>
          <w:tcPr>
            <w:tcW w:w="0" w:type="dxa"/>
            <w:vAlign w:val="bottom"/>
          </w:tcPr>
          <w:p>
            <w:pPr>
              <w:spacing w:after="0"/>
              <w:rPr>
                <w:sz w:val="1"/>
                <w:szCs w:val="1"/>
                <w:color w:val="auto"/>
              </w:rPr>
            </w:pPr>
          </w:p>
        </w:tc>
      </w:tr>
      <w:tr>
        <w:trPr>
          <w:trHeight w:val="108"/>
        </w:trPr>
        <w:tc>
          <w:tcPr>
            <w:tcW w:w="8260" w:type="dxa"/>
            <w:vAlign w:val="bottom"/>
            <w:vMerge w:val="restart"/>
          </w:tcPr>
          <w:p>
            <w:pPr>
              <w:ind w:left="20"/>
              <w:spacing w:after="0" w:line="162" w:lineRule="exact"/>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9"/>
                <w:szCs w:val="9"/>
                <w:color w:val="auto"/>
              </w:rPr>
            </w:pPr>
          </w:p>
        </w:tc>
        <w:tc>
          <w:tcPr>
            <w:tcW w:w="1240" w:type="dxa"/>
            <w:vAlign w:val="bottom"/>
            <w:vMerge w:val="restart"/>
          </w:tcPr>
          <w:p>
            <w:pPr>
              <w:jc w:val="right"/>
              <w:ind w:right="459"/>
              <w:spacing w:after="0" w:line="16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tcPr>
          <w:p>
            <w:pPr>
              <w:jc w:val="right"/>
              <w:ind w:right="563"/>
              <w:spacing w:after="0" w:line="108" w:lineRule="exact"/>
              <w:rPr>
                <w:sz w:val="20"/>
                <w:szCs w:val="20"/>
                <w:color w:val="auto"/>
              </w:rPr>
            </w:pPr>
            <w:r>
              <w:rPr>
                <w:rFonts w:ascii="Arial" w:cs="Arial" w:eastAsia="Arial" w:hAnsi="Arial"/>
                <w:sz w:val="11"/>
                <w:szCs w:val="11"/>
                <w:b w:val="1"/>
                <w:bCs w:val="1"/>
                <w:color w:val="auto"/>
              </w:rPr>
              <w:t>(a)</w:t>
            </w:r>
          </w:p>
        </w:tc>
        <w:tc>
          <w:tcPr>
            <w:tcW w:w="0" w:type="dxa"/>
            <w:vAlign w:val="bottom"/>
          </w:tcPr>
          <w:p>
            <w:pPr>
              <w:spacing w:after="0"/>
              <w:rPr>
                <w:sz w:val="1"/>
                <w:szCs w:val="1"/>
                <w:color w:val="auto"/>
              </w:rPr>
            </w:pPr>
          </w:p>
        </w:tc>
      </w:tr>
      <w:tr>
        <w:trPr>
          <w:trHeight w:val="54"/>
        </w:trPr>
        <w:tc>
          <w:tcPr>
            <w:tcW w:w="8260" w:type="dxa"/>
            <w:vAlign w:val="bottom"/>
            <w:tcBorders>
              <w:bottom w:val="single" w:sz="8" w:color="CCEEFF"/>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2,100.9</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1,047.6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1,067.0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1,527.6</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2,033.4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2,017.2</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238.1</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170.6</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segment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7,475.7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7,121.4</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340" w:right="20" w:hanging="332"/>
        <w:spacing w:after="0" w:line="277" w:lineRule="auto"/>
        <w:tabs>
          <w:tab w:leader="none" w:pos="385"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Segment assets as of December 31, 2021 were recast during the first quarter of 2022 to conform with the change in segment reporting for the HMG acquisition, the effect of which was a decrease in Power Delivery segment assets of $192.2 million, an increase in Communications and Oil and Gas segment assets of $69.4 million and $77.0 million, respectively, and an increase in Corporate assets of $45.8 million.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3"/>
              </w:rPr>
              <w:t>For the Three Months Ended</w:t>
            </w:r>
          </w:p>
        </w:tc>
        <w:tc>
          <w:tcPr>
            <w:tcW w:w="120" w:type="dxa"/>
            <w:vAlign w:val="bottom"/>
          </w:tcPr>
          <w:p>
            <w:pPr>
              <w:spacing w:after="0"/>
              <w:rPr>
                <w:sz w:val="16"/>
                <w:szCs w:val="16"/>
                <w:color w:val="auto"/>
              </w:rPr>
            </w:pPr>
          </w:p>
        </w:tc>
        <w:tc>
          <w:tcPr>
            <w:tcW w:w="21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3"/>
              </w:rPr>
              <w:t>For the Nine Months Ended</w:t>
            </w:r>
          </w:p>
        </w:tc>
      </w:tr>
      <w:tr>
        <w:trPr>
          <w:trHeight w:val="210"/>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21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r>
      <w:tr>
        <w:trPr>
          <w:trHeight w:val="212"/>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EBITDA Reconciliation:</w:t>
            </w: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r>
      <w:tr>
        <w:trPr>
          <w:trHeight w:val="212"/>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338.3</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Plus: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r>
      <w:tr>
        <w:trPr>
          <w:trHeight w:val="213"/>
        </w:trPr>
        <w:tc>
          <w:tcPr>
            <w:tcW w:w="664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262.1</w:t>
            </w:r>
          </w:p>
        </w:tc>
      </w:tr>
      <w:tr>
        <w:trPr>
          <w:trHeight w:val="219"/>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w:t>
            </w:r>
          </w:p>
        </w:tc>
      </w:tr>
      <w:tr>
        <w:trPr>
          <w:trHeight w:val="206"/>
        </w:trPr>
        <w:tc>
          <w:tcPr>
            <w:tcW w:w="6640" w:type="dxa"/>
            <w:vAlign w:val="bottom"/>
          </w:tcPr>
          <w:p>
            <w:pPr>
              <w:ind w:left="20"/>
              <w:spacing w:after="0"/>
              <w:rPr>
                <w:sz w:val="20"/>
                <w:szCs w:val="20"/>
                <w:color w:val="auto"/>
              </w:rPr>
            </w:pPr>
            <w:r>
              <w:rPr>
                <w:rFonts w:ascii="Arial" w:cs="Arial" w:eastAsia="Arial" w:hAnsi="Arial"/>
                <w:sz w:val="16"/>
                <w:szCs w:val="16"/>
                <w:color w:val="auto"/>
              </w:rPr>
              <w:t>Consolidated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437.5</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694.3</w:t>
            </w:r>
          </w:p>
        </w:tc>
      </w:tr>
    </w:tbl>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Foreign Operations and Other. </w:t>
      </w:r>
      <w:r>
        <w:rPr>
          <w:rFonts w:ascii="Arial" w:cs="Arial" w:eastAsia="Arial" w:hAnsi="Arial"/>
          <w:sz w:val="16"/>
          <w:szCs w:val="16"/>
          <w:color w:val="auto"/>
        </w:rPr>
        <w:t>MasTec operates primarily in the United States and Canada, and, to a far lesser extent, in Mexico, the Caribbean and India.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derived from U.S. operations totaled $2.5 billion and $2.4 billion for the three month periods ended September 30, 2022 and 2021, respectively, and totaled $6.6 billion and $6.0 billion for the nine month periods ended September 30, 2022 and 2021, respectively.</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26" w:name="page27"/>
    <w:bookmarkEnd w:id="26"/>
    <w:p>
      <w:pPr>
        <w:jc w:val="both"/>
        <w:spacing w:after="0" w:line="274" w:lineRule="auto"/>
        <w:rPr>
          <w:sz w:val="20"/>
          <w:szCs w:val="20"/>
          <w:color w:val="auto"/>
        </w:rPr>
      </w:pPr>
      <w:r>
        <w:rPr>
          <w:rFonts w:ascii="Arial" w:cs="Arial" w:eastAsia="Arial" w:hAnsi="Arial"/>
          <w:sz w:val="15"/>
          <w:szCs w:val="15"/>
          <w:color w:val="auto"/>
        </w:rPr>
        <w:t>Revenue derived from foreign operations totaled $49.4 million and $40.8 million for the three month periods ended September 30, 2022 and 2021, respectively, and totaled $125.2 million and $120.7 million for the nine month periods ended September 30, 2022 and 2021, respectively. Revenue from foreign operations was derived primarily from the Company’s Canadian operations in its Oil and Gas segment, and, to a lesser extent, from the Company’s operations in Mexico. Long-lived assets held in the U.S. included property and equipment, net, of $1.6 billion and $1.4 billion as of September 30, 2022 and December 31, 2021, respectively, and for the Company’s businesses in foreign countries, totaled $22.1 million and $24.5 million, respectively. Intangible assets and goodwill, net, related to the Company’s U.S. operations totaled approximately $2.1 billion as of both September 30, 2022 and December 31, 2021, and for the Company’s businesses in foreign countries, totaled approximately $36.7 million and $43.8 million as of September 30, 2022 and December 31, 2021, respectively. Substantially all of the Company’s long-lived and intangible assets and goodwill in foreign countries relate to its Canadian operations. As of September 30, 2022 and December 31, 2021, amounts due from customers from which foreign revenue was derived accounted for approximately 1% and 2%, respectively, of the Company’s consolidated net accounts receivable position, which represents accounts receivable, net, less deferred revenue. Revenue from governmental entities for the three and nine month periods ended September 30, 2022 totaled approximately 6% and 7%, respectively, of total revenue, and for both the three and nine month periods ended September 30, 2021, totaled approximately 5% of total revenue, substantially all of which was derived from the Company’s U.S. operations.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Significant Customers</w:t>
      </w:r>
    </w:p>
    <w:p>
      <w:pPr>
        <w:spacing w:after="0" w:line="11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For the three and nine month periods ended September 30, 2022, no customer represented greater than 10% of the Company’s total consolidated revenue. For the three and nine month periods ended September 30, 2021, revenue from Enbridge, Inc. represented 21% and 19%, respectively, of the Company’s total consolidated revenue. The Company’s relationship with Enbridge, Inc. is based upon various construction contracts for pipeline activities, for which the related revenue is included within the Oil and Gas segment.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Commitments and Contingencies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MasTec is subject to a variety of legal cases, claims and other disputes that arise from time to time in the ordinary course of its business, including project contract price disputes, other project-related liabilities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 In the third quarter of 2021, a settlement was finalized in favor of MasTec for approximately $25 million, of which $6 million, net of related settlement costs, is reflected within other current assets as of September 30, 2022. Net of legal and other costs incurred, the Company recorded $5 million of other income related to this settlement in the third quarter of 2021.</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Other Commitments and Contingencies</w:t>
      </w:r>
    </w:p>
    <w:p>
      <w:pPr>
        <w:spacing w:after="0" w:line="10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i w:val="1"/>
          <w:iCs w:val="1"/>
          <w:color w:val="auto"/>
        </w:rPr>
        <w:t>Leases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ordinary course of business, the Company enters into non-cancelable operating leases for certain of its facility, vehicle and equipment needs,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related party leases. See Note 8 - Lease Obligations and Note 15 - Related Party Transactions.</w:t>
      </w:r>
    </w:p>
    <w:p>
      <w:pPr>
        <w:spacing w:after="0" w:line="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Letters of Credit. </w:t>
      </w:r>
      <w:r>
        <w:rPr>
          <w:rFonts w:ascii="Arial" w:cs="Arial" w:eastAsia="Arial" w:hAnsi="Arial"/>
          <w:sz w:val="16"/>
          <w:szCs w:val="16"/>
          <w:color w:val="auto"/>
        </w:rPr>
        <w:t>In the ordinary course of business, the Company is required to post letters of credit for its insurance carriers and surety bond providers and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support of performance under certain contracts as well as certain obligations associated with the Company’s equity investment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September 30, 2022 and December 31, 2021, there were $162.4 million and $188.5 million, respectively, of letters of credit issued under the Company’s credit facilities. The Company is not aware of any material claims relating to its outstanding letters of credit as of September 30, 2022.</w:t>
      </w:r>
    </w:p>
    <w:p>
      <w:pPr>
        <w:spacing w:after="0" w:line="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b w:val="1"/>
          <w:bCs w:val="1"/>
          <w:i w:val="1"/>
          <w:iCs w:val="1"/>
          <w:color w:val="auto"/>
        </w:rPr>
        <w:t xml:space="preserve">Performance and Payment Bonds. </w:t>
      </w:r>
      <w:r>
        <w:rPr>
          <w:rFonts w:ascii="Arial" w:cs="Arial" w:eastAsia="Arial" w:hAnsi="Arial"/>
          <w:sz w:val="15"/>
          <w:szCs w:val="15"/>
          <w:color w:val="auto"/>
        </w:rPr>
        <w:t>In the ordinary course of business, MasTec is required by certain customers to provide performance and payment bonds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September 30, 2022 and December 31, 2021, outstanding performance and payment bonds approximated $2,351.7 million and $2,155.2 million, respectively, and estimated costs to complete projects secured by these bonds totaled $775.0 million and $768.8 million, respectively. Included in these balances as of both September 30, 2022 and December 31, 2021 are $115.0 million of outstanding performance and payment bonds issued on behalf of the Company’s proportionately consolidated non-controlled contractual joint ventures, representing the Company’s proportionate share of the total bond obligation for the related projects.</w:t>
      </w:r>
    </w:p>
    <w:p>
      <w:pPr>
        <w:spacing w:after="0" w:line="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4"/>
          <w:szCs w:val="14"/>
          <w:b w:val="1"/>
          <w:bCs w:val="1"/>
          <w:i w:val="1"/>
          <w:iCs w:val="1"/>
          <w:color w:val="auto"/>
        </w:rPr>
        <w:t xml:space="preserve">Investment and Strategic Arrangements. </w:t>
      </w:r>
      <w:r>
        <w:rPr>
          <w:rFonts w:ascii="Arial" w:cs="Arial" w:eastAsia="Arial" w:hAnsi="Arial"/>
          <w:sz w:val="14"/>
          <w:szCs w:val="14"/>
          <w:color w:val="auto"/>
        </w:rPr>
        <w:t>The Company holds undivided interests, ranging from 85% to 90%, in multiple proportionately consolidated non-controlled contractual joint ventures that provide infrastructure construction services for electrical transmission projects, as well as undivided interests ranging from 30% to 50% in three civil construction projects.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September 30, 2022, the Company was not aware of material future claims against it in connection with these arrangements. Included in the Company’s cash balances as of September 30, 2022 and December 31, 2021 are amounts held by entities that are proportionately consolidated totaling $15.1 million and $14.6 million, respectively. These amounts are available to support the operations of those entities, but are not available for the Company’s other operations.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7" w:name="page28"/>
    <w:bookmarkEnd w:id="27"/>
    <w:p>
      <w:pPr>
        <w:jc w:val="both"/>
        <w:ind w:firstLine="648"/>
        <w:spacing w:after="0" w:line="269" w:lineRule="auto"/>
        <w:rPr>
          <w:sz w:val="20"/>
          <w:szCs w:val="20"/>
          <w:color w:val="auto"/>
        </w:rPr>
      </w:pPr>
      <w:r>
        <w:rPr>
          <w:rFonts w:ascii="Arial" w:cs="Arial" w:eastAsia="Arial" w:hAnsi="Arial"/>
          <w:sz w:val="16"/>
          <w:szCs w:val="16"/>
          <w:color w:val="auto"/>
        </w:rPr>
        <w:t>The Company has other investment and strategic arrangements, under which it may incur costs or provide financing, performance, financial and/or other guarantees. See Note 4 - Fair Value of Financial Instruments and Note 15 - Related Party Transactions for additional information pertaining to the Company’s investment and strategic arrangements.</w:t>
      </w:r>
    </w:p>
    <w:p>
      <w:pPr>
        <w:spacing w:after="0" w:line="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Self-Insurance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MasTec maintains insurance policies for workers’ compensation, general liability and automobile liability, which are subject to per claim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deductibles. The Company is self-insured up to the amount of the deductible. The Company also maintains excess umbrella coverage. The Company manages certain of its insurance liabilities indirectly through its wholly-owned captive insurance companies, which reimburse claims up to the applicable insurance limits. Cash balances held by the Company’s captive insurance companies, which totaled approximately $0.3 million as of both September 30, 2022 and December 31, 2021, are generally not available for use in the Company’s other operations.</w:t>
      </w:r>
    </w:p>
    <w:p>
      <w:pPr>
        <w:spacing w:after="0" w:line="7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As of September 30, 2022 and December 31, 2021, MasTec’s estimated liability for unpaid claims and associated expenses, including incurred but not reported losses related to its insurance policies, totaled $178.8 million and $189.8 million, respectively, of which $107.4 million and $126.5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$4.2 million as of both September 30, 2022 and December 31, 2021.</w:t>
      </w:r>
    </w:p>
    <w:p>
      <w:pPr>
        <w:spacing w:after="0" w:line="7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$103.0 million and $125.7 million as of September 30, 2022 and December 31, 2021, respectively. As of September 30, 2022 and December 31, 2021, outstanding surety bonds related to self-insurance programs amounted to $110.9 million and $52.9 million, respectively.</w:t>
      </w:r>
    </w:p>
    <w:p>
      <w:pPr>
        <w:spacing w:after="0" w:line="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 xml:space="preserve">Collective Bargaining Agreements and Multiemployer Plans. </w:t>
      </w:r>
      <w:r>
        <w:rPr>
          <w:rFonts w:ascii="Arial" w:cs="Arial" w:eastAsia="Arial" w:hAnsi="Arial"/>
          <w:sz w:val="16"/>
          <w:szCs w:val="16"/>
          <w:color w:val="auto"/>
        </w:rPr>
        <w:t>As discussed in Note 10 - Other Retirement Plans, certain of MasTec’s subsidiaries are party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MEPPs, subjects employers to substantial liabilities in the event of an employer’s complete or partial withdrawal from, or upon termination of, such plans.</w:t>
      </w:r>
    </w:p>
    <w:p>
      <w:pPr>
        <w:spacing w:after="0" w:line="9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The Company currently contributes, and in the past, has contributed to, plans that are underfunded, and, therefore, could have potential liability associated with a voluntary or involuntary withdrawal from, or termination of, these plans. As of September 30, 2022,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or increased contributions on underfunded plans. The amount the Company could be obligated to pay or contribute in the future cannot be estimated, as these amounts are based on future levels of work of the union employees covered by these plans, investment returns, which could be negatively affected by economic and market conditions, and the level of underfunding of such plans. In connection with the HMG acquisition, the Company assumed an obligation related to HMG’s 2016 withdrawal from a multiemployer pension plan, under which HMG was obligated to make quarterly payments of approximately $74,000 through 2036. As of September 30, 2022 and December 31, 2021, a withdrawal liability of approximately $3.3 million and $3.4 million, respectively, was recorded within other current and other long-term liabilities, as appropriate, within the consolidated balance sheets related to this obligation. In October 2022, the Company reached an agreement with the related pension fund, and paid $2.8 million in full settlement of this liability.</w:t>
      </w:r>
    </w:p>
    <w:p>
      <w:pPr>
        <w:spacing w:after="0" w:line="7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 xml:space="preserve">Indemnities. </w:t>
      </w:r>
      <w:r>
        <w:rPr>
          <w:rFonts w:ascii="Arial" w:cs="Arial" w:eastAsia="Arial" w:hAnsi="Arial"/>
          <w:sz w:val="16"/>
          <w:szCs w:val="16"/>
          <w:color w:val="auto"/>
        </w:rPr>
        <w:t>The Company generally indemnifies its customers for the services it provides under its contracts, as well as other specified liabilities, which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the Company to indemnity claims, liabilities and related litigation. As of both September 30, 2022 and December 31, 2021, the Company had accrued project close-out liabilities of approximately $40 million. The Company is not aware of any other material asserted or unasserted claims in connection with its potential indemnity obligations.</w:t>
      </w:r>
    </w:p>
    <w:p>
      <w:pPr>
        <w:spacing w:after="0" w:line="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b w:val="1"/>
          <w:bCs w:val="1"/>
          <w:i w:val="1"/>
          <w:iCs w:val="1"/>
          <w:color w:val="auto"/>
        </w:rPr>
        <w:t xml:space="preserve">Other Guarantees. </w:t>
      </w:r>
      <w:r>
        <w:rPr>
          <w:rFonts w:ascii="Arial" w:cs="Arial" w:eastAsia="Arial" w:hAnsi="Arial"/>
          <w:sz w:val="15"/>
          <w:szCs w:val="15"/>
          <w:color w:val="auto"/>
        </w:rPr>
        <w:t>From time to time in the ordinary course of its business, MasTec guarantees the obligations of its subsidiaries, including obligations under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spacing w:after="0" w:line="6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4"/>
          <w:szCs w:val="14"/>
          <w:b w:val="1"/>
          <w:bCs w:val="1"/>
          <w:i w:val="1"/>
          <w:iCs w:val="1"/>
          <w:color w:val="auto"/>
        </w:rPr>
        <w:t xml:space="preserve">Concentrations of Risk. </w:t>
      </w:r>
      <w:r>
        <w:rPr>
          <w:rFonts w:ascii="Arial" w:cs="Arial" w:eastAsia="Arial" w:hAnsi="Arial"/>
          <w:sz w:val="14"/>
          <w:szCs w:val="14"/>
          <w:color w:val="auto"/>
        </w:rPr>
        <w:t>For the nine month period ended September 30, 2022, the Company had approximately 1290 customers. As of September 30, 2022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December 31, 2021, there were no customers that represented greater than 10% of the Company’s consolidated net accounts receivable position, which is calculated as accounts receivable, net, less deferred revenue. For the three month periods ended September 30, 2022 and 2021, the Company derived approximately 41% and 58%, respectively, of its revenue from its top ten customers, and derived 42% and 56% for the nine month periods ended September 30, 2022 and 2021,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Related Party Transactions</w:t>
      </w:r>
    </w:p>
    <w:p>
      <w:pPr>
        <w:spacing w:after="0" w:line="1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MasTec purchases, rents and leases equipment and purchases various types of supplies and services used in its business, including ancillary construction services, project-related site restoration and marketing, business development and administrative activities, from a number of different vendors on a non-exclusive basis, and from time to time, rents equipment to, sells certain supplies, or performs construction services on behalf of, entities in which members of subsidiary management have ownership or commercial interests. For the three month periods ended September 30, 2022 and 2021, such payments to related party entities totaled approximately $8.0 million and $20.7 million, respectively, and for the nine month periods ended September 30, 2022 and 2021, totaled approximately $22.7 million and $71.8 million, respectively. Payables associated with such arrangements totaled approximately $2.5 million and $0.6 million as of September 30, 2022 and December 31, 2021, respectively. Revenue from</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8" w:name="page29"/>
    <w:bookmarkEnd w:id="28"/>
    <w:p>
      <w:pPr>
        <w:jc w:val="both"/>
        <w:spacing w:after="0" w:line="269" w:lineRule="auto"/>
        <w:rPr>
          <w:sz w:val="20"/>
          <w:szCs w:val="20"/>
          <w:color w:val="auto"/>
        </w:rPr>
      </w:pPr>
      <w:r>
        <w:rPr>
          <w:rFonts w:ascii="Arial" w:cs="Arial" w:eastAsia="Arial" w:hAnsi="Arial"/>
          <w:sz w:val="16"/>
          <w:szCs w:val="16"/>
          <w:color w:val="auto"/>
        </w:rPr>
        <w:t>such related party arrangements totaled approximately $2.4 million and $0.8 million for the three month periods ended September 30, 2022 and 2021, respectively, and totaled approximately $7.4 million and $2.9 million for the nine month periods ended September 30, 2022 and 2021, respectively. Related amounts receivable, net, totaled approximately $2.2 million and $0.4 million as of September 30, 2022 and December 31, 2021, respectively.</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The Company rents and leases equipment and purchases certain supplies and servicing from CCI. Juan Carlos Mas, who is the brother of Jorge Mas, Chairman of MasTec’s Board of Directors, and José R. Mas, MasTec’s Chief Executive Officer, serves as the chairman of CCI, and a member of management of a MasTec subsidiary and an entity that is owned by the Mas family are minority owners. For the three and nine month periods ended September 30, 2022, MasTec paid CCI $1.1 million and $2.9 million, respectively, related to this activity, and for the three and nine month periods ended September 30, 2021, paid approximately $8.0 million and $18.6 million, net of rebates, respectively. Amounts payable to CCI totaled approximately $1.1 million and $0.8 million as of September 30, 2022 and December 31, 2021, respectively. The Company has also rented equipment to CCI. Revenue from equipment rentals to CCI totaled approximately $0.2 million for both the three and nine month periods ended September 30, 2022, and such revenue was de minimis for the three and nine month periods ended September 30, 2021. As of September 30, 2022, related amounts receivable totaled $0.1 million, and as of December 31, 2021, there were no amounts receivable.</w:t>
      </w:r>
    </w:p>
    <w:p>
      <w:pPr>
        <w:spacing w:after="0" w:line="6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MasTec has a subcontracting arrangement with an entity for the performance of construction services, the minority owners of which include an entity controlled by Jorge Mas and José R. Mas, along with two members of management of a MasTec subsidiary. For the three month periods ended September 30, 2022 and 2021, MasTec incurred subcontracting expenses in connection with this arrangement of approximately $0.1 million and $41.1 million, respectively, and for the nine month periods ended September 30, 2022 and 2021, incurred subcontracting expenses of approximately $0.2 million and $86.9 million, respectively. As of September 30, 2022 and December 31, 2021, related amounts payable totaled approximately $0.1 million and $0.5 million, respectively.</w:t>
      </w:r>
    </w:p>
    <w:p>
      <w:pPr>
        <w:spacing w:after="0" w:line="5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6"/>
          <w:szCs w:val="16"/>
          <w:color w:val="auto"/>
        </w:rPr>
        <w:t>MasTec has a leasing arrangement for an aircraft that is owned by an entity that Jorge Mas owns. For the three month periods ended September 30, 2022 and 2021, MasTec paid approximately $0.7 million and $0.6 million, respectively, related to this leasing arrangement, and paid approximately $1.9 million for both the nine month periods ended September 30, 2022 and 2021.</w:t>
      </w:r>
    </w:p>
    <w:p>
      <w:pPr>
        <w:spacing w:after="0" w:line="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MasTec has performed construction services on behalf of a professional Miami soccer franchise (the “Franchise”) in which Jorge Mas and José R. Mas are majority owners. Services provided by MasTec have included the construction of a soccer facility and stadium as well as wireless infrastructure services. MasTec may perform additional construction services for the Franchise in the future. Payments for other expenses related to the Franchise for both the three month periods ended September 30, 2022 and 2021 totaled approximately $0.1 million, and totaled approximately $0.4 million and $0.3 million for the nine month periods ended September 30, 2022 and 2021, respectively.</w:t>
      </w:r>
    </w:p>
    <w:p>
      <w:pPr>
        <w:spacing w:after="0" w:line="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Beginning in the fourth quarter of 2021, MasTec has a subcontracting arrangement to perform construction services for an entity, of which José R. Mas acquired a minority interest, and of which a member of management of a MasTec subsidiary owns the remaining interest. For the three and nine month periods ended September 30, 2022, revenue recognized by MasTec under this arrangement totaled approximately $38.0 million and $98.7 million, respectively, and as of September 30, 2022, related amounts receivable totaled approximately $36.6 million. There were no amounts receivable as of December 31, 2021. MasTec pays a management fee to this entity in connection with the subcontracting arrangement, under which MasTec incurred approximately $0.4 million and $0.9 million for the three and nine month periods ended September 30, 2022, of which $0.4 million was payable as of September 30, 2022.</w:t>
      </w:r>
    </w:p>
    <w:p>
      <w:pPr>
        <w:spacing w:after="0" w:line="7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MasTec leases employees and provides satellite communication services to a customer in which Jorge Mas and José R. Mas own a majority interest. Charges to this customer under these arrangements totaled approximately $0.3 million for both the three month periods ended September 30, 2022 and 2021, and totaled approximately $0.9 million for both the nine month periods ended September 30, 2022 and 2021. As of both September 30, 2022 and December 31, 2021, related amounts receivable totaled approximately $0.8 million.</w:t>
      </w:r>
    </w:p>
    <w:p>
      <w:pPr>
        <w:spacing w:after="0" w:line="7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The Company has advanced amounts on behalf of an entity that was acquired in 2021. Amounts outstanding for such advances, which are expected to be settled under customary terms associated with the related purchase agreement, totaled approximately $2.0 million and $0.5 million as of September 30, 2022 and December 31, 2021, respectively. Additionally, in 2021, the Company advanced amounts to the former owner of an acquired business. There were no remaining amounts outstanding as of September 30, 2022, and as of December 31, 2021, approximately $1.0 million of such advances was outstanding. In addition, the Company has a subcontracting arrangement with an entity in which it has a 25% interest. The Company’s interest in this entity is accounted for as an equity method investment. For the three and nine month periods ended September 30, 2022, the Company made equity contributions to this entity of approximately $0.1 million and $0.6 million, respectively. As of September 30, 2022 and December 31, 2021, the Company’s net investment in this entity was a liability of approximately $1.2 million and $1.6 million, respectively, which net amounts each included approximately $2.3 million of accounts receivable, net, less deferred revenue, related to the subcontracting arrangement. Additionally, the Company has certain arrangements with an entity in which members of management have an ownership interest, including a fee arrangement in conjunction with a $15.0 million letter of credit issued by the Company on behalf of this entity. Income recognized in connection with these arrangements totaled approximately $0.2 million for both the three month periods ended September 30, 2022 and 2021, and totaled $0.6 million for both the nine month periods ended September 30, 2022 and 2021. As of September 30, 2022 and December 31, 2021, related amounts receivable totaled $0.6 million and $0.4 million, respectively.</w:t>
      </w:r>
    </w:p>
    <w:p>
      <w:pPr>
        <w:spacing w:after="0" w:line="72" w:lineRule="exact"/>
        <w:rPr>
          <w:sz w:val="20"/>
          <w:szCs w:val="20"/>
          <w:color w:val="auto"/>
        </w:rPr>
      </w:pPr>
    </w:p>
    <w:p>
      <w:pPr>
        <w:ind w:right="340" w:firstLine="648"/>
        <w:spacing w:after="0" w:line="269" w:lineRule="auto"/>
        <w:rPr>
          <w:sz w:val="20"/>
          <w:szCs w:val="20"/>
          <w:color w:val="auto"/>
        </w:rPr>
      </w:pPr>
      <w:r>
        <w:rPr>
          <w:rFonts w:ascii="Arial" w:cs="Arial" w:eastAsia="Arial" w:hAnsi="Arial"/>
          <w:sz w:val="16"/>
          <w:szCs w:val="16"/>
          <w:color w:val="auto"/>
        </w:rPr>
        <w:t>Non-controlling interests in entities consolidated by the Company represent ownership interests held by members of management of certain of the Company’s subsidiaries, primarily in the Company’s Oil and Gas segment. In June 2021, the Company acquired an additional 15% of the non-controlling interests in one of these entities from two members of subsidiary management for $6.8 million in cash.</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Split Dollar Agreements</w:t>
      </w:r>
    </w:p>
    <w:p>
      <w:pPr>
        <w:spacing w:after="0" w:line="1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MasTec has split dollar life insurance agreements with trusts, for one of which Jorge Mas is a trustee, and for the other of which José R. Mas is a trustee. For both the three month periods ended September 30, 2022 and 2021, the Company paid $0.6 million in connection with the agreements for Jorge Mas, and no payments were made for José R. Mas. For both the nine month periods ended September 30, 2022 and 2021, the Company paid $1.1 million in connection with the agreements for Jorge Mas, and paid $0.7 million for José R. Mas. As of September 30, 2022 and December 31, 2021, life insurance assets associated with these agreements totaled approximately $25.8 million and $24.0 million, respectively.</w:t>
      </w:r>
    </w:p>
    <w:p>
      <w:pPr>
        <w:sectPr>
          <w:pgSz w:w="11900" w:h="16838" w:orient="portrait"/>
          <w:cols w:equalWidth="0" w:num="1">
            <w:col w:w="11240"/>
          </w:cols>
          <w:pgMar w:left="320" w:top="1007"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1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ongoing COVID-19 pandemic.</w:t>
      </w:r>
    </w:p>
    <w:p>
      <w:pPr>
        <w:spacing w:after="0" w:line="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These risks and uncertainties include those described in “Management’s Discussion and Analysis of Financial Condition and Results of Operations,” and elsewhere in this report and in our 2021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182"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2.</w:t>
        <w:tab/>
        <w:t>MANAGEMENT’S DISCUSSION AND ANALYSIS OF FINANCIAL CONDITION AND RESULTS OF OPERATIONS</w:t>
      </w:r>
    </w:p>
    <w:p>
      <w:pPr>
        <w:spacing w:after="0" w:line="13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The following is a discussion and analysis of our business, financial condition and results of operations as of and for the three and nine month periods ended September 30, 2022 and 2021. This discussion and analysis should be read in conjunction with our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2021 Form 10-K. In this MD&amp;A, “$” means U.S. dollars unless specified otherwise.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Transactions</w:t>
      </w:r>
    </w:p>
    <w:p>
      <w:pPr>
        <w:spacing w:after="0" w:line="13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b w:val="1"/>
          <w:bCs w:val="1"/>
          <w:i w:val="1"/>
          <w:iCs w:val="1"/>
          <w:color w:val="auto"/>
        </w:rPr>
        <w:t xml:space="preserve">IEA Acquisition. </w:t>
      </w:r>
      <w:r>
        <w:rPr>
          <w:rFonts w:ascii="Arial" w:cs="Arial" w:eastAsia="Arial" w:hAnsi="Arial"/>
          <w:sz w:val="15"/>
          <w:szCs w:val="15"/>
          <w:color w:val="auto"/>
        </w:rPr>
        <w:t>On October 7, 2022, we completed the acquisition of Infrastructure and Energy Alternatives, Inc. (“IEA”), a premier clean energy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infrastructure services provider with expertise in renewable energy and heavy civil projects, as well as rail and environmental remediation services. We expect to include IEA within our Clean Energy and Infrastructure segment. We acquired IEA in a cash and stock transaction for an estimated $610 million in cash and approximately 2.8 million MasTec shares, including an estimated 128,000 shares to be issued upon the exercise of certain IEA warrants, which warrants remained outstanding following the acquisition. If and when the outstanding warrants are exercised, they will be settled with a combination of such shares of MasTec common stock and cash. The fair value of the 2.7 million shares issued on the Closing Date, based on the market price of MasTec common stock on such date, was approximately $173 million. The $610 million in cash includes an estimate of $2 million related to the exercise of these warrants. The cash portion of the IEA acquisition was funded with the New Term Loan Facility, described more fully herein, that provided for $700 million in term loans. Additionally, in connection with the IEA acquisition, we assumed $300 million of 6.625% IEA Senior Notes. On October 26, 2022, approximately $74.9 million in principal amount of 6.625% IEA Senior Notes were exchanged for the same principal amount of 6.625% MasTec Senior Notes in a private exchange offer and consent solicitation to certain holders 6.625% IEA Senior Notes. See Note 7 - Debt in the notes to the consolidated financial statements, which is incorporated by reference, for additional information regarding the New Term Loan Facility, 6.625% IEA Senior Notes and the 6.625% MasTec Senior Notes. We have incurred, and expect to continue to incur, certain acquisition and integration-related costs in connection with the IEA acquisition.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Economic, Regulatory and Market Conditions</w:t>
      </w:r>
    </w:p>
    <w:p>
      <w:pPr>
        <w:spacing w:after="0" w:line="13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We have experienced, and may continue to experience, direct and indirect negative effects on our business and operations from negative economic, regulatory and market conditions, including recent inflationary effects on fuel prices, labor and materials costs, rising interest rates, potential recessionary impacts and supply chain disruptions that could negatively affect demand for future projects and/or delay existing project timing or cause increased project costs. We expect the remainder of 2022 to continue to be a dynamic macroeconomic environment, with elevated levels of cost inflation, as well as higher rates of interest. Rising interest rates and concerns regarding a possible economic recession could affect both our cost of capital and that of our customers, as well as our customers’ plans for capital investments and ongoing maintenance expenditures, which could negatively affect demand for our services. We may also experience negative effects from possible longer-term changes in consumer and customer behavior resulting from the effects of the COVID-19 pandemic. While the adverse effects of the COVID-19 pandemic began to subside in 2022, its effects vary, and economic conditions and business activities could be disrupted in the future, particularly as new variants arise. The extent to which general economic, regulatory and market conditions could affect our business, operations and financial results is uncertain as it will depend upon numerous evolving factors that we may not be able to accurately predict, and therefore, any future impacts on our business, financial condition and/or results of operations cannot be quantified or predicted with specificity.</w:t>
      </w:r>
    </w:p>
    <w:p>
      <w:pPr>
        <w:spacing w:after="0" w:line="7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believe that our financial position, cash flows and operational strengths will enable us to manage the current uncertainties resulting from general economic, regulatory and market conditions, as well as afford us the flexibility to invest strategically in our efforts to maximize shareholder value. We carefully manage our liquidity and will continue to monitor any potential effects from changing economic, regulatory and market conditions on our financial results, cash flows and/or working capital and will take appropriate actions in efforts to mitigate any impacts.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Business Overview</w:t>
      </w:r>
    </w:p>
    <w:p>
      <w:pPr>
        <w:spacing w:after="0" w:line="11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power delivery services, including transmission and distribution, wireless, wireline/fiber and customer fulfillment activities; power generation, primarily from clean energy and renewable sources; pipeline infrastructure, including natural gas pipeline and distribution infrastructure; heavy civil; and industrial infrastructure. Our customers are primarily in these industries. Including our predecessor companies, we have been in business for over 90 years. Locations averaged approximately 730 for the twelve month period ended September 30, 2022, and as of September 30, 2022, we had approximately 760 locations. Employees averaged approximately 29,000 for the twelve month period ended September 30, 2022 and as of September 30, 2022. We offer our services under the MasTec</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other service marks. We have been consistently ranked among the top specialty contractors by Engineering News-Record for the past several years.</w:t>
      </w:r>
    </w:p>
    <w:p>
      <w:pPr>
        <w:spacing w:after="0" w:line="1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provide our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88"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4"/>
          <w:szCs w:val="14"/>
          <w:color w:val="auto"/>
        </w:rPr>
        <w:t>We manage our operations under five operating segments, which represent our five reportable segments: (1) Communications; (2) Clean Energy and Infrastructure; (3) Oil and Gas; (4) Power Delivery; and (5) Other. This structure is generally focused on broad end-user markets for our labor-based construction services. In the first quarter of 2022, we began integrating the acquisition of HMG. The HMG acquisition was completed on December 30, 2021, with its initial balance sheet reported within our Power Delivery segment. During the first quarter of 2022, we reported portions of HMG’s operations within our Power Delivery, Communications and Oil and Gas segments, as appropriate, and HMG’s corporate functions within our Corporate results. Accordingly, HMG’s December 31, 2021 balance sheet information was recast to conform with the new reporting structure. See Note 13 - Segments and Related Information and Note 14 - Commitments and Contingencies in the notes to the consolidated financial statements, which are incorporated by reference, for additional information regarding our segment reporting and significant customer concentrations.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anticipate that we will realize approximately 22% of our estimated September 30, 2022 backlog in 2022. The following table presents 18-month estimated backlog by reportable segment as of the dates indicated: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Reportable Segment (in millions):</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September 30,</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0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4,469</w:t>
            </w:r>
          </w:p>
        </w:tc>
        <w:tc>
          <w:tcPr>
            <w:tcW w:w="0" w:type="dxa"/>
            <w:vAlign w:val="bottom"/>
          </w:tcPr>
          <w:p>
            <w:pPr>
              <w:spacing w:after="0"/>
              <w:rPr>
                <w:sz w:val="1"/>
                <w:szCs w:val="1"/>
                <w:color w:val="auto"/>
              </w:rPr>
            </w:pPr>
          </w:p>
        </w:tc>
      </w:tr>
      <w:tr>
        <w:trPr>
          <w:trHeight w:val="321"/>
        </w:trPr>
        <w:tc>
          <w:tcPr>
            <w:tcW w:w="664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1,933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1,896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1,570</w:t>
            </w:r>
          </w:p>
        </w:tc>
        <w:tc>
          <w:tcPr>
            <w:tcW w:w="0" w:type="dxa"/>
            <w:vAlign w:val="bottom"/>
          </w:tcPr>
          <w:p>
            <w:pPr>
              <w:spacing w:after="0"/>
              <w:rPr>
                <w:sz w:val="1"/>
                <w:szCs w:val="1"/>
                <w:color w:val="auto"/>
              </w:rPr>
            </w:pPr>
          </w:p>
        </w:tc>
      </w:tr>
      <w:tr>
        <w:trPr>
          <w:trHeight w:val="32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0" w:type="dxa"/>
            <w:vAlign w:val="bottom"/>
          </w:tcPr>
          <w:p>
            <w:pPr>
              <w:spacing w:after="0"/>
              <w:rPr>
                <w:sz w:val="1"/>
                <w:szCs w:val="1"/>
                <w:color w:val="auto"/>
              </w:rPr>
            </w:pPr>
          </w:p>
        </w:tc>
      </w:tr>
      <w:tr>
        <w:trPr>
          <w:trHeight w:val="321"/>
        </w:trPr>
        <w:tc>
          <w:tcPr>
            <w:tcW w:w="664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2,757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1,318</w:t>
            </w:r>
          </w:p>
        </w:tc>
        <w:tc>
          <w:tcPr>
            <w:tcW w:w="0" w:type="dxa"/>
            <w:vAlign w:val="bottom"/>
          </w:tcPr>
          <w:p>
            <w:pPr>
              <w:spacing w:after="0"/>
              <w:rPr>
                <w:sz w:val="1"/>
                <w:szCs w:val="1"/>
                <w:color w:val="auto"/>
              </w:rPr>
            </w:pPr>
          </w:p>
        </w:tc>
      </w:tr>
      <w:tr>
        <w:trPr>
          <w:trHeight w:val="32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640" w:type="dxa"/>
            <w:vAlign w:val="bottom"/>
          </w:tcPr>
          <w:p>
            <w:pPr>
              <w:ind w:left="220"/>
              <w:spacing w:after="0"/>
              <w:rPr>
                <w:sz w:val="20"/>
                <w:szCs w:val="20"/>
                <w:color w:val="auto"/>
              </w:rPr>
            </w:pPr>
            <w:r>
              <w:rPr>
                <w:rFonts w:ascii="Arial" w:cs="Arial" w:eastAsia="Arial" w:hAnsi="Arial"/>
                <w:sz w:val="16"/>
                <w:szCs w:val="16"/>
                <w:color w:val="auto"/>
              </w:rPr>
              <w:t>Estimated 18-month backlog</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11,227</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11,005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8,523</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As of September 30, 2022, 60% of our backlog is estimated to be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economic or other conditions, including supply chain disruptions, inflationary effects, climate-related matters, political unrest, such as the ongoing military conflict in Ukraine, effects of public health matters and/or other project-related factors. These effects, among others, could cause estimated revenue to be realized in periods later than originally expected, or not at all. We occasionally experience postponements, cancellations and reductions in expected future work from master service agreements and/or construction projects due to changes in our customers’ spending plans, market volatility, changes in governmental permitting, regulatory delays and/or other factors. There can be no assurance as to our customers’ requirements or if actual results will be consistent with the estimates included in our forecasts. As a result, our backlog as of any particular date is an uncertain indicator of future revenue and earnings.</w:t>
      </w:r>
    </w:p>
    <w:p>
      <w:pPr>
        <w:spacing w:after="0" w:line="84"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4"/>
          <w:szCs w:val="14"/>
          <w:color w:val="auto"/>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September 30, 2022, total 18-month backlog differed from the amount of our remaining performance obligations due primarily to the inclusion of $6.9 billion of estimated future revenue under master service and other service agreements within our backlog estimates, as described above, and the exclusion of approximately $1.0 billion of remaining performance obligations and estimated future revenue under master service and other service agreements in excess of 18 months, which amount is not included in the backlog estimates above. Backlog expected to be realized in 2022 differs from the amount of our remaining performance obligations expected to be recognized for the same period due primarily to the inclusion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ind w:right="820"/>
        <w:spacing w:after="0" w:line="396" w:lineRule="auto"/>
        <w:rPr>
          <w:sz w:val="20"/>
          <w:szCs w:val="20"/>
          <w:color w:val="auto"/>
        </w:rPr>
      </w:pPr>
      <w:r>
        <w:rPr>
          <w:rFonts w:ascii="Arial" w:cs="Arial" w:eastAsia="Arial" w:hAnsi="Arial"/>
          <w:sz w:val="16"/>
          <w:szCs w:val="16"/>
          <w:color w:val="auto"/>
        </w:rPr>
        <w:t xml:space="preserve">of approximately $0.9 billion of estimated future revenue under master service and other service agreements that is included within the related backlog estimate. </w:t>
      </w:r>
      <w:r>
        <w:rPr>
          <w:rFonts w:ascii="Arial" w:cs="Arial" w:eastAsia="Arial" w:hAnsi="Arial"/>
          <w:sz w:val="16"/>
          <w:szCs w:val="16"/>
          <w:b w:val="1"/>
          <w:bCs w:val="1"/>
          <w:color w:val="auto"/>
        </w:rPr>
        <w:t>Economic, Industry and Market Factors</w:t>
      </w:r>
    </w:p>
    <w:p>
      <w:pPr>
        <w:jc w:val="both"/>
        <w:ind w:firstLine="648"/>
        <w:spacing w:after="0" w:line="275" w:lineRule="auto"/>
        <w:rPr>
          <w:sz w:val="20"/>
          <w:szCs w:val="20"/>
          <w:color w:val="auto"/>
        </w:rPr>
      </w:pPr>
      <w:r>
        <w:rPr>
          <w:rFonts w:ascii="Arial" w:cs="Arial" w:eastAsia="Arial" w:hAnsi="Arial"/>
          <w:sz w:val="15"/>
          <w:szCs w:val="15"/>
          <w:color w:val="auto"/>
        </w:rPr>
        <w:t>We closely monitor the effects of changes in economic and market conditions on our customers, including the potential effects of inflation, recessionary impacts, regulatory and climate-related matters, the ongoing military conflict in Ukraine and the effects of public health matters. Changes in general economic and market conditions can affect demand for our customers’ products and services, which can increase or decrease our customers’ planned capital and maintenance budgets in certain end-markets. Market, regulatory and industry factors could affect demand for our services, or the cost to provide such services, including (i) changes to our customers’ capital spending plans, including any potential effects from inflationary, recessionary impacts or supply chain issues, rising interest rates or public health matters; (ii) new or changing regulatory requirements, governmental policy changes, and customer or industry initiatives, including with respect to climate change, sustainability and related environmental concerns, and changes in governmental permitting; (iii) economic, political or other market developments or uncertainty, such as the ongoing military conflict in Ukraine and/or access to capital for customers in the industries we serve; (iv) changes in technology, tax and other incentives; and (v) mergers, acquisitions or other business transactions among the customers we serve.</w:t>
      </w:r>
    </w:p>
    <w:p>
      <w:pPr>
        <w:spacing w:after="0" w:line="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Changes in demand for, and fluctuations in market prices for, oil, gas and other energy sources can affect demand for our services. In particular, such changes can affect the level of activity in energy generation projects, including from renewable energy sources, as well as pipeline construction and carbon capture projects. The availability of transportation and transmission capacity can also affect demand for our services, including energy generation, electric grid and pipeline construction projects. These fluctuations, as well as the highly competitive nature of our industry, can result in changes in the levels of activity, the project mix, and/or the profitability of the services we provide. In the face of increased pricing pressure or other market developments that have had, and could continue to have, a negative effect on our profitability, such as rising fuel, labor and materials costs, to the extent that we are unable to pass these costs through to our customers, we strive to maintain our profit margins through productivity improvements, cost reduction programs and/or business streamlining efforts. While we actively monitor economic, industry and market factors that could affect our business, we cannot predict the effect that changes in such factors could have on our future results of operations, liquidity and cash flows, and we may be unable to fully mitigate, or benefit from, such changes.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Seasonality and Cyclical Nature of Business</w:t>
      </w:r>
    </w:p>
    <w:p>
      <w:pPr>
        <w:spacing w:after="0" w:line="1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4"/>
          <w:szCs w:val="14"/>
          <w:color w:val="auto"/>
        </w:rPr>
        <w:t>Our revenue and results of operations can be subject to seasonal and other variations. These variations are influenced by weather, customer spending patterns, bidding seasons, project schedules, holidays, regulatory matters and/or timing, in particular, for large non-recurring projects, and the effects of market uncertainty or disruptions, as described within “Economic, Industry and Market Factors,” above. Typically, our revenue is lowest at the beginning of the year and during the winter months because cold, snowy or wet conditions can delay projects. Revenue is generally higher during the summer and fall months due to increased demand for our services when favorable weather conditions exist in many of the regions in which we operate, but continued cold and wet weather can often affect second quarter productivity. In the fourth quarter, many projects tend to be completed by customers seeking to spend their capital budgets before the end of the year, which generally has a positive effect on our revenue. However, the holiday season and inclement weather can cause delays, which can reduce revenue and increase costs on affected projects. Any quarter may be positively or negatively affected by adverse or unusual weather patterns and/or the effects of climate-related matters, including warm winter weather, excessive rainfall, flooding or natural catastrophes such as wildfires, hurricanes or other severe weather, making it difficult to predict quarterly revenue and margin variations.</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Additionally, our industry can be highly cyclical. Fluctuations in end-user demand within the industries we serve, or in the supply of services within those industries, can affect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quarter, even if not for the full year.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including climate-related matters; and acquisitions, dispositions or strategic arrangements can also materially affect quarterly results in a given period. Accordingly, our operating results in any particular period may not be indicative of the results that can be expected for any other period.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accompanying notes. We base our estimates on historical experience and various other assumptions that we believe to be reasonable under the circumstances, including the potential future effects of macroeconomic trends and events, such as rising inflation and interest rate levels; recessionary impacts; climate-related matters; market, regulatory and industry factors; global events, such as the ongoing military conflict in Ukraine; and public health matters. These estimates form the basis for making judgments about our operating results and the carrying values of assets and liabilities, that are not readily apparent from other sources. Given that management estimates, by their nature, involve judgments regarding future uncertainties, actual results could differ materially from these estimates if conditions change or if certain key assumptions used in making these estimates ultimately prove to be inaccurate. Our accounting policies and critical accounting estimates are reviewed periodically by the Audit Committee of the Board of Directors.</w:t>
      </w:r>
    </w:p>
    <w:p>
      <w:pPr>
        <w:spacing w:after="0" w:line="8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intangible assets and acquisition-related contingent consideration; equity investments; income taxes; self-insurance liabilities; and litigation and other contingencies, are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2" w:name="page33"/>
    <w:bookmarkEnd w:id="32"/>
    <w:p>
      <w:pPr>
        <w:jc w:val="both"/>
        <w:spacing w:after="0" w:line="275" w:lineRule="auto"/>
        <w:rPr>
          <w:sz w:val="20"/>
          <w:szCs w:val="20"/>
          <w:color w:val="auto"/>
        </w:rPr>
      </w:pPr>
      <w:r>
        <w:rPr>
          <w:rFonts w:ascii="Arial" w:cs="Arial" w:eastAsia="Arial" w:hAnsi="Arial"/>
          <w:sz w:val="16"/>
          <w:szCs w:val="16"/>
          <w:color w:val="auto"/>
        </w:rPr>
        <w:t>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w:t>
      </w:r>
    </w:p>
    <w:p>
      <w:pPr>
        <w:spacing w:after="0" w:line="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Refer to Note 1 - Business, Basis of Presentation and Significant Accounting Policies in the notes to the consolidated financial statements, which is incorporated by reference, and to our 2021 Form 10-K for a more detailed discussion of our significant accounting policies and critical accounting estimates. As described in more detail in Note 1 - Business, Basis of Presentation and Significant Accounting Policies, our consolidated financial statements include certain reclassifications of prior period amounts to conform with the current period presentation. For details of our third quarter 2022 quarterly review for indicators of impairment, refer to Note 3 - Acquisitions, Goodwill and Other Intangible Assets, Net, in the notes to the consolidated financial statements, which is incorporated by reference.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Comparison of Quarterly Results</w:t>
      </w:r>
    </w:p>
    <w:p>
      <w:pPr>
        <w:spacing w:after="0" w:line="1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 In this discussion, “acquisition” results are defined as results from acquired businesses for the first twelve months following the dates of the respective acquisitions, with the balance of results for a particular item attributed to “organic” activity.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20" w:type="dxa"/>
            <w:vAlign w:val="bottom"/>
            <w:gridSpan w:val="11"/>
            <w:vMerge w:val="restart"/>
          </w:tcPr>
          <w:p>
            <w:pPr>
              <w:ind w:left="120"/>
              <w:spacing w:after="0"/>
              <w:rPr>
                <w:sz w:val="20"/>
                <w:szCs w:val="20"/>
                <w:color w:val="auto"/>
              </w:rPr>
            </w:pPr>
            <w:r>
              <w:rPr>
                <w:rFonts w:ascii="Arial" w:cs="Arial" w:eastAsia="Arial" w:hAnsi="Arial"/>
                <w:sz w:val="16"/>
                <w:szCs w:val="16"/>
                <w:b w:val="1"/>
                <w:bCs w:val="1"/>
                <w:color w:val="auto"/>
              </w:rPr>
              <w:t>For the Three Months Ended September 30,</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0" w:type="dxa"/>
            <w:vAlign w:val="bottom"/>
            <w:gridSpan w:val="8"/>
          </w:tcPr>
          <w:p>
            <w:pPr>
              <w:jc w:val="center"/>
              <w:ind w:right="100"/>
              <w:spacing w:after="0"/>
              <w:rPr>
                <w:sz w:val="20"/>
                <w:szCs w:val="20"/>
                <w:color w:val="auto"/>
              </w:rPr>
            </w:pPr>
            <w:r>
              <w:rPr>
                <w:rFonts w:ascii="Arial" w:cs="Arial" w:eastAsia="Arial" w:hAnsi="Arial"/>
                <w:sz w:val="16"/>
                <w:szCs w:val="16"/>
                <w:b w:val="1"/>
                <w:bCs w:val="1"/>
                <w:color w:val="auto"/>
                <w:w w:val="93"/>
              </w:rPr>
              <w:t>For the Nine Months Ended</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20" w:type="dxa"/>
            <w:vAlign w:val="bottom"/>
            <w:gridSpan w:val="11"/>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6"/>
            <w:vMerge w:val="restart"/>
          </w:tcPr>
          <w:p>
            <w:pPr>
              <w:jc w:val="center"/>
              <w:ind w:right="480"/>
              <w:spacing w:after="0"/>
              <w:rPr>
                <w:sz w:val="20"/>
                <w:szCs w:val="20"/>
                <w:color w:val="auto"/>
              </w:rPr>
            </w:pPr>
            <w:r>
              <w:rPr>
                <w:rFonts w:ascii="Arial" w:cs="Arial" w:eastAsia="Arial" w:hAnsi="Arial"/>
                <w:sz w:val="16"/>
                <w:szCs w:val="16"/>
                <w:b w:val="1"/>
                <w:bCs w:val="1"/>
                <w:color w:val="auto"/>
                <w:w w:val="91"/>
              </w:rPr>
              <w:t>September 30,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9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gridSpan w:val="6"/>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2,513.5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100.0 %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2,404.3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6,769.7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6,142.4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color w:val="auto"/>
                <w:w w:val="95"/>
              </w:rPr>
              <w:t>Costs of revenue, excluding depreciation and amortization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2,187.8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87.0 %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2,057.3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5,949.3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87.9 %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5,246.4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85.4 %</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 (income), net</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0"/>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before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1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3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1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attributable to MasTec,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We review our operating results by reportable segment. See Note 13 - Segments and Related Information in the notes to the consolidated financial statements, which is incorporated by reference. Our reportable segments are: (1) Communications; (2) Clean Energy and Infrastructure; (3) Oil and Gas; (4) Power Delivery; and (5) Other. Management’s review of reportable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below, following the comparison of results discussion below. The following table presents revenue, EBITDA and EBITDA margin by reportable segment for the periods indicated (dollar amounts in millions):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3"/>
        </w:trPr>
        <w:tc>
          <w:tcPr>
            <w:tcW w:w="1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Revenue</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10"/>
          </w:tcPr>
          <w:p>
            <w:pPr>
              <w:ind w:left="300"/>
              <w:spacing w:after="0"/>
              <w:rPr>
                <w:sz w:val="20"/>
                <w:szCs w:val="20"/>
                <w:color w:val="auto"/>
              </w:rPr>
            </w:pPr>
            <w:r>
              <w:rPr>
                <w:rFonts w:ascii="Arial" w:cs="Arial" w:eastAsia="Arial" w:hAnsi="Arial"/>
                <w:sz w:val="16"/>
                <w:szCs w:val="16"/>
                <w:b w:val="1"/>
                <w:bCs w:val="1"/>
                <w:color w:val="auto"/>
              </w:rPr>
              <w:t>EBITDA and EBITDA Margin</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5"/>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For the Three</w:t>
            </w:r>
          </w:p>
        </w:tc>
        <w:tc>
          <w:tcPr>
            <w:tcW w:w="1540" w:type="dxa"/>
            <w:vAlign w:val="bottom"/>
            <w:gridSpan w:val="3"/>
          </w:tcPr>
          <w:p>
            <w:pPr>
              <w:jc w:val="center"/>
              <w:spacing w:after="0" w:line="158" w:lineRule="exact"/>
              <w:rPr>
                <w:sz w:val="20"/>
                <w:szCs w:val="20"/>
                <w:color w:val="auto"/>
              </w:rPr>
            </w:pPr>
            <w:r>
              <w:rPr>
                <w:rFonts w:ascii="Arial" w:cs="Arial" w:eastAsia="Arial" w:hAnsi="Arial"/>
                <w:sz w:val="16"/>
                <w:szCs w:val="16"/>
                <w:b w:val="1"/>
                <w:bCs w:val="1"/>
                <w:color w:val="auto"/>
                <w:w w:val="94"/>
              </w:rPr>
              <w:t>For the Nine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60" w:type="dxa"/>
            <w:vAlign w:val="bottom"/>
            <w:gridSpan w:val="8"/>
            <w:vMerge w:val="restart"/>
          </w:tcPr>
          <w:p>
            <w:pPr>
              <w:jc w:val="center"/>
              <w:ind w:right="160"/>
              <w:spacing w:after="0"/>
              <w:rPr>
                <w:sz w:val="20"/>
                <w:szCs w:val="20"/>
                <w:color w:val="auto"/>
              </w:rPr>
            </w:pPr>
            <w:r>
              <w:rPr>
                <w:rFonts w:ascii="Arial" w:cs="Arial" w:eastAsia="Arial" w:hAnsi="Arial"/>
                <w:sz w:val="16"/>
                <w:szCs w:val="16"/>
                <w:b w:val="1"/>
                <w:bCs w:val="1"/>
                <w:color w:val="auto"/>
                <w:w w:val="94"/>
              </w:rPr>
              <w:t>For the Three Months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6"/>
            <w:vMerge w:val="restart"/>
          </w:tcPr>
          <w:p>
            <w:pPr>
              <w:jc w:val="right"/>
              <w:ind w:right="300"/>
              <w:spacing w:after="0"/>
              <w:rPr>
                <w:sz w:val="20"/>
                <w:szCs w:val="20"/>
                <w:color w:val="auto"/>
              </w:rPr>
            </w:pPr>
            <w:r>
              <w:rPr>
                <w:rFonts w:ascii="Arial" w:cs="Arial" w:eastAsia="Arial" w:hAnsi="Arial"/>
                <w:sz w:val="16"/>
                <w:szCs w:val="16"/>
                <w:b w:val="1"/>
                <w:bCs w:val="1"/>
                <w:color w:val="auto"/>
                <w:w w:val="93"/>
              </w:rPr>
              <w:t>For the Nine Months</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5"/>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Months Ended</w:t>
            </w:r>
          </w:p>
        </w:tc>
        <w:tc>
          <w:tcPr>
            <w:tcW w:w="1640" w:type="dxa"/>
            <w:vAlign w:val="bottom"/>
            <w:gridSpan w:val="4"/>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Months Ended</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8"/>
            <w:vMerge w:val="continue"/>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6"/>
            <w:vMerge w:val="continue"/>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16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7"/>
          </w:tcPr>
          <w:p>
            <w:pPr>
              <w:jc w:val="center"/>
              <w:ind w:right="240"/>
              <w:spacing w:after="0"/>
              <w:rPr>
                <w:sz w:val="20"/>
                <w:szCs w:val="20"/>
                <w:color w:val="auto"/>
              </w:rPr>
            </w:pPr>
            <w:r>
              <w:rPr>
                <w:rFonts w:ascii="Arial" w:cs="Arial" w:eastAsia="Arial" w:hAnsi="Arial"/>
                <w:sz w:val="16"/>
                <w:szCs w:val="16"/>
                <w:b w:val="1"/>
                <w:bCs w:val="1"/>
                <w:color w:val="auto"/>
                <w:w w:val="90"/>
              </w:rPr>
              <w:t>Ended September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6"/>
          </w:tcPr>
          <w:p>
            <w:pPr>
              <w:jc w:val="right"/>
              <w:ind w:right="280"/>
              <w:spacing w:after="0"/>
              <w:rPr>
                <w:sz w:val="20"/>
                <w:szCs w:val="20"/>
                <w:color w:val="auto"/>
              </w:rPr>
            </w:pPr>
            <w:r>
              <w:rPr>
                <w:rFonts w:ascii="Arial" w:cs="Arial" w:eastAsia="Arial" w:hAnsi="Arial"/>
                <w:sz w:val="16"/>
                <w:szCs w:val="16"/>
                <w:b w:val="1"/>
                <w:bCs w:val="1"/>
                <w:color w:val="auto"/>
                <w:w w:val="89"/>
              </w:rPr>
              <w:t>Ended September 30,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Reportable Segment:</w:t>
            </w: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3"/>
          </w:tcPr>
          <w:p>
            <w:pPr>
              <w:ind w:left="320"/>
              <w:spacing w:after="0" w:line="215" w:lineRule="exact"/>
              <w:rPr>
                <w:sz w:val="20"/>
                <w:szCs w:val="20"/>
                <w:color w:val="auto"/>
              </w:rPr>
            </w:pPr>
            <w:r>
              <w:rPr>
                <w:rFonts w:ascii="Arial" w:cs="Arial" w:eastAsia="Arial" w:hAnsi="Arial"/>
                <w:sz w:val="16"/>
                <w:szCs w:val="16"/>
                <w:b w:val="1"/>
                <w:bCs w:val="1"/>
                <w:color w:val="auto"/>
                <w:w w:val="80"/>
              </w:rPr>
              <w:t xml:space="preserve">2022 </w:t>
            </w:r>
            <w:r>
              <w:rPr>
                <w:rFonts w:ascii="Arial" w:cs="Arial" w:eastAsia="Arial" w:hAnsi="Arial"/>
                <w:sz w:val="21"/>
                <w:szCs w:val="21"/>
                <w:b w:val="1"/>
                <w:bCs w:val="1"/>
                <w:color w:val="auto"/>
                <w:w w:val="80"/>
                <w:vertAlign w:val="superscript"/>
              </w:rPr>
              <w:t>(a)</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670.3</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$ 2,375.1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$ 1,869.3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12.4 %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10.7 %</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0" w:type="dxa"/>
            <w:vAlign w:val="bottom"/>
          </w:tcPr>
          <w:p>
            <w:pPr>
              <w:spacing w:after="0"/>
              <w:rPr>
                <w:sz w:val="1"/>
                <w:szCs w:val="1"/>
                <w:color w:val="auto"/>
              </w:rPr>
            </w:pPr>
          </w:p>
        </w:tc>
      </w:tr>
      <w:tr>
        <w:trPr>
          <w:trHeight w:val="274"/>
        </w:trPr>
        <w:tc>
          <w:tcPr>
            <w:tcW w:w="1660" w:type="dxa"/>
            <w:vAlign w:val="bottom"/>
          </w:tcPr>
          <w:p>
            <w:pPr>
              <w:ind w:left="20"/>
              <w:spacing w:after="0"/>
              <w:rPr>
                <w:sz w:val="20"/>
                <w:szCs w:val="20"/>
                <w:color w:val="auto"/>
              </w:rPr>
            </w:pPr>
            <w:r>
              <w:rPr>
                <w:rFonts w:ascii="Arial" w:cs="Arial" w:eastAsia="Arial" w:hAnsi="Arial"/>
                <w:sz w:val="16"/>
                <w:szCs w:val="16"/>
                <w:color w:val="auto"/>
              </w:rPr>
              <w:t>Clean Energy and</w:t>
            </w:r>
          </w:p>
        </w:tc>
        <w:tc>
          <w:tcPr>
            <w:tcW w:w="140" w:type="dxa"/>
            <w:vAlign w:val="bottom"/>
          </w:tcPr>
          <w:p>
            <w:pPr>
              <w:spacing w:after="0"/>
              <w:rPr>
                <w:sz w:val="23"/>
                <w:szCs w:val="2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563.2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518.4</w:t>
            </w:r>
          </w:p>
        </w:tc>
        <w:tc>
          <w:tcPr>
            <w:tcW w:w="120" w:type="dxa"/>
            <w:vAlign w:val="bottom"/>
          </w:tcPr>
          <w:p>
            <w:pPr>
              <w:spacing w:after="0"/>
              <w:rPr>
                <w:sz w:val="23"/>
                <w:szCs w:val="2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1,493.5</w:t>
            </w:r>
          </w:p>
        </w:tc>
        <w:tc>
          <w:tcPr>
            <w:tcW w:w="100" w:type="dxa"/>
            <w:vAlign w:val="bottom"/>
          </w:tcPr>
          <w:p>
            <w:pPr>
              <w:spacing w:after="0"/>
              <w:rPr>
                <w:sz w:val="23"/>
                <w:szCs w:val="2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1,350.3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2.7 %</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3"/>
                <w:szCs w:val="2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09"/>
        </w:trPr>
        <w:tc>
          <w:tcPr>
            <w:tcW w:w="1660" w:type="dxa"/>
            <w:vAlign w:val="bottom"/>
          </w:tcPr>
          <w:p>
            <w:pPr>
              <w:ind w:left="20"/>
              <w:spacing w:after="0"/>
              <w:rPr>
                <w:sz w:val="20"/>
                <w:szCs w:val="20"/>
                <w:color w:val="auto"/>
              </w:rPr>
            </w:pPr>
            <w:r>
              <w:rPr>
                <w:rFonts w:ascii="Arial" w:cs="Arial" w:eastAsia="Arial" w:hAnsi="Arial"/>
                <w:sz w:val="16"/>
                <w:szCs w:val="16"/>
                <w:color w:val="auto"/>
              </w:rPr>
              <w:t>Infrastructure</w:t>
            </w:r>
          </w:p>
        </w:tc>
        <w:tc>
          <w:tcPr>
            <w:tcW w:w="1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858.4</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13.1 %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19.9 %</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21.6 %</w:t>
            </w:r>
          </w:p>
        </w:tc>
        <w:tc>
          <w:tcPr>
            <w:tcW w:w="0" w:type="dxa"/>
            <w:vAlign w:val="bottom"/>
          </w:tcPr>
          <w:p>
            <w:pPr>
              <w:spacing w:after="0"/>
              <w:rPr>
                <w:sz w:val="1"/>
                <w:szCs w:val="1"/>
                <w:color w:val="auto"/>
              </w:rPr>
            </w:pPr>
          </w:p>
        </w:tc>
      </w:tr>
      <w:tr>
        <w:trPr>
          <w:trHeight w:val="321"/>
        </w:trPr>
        <w:tc>
          <w:tcPr>
            <w:tcW w:w="166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688.4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365.3</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1,985.4</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9.2 %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9.5 %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150.6</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327"/>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NM</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NM</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NM</w:t>
            </w: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1660" w:type="dxa"/>
            <w:vAlign w:val="bottom"/>
          </w:tcPr>
          <w:p>
            <w:pPr>
              <w:ind w:left="20"/>
              <w:spacing w:after="0"/>
              <w:rPr>
                <w:sz w:val="20"/>
                <w:szCs w:val="20"/>
                <w:color w:val="auto"/>
              </w:rPr>
            </w:pPr>
            <w:r>
              <w:rPr>
                <w:rFonts w:ascii="Arial" w:cs="Arial" w:eastAsia="Arial" w:hAnsi="Arial"/>
                <w:sz w:val="16"/>
                <w:szCs w:val="16"/>
                <w:color w:val="auto"/>
              </w:rPr>
              <w:t>Eliminations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279"/>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(131.2)</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1660" w:type="dxa"/>
            <w:vAlign w:val="bottom"/>
          </w:tcPr>
          <w:p>
            <w:pPr>
              <w:ind w:left="140"/>
              <w:spacing w:after="0"/>
              <w:rPr>
                <w:sz w:val="20"/>
                <w:szCs w:val="20"/>
                <w:color w:val="auto"/>
              </w:rPr>
            </w:pPr>
            <w:r>
              <w:rPr>
                <w:rFonts w:ascii="Arial" w:cs="Arial" w:eastAsia="Arial" w:hAnsi="Arial"/>
                <w:sz w:val="16"/>
                <w:szCs w:val="16"/>
                <w:color w:val="auto"/>
                <w:w w:val="99"/>
              </w:rPr>
              <w:t>Consolidated Results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2,513.5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2,404.3</w:t>
            </w:r>
          </w:p>
        </w:tc>
        <w:tc>
          <w:tcPr>
            <w:tcW w:w="1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$ 6,769.7</w:t>
            </w:r>
          </w:p>
        </w:tc>
        <w:tc>
          <w:tcPr>
            <w:tcW w:w="1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$ 6,142.4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11.3 %</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437.5</w:t>
            </w: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694.3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11.3 %</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NM - Percentage is not meaningful</w:t>
      </w:r>
    </w:p>
    <w:p>
      <w:pPr>
        <w:spacing w:after="0" w:line="69" w:lineRule="exact"/>
        <w:rPr>
          <w:sz w:val="20"/>
          <w:szCs w:val="20"/>
          <w:color w:val="auto"/>
        </w:rPr>
      </w:pPr>
    </w:p>
    <w:p>
      <w:pPr>
        <w:jc w:val="both"/>
        <w:ind w:left="340" w:hanging="332"/>
        <w:spacing w:after="0" w:line="277" w:lineRule="auto"/>
        <w:tabs>
          <w:tab w:leader="none" w:pos="366"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For the three month period ended September 30, 2022, Communications, Oil and Gas, Power Delivery and Corporate EBITDA included $0.5 million, $1.1 million, $20.4 million and $11.2 million, respectively, of acquisition and integration costs related to our recent acquisitions, and for the nine month period ended September 30, 2022, included $2.4 million, $4.5 million, $34.5 million and $18.0 million, respectively, of such costs.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September 30, 2022 Compared to Three Months Ended September 30, 2021</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 period ended September 30, 2022, consolidated revenue totaled $2,514 million as compared with $2,404 million for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an increase of $109 million, or 5%. Revenue increased in our Power Delivery segment by $323 million, or 88%, in our Communications segment by $219 million, or 33%, and in our Clean Energy and Infrastructure segment by $45 million, or 9%, whereas revenue decreased in our Oil and Gas segment by $483 million, or 56%. Acquisitions contributed $570 million of increased revenue for the three month period ended September 30, 2022, whereas organic revenue decreased by approximately $461 million, or 19%, as compared with the same period in 2021.</w:t>
      </w:r>
    </w:p>
    <w:p>
      <w:pPr>
        <w:spacing w:after="0" w:line="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Communications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revenue was $889 million for the three month period ended September 30, 2022, as compared with $670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2021, an increase of $219 million, or 33%. Acquisitions contributed $26 million of revenue for the three month period ended September 30, 2022, and organic revenue increased by approximately $193 million, or 29%, as compared with the same period in 2021. The increase in organic revenue was driven primarily by higher levels of wireless and wireline project activity.</w:t>
      </w:r>
    </w:p>
    <w:p>
      <w:pPr>
        <w:spacing w:after="0" w:line="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Clean Energy and Infrastructure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Clean Energy and Infrastructure revenue was $563 million for the three month period ended September 30, 2022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$518 million for the same period in 2021, an increase of $45 million, or 9%. Acquisitions contributed $2 million of revenue for the three month period ended September 30, 2022, and organic revenue increased by approximately $42 million, or 8%, as compared with the same period in 2021, due primarily to higher levels of project activity and mix.</w:t>
      </w:r>
    </w:p>
    <w:p>
      <w:pPr>
        <w:spacing w:after="0" w:line="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Oil and Gas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revenue was $376 million for the three month period ended September 30, 2022, as compared with $858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2021, a decrease of $483 million, or 56%. For the three month period ended September 30, 2022, acquisitions contributed $143 million of revenue, whereas organic revenue decreased by $626 million, or 73%, as compared with the same period in 2021, primarily due to a decrease in large diameter project activity, as well as lower levels of activity for other projects.</w:t>
      </w:r>
    </w:p>
    <w:p>
      <w:pPr>
        <w:spacing w:after="0" w:line="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5"/>
          <w:szCs w:val="15"/>
          <w:b w:val="1"/>
          <w:bCs w:val="1"/>
          <w:i w:val="1"/>
          <w:iCs w:val="1"/>
          <w:color w:val="auto"/>
        </w:rPr>
        <w:t>Power Delivery Segment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Power Delivery revenue was $688 million for the three month period ended September 30, 2022, as compared with $365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same period in 2021, an increase of $323 million, or 88%. For the three month period ended September 30, 2022, acquisitions contributed $398 million of revenue, whereas organic revenue decreased by approximately $75 million, or 21%, as compared with the same period in 2021, primarily due to timing and mix of project activity.</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b w:val="1"/>
          <w:bCs w:val="1"/>
          <w:i w:val="1"/>
          <w:iCs w:val="1"/>
          <w:color w:val="auto"/>
        </w:rPr>
        <w:t xml:space="preserve">Costs of revenue, excluding depreciation and amortization. </w:t>
      </w:r>
      <w:r>
        <w:rPr>
          <w:rFonts w:ascii="Arial" w:cs="Arial" w:eastAsia="Arial" w:hAnsi="Arial"/>
          <w:sz w:val="16"/>
          <w:szCs w:val="16"/>
          <w:color w:val="auto"/>
        </w:rPr>
        <w:t>Costs of revenue, excluding depreciation and amortization, increased by approximately $130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 to $2,188 million for the three month period ended September 30, 2022 from $2,057 million for the same period in 2021. Higher levels of revenue contributed an increase of $93 million in costs of revenue, excluding depreciation and amortization, and reduced productivity contributed an increase of approximately $37 million. Costs of revenue, excluding depreciation and amortization, as a percentage of revenue increased by approximately 150 basis points, from 85.6% of revenue for the three month period ended September 30, 2021 to 87.0% of revenue for the same period in 2022. The basis point increase was due primarily to segment revenue mix, including lower levels of revenue for our oil and gas operations, partially offset by certain project efficiencies in our other operations, notwithstanding the effects of inflation on labor, fuel and materials costs.</w:t>
      </w:r>
    </w:p>
    <w:p>
      <w:pPr>
        <w:spacing w:after="0" w:line="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6"/>
          <w:szCs w:val="16"/>
          <w:b w:val="1"/>
          <w:bCs w:val="1"/>
          <w:i w:val="1"/>
          <w:iCs w:val="1"/>
          <w:color w:val="auto"/>
        </w:rPr>
        <w:t xml:space="preserve">Depreciation. </w:t>
      </w:r>
      <w:r>
        <w:rPr>
          <w:rFonts w:ascii="Arial" w:cs="Arial" w:eastAsia="Arial" w:hAnsi="Arial"/>
          <w:sz w:val="16"/>
          <w:szCs w:val="16"/>
          <w:color w:val="auto"/>
        </w:rPr>
        <w:t>Depreciation was $91 million, or 3.6% of revenue, for the three month period ended September 30, 2022, as compared with $95 million, or 4.0%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for the same period in 2021, a decrease of approximately $4.1 million, or 4%. Acquisitions contributed $24 million of depreciation for the three month period ended September 30, 2022, whereas organic depreciation decreased by $28 million, or 29%, due primarily to lower levels of capital investments related to pipeline project activity. As a percentage of revenue, depreciation decreased by approximately 30 basis points.</w:t>
      </w:r>
    </w:p>
    <w:p>
      <w:pPr>
        <w:spacing w:after="0" w:line="6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b w:val="1"/>
          <w:bCs w:val="1"/>
          <w:i w:val="1"/>
          <w:iCs w:val="1"/>
          <w:color w:val="auto"/>
        </w:rPr>
        <w:t xml:space="preserve">Amortization of intangible assets. </w:t>
      </w:r>
      <w:r>
        <w:rPr>
          <w:rFonts w:ascii="Arial" w:cs="Arial" w:eastAsia="Arial" w:hAnsi="Arial"/>
          <w:sz w:val="16"/>
          <w:szCs w:val="16"/>
          <w:color w:val="auto"/>
        </w:rPr>
        <w:t>Amortization of intangible assets was $28 million, or 1.1% of revenue, for the three month period ended September 30, 2022,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$23 million, or 1.0% of revenue, for the same period in 2021, an increase of $5 million, or 20%. Acquisitions</w:t>
      </w:r>
    </w:p>
    <w:p>
      <w:pPr>
        <w:sectPr>
          <w:pgSz w:w="11900" w:h="16838" w:orient="portrait"/>
          <w:cols w:equalWidth="0" w:num="1">
            <w:col w:w="11240"/>
          </w:cols>
          <w:pgMar w:left="320" w:top="1030"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34" w:name="page35"/>
    <w:bookmarkEnd w:id="34"/>
    <w:p>
      <w:pPr>
        <w:jc w:val="both"/>
        <w:spacing w:after="0" w:line="269" w:lineRule="auto"/>
        <w:rPr>
          <w:sz w:val="20"/>
          <w:szCs w:val="20"/>
          <w:color w:val="auto"/>
        </w:rPr>
      </w:pPr>
      <w:r>
        <w:rPr>
          <w:rFonts w:ascii="Arial" w:cs="Arial" w:eastAsia="Arial" w:hAnsi="Arial"/>
          <w:sz w:val="16"/>
          <w:szCs w:val="16"/>
          <w:color w:val="auto"/>
        </w:rPr>
        <w:t>contributed $10 million of amortization for the three month period ended September 30, 2022 whereas organic amortization decreased by approximately $5 million, or 21%, due primarily to the effects of timing of amortization for certain intangible assets. As a percentage of revenue, amortization of intangible assets increased by approximately 10 basis points.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General and administrative expenses</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General and administrative expenses totaled $125 million, or 5.0% of revenue, for the three month period ended September 30,</w:t>
      </w:r>
    </w:p>
    <w:p>
      <w:pPr>
        <w:spacing w:after="0" w:line="4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2022 as compared with $87 million, or 3.6% of revenue, for the same period in 2021, for an increase of $38 million, or 44%. Acquisitions contributed $35 million of general and administrative expenses for the three month period ended September 30, 2022, and organic general and administrative expenses increased by approximately $3 million, or 4%, as compared with the same period in the prior year, primarily due to increases in legal costs, professional fees, information technology and other administrative expenses, including certain acquisition and integration costs, partially offset by an increase in gains on sales of assets, net. Overall, general and administrative expenses, including approximately $9 million of acquisition and integration costs, increased by approximately 140 basis points as a percentage of revenue for the three month period ended September 30, 2022 as compared with the same period in 2021.</w:t>
      </w:r>
    </w:p>
    <w:p>
      <w:pPr>
        <w:spacing w:after="0" w:line="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5"/>
          <w:szCs w:val="15"/>
          <w:b w:val="1"/>
          <w:bCs w:val="1"/>
          <w:i w:val="1"/>
          <w:iCs w:val="1"/>
          <w:color w:val="auto"/>
        </w:rPr>
        <w:t xml:space="preserve">Interest expense, net. </w:t>
      </w:r>
      <w:r>
        <w:rPr>
          <w:rFonts w:ascii="Arial" w:cs="Arial" w:eastAsia="Arial" w:hAnsi="Arial"/>
          <w:sz w:val="15"/>
          <w:szCs w:val="15"/>
          <w:color w:val="auto"/>
        </w:rPr>
        <w:t>Interest expense, net of interest income, was approximately $27 million, or approximately 1.1% of revenue, for the three month period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30, 2022, as compared with approximately $13 million, or 0.5% of revenue, for the same period in 2021, an increase of $14 million, or approximately 105%. The increase in interest expense, net, resulted primarily from credit facility activity, which increased by approximately $11 million due to higher average balances, including from indebtedness incurred in connection with acquisition and share repurchase activity, and higher average interest rates as compared with the same period in 2021, due primarily to an increase in market interest rates. In addition, interest expense from accounts receivable financing arrangements increased by approximately $2 million due to a combination of higher average balances from increased levels of activity and higher average interest rates.</w:t>
      </w:r>
    </w:p>
    <w:p>
      <w:pPr>
        <w:spacing w:after="0" w:line="6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b w:val="1"/>
          <w:bCs w:val="1"/>
          <w:i w:val="1"/>
          <w:iCs w:val="1"/>
          <w:color w:val="auto"/>
        </w:rPr>
        <w:t xml:space="preserve">Equity in earnings of unconsolidated affiliates, net. </w:t>
      </w:r>
      <w:r>
        <w:rPr>
          <w:rFonts w:ascii="Arial" w:cs="Arial" w:eastAsia="Arial" w:hAnsi="Arial"/>
          <w:sz w:val="16"/>
          <w:szCs w:val="16"/>
          <w:color w:val="auto"/>
        </w:rPr>
        <w:t>Equity in earnings or losses of unconsolidated affiliates includes our share of income or losses from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investees. For the three month periods ended September 30, 2022 and 2021, equity in earnings from unconsolidated affiliates, net, totaled approximately $6 million and $9 million, respectively. Equity in earnings from unconsolidated affiliates, net, related primarily to our investments in the Waha JVs, and, to a lesser extent, to our investments in certain telecommunications and other entities.</w:t>
      </w:r>
    </w:p>
    <w:p>
      <w:pPr>
        <w:spacing w:after="0" w:line="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5"/>
          <w:szCs w:val="15"/>
          <w:b w:val="1"/>
          <w:bCs w:val="1"/>
          <w:i w:val="1"/>
          <w:iCs w:val="1"/>
          <w:color w:val="auto"/>
        </w:rPr>
        <w:t xml:space="preserve">Other expense, net. </w:t>
      </w:r>
      <w:r>
        <w:rPr>
          <w:rFonts w:ascii="Arial" w:cs="Arial" w:eastAsia="Arial" w:hAnsi="Arial"/>
          <w:sz w:val="15"/>
          <w:szCs w:val="15"/>
          <w:color w:val="auto"/>
        </w:rPr>
        <w:t>Other expense, net, consists primarily of gains or losses from changes to estimated Earn-out accruals and certain contingent payments to the former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owners of an acquired business; certain legal/other settlements; gains or losses, or changes in estimated recoveries from certain assets and investments; and other miscellaneous income or expense. Other expense, net, was $0.2 million for the three month period ended September 30, 2022, as compared with other income, net of $3 million for the same period in 2021. For the three month period ended September 30, 2022, other expense, net, included approximately $3 million of acquisition and integration-related financing costs, offset, in part, by approximately $1 million of income from changes in the fair value of additional contingent payments to the former owners of an acquired business and approximately $1 million of other miscellaneous income. For the three month period ended September 30, 2021, other income, net, included approximately $4 million of income, net, from changes to estimated Earn-out accruals, $7 million of expense, net, from changes in the fair value of certain investments and income from strategic arrangements and $5 million of income from a third quarter 2021 legal settlement.</w:t>
      </w:r>
    </w:p>
    <w:p>
      <w:pPr>
        <w:spacing w:after="0" w:line="6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Income tax expense was $11 million for the three month period ended September 30, 2022 as compared with $28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the prior year. Pre-tax income decreased to $60 million for the three month period ended September 30, 2022 from $140 million for the same period in 2021. For the three month period ended September 30, 2022, our effective tax rate decreased to 18.4% from 19.7% for the same period in 2021, due primarily to a benefit related to adjustments resulting from finalization of the Company’s 2021 tax returns in the third quarter of 2022 that was larger than the benefit related to adjustments resulting from finalization of the Company’s 2020 tax returns in the third quarter of 2021.</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EBITDA by Segment</w:t>
      </w:r>
    </w:p>
    <w:p>
      <w:pPr>
        <w:spacing w:after="0" w:line="11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b w:val="1"/>
          <w:bCs w:val="1"/>
          <w:i w:val="1"/>
          <w:iCs w:val="1"/>
          <w:color w:val="auto"/>
        </w:rPr>
        <w:t xml:space="preserve">Communications Segment. </w:t>
      </w:r>
      <w:r>
        <w:rPr>
          <w:rFonts w:ascii="Arial" w:cs="Arial" w:eastAsia="Arial" w:hAnsi="Arial"/>
          <w:sz w:val="15"/>
          <w:szCs w:val="15"/>
          <w:color w:val="auto"/>
        </w:rPr>
        <w:t>EBITDA for our Communications segment was $110 million, or 12.4% of revenue, for the three month period ended September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2022, as compared with $72 million, or 10.7% of revenue, for the same period in 2021, an increase of approximately $38 million, or 53%. Higher levels of revenue contributed an increase in EBITDA of $23 million. As a percentage of revenue, EBITDA increased by 170 basis points, or approximately $15 million, due primarily to project efficiencies, notwithstanding the effects of inflation on labor, fuel and materials costs, offset, in part, by the effects of acquisition and integration costs.</w:t>
      </w:r>
    </w:p>
    <w:p>
      <w:pPr>
        <w:spacing w:after="0" w:line="7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b w:val="1"/>
          <w:bCs w:val="1"/>
          <w:i w:val="1"/>
          <w:iCs w:val="1"/>
          <w:color w:val="auto"/>
        </w:rPr>
        <w:t xml:space="preserve">Clean Energy and Infrastructure Segment. </w:t>
      </w:r>
      <w:r>
        <w:rPr>
          <w:rFonts w:ascii="Arial" w:cs="Arial" w:eastAsia="Arial" w:hAnsi="Arial"/>
          <w:sz w:val="15"/>
          <w:szCs w:val="15"/>
          <w:color w:val="auto"/>
        </w:rPr>
        <w:t>EBITDA for our Clean Energy and Infrastructure segment was $25 million, or 4.4% of revenue, for the three month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period ended September 30, 2022, as compared with EBITDA of $14 million, or 2.7% of revenue, for the same period in 2021, an increase of approximately $11 million, or 78%. Higher levels of revenue contributed an increase in EBITDA of $1 million. As a percentage of revenue, EBITDA increased by approximately 170 basis points, or approximately $10 million, due primarily to project efficiencies, notwithstanding the effects of inflation on labor, fuel and materials costs.</w:t>
      </w:r>
    </w:p>
    <w:p>
      <w:pPr>
        <w:spacing w:after="0" w:line="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$49 million, or 13.1% of revenue, for the three month period ended September 30, 2022,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EBITDA of $171 million, or 19.9% of revenue, for the same period in 2021, a decrease of approximately $121 million, or 71%. Lower levels of revenue contributed a decrease in EBITDA of $96 million, and reduced productivity contributed a decrease in EBITDA of approximately $25 million. EBITDA margins decreased by approximately 680 basis points due primarily to inefficiencies resulting from lower levels of revenue and project mix, as well as the effects of inflation on labor, fuel and materials costs and acquisition and integration costs.</w:t>
      </w:r>
    </w:p>
    <w:p>
      <w:pPr>
        <w:spacing w:after="0" w:line="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b w:val="1"/>
          <w:bCs w:val="1"/>
          <w:i w:val="1"/>
          <w:iCs w:val="1"/>
          <w:color w:val="auto"/>
        </w:rPr>
        <w:t xml:space="preserve">Power Delivery Segment. </w:t>
      </w:r>
      <w:r>
        <w:rPr>
          <w:rFonts w:ascii="Arial" w:cs="Arial" w:eastAsia="Arial" w:hAnsi="Arial"/>
          <w:sz w:val="16"/>
          <w:szCs w:val="16"/>
          <w:color w:val="auto"/>
        </w:rPr>
        <w:t>EBITDA for our Power Delivery segment was $63 million, or 9.2% of revenue, for the three month period ended September 30, 2022,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compared with EBITDA of $35 million, or 9.5% of revenue, for the same period in 2021, an increase in EBITDA of approximately $28 million, or 81%. Higher levels of revenue contributed an increase in EBITDA of $31 million. As a percentage of revenue, EBITDA decreased by approximately 40 basis points, or $3 million primarily due to project inefficiencies, acquisition and integration costs and the effect of inflation on labor, fuel and materials costs.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5" w:name="page36"/>
    <w:bookmarkEnd w:id="35"/>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Other Segment. </w:t>
      </w:r>
      <w:r>
        <w:rPr>
          <w:rFonts w:ascii="Arial" w:cs="Arial" w:eastAsia="Arial" w:hAnsi="Arial"/>
          <w:sz w:val="16"/>
          <w:szCs w:val="16"/>
          <w:color w:val="auto"/>
        </w:rPr>
        <w:t>EBITDA from Other businesses was $6 million for the three month period ended September 30, 2022 as compared with $8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2021. EBITDA from Other businesses relates primarily to equity in earnings from our investments in the Waha JVs, and to a lesser extent, equity in losses from other investments.</w:t>
      </w:r>
    </w:p>
    <w:p>
      <w:pPr>
        <w:spacing w:after="0" w:line="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b w:val="1"/>
          <w:bCs w:val="1"/>
          <w:i w:val="1"/>
          <w:iCs w:val="1"/>
          <w:color w:val="auto"/>
        </w:rPr>
        <w:t xml:space="preserve">Corporate. </w:t>
      </w:r>
      <w:r>
        <w:rPr>
          <w:rFonts w:ascii="Arial" w:cs="Arial" w:eastAsia="Arial" w:hAnsi="Arial"/>
          <w:sz w:val="15"/>
          <w:szCs w:val="15"/>
          <w:color w:val="auto"/>
        </w:rPr>
        <w:t>Corporate EBITDA was negative $46 million for the three month period ended September 30, 2022, as compared with EBITDA of negative $27</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same period in 2021, for a decrease in EBITDA of approximately $19 million. Acquisitions, including certain acquisition and integration costs, contributed $8 million of Corporate expenses for the three month period ended September 30, 2022. For the three month period ended September 30, 2022, Corporate EBITDA also included approximately $1 million of income from changes in the fair value of additional contingent payments to the former owners of an acquired business. For the three month period ended September 30, 2021, Corporate EBITDA included approximately $7 million of expense, net, from changes in the fair value of certain investments and income from strategic arrangements, $4 million of income, net, from changes to estimated Earn-out accruals and $5 million of income from a third quarter 2021 legal settlement. For the three month period ended September 30, 2022, Corporate expenses not related to the above-described items increased by approximately $10 million as compared with the same period in the prior year, due primarily to increases in compensation expense, legal and professional fees and other administrative expenses, including certain acquisition and integration costs.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Nine Months Ended September 30, 2022 Compared to Nine Months Ended September 30, 2021</w:t>
      </w:r>
    </w:p>
    <w:p>
      <w:pPr>
        <w:spacing w:after="0" w:line="11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nine month period ended September 30, 2022, consolidated revenue totaled $6,770 million as compared with $6,142 million for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an increase of $627 million, or 10%. Revenue increased in our Power Delivery segment by $1,254 million, or 171%, in our Communications segment by $506 million, or 27%, and in our Clean Energy and Infrastructure segment by $143 million, or 11%, whereas revenue in our Oil and Gas segment decreased by $1,277 million, or 58%. Acquisitions contributed $1,877 million of increased revenue for the nine month period ended September 30, 2022, whereas organic revenue decreased by approximately $1,249 million, or 20%, as compared with the same period in 2021.</w:t>
      </w:r>
    </w:p>
    <w:p>
      <w:pPr>
        <w:spacing w:after="0" w:line="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Communications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revenue was $2,375 million for the nine month period ended September 30, 2022, as compared with $1,869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2021, an increase of $506 million, or 27%. Acquisitions contributed $125 million of revenue for the nine month period ended September 30, 2022, and organic revenue increased by approximately $380 million, or 20%, as compared with the same period in 2021. The increase in organic revenue was driven primarily by higher levels of wireless and wireline project activity.</w:t>
      </w:r>
    </w:p>
    <w:p>
      <w:pPr>
        <w:spacing w:after="0" w:line="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Clean Energy and Infrastructure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Clean Energy and Infrastructure revenue was $1,494 million for the nine month period ended September 30, 2022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$1,350 million for the same period in 2021, an increase of $143 million, or 11%. Acquisitions contributed $49 million of revenue for the nine month period ended September 30, 2022, and organic revenue increased by $94 million, or 7%, as compared with the same period in 2021, due primarily to higher levels of project activity and mix.</w:t>
      </w:r>
    </w:p>
    <w:p>
      <w:pPr>
        <w:spacing w:after="0" w:line="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Oil and Gas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revenue was $928 million for the nine month period ended September 30, 2022, as compared with $2,205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2021, a decrease of $1,277 million, or 58%. For the nine month period ended September 30, 2022, acquisitions contributed approximately $312 million of revenue, whereas organic revenue decreased by approximately $1,589 million, or 72%, as compared with the same period in 2021, primarily due to a decrease in large diameter project activity, as well as lower levels of activity for other projects.</w:t>
      </w:r>
    </w:p>
    <w:p>
      <w:pPr>
        <w:spacing w:after="0" w:line="8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4"/>
          <w:szCs w:val="14"/>
          <w:b w:val="1"/>
          <w:bCs w:val="1"/>
          <w:i w:val="1"/>
          <w:iCs w:val="1"/>
          <w:color w:val="auto"/>
        </w:rPr>
        <w:t>Power Delivery Segment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Power Delivery revenue was $1,985 million for the nine month period ended September 30, 2022 as compared with $731 million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same period in 2021, an increase of $1,254 million, or 171%. For the nine month period ended September 30, 2022, acquisitions contributed $1,390 million of revenue, whereas organic revenue decreased by approximately $136 million, or 19%, as compared with the same period in 2021, primarily due to timing and mix of project activity.</w:t>
      </w:r>
    </w:p>
    <w:p>
      <w:pPr>
        <w:spacing w:after="0" w:line="3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5"/>
          <w:szCs w:val="15"/>
          <w:b w:val="1"/>
          <w:bCs w:val="1"/>
          <w:i w:val="1"/>
          <w:iCs w:val="1"/>
          <w:color w:val="auto"/>
        </w:rPr>
        <w:t xml:space="preserve">Costs of revenue, excluding depreciation and amortization. </w:t>
      </w:r>
      <w:r>
        <w:rPr>
          <w:rFonts w:ascii="Arial" w:cs="Arial" w:eastAsia="Arial" w:hAnsi="Arial"/>
          <w:sz w:val="15"/>
          <w:szCs w:val="15"/>
          <w:color w:val="auto"/>
        </w:rPr>
        <w:t>Costs of revenue, excluding depreciation and amortization, increased by approximately $703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13%, to $5,949 million for the nine month period ended September 30, 2022 from $5,246 million for the same period in 2021. Higher levels of revenue contributed an increase of $536 million in costs of revenue, excluding depreciation and amortization, and reduced productivity contributed an increase of approximately $167 million. Costs of revenue, excluding depreciation and amortization, as a percentage of revenue increased by approximately 250 basis points, from 85.4% of revenue for the nine month period ended September 30, 2021 to 87.9% of revenue for the same period in 2022. The basis point increase was due primarily to segment revenue mix, including lower levels of revenue for our oil and gas operations, and also includes the effects of inflation on labor, fuel and materials costs for our projects, other project inefficiencies and project start-up costs, offset, in part, by project efficiencies in our power delivery operations.</w:t>
      </w:r>
    </w:p>
    <w:p>
      <w:pPr>
        <w:spacing w:after="0" w:line="7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b w:val="1"/>
          <w:bCs w:val="1"/>
          <w:i w:val="1"/>
          <w:iCs w:val="1"/>
          <w:color w:val="auto"/>
        </w:rPr>
        <w:t xml:space="preserve">Depreciation. </w:t>
      </w:r>
      <w:r>
        <w:rPr>
          <w:rFonts w:ascii="Arial" w:cs="Arial" w:eastAsia="Arial" w:hAnsi="Arial"/>
          <w:sz w:val="16"/>
          <w:szCs w:val="16"/>
          <w:color w:val="auto"/>
        </w:rPr>
        <w:t>Depreciation was $263 million, or 3.9% of revenue, for the nine month period ended September 30, 2022, as compared with $262 million, or 4.3%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for the same period in 2021, an increase of approximately $1 million, or 1%. Acquisitions contributed $77 million of depreciation for the nine month period ended September 30, 2022, whereas organic depreciation decreased by $75 million, or approximately 29%, due primarily to lower levels of capital investments related to pipeline project activity. As a percentage of revenue, depreciation decreased by approximately 40 basis points.</w:t>
      </w:r>
    </w:p>
    <w:p>
      <w:pPr>
        <w:spacing w:after="0" w:line="74" w:lineRule="exact"/>
        <w:rPr>
          <w:sz w:val="20"/>
          <w:szCs w:val="20"/>
          <w:color w:val="auto"/>
        </w:rPr>
      </w:pPr>
    </w:p>
    <w:p>
      <w:pPr>
        <w:jc w:val="both"/>
        <w:ind w:right="20" w:firstLine="324"/>
        <w:spacing w:after="0" w:line="284" w:lineRule="auto"/>
        <w:rPr>
          <w:sz w:val="20"/>
          <w:szCs w:val="20"/>
          <w:color w:val="auto"/>
        </w:rPr>
      </w:pPr>
      <w:r>
        <w:rPr>
          <w:rFonts w:ascii="Arial" w:cs="Arial" w:eastAsia="Arial" w:hAnsi="Arial"/>
          <w:sz w:val="15"/>
          <w:szCs w:val="15"/>
          <w:b w:val="1"/>
          <w:bCs w:val="1"/>
          <w:i w:val="1"/>
          <w:iCs w:val="1"/>
          <w:color w:val="auto"/>
        </w:rPr>
        <w:t xml:space="preserve">Amortization of intangible assets. </w:t>
      </w:r>
      <w:r>
        <w:rPr>
          <w:rFonts w:ascii="Arial" w:cs="Arial" w:eastAsia="Arial" w:hAnsi="Arial"/>
          <w:sz w:val="15"/>
          <w:szCs w:val="15"/>
          <w:color w:val="auto"/>
        </w:rPr>
        <w:t>Amortization of intangible assets was $81 million, or 1.2% of revenue, for the nine month period ended September 30, 2022,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with $55 million, or 0.9% of revenue, for the same period in 2021, an increase of approximately $27 million, or 49%. Acquisitions contributed $40 million of amortization for the nine month period ended September 30, 2022, whereas organic amortization decreased by approximately $13 million, or 24%, due primarily to the effects of timing of amortization for certain intangible assets. As a percentage of revenue, amortization of intangible assets increased by approximately 30 basis points.</w:t>
      </w:r>
    </w:p>
    <w:p>
      <w:pPr>
        <w:spacing w:after="0" w:line="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b w:val="1"/>
          <w:bCs w:val="1"/>
          <w:i w:val="1"/>
          <w:iCs w:val="1"/>
          <w:color w:val="auto"/>
        </w:rPr>
        <w:t>General and administrative expenses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were $404 million, or 6.0% of revenue, for the nine month period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as compared with $239 million, or 3.9% of revenue, for the same period in 2021, an increase of $165 million, or 69%. Acquisitions contributed $129 million of general and administrative expenses for the nine month period ended September 30, 2022, and organic general and administrative expenses increased by approximately $36 million, or approximately 15%, as compared with the same period in the prior year, primarily due to the effect of prior year recoveries of provisions for credit losses and increases in travel expense, professional fees, information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6" w:name="page37"/>
    <w:bookmarkEnd w:id="36"/>
    <w:p>
      <w:pPr>
        <w:jc w:val="both"/>
        <w:spacing w:after="0" w:line="325" w:lineRule="auto"/>
        <w:rPr>
          <w:sz w:val="20"/>
          <w:szCs w:val="20"/>
          <w:color w:val="auto"/>
        </w:rPr>
      </w:pPr>
      <w:r>
        <w:rPr>
          <w:rFonts w:ascii="Arial" w:cs="Arial" w:eastAsia="Arial" w:hAnsi="Arial"/>
          <w:sz w:val="14"/>
          <w:szCs w:val="14"/>
          <w:color w:val="auto"/>
        </w:rPr>
        <w:t>technology and other administrative expenses, including certain acquisition and integration costs, as well as the effects of timing of legal and settlement matters, offset, in part, by an increase in gains on sales of assets, net. Overall, general and administrative expenses, including approximately $35 million of acquisition and integration costs, increased by approximately 210 basis points as a percentage of revenue for the nine month period ended September 30, 2022 as compared with the same period in 2021.</w:t>
      </w:r>
    </w:p>
    <w:p>
      <w:pPr>
        <w:spacing w:after="0" w:line="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of interest income, was $62 million, or 0.9% of revenue, for the nine month period ended September 30, 2022,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$39 million, or 0.6% of revenue, for the same period in 2021, an increase of approximately $23 million, or 58%. The increase in interest expense, net, resulted primarily from credit facility activity, which increased by $18 million due to higher average balances, including from indebtedness incurred in connection with acquisition and share repurchase activity, and higher average interest rates as compared with the same period in 2021, due primarily to an increase in market interest rates. In addition, interest expense from accounts receivable financing arrangements increased by approximately $3 million due to a combination of higher average balances from increased levels of activity and higher average interest rates.</w:t>
      </w:r>
    </w:p>
    <w:p>
      <w:pPr>
        <w:spacing w:after="0" w:line="9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Equity in earnings of unconsolidated affiliates, net. </w:t>
      </w:r>
      <w:r>
        <w:rPr>
          <w:rFonts w:ascii="Arial" w:cs="Arial" w:eastAsia="Arial" w:hAnsi="Arial"/>
          <w:sz w:val="16"/>
          <w:szCs w:val="16"/>
          <w:color w:val="auto"/>
        </w:rPr>
        <w:t>For the nine month periods ended September 30, 2022 and 2021, equity in earnings from unconsolidated affiliates,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totaled approximately $19 million and $24 million, respectively, and related primarily to our investments in the Waha JVs, partially offset by equity in losses, net, from our investments in certain telecommunications and other entities.</w:t>
      </w:r>
    </w:p>
    <w:p>
      <w:pPr>
        <w:spacing w:after="0" w:line="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5"/>
          <w:szCs w:val="15"/>
          <w:b w:val="1"/>
          <w:bCs w:val="1"/>
          <w:i w:val="1"/>
          <w:iCs w:val="1"/>
          <w:color w:val="auto"/>
        </w:rPr>
        <w:t xml:space="preserve">Other income, net. </w:t>
      </w:r>
      <w:r>
        <w:rPr>
          <w:rFonts w:ascii="Arial" w:cs="Arial" w:eastAsia="Arial" w:hAnsi="Arial"/>
          <w:sz w:val="15"/>
          <w:szCs w:val="15"/>
          <w:color w:val="auto"/>
        </w:rPr>
        <w:t>Other income, net, was $2 million for the nine month period ended September 30, 2022, as compared with $14 million for the same period in 2021.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nine month period ended September 30, 2022, other income, net, included approximately $1 million of income, net, from changes to estimated Earn-out accruals, approximately $6 million of income from changes in the fair value of additional contingent payments to the former owners of an acquired business and approximately $5 million of other miscellaneous income, offset, in part, by approximately $7 million of expense from changes in the fair value of our investment in AVCT, net of income from strategic arrangements and approximately $3 million of acquisition and integration-related financing costs. For the nine month period ended September 30, 2021, other income, net, included approximately $13 million of income, net, from changes to estimated Earn-out accruals, $7 million, of expense, net, from changes in the fair value of our investment in AVCT, net of income from strategic arrangements and $5 million of income from a third quarter 2021 legal settlement.</w:t>
      </w:r>
    </w:p>
    <w:p>
      <w:pPr>
        <w:spacing w:after="0" w:line="64" w:lineRule="exact"/>
        <w:rPr>
          <w:sz w:val="20"/>
          <w:szCs w:val="20"/>
          <w:color w:val="auto"/>
        </w:rPr>
      </w:pPr>
    </w:p>
    <w:p>
      <w:pPr>
        <w:jc w:val="both"/>
        <w:ind w:firstLine="324"/>
        <w:spacing w:after="0" w:line="280" w:lineRule="auto"/>
        <w:rPr>
          <w:sz w:val="20"/>
          <w:szCs w:val="20"/>
          <w:color w:val="auto"/>
        </w:rPr>
      </w:pPr>
      <w:r>
        <w:rPr>
          <w:rFonts w:ascii="Arial" w:cs="Arial" w:eastAsia="Arial" w:hAnsi="Arial"/>
          <w:sz w:val="15"/>
          <w:szCs w:val="15"/>
          <w:b w:val="1"/>
          <w:bCs w:val="1"/>
          <w:i w:val="1"/>
          <w:iCs w:val="1"/>
          <w:color w:val="auto"/>
        </w:rPr>
        <w:t xml:space="preserve">Benefit from (provision for) income taxes. </w:t>
      </w:r>
      <w:r>
        <w:rPr>
          <w:rFonts w:ascii="Arial" w:cs="Arial" w:eastAsia="Arial" w:hAnsi="Arial"/>
          <w:sz w:val="15"/>
          <w:szCs w:val="15"/>
          <w:color w:val="auto"/>
        </w:rPr>
        <w:t>For the nine month period ended September 30, 2022, we had a slight income tax benefit, as compared with $84 million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income tax expense for the same period in 2021. Pre-tax income totaled $30 million for the nine month period ended September 30, 2022, whereas pre-tax income totaled $338 million for the same period in 2021. For the nine month period ended September 30, 2022, our effective tax rate was a benefit of 0.2% as compared with an expense of 24.8% for the same period in 2021. Our effective tax rate for the nine month period ended September 30, 2022 included a benefit from adjustments related to the finalization of our 2021 tax returns, a tax benefit related to the vesting of share-based payment awards, and a benefit from the true-up of certain prior year non-deductible expenses. For the nine month period ended September 30, 2021, our effective tax rate included a benefit from adjustments related to the finalization of our 2020 tax returns, offset, in part, by the tax effect of certain non-deductible share-based compensation.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1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 xml:space="preserve">Communications Segment. </w:t>
      </w:r>
      <w:r>
        <w:rPr>
          <w:rFonts w:ascii="Arial" w:cs="Arial" w:eastAsia="Arial" w:hAnsi="Arial"/>
          <w:sz w:val="16"/>
          <w:szCs w:val="16"/>
          <w:color w:val="auto"/>
        </w:rPr>
        <w:t>EBITDA for our Communications segment was $235 million, or 9.9% of revenue, for the nine month period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as compared with EBITDA of $193 million, or 10.3% of revenue, for the same period in 2021, an increase of approximately $41 million, or approximately 21%. Higher levels of revenue contributed an increase in EBITDA of $52 million. As a percentage of revenue, EBITDA decreased by approximately 50 basis points, or approximately $11 million, due primarily to project timing delays and inefficiencies, including the effects of inflation on labor, fuel and materials costs, as well as the effects of project start-up and acquisition and integration costs.</w:t>
      </w:r>
    </w:p>
    <w:p>
      <w:pPr>
        <w:spacing w:after="0" w:line="9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 xml:space="preserve">Clean Energy and Infrastructure Segment. </w:t>
      </w:r>
      <w:r>
        <w:rPr>
          <w:rFonts w:ascii="Arial" w:cs="Arial" w:eastAsia="Arial" w:hAnsi="Arial"/>
          <w:sz w:val="16"/>
          <w:szCs w:val="16"/>
          <w:color w:val="auto"/>
        </w:rPr>
        <w:t>EBITDA for our Clean Energy and Infrastructure segment was $30 million, or 2.0% of revenue, for the nine 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ended September 30, 2022, as compared with EBITDA of $40 million, or 3.0% of revenue, for the same period in 2021, a decrease in EBITDA of approximately $10 million, or 25%. Higher levels of revenue contributed an increase in EBITDA of approximately $4 million, whereas as a percentage of revenue, EBITDA decreased by approximately 100 basis points, or $14 million, due to project inefficiencies, including the effects of inflation on labor, fuel and materials costs, as well as project timing delays.</w:t>
      </w:r>
    </w:p>
    <w:p>
      <w:pPr>
        <w:spacing w:after="0" w:line="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$133 million, or 14.4% of revenue, for the nine month period ended September 30, 2022,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EBITDA of $476 million, or 21.6% of revenue, for the same period in 2021, a decrease of $343 million, or 72%. Lower levels of revenue contributed a decrease in EBITDA of $276 million. EBITDA margins decreased by approximately 720 basis points, or $67 million, due primarily to inefficiencies resulting from lower levels of revenue, including the effects of inflation on labor, fuel and materials costs, and acquisition and integration costs.</w:t>
      </w:r>
    </w:p>
    <w:p>
      <w:pPr>
        <w:spacing w:after="0" w:line="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 xml:space="preserve">Power Delivery Segment. </w:t>
      </w:r>
      <w:r>
        <w:rPr>
          <w:rFonts w:ascii="Arial" w:cs="Arial" w:eastAsia="Arial" w:hAnsi="Arial"/>
          <w:sz w:val="16"/>
          <w:szCs w:val="16"/>
          <w:color w:val="auto"/>
        </w:rPr>
        <w:t>EBITDA for our Power Delivery segment was $151 million, or 7.6% of revenue, for the nine month period ended September 30, 2022,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compared with EBITDA of $48 million, or 6.5% of revenue, for the same period in 2021, an increase in EBITDA of approximately $103 million, or 215%. As a percentage of revenue, EBITDA increased by approximately 110 basis points, or $21 million, primarily due to project efficiencies resulting from higher levels of revenue and project mix, notwithstanding the effects of inflation on labor, fuel and materials costs, partially offset by the effects of acquisition and integration costs. Higher levels of revenue contributed an increase in EBITDA of $82 million.</w:t>
      </w:r>
    </w:p>
    <w:p>
      <w:pPr>
        <w:spacing w:after="0" w:line="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Other Segment. </w:t>
      </w:r>
      <w:r>
        <w:rPr>
          <w:rFonts w:ascii="Arial" w:cs="Arial" w:eastAsia="Arial" w:hAnsi="Arial"/>
          <w:sz w:val="16"/>
          <w:szCs w:val="16"/>
          <w:color w:val="auto"/>
        </w:rPr>
        <w:t>EBITDA from Other businesses totaled approximately $20 million for the nine month period ended September 30, 2022 as compared with $23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2021, and related primarily to equity in earnings from our investments in the Waha JVs, partially offset by equity in losses from other investments.</w:t>
      </w:r>
    </w:p>
    <w:p>
      <w:pPr>
        <w:spacing w:after="0" w:line="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 xml:space="preserve">Corporate. </w:t>
      </w:r>
      <w:r>
        <w:rPr>
          <w:rFonts w:ascii="Arial" w:cs="Arial" w:eastAsia="Arial" w:hAnsi="Arial"/>
          <w:sz w:val="16"/>
          <w:szCs w:val="16"/>
          <w:color w:val="auto"/>
        </w:rPr>
        <w:t>Corporate EBITDA was negative $131 million for the nine month period ended September 30, 2022, as compared with EBITDA of negative $86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2021, for a decrease in EBITDA of approximately $45 million. Acquisitions, including certain acquisition and integration costs, contributed $25 million of Corporate expenses for the nine month period ended September 30, 2022. For the nine month period ended September 30, 2022, Corporate EBITDA also included approximately $1 million of income, net, from changes to estimated</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5"/>
          <w:szCs w:val="15"/>
          <w:color w:val="auto"/>
        </w:rPr>
        <w:t>Earn-out accruals and $6 million of income from changes in the fair value of additional contingent payments to the former owners of an acquired business, offset by approximately $7 million, of expense from changes in the fair value of certain investments, net of income from strategic arrangements. For the nine month period ended September 30, 2021, Corporate EBITDA included $13 million of income, net, from changes to estimated Earn-out accruals, $7 million of expense, net, from changes in the fair value of certain investments, net of income from strategic arrangements and $5 million of income from a third quarter 2021 legal settlement. For the nine month period ended September 30, 2022, Corporate expenses not related to the above-described items increased by approximately $9 million as compared with the same period in the prior year, due primarily to increases in compensation expense, professional and legal fees, information technology, travel and other administrative expenses, including certain acquisition and integration costs, offset, in part, by the effects of timing of legal and settlement matters.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Operations</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foreign operations are primarily in Canada and, to a far lesser extent, in Mexico, the Caribbean and India. See Note 13 - Segments and Related Information in the notes to the consolidated financial statements, which is incorporated by reference.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GAAP Financial Measures</w:t>
      </w:r>
    </w:p>
    <w:p>
      <w:pPr>
        <w:spacing w:after="0" w:line="11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acquisition and integration costs related to our 2021 acquisitions; the bargain purchase gain from a 2021 acquisition; fair value gains or losses, net, on an investment; and, for Adjusted Net Income and Adjusted Diluted Earnings Per Share, amortization of intangible assets, the effects of changes in statutory tax rates and the tax effects of the adjusted items.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spacing w:after="0" w:line="7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We believe that these adjusted measures provide a baseline for analyzing trends in our underlying business. Non-cash stock-based compensation expense can be subject to volatility from changes in the market price per share of our common stock or variations in the value and number of shares granted, and amortization of intangible assets is subject to acquisition activity, which varies from period to period. Beginning with the fourth quarter of 2021, due to the extent of the acquisition costs related to our fourth quarter 2021 acquisitions, and the costs of the integration efforts that have been, and will continue to be, required in connection with such acquisitions, we are excluding acquisition and integration costs in calculating Adjusted EBITDA and Adjusted Net Income for these acquisitions, and we intend to exclude such costs for future acquisitions requiring substantial integration efforts, including for our recent acquisition of IEA. In addition, beginning in the second quarter of 2022, we are excluding fair value gains or losses, net, for our investment in AVCT, a publicly-traded company in which we currently have no active involvement, in calculating our adjusted results, and prior periods have been updated to conform with this presentation. We believe that fair value gains or losses for this investment, which vary from period to period based on fluctuations in the market price of the investment, are not indicative of our core operations, and that this presentation improves comparability of our results with those of our peers. We exclude intangible asset amortization, acquisition costs and selected purchase accounting adjustments, including the bargain purchase gain from a 2021 acquisition, from our adjusted measures due to their non-operational nature and inherent volatility, as acquisition activity varies from period to period. We also believe that this presentation is common practice in our industry and improves comparability of our results with those of our peers. Each company’s definitions of these adjusted measures may vary as they are not standardized and should be used in light of the provided reconciliations.</w:t>
      </w:r>
    </w:p>
    <w:p>
      <w:pPr>
        <w:spacing w:after="0" w:line="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8" w:name="page39"/>
    <w:bookmarkEnd w:id="38"/>
    <w:p>
      <w:pPr>
        <w:ind w:firstLine="648"/>
        <w:spacing w:after="0" w:line="275" w:lineRule="auto"/>
        <w:rPr>
          <w:sz w:val="20"/>
          <w:szCs w:val="20"/>
          <w:color w:val="auto"/>
        </w:rPr>
      </w:pPr>
      <w:r>
        <w:rPr>
          <w:rFonts w:ascii="Arial" w:cs="Arial" w:eastAsia="Arial" w:hAnsi="Arial"/>
          <w:sz w:val="16"/>
          <w:szCs w:val="16"/>
          <w:color w:val="auto"/>
        </w:rPr>
        <w:t>The following table presents a reconciliation of net income to EBITDA and Adjusted EBITDA in dollar and percentage of revenue terms, for the periods indicated. The tables below (dollar amounts in millions) may contain slight summation differences due to rounding.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gridSpan w:val="12"/>
          </w:tcPr>
          <w:p>
            <w:pPr>
              <w:ind w:left="60"/>
              <w:spacing w:after="0"/>
              <w:rPr>
                <w:sz w:val="20"/>
                <w:szCs w:val="20"/>
                <w:color w:val="auto"/>
              </w:rPr>
            </w:pPr>
            <w:r>
              <w:rPr>
                <w:rFonts w:ascii="Arial" w:cs="Arial" w:eastAsia="Arial" w:hAnsi="Arial"/>
                <w:sz w:val="16"/>
                <w:szCs w:val="16"/>
                <w:b w:val="1"/>
                <w:bCs w:val="1"/>
                <w:color w:val="auto"/>
              </w:rPr>
              <w:t>For the Three Months Ended September 30,</w:t>
            </w:r>
          </w:p>
        </w:tc>
        <w:tc>
          <w:tcPr>
            <w:tcW w:w="180" w:type="dxa"/>
            <w:vAlign w:val="bottom"/>
          </w:tcPr>
          <w:p>
            <w:pPr>
              <w:spacing w:after="0"/>
              <w:rPr>
                <w:sz w:val="18"/>
                <w:szCs w:val="18"/>
                <w:color w:val="auto"/>
              </w:rPr>
            </w:pPr>
          </w:p>
        </w:tc>
        <w:tc>
          <w:tcPr>
            <w:tcW w:w="3300" w:type="dxa"/>
            <w:vAlign w:val="bottom"/>
            <w:gridSpan w:val="10"/>
          </w:tcPr>
          <w:p>
            <w:pPr>
              <w:jc w:val="right"/>
              <w:ind w:right="179"/>
              <w:spacing w:after="0"/>
              <w:rPr>
                <w:sz w:val="20"/>
                <w:szCs w:val="20"/>
                <w:color w:val="auto"/>
              </w:rPr>
            </w:pPr>
            <w:r>
              <w:rPr>
                <w:rFonts w:ascii="Arial" w:cs="Arial" w:eastAsia="Arial" w:hAnsi="Arial"/>
                <w:sz w:val="16"/>
                <w:szCs w:val="16"/>
                <w:b w:val="1"/>
                <w:bCs w:val="1"/>
                <w:color w:val="auto"/>
                <w:w w:val="93"/>
              </w:rPr>
              <w:t>For the Nine Months Ended September 30,</w:t>
            </w:r>
          </w:p>
        </w:tc>
      </w:tr>
      <w:tr>
        <w:trPr>
          <w:trHeight w:val="210"/>
        </w:trPr>
        <w:tc>
          <w:tcPr>
            <w:tcW w:w="4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r>
      <w:tr>
        <w:trPr>
          <w:trHeight w:val="212"/>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r>
      <w:tr>
        <w:trPr>
          <w:trHeight w:val="213"/>
        </w:trPr>
        <w:tc>
          <w:tcPr>
            <w:tcW w:w="4180" w:type="dxa"/>
            <w:vAlign w:val="bottom"/>
            <w:gridSpan w:val="2"/>
          </w:tcPr>
          <w:p>
            <w:pPr>
              <w:ind w:left="14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19"/>
        </w:trPr>
        <w:tc>
          <w:tcPr>
            <w:tcW w:w="4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Provision for (benefit from) income taxes</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13"/>
        </w:trPr>
        <w:tc>
          <w:tcPr>
            <w:tcW w:w="4180" w:type="dxa"/>
            <w:vAlign w:val="bottom"/>
            <w:gridSpan w:val="2"/>
          </w:tcPr>
          <w:p>
            <w:pPr>
              <w:ind w:left="140"/>
              <w:spacing w:after="0"/>
              <w:rPr>
                <w:sz w:val="20"/>
                <w:szCs w:val="20"/>
                <w:color w:val="auto"/>
              </w:rPr>
            </w:pPr>
            <w:r>
              <w:rPr>
                <w:rFonts w:ascii="Arial" w:cs="Arial" w:eastAsia="Arial" w:hAnsi="Arial"/>
                <w:sz w:val="16"/>
                <w:szCs w:val="16"/>
                <w:color w:val="auto"/>
              </w:rPr>
              <w:t>Depreciation</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4.3 %</w:t>
            </w:r>
          </w:p>
        </w:tc>
      </w:tr>
      <w:tr>
        <w:trPr>
          <w:trHeight w:val="219"/>
        </w:trPr>
        <w:tc>
          <w:tcPr>
            <w:tcW w:w="4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06"/>
        </w:trPr>
        <w:tc>
          <w:tcPr>
            <w:tcW w:w="41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11.3 %</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11.3 %</w:t>
            </w:r>
          </w:p>
        </w:tc>
      </w:tr>
      <w:tr>
        <w:trPr>
          <w:trHeight w:val="213"/>
        </w:trPr>
        <w:tc>
          <w:tcPr>
            <w:tcW w:w="4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Non-cash stock-based compensation expense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13"/>
        </w:trPr>
        <w:tc>
          <w:tcPr>
            <w:tcW w:w="4180" w:type="dxa"/>
            <w:vAlign w:val="bottom"/>
            <w:gridSpan w:val="2"/>
          </w:tcPr>
          <w:p>
            <w:pPr>
              <w:ind w:left="140"/>
              <w:spacing w:after="0"/>
              <w:rPr>
                <w:sz w:val="20"/>
                <w:szCs w:val="20"/>
                <w:color w:val="auto"/>
              </w:rPr>
            </w:pPr>
            <w:r>
              <w:rPr>
                <w:rFonts w:ascii="Arial" w:cs="Arial" w:eastAsia="Arial" w:hAnsi="Arial"/>
                <w:sz w:val="16"/>
                <w:szCs w:val="16"/>
                <w:color w:val="auto"/>
              </w:rPr>
              <w:t>Acquisition and integration costs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4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Bargain purchase gain</w:t>
            </w:r>
          </w:p>
        </w:tc>
        <w:tc>
          <w:tcPr>
            <w:tcW w:w="14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4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(Gains) losses, net, on fair value of investment</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r>
      <w:tr>
        <w:trPr>
          <w:trHeight w:val="21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11.7 %</w:t>
            </w:r>
          </w:p>
        </w:tc>
      </w:tr>
      <w:tr>
        <w:trPr>
          <w:trHeight w:val="432"/>
        </w:trPr>
        <w:tc>
          <w:tcPr>
            <w:tcW w:w="11240" w:type="dxa"/>
            <w:vAlign w:val="bottom"/>
            <w:gridSpan w:val="26"/>
          </w:tcPr>
          <w:p>
            <w:pPr>
              <w:jc w:val="center"/>
              <w:ind w:left="139"/>
              <w:spacing w:after="0"/>
              <w:rPr>
                <w:sz w:val="20"/>
                <w:szCs w:val="20"/>
                <w:color w:val="auto"/>
              </w:rPr>
            </w:pPr>
            <w:r>
              <w:rPr>
                <w:rFonts w:ascii="Arial" w:cs="Arial" w:eastAsia="Arial" w:hAnsi="Arial"/>
                <w:sz w:val="16"/>
                <w:szCs w:val="16"/>
                <w:color w:val="auto"/>
                <w:w w:val="94"/>
              </w:rPr>
              <w:t>A reconciliation of EBITDA and EBITDA margin to Adjusted EBITDA and Adjusted EBITDA margin by reportable segment for the periods indicated is as</w:t>
            </w:r>
          </w:p>
        </w:tc>
      </w:tr>
      <w:tr>
        <w:trPr>
          <w:trHeight w:val="206"/>
        </w:trPr>
        <w:tc>
          <w:tcPr>
            <w:tcW w:w="4180" w:type="dxa"/>
            <w:vAlign w:val="bottom"/>
            <w:gridSpan w:val="2"/>
          </w:tcPr>
          <w:p>
            <w:pPr>
              <w:spacing w:after="0"/>
              <w:rPr>
                <w:sz w:val="20"/>
                <w:szCs w:val="20"/>
                <w:color w:val="auto"/>
              </w:rPr>
            </w:pPr>
            <w:r>
              <w:rPr>
                <w:rFonts w:ascii="Arial" w:cs="Arial" w:eastAsia="Arial" w:hAnsi="Arial"/>
                <w:sz w:val="16"/>
                <w:szCs w:val="16"/>
                <w:color w:val="auto"/>
              </w:rPr>
              <w:t>follows: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3"/>
        </w:trPr>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12"/>
          </w:tcPr>
          <w:p>
            <w:pPr>
              <w:ind w:left="60"/>
              <w:spacing w:after="0"/>
              <w:rPr>
                <w:sz w:val="20"/>
                <w:szCs w:val="20"/>
                <w:color w:val="auto"/>
              </w:rPr>
            </w:pPr>
            <w:r>
              <w:rPr>
                <w:rFonts w:ascii="Arial" w:cs="Arial" w:eastAsia="Arial" w:hAnsi="Arial"/>
                <w:sz w:val="16"/>
                <w:szCs w:val="16"/>
                <w:b w:val="1"/>
                <w:bCs w:val="1"/>
                <w:color w:val="auto"/>
              </w:rPr>
              <w:t>For the Three Months Ended September 30,</w:t>
            </w:r>
          </w:p>
        </w:tc>
        <w:tc>
          <w:tcPr>
            <w:tcW w:w="180" w:type="dxa"/>
            <w:vAlign w:val="bottom"/>
          </w:tcPr>
          <w:p>
            <w:pPr>
              <w:spacing w:after="0"/>
              <w:rPr>
                <w:sz w:val="20"/>
                <w:szCs w:val="20"/>
                <w:color w:val="auto"/>
              </w:rPr>
            </w:pPr>
          </w:p>
        </w:tc>
        <w:tc>
          <w:tcPr>
            <w:tcW w:w="3300" w:type="dxa"/>
            <w:vAlign w:val="bottom"/>
            <w:gridSpan w:val="10"/>
          </w:tcPr>
          <w:p>
            <w:pPr>
              <w:jc w:val="right"/>
              <w:ind w:right="179"/>
              <w:spacing w:after="0"/>
              <w:rPr>
                <w:sz w:val="20"/>
                <w:szCs w:val="20"/>
                <w:color w:val="auto"/>
              </w:rPr>
            </w:pPr>
            <w:r>
              <w:rPr>
                <w:rFonts w:ascii="Arial" w:cs="Arial" w:eastAsia="Arial" w:hAnsi="Arial"/>
                <w:sz w:val="16"/>
                <w:szCs w:val="16"/>
                <w:b w:val="1"/>
                <w:bCs w:val="1"/>
                <w:color w:val="auto"/>
                <w:w w:val="93"/>
              </w:rPr>
              <w:t>For the Nine Months Ended September 30,</w:t>
            </w:r>
          </w:p>
        </w:tc>
      </w:tr>
      <w:tr>
        <w:trPr>
          <w:trHeight w:val="210"/>
        </w:trPr>
        <w:tc>
          <w:tcPr>
            <w:tcW w:w="41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r>
      <w:tr>
        <w:trPr>
          <w:trHeight w:val="212"/>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11.3 %</w:t>
            </w:r>
          </w:p>
        </w:tc>
      </w:tr>
      <w:tr>
        <w:trPr>
          <w:trHeight w:val="216"/>
        </w:trPr>
        <w:tc>
          <w:tcPr>
            <w:tcW w:w="41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Non-cash stock-based compensation expense </w:t>
            </w:r>
            <w:r>
              <w:rPr>
                <w:rFonts w:ascii="Arial" w:cs="Arial" w:eastAsia="Arial" w:hAnsi="Arial"/>
                <w:sz w:val="21"/>
                <w:szCs w:val="21"/>
                <w:color w:val="auto"/>
                <w:vertAlign w:val="superscript"/>
              </w:rPr>
              <w:t>(a)</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216"/>
        </w:trPr>
        <w:tc>
          <w:tcPr>
            <w:tcW w:w="418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Acquisition and integration costs </w:t>
            </w:r>
            <w:r>
              <w:rPr>
                <w:rFonts w:ascii="Arial" w:cs="Arial" w:eastAsia="Arial" w:hAnsi="Arial"/>
                <w:sz w:val="21"/>
                <w:szCs w:val="21"/>
                <w:color w:val="auto"/>
                <w:vertAlign w:val="superscript"/>
              </w:rPr>
              <w:t>(b)</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41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Bargain purchase gain </w:t>
            </w:r>
            <w:r>
              <w:rPr>
                <w:rFonts w:ascii="Arial" w:cs="Arial" w:eastAsia="Arial" w:hAnsi="Arial"/>
                <w:sz w:val="21"/>
                <w:szCs w:val="21"/>
                <w:color w:val="auto"/>
                <w:vertAlign w:val="superscript"/>
              </w:rPr>
              <w:t>(a)</w:t>
            </w:r>
          </w:p>
        </w:tc>
        <w:tc>
          <w:tcPr>
            <w:tcW w:w="140" w:type="dxa"/>
            <w:vAlign w:val="bottom"/>
          </w:tcPr>
          <w:p>
            <w:pPr>
              <w:spacing w:after="0"/>
              <w:rPr>
                <w:sz w:val="18"/>
                <w:szCs w:val="18"/>
                <w:color w:val="auto"/>
              </w:rPr>
            </w:pPr>
          </w:p>
        </w:tc>
        <w:tc>
          <w:tcPr>
            <w:tcW w:w="960" w:type="dxa"/>
            <w:vAlign w:val="bottom"/>
            <w:gridSpan w:val="4"/>
          </w:tcPr>
          <w:p>
            <w:pPr>
              <w:jc w:val="right"/>
              <w:ind w:right="4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416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(Gains) losses, net, on fair value of investment </w:t>
            </w:r>
            <w:r>
              <w:rPr>
                <w:rFonts w:ascii="Arial" w:cs="Arial" w:eastAsia="Arial" w:hAnsi="Arial"/>
                <w:sz w:val="21"/>
                <w:szCs w:val="21"/>
                <w:color w:val="auto"/>
                <w:vertAlign w:val="superscript"/>
              </w:rPr>
              <w:t>(a)</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07"/>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245.6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284.8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11.8 %</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522.8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7.7 %</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718.9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11.7 %</w:t>
            </w:r>
          </w:p>
        </w:tc>
      </w:tr>
      <w:tr>
        <w:trPr>
          <w:trHeight w:val="199"/>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Reportable Segment:</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r>
      <w:tr>
        <w:trPr>
          <w:trHeight w:val="321"/>
        </w:trPr>
        <w:tc>
          <w:tcPr>
            <w:tcW w:w="4180" w:type="dxa"/>
            <w:vAlign w:val="bottom"/>
            <w:gridSpan w:val="2"/>
          </w:tcPr>
          <w:p>
            <w:pPr>
              <w:ind w:left="140"/>
              <w:spacing w:after="0"/>
              <w:rPr>
                <w:sz w:val="20"/>
                <w:szCs w:val="20"/>
                <w:color w:val="auto"/>
              </w:rPr>
            </w:pPr>
            <w:r>
              <w:rPr>
                <w:rFonts w:ascii="Arial" w:cs="Arial" w:eastAsia="Arial" w:hAnsi="Arial"/>
                <w:sz w:val="16"/>
                <w:szCs w:val="16"/>
                <w:color w:val="auto"/>
              </w:rPr>
              <w:t>Communications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12.4 %</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10.7 %</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236.9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193.1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10.3 %</w:t>
            </w:r>
          </w:p>
        </w:tc>
      </w:tr>
      <w:tr>
        <w:trPr>
          <w:trHeight w:val="327"/>
        </w:trPr>
        <w:tc>
          <w:tcPr>
            <w:tcW w:w="4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Clean Energy and Infrastructure</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321"/>
        </w:trPr>
        <w:tc>
          <w:tcPr>
            <w:tcW w:w="4180" w:type="dxa"/>
            <w:vAlign w:val="bottom"/>
            <w:gridSpan w:val="2"/>
          </w:tcPr>
          <w:p>
            <w:pPr>
              <w:ind w:left="140"/>
              <w:spacing w:after="0"/>
              <w:rPr>
                <w:sz w:val="20"/>
                <w:szCs w:val="20"/>
                <w:color w:val="auto"/>
              </w:rPr>
            </w:pPr>
            <w:r>
              <w:rPr>
                <w:rFonts w:ascii="Arial" w:cs="Arial" w:eastAsia="Arial" w:hAnsi="Arial"/>
                <w:sz w:val="16"/>
                <w:szCs w:val="16"/>
                <w:color w:val="auto"/>
              </w:rPr>
              <w:t>Oil and Gas</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13.4 %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170.6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19.9 %</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137.9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14.9 %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476.2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21.6 %</w:t>
            </w:r>
          </w:p>
        </w:tc>
      </w:tr>
      <w:tr>
        <w:trPr>
          <w:trHeight w:val="327"/>
        </w:trPr>
        <w:tc>
          <w:tcPr>
            <w:tcW w:w="4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Power Delivery</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6.5 %</w:t>
            </w:r>
          </w:p>
        </w:tc>
      </w:tr>
      <w:tr>
        <w:trPr>
          <w:trHeight w:val="321"/>
        </w:trPr>
        <w:tc>
          <w:tcPr>
            <w:tcW w:w="4180" w:type="dxa"/>
            <w:vAlign w:val="bottom"/>
            <w:gridSpan w:val="2"/>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center"/>
              <w:ind w:left="99"/>
              <w:spacing w:after="0"/>
              <w:rPr>
                <w:sz w:val="20"/>
                <w:szCs w:val="20"/>
                <w:color w:val="auto"/>
              </w:rPr>
            </w:pPr>
            <w:r>
              <w:rPr>
                <w:rFonts w:ascii="Arial" w:cs="Arial" w:eastAsia="Arial" w:hAnsi="Arial"/>
                <w:sz w:val="16"/>
                <w:szCs w:val="16"/>
                <w:color w:val="auto"/>
              </w:rPr>
              <w:t>NM</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ind w:left="300"/>
              <w:spacing w:after="0"/>
              <w:rPr>
                <w:sz w:val="20"/>
                <w:szCs w:val="20"/>
                <w:color w:val="auto"/>
              </w:rPr>
            </w:pPr>
            <w:r>
              <w:rPr>
                <w:rFonts w:ascii="Arial" w:cs="Arial" w:eastAsia="Arial" w:hAnsi="Arial"/>
                <w:sz w:val="16"/>
                <w:szCs w:val="16"/>
                <w:color w:val="auto"/>
              </w:rPr>
              <w:t>NM</w:t>
            </w: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09"/>
        </w:trPr>
        <w:tc>
          <w:tcPr>
            <w:tcW w:w="4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245.6</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11.8 %</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7.7 %</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11.7 %</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NM - Percentage is not meaningful</w:t>
      </w:r>
    </w:p>
    <w:p>
      <w:pPr>
        <w:spacing w:after="0" w:line="69" w:lineRule="exact"/>
        <w:rPr>
          <w:sz w:val="20"/>
          <w:szCs w:val="20"/>
          <w:color w:val="auto"/>
        </w:rPr>
      </w:pPr>
    </w:p>
    <w:p>
      <w:pPr>
        <w:ind w:left="340" w:hanging="332"/>
        <w:spacing w:after="0" w:line="256" w:lineRule="auto"/>
        <w:tabs>
          <w:tab w:leader="none" w:pos="326"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Non-cash stock-based compensation expense, bargain purchase gain from a fourth quarter 2021 acquisition, and (gains) losses, net, on the fair value of our investment in AVCT are included within Corporate results.</w:t>
      </w:r>
    </w:p>
    <w:p>
      <w:pPr>
        <w:jc w:val="both"/>
        <w:ind w:left="340" w:hanging="332"/>
        <w:spacing w:after="0" w:line="272" w:lineRule="auto"/>
        <w:tabs>
          <w:tab w:leader="none" w:pos="329"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Communications, Oil and Gas, Power Delivery and Corporate results include acquisition and integration costs of $0.5 million, $1.1 million, $20.4 million and $11.2 million, respectively, for the three month period ended September 30, 2022, and include $2.4 million, $4.5 million, $34.5 million and $18.0 million, respectively, for the nine month period ended September 30, 2022.</w:t>
      </w:r>
    </w:p>
    <w:p>
      <w:pPr>
        <w:spacing w:after="0" w:line="143" w:lineRule="exact"/>
        <w:rPr>
          <w:sz w:val="20"/>
          <w:szCs w:val="20"/>
          <w:color w:val="auto"/>
        </w:rPr>
      </w:pPr>
    </w:p>
    <w:p>
      <w:pPr>
        <w:ind w:right="20" w:firstLine="648"/>
        <w:spacing w:after="0" w:line="275" w:lineRule="auto"/>
        <w:rPr>
          <w:sz w:val="20"/>
          <w:szCs w:val="20"/>
          <w:color w:val="auto"/>
        </w:rPr>
      </w:pPr>
      <w:r>
        <w:rPr>
          <w:rFonts w:ascii="Arial" w:cs="Arial" w:eastAsia="Arial" w:hAnsi="Arial"/>
          <w:sz w:val="16"/>
          <w:szCs w:val="16"/>
          <w:color w:val="auto"/>
        </w:rPr>
        <w:t>The table below, which may contain slight summation differences due to rounding, reconciles reported net income and reported diluted earnings per share, the most directly comparable U.S. GAAP financial measures, to Adjusted Net Income and Adjusted Diluted Earnings Per Share.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gridSpan w:val="10"/>
          </w:tcPr>
          <w:p>
            <w:pPr>
              <w:jc w:val="right"/>
              <w:ind w:right="59"/>
              <w:spacing w:after="0"/>
              <w:rPr>
                <w:sz w:val="20"/>
                <w:szCs w:val="20"/>
                <w:color w:val="auto"/>
              </w:rPr>
            </w:pPr>
            <w:r>
              <w:rPr>
                <w:rFonts w:ascii="Arial" w:cs="Arial" w:eastAsia="Arial" w:hAnsi="Arial"/>
                <w:sz w:val="16"/>
                <w:szCs w:val="16"/>
                <w:b w:val="1"/>
                <w:bCs w:val="1"/>
                <w:color w:val="auto"/>
              </w:rPr>
              <w:t>For the Three Months Ended September 30,</w:t>
            </w:r>
          </w:p>
        </w:tc>
        <w:tc>
          <w:tcPr>
            <w:tcW w:w="1080" w:type="dxa"/>
            <w:vAlign w:val="bottom"/>
            <w:tcBorders>
              <w:bottom w:val="single" w:sz="8" w:color="auto"/>
            </w:tcBorders>
          </w:tcPr>
          <w:p>
            <w:pPr>
              <w:spacing w:after="0"/>
              <w:rPr>
                <w:sz w:val="18"/>
                <w:szCs w:val="18"/>
                <w:color w:val="auto"/>
              </w:rPr>
            </w:pPr>
          </w:p>
        </w:tc>
      </w:tr>
      <w:tr>
        <w:trPr>
          <w:trHeight w:val="210"/>
        </w:trPr>
        <w:tc>
          <w:tcPr>
            <w:tcW w:w="5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1080" w:type="dxa"/>
            <w:vAlign w:val="bottom"/>
            <w:tcBorders>
              <w:bottom w:val="single" w:sz="8" w:color="auto"/>
            </w:tcBorders>
          </w:tcPr>
          <w:p>
            <w:pPr>
              <w:spacing w:after="0"/>
              <w:rPr>
                <w:sz w:val="18"/>
                <w:szCs w:val="18"/>
                <w:color w:val="auto"/>
              </w:rPr>
            </w:pPr>
          </w:p>
        </w:tc>
      </w:tr>
      <w:tr>
        <w:trPr>
          <w:trHeight w:val="158"/>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4"/>
              </w:rPr>
              <w:t>Net Income (in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2"/>
              </w:rPr>
              <w:t>Diluted Earnings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2"/>
              </w:rPr>
              <w:t>Net Income (in</w:t>
            </w:r>
          </w:p>
        </w:tc>
        <w:tc>
          <w:tcPr>
            <w:tcW w:w="130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2"/>
              </w:rPr>
              <w:t>Diluted Earnings</w:t>
            </w:r>
          </w:p>
        </w:tc>
      </w:tr>
      <w:tr>
        <w:trPr>
          <w:trHeight w:val="213"/>
        </w:trPr>
        <w:tc>
          <w:tcPr>
            <w:tcW w:w="5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millions)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0"/>
              </w:rPr>
              <w:t>Per Share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millions)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Per Share</w:t>
            </w:r>
          </w:p>
        </w:tc>
      </w:tr>
      <w:tr>
        <w:trPr>
          <w:trHeight w:val="212"/>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U.S. GAAP measure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3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stock-based compensation expense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r>
      <w:tr>
        <w:trPr>
          <w:trHeight w:val="213"/>
        </w:trPr>
        <w:tc>
          <w:tcPr>
            <w:tcW w:w="57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0.32</w:t>
            </w:r>
          </w:p>
        </w:tc>
      </w:tr>
      <w:tr>
        <w:trPr>
          <w:trHeight w:val="219"/>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and integration costs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740" w:type="dxa"/>
            <w:vAlign w:val="bottom"/>
          </w:tcPr>
          <w:p>
            <w:pPr>
              <w:ind w:left="140"/>
              <w:spacing w:after="0"/>
              <w:rPr>
                <w:sz w:val="20"/>
                <w:szCs w:val="20"/>
                <w:color w:val="auto"/>
              </w:rPr>
            </w:pPr>
            <w:r>
              <w:rPr>
                <w:rFonts w:ascii="Arial" w:cs="Arial" w:eastAsia="Arial" w:hAnsi="Arial"/>
                <w:sz w:val="16"/>
                <w:szCs w:val="16"/>
                <w:color w:val="auto"/>
              </w:rPr>
              <w:t>Bargain purchase gain</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(Gains) losses, net, on fair value of investment</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r>
      <w:tr>
        <w:trPr>
          <w:trHeight w:val="206"/>
        </w:trPr>
        <w:tc>
          <w:tcPr>
            <w:tcW w:w="5740" w:type="dxa"/>
            <w:vAlign w:val="bottom"/>
          </w:tcPr>
          <w:p>
            <w:pPr>
              <w:ind w:left="20"/>
              <w:spacing w:after="0"/>
              <w:rPr>
                <w:sz w:val="20"/>
                <w:szCs w:val="20"/>
                <w:color w:val="auto"/>
              </w:rPr>
            </w:pPr>
            <w:r>
              <w:rPr>
                <w:rFonts w:ascii="Arial" w:cs="Arial" w:eastAsia="Arial" w:hAnsi="Arial"/>
                <w:sz w:val="16"/>
                <w:szCs w:val="16"/>
                <w:color w:val="auto"/>
              </w:rPr>
              <w:t>Total adjustments, pre-tax</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67.1</w:t>
            </w:r>
          </w:p>
        </w:tc>
        <w:tc>
          <w:tcPr>
            <w:tcW w:w="3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0.89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0.49</w:t>
            </w:r>
          </w:p>
        </w:tc>
      </w:tr>
      <w:tr>
        <w:trPr>
          <w:trHeight w:val="260"/>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r>
      <w:tr>
        <w:trPr>
          <w:trHeight w:val="257"/>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 xml:space="preserve">Statutory tax rate effects </w:t>
            </w:r>
            <w:r>
              <w:rPr>
                <w:rFonts w:ascii="Arial" w:cs="Arial" w:eastAsia="Arial" w:hAnsi="Arial"/>
                <w:sz w:val="21"/>
                <w:szCs w:val="21"/>
                <w:color w:val="auto"/>
                <w:vertAlign w:val="superscript"/>
              </w:rPr>
              <w:t>(b)</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non-U.S. GAAP measure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574"/>
        </w:trPr>
        <w:tc>
          <w:tcPr>
            <w:tcW w:w="5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9"/>
          </w:tcPr>
          <w:p>
            <w:pPr>
              <w:jc w:val="right"/>
              <w:ind w:right="119"/>
              <w:spacing w:after="0"/>
              <w:rPr>
                <w:sz w:val="20"/>
                <w:szCs w:val="20"/>
                <w:color w:val="auto"/>
              </w:rPr>
            </w:pPr>
            <w:r>
              <w:rPr>
                <w:rFonts w:ascii="Arial" w:cs="Arial" w:eastAsia="Arial" w:hAnsi="Arial"/>
                <w:sz w:val="16"/>
                <w:szCs w:val="16"/>
                <w:b w:val="1"/>
                <w:bCs w:val="1"/>
                <w:color w:val="auto"/>
                <w:w w:val="91"/>
              </w:rPr>
              <w:t>For the Nine Months Ended September 30,</w:t>
            </w:r>
          </w:p>
        </w:tc>
        <w:tc>
          <w:tcPr>
            <w:tcW w:w="1080" w:type="dxa"/>
            <w:vAlign w:val="bottom"/>
            <w:tcBorders>
              <w:bottom w:val="single" w:sz="8" w:color="auto"/>
            </w:tcBorders>
          </w:tcPr>
          <w:p>
            <w:pPr>
              <w:spacing w:after="0"/>
              <w:rPr>
                <w:sz w:val="24"/>
                <w:szCs w:val="24"/>
                <w:color w:val="auto"/>
              </w:rPr>
            </w:pPr>
          </w:p>
        </w:tc>
      </w:tr>
      <w:tr>
        <w:trPr>
          <w:trHeight w:val="210"/>
        </w:trPr>
        <w:tc>
          <w:tcPr>
            <w:tcW w:w="5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1080" w:type="dxa"/>
            <w:vAlign w:val="bottom"/>
            <w:tcBorders>
              <w:bottom w:val="single" w:sz="8" w:color="auto"/>
            </w:tcBorders>
          </w:tcPr>
          <w:p>
            <w:pPr>
              <w:spacing w:after="0"/>
              <w:rPr>
                <w:sz w:val="18"/>
                <w:szCs w:val="18"/>
                <w:color w:val="auto"/>
              </w:rPr>
            </w:pPr>
          </w:p>
        </w:tc>
      </w:tr>
      <w:tr>
        <w:trPr>
          <w:trHeight w:val="158"/>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4"/>
              </w:rPr>
              <w:t>Net Income (in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2"/>
              </w:rPr>
              <w:t>Diluted Earnings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2"/>
              </w:rPr>
              <w:t>Net Income (in</w:t>
            </w:r>
          </w:p>
        </w:tc>
        <w:tc>
          <w:tcPr>
            <w:tcW w:w="130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2"/>
              </w:rPr>
              <w:t>Diluted Earnings</w:t>
            </w:r>
          </w:p>
        </w:tc>
      </w:tr>
      <w:tr>
        <w:trPr>
          <w:trHeight w:val="213"/>
        </w:trPr>
        <w:tc>
          <w:tcPr>
            <w:tcW w:w="5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millions)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0"/>
              </w:rPr>
              <w:t>Per Share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millions)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Per Share</w:t>
            </w:r>
          </w:p>
        </w:tc>
      </w:tr>
      <w:tr>
        <w:trPr>
          <w:trHeight w:val="212"/>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U.S. GAAP measure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3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stock-based compensation expense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r>
      <w:tr>
        <w:trPr>
          <w:trHeight w:val="213"/>
        </w:trPr>
        <w:tc>
          <w:tcPr>
            <w:tcW w:w="57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0.74</w:t>
            </w:r>
          </w:p>
        </w:tc>
      </w:tr>
      <w:tr>
        <w:trPr>
          <w:trHeight w:val="219"/>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and integration costs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740" w:type="dxa"/>
            <w:vAlign w:val="bottom"/>
          </w:tcPr>
          <w:p>
            <w:pPr>
              <w:ind w:left="140"/>
              <w:spacing w:after="0"/>
              <w:rPr>
                <w:sz w:val="20"/>
                <w:szCs w:val="20"/>
                <w:color w:val="auto"/>
              </w:rPr>
            </w:pPr>
            <w:r>
              <w:rPr>
                <w:rFonts w:ascii="Arial" w:cs="Arial" w:eastAsia="Arial" w:hAnsi="Arial"/>
                <w:sz w:val="16"/>
                <w:szCs w:val="16"/>
                <w:color w:val="auto"/>
              </w:rPr>
              <w:t>Bargain purchase gain</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(Gains) losses, net, on fair value of investment</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r>
      <w:tr>
        <w:trPr>
          <w:trHeight w:val="207"/>
        </w:trPr>
        <w:tc>
          <w:tcPr>
            <w:tcW w:w="5740" w:type="dxa"/>
            <w:vAlign w:val="bottom"/>
          </w:tcPr>
          <w:p>
            <w:pPr>
              <w:ind w:left="20"/>
              <w:spacing w:after="0"/>
              <w:rPr>
                <w:sz w:val="20"/>
                <w:szCs w:val="20"/>
                <w:color w:val="auto"/>
              </w:rPr>
            </w:pPr>
            <w:r>
              <w:rPr>
                <w:rFonts w:ascii="Arial" w:cs="Arial" w:eastAsia="Arial" w:hAnsi="Arial"/>
                <w:sz w:val="16"/>
                <w:szCs w:val="16"/>
                <w:color w:val="auto"/>
              </w:rPr>
              <w:t>Total adjustments, pre-tax</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166.5</w:t>
            </w:r>
          </w:p>
        </w:tc>
        <w:tc>
          <w:tcPr>
            <w:tcW w:w="3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9"/>
        </w:trPr>
        <w:tc>
          <w:tcPr>
            <w:tcW w:w="57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r>
      <w:tr>
        <w:trPr>
          <w:trHeight w:val="216"/>
        </w:trPr>
        <w:tc>
          <w:tcPr>
            <w:tcW w:w="574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Statutory tax rate effects </w:t>
            </w:r>
            <w:r>
              <w:rPr>
                <w:rFonts w:ascii="Arial" w:cs="Arial" w:eastAsia="Arial" w:hAnsi="Arial"/>
                <w:sz w:val="21"/>
                <w:szCs w:val="21"/>
                <w:color w:val="auto"/>
                <w:vertAlign w:val="superscript"/>
              </w:rPr>
              <w:t>(b)</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r>
      <w:tr>
        <w:trPr>
          <w:trHeight w:val="206"/>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non-U.S. GAAP measure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154.8</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r>
    </w:tbl>
    <w:p>
      <w:pPr>
        <w:spacing w:after="0" w:line="116" w:lineRule="exact"/>
        <w:rPr>
          <w:sz w:val="20"/>
          <w:szCs w:val="20"/>
          <w:color w:val="auto"/>
        </w:rPr>
      </w:pPr>
    </w:p>
    <w:p>
      <w:pPr>
        <w:jc w:val="both"/>
        <w:ind w:left="340" w:hanging="332"/>
        <w:spacing w:after="0" w:line="261" w:lineRule="auto"/>
        <w:tabs>
          <w:tab w:leader="none" w:pos="361"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the tax effect of the adjusted items that are subject to tax, including the tax effects of non-cash stock-based compensation expense, including from the vesting of share-based payment awards. Tax effects are determined based on the tax treatment of the related item, the incremental statutory tax rate of the jurisdictions pertaining to the adjustment, and their effects on pre-tax income. For the three and nine month periods ended September 30, 2022, our consolidated effective tax rates, as reported, were an expense of 18.4% and a benefit of 0.2%, respectively, and as adjusted, were 20.9% and 21.4%, respectively. For the three and nine month periods ended September 30, 2021, our consolidated effective tax rates, as reported, were 19.7% and 24.8%, respectively, and as adjusted, were 20.0% and 23.4%, respectively.</w:t>
      </w: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the nine month period ended September 30, 2021, includes the effect of changes in certain state tax rates.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 Liquidity and Capital Resources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equity investment funding requirements, debt service and income taxes. We also evaluate opportunities for strategic acquisitions, investments and other arrangements from time to time, and we may consider opportunities to borrow additional funds, which may include borrowings under our Credit Facility or debt issuances, or to refinance, extend the terms of our existing indebtedness or retire outstanding debt, or to repurchase additional shares of our outstanding common stock under share repurchase authorizations, any of which may require our use of cash.</w:t>
      </w:r>
    </w:p>
    <w:p>
      <w:pPr>
        <w:spacing w:after="0" w:line="9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b w:val="1"/>
          <w:bCs w:val="1"/>
          <w:i w:val="1"/>
          <w:iCs w:val="1"/>
          <w:color w:val="auto"/>
        </w:rPr>
        <w:t>Capital Expenditures</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the nine month period ended September 30, 2022, we spent approximately $213 million on capital expenditures, or $166 million, net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asset disposals, and incurred approximately $185 million of equipment purchases under finance leases. We estimate that fourth quarter 2022 capital expenditure levels will decrease, with estimated full year capital expenditures approximating $240 million, or approximately $180 million, net of asset disposals, and we expect to incur approximately $220 million to $240 million of equipment purchases under finance leases. Actual capital expenditures may increase or decrease in the future depending upon business activity levels, as well as ongoing assessments of equipment lease versus purchase decisions based on short and long-term equipment requirements.</w:t>
      </w:r>
    </w:p>
    <w:p>
      <w:pPr>
        <w:spacing w:after="0" w:line="64"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b w:val="1"/>
          <w:bCs w:val="1"/>
          <w:i w:val="1"/>
          <w:iCs w:val="1"/>
          <w:color w:val="auto"/>
        </w:rPr>
        <w:t xml:space="preserve">Acquisitions and Earn-Out Liabilities. </w:t>
      </w:r>
      <w:r>
        <w:rPr>
          <w:rFonts w:ascii="Arial" w:cs="Arial" w:eastAsia="Arial" w:hAnsi="Arial"/>
          <w:sz w:val="16"/>
          <w:szCs w:val="16"/>
          <w:color w:val="auto"/>
        </w:rPr>
        <w:t>We typically utilize cash for business acquisitions and other strategic arrangements, and for the nine 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2022, we used $72 million of cash for this purpose. In addition, in most of our acquisitions, we have agreed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40" w:name="page41"/>
    <w:bookmarkEnd w:id="40"/>
    <w:p>
      <w:pPr>
        <w:jc w:val="both"/>
        <w:spacing w:after="0" w:line="262" w:lineRule="auto"/>
        <w:rPr>
          <w:sz w:val="20"/>
          <w:szCs w:val="20"/>
          <w:color w:val="auto"/>
        </w:rPr>
      </w:pPr>
      <w:r>
        <w:rPr>
          <w:rFonts w:ascii="Arial" w:cs="Arial" w:eastAsia="Arial" w:hAnsi="Arial"/>
          <w:sz w:val="16"/>
          <w:szCs w:val="16"/>
          <w:color w:val="auto"/>
        </w:rPr>
        <w:t>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Earn-out liabilities as of September 30, 2022 was approximately $127 million. Of this amount, approximately $11 million represents the liability for earned amounts. The remainder is management’s estimate of Earn-out liabilities that are contingent upon future performance. For the nine month periods ended September 30, 2022 and 2021, we made $38 million and $47 million, respectively, of Earn-out payments.</w:t>
      </w:r>
    </w:p>
    <w:p>
      <w:pPr>
        <w:spacing w:after="0" w:line="76"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4"/>
          <w:szCs w:val="14"/>
          <w:color w:val="auto"/>
        </w:rPr>
        <w:t>Our acquisition of HMG provides for certain additional payments to be made to the sellers if certain acquired receivables are collected, which we refer to as the “Additional Payments.” Pursuant to the terms of the HMG purchase agreement, a portion of the Additional Payments will be made in cash, with the remainder due in shares of MasTec common stock. An Additional Payment of approximately $29.4 million was made in May 2022, which payment was composed of approximately $18 million in cash and 133,157 shares of MasTec common stock. As of September 30, 2022, the estimated fair value of remaining Additional Payments was approximately $31 million and includes the effect of an unrealized fair value gain of approximately $5 million related to the contingent shares. The number of shares that would be paid in connection with the remaining Additional Payment as of September 30, 2022 is approximately 160,000 shares. In addition, the HMG purchase agreement provided for a customary net working capital adjustment, which adjustment was resolved in the second quarter of 2022 for a reduction of approximately $15 million in acquisition consideration.</w:t>
      </w:r>
    </w:p>
    <w:p>
      <w:pPr>
        <w:spacing w:after="0" w:line="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For the nine month period ended September 30, 2022, tax payments, net of tax refunds, totaled approximately $2 million, and for the nine 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ended September 30, 2021, totaled $63 million. Our tax payments vary with changes in taxable income and earnings based on estimates of full year taxable income activity and estimated tax rates.</w:t>
      </w:r>
    </w:p>
    <w:p>
      <w:pPr>
        <w:spacing w:after="0" w:line="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b w:val="1"/>
          <w:bCs w:val="1"/>
          <w:i w:val="1"/>
          <w:iCs w:val="1"/>
          <w:color w:val="auto"/>
        </w:rPr>
        <w:t xml:space="preserve">Working Capital. </w:t>
      </w:r>
      <w:r>
        <w:rPr>
          <w:rFonts w:ascii="Arial" w:cs="Arial" w:eastAsia="Arial" w:hAnsi="Arial"/>
          <w:sz w:val="14"/>
          <w:szCs w:val="14"/>
          <w:color w:val="auto"/>
        </w:rPr>
        <w:t>We need working capital to support seasonal variations in our business, primarily due to the effect of weather conditions on external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construction and 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Working capital requirements also tend to increase when we commence multiple projects or particularly large projects because labor, including subcontractor costs, and certain other costs, including inventory, typically become payable before the receivables resulting from work performed are collected. The timing of billings and project close-outs can contribute to changes in unbilled revenue. As of September 30, 2022, we expect that substantially all of our unbilled receivables will be billed to customers in the normal course of business within the next twelve months. Total accounts receivable, which consists of contract billings, unbilled receivables and retainage, net of allowance, increased to approximately $2.7 billion as of September 30, 2022 from $2.2 billion as of December 31, 2021 due primarily to higher levels of revenue, including from our fourth quarter 2021 acquisitions, as well as an increase in our DSOs. See below for discussion of our days sales outstanding, net of contract liabilities, which we refer to as days sales outstanding, or “DSO.”</w:t>
      </w:r>
    </w:p>
    <w:p>
      <w:pPr>
        <w:spacing w:after="0" w:line="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Financial Condition, Liquidity and Capital Resources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Including our current assessment of general economic conditions on our results of operations and capital resource requirements, we anticipate that funds generated from operations, borrowings under our existing credit facilities, as well as those facilities discussed under “Recent Transactions,” above, and our cash balances will be sufficient to meet our working capital requirements, anticipated capital expenditures, debt service obligations, insurance and performance collateral requirements, letter of credit needs, earn-out obligations, required income tax payments, share repurchase activity and acquisition, strategic arrangement and investment funding requirements, including the recent acquisition of IEA, and other liquidity needs for the next twelve months and the foreseeable future. For additional information regarding financing for the IEA transaction, see “Recent Transactions,” above.</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Sources and Uses of Cash</w:t>
      </w:r>
    </w:p>
    <w:p>
      <w:pPr>
        <w:spacing w:after="0" w:line="11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As of September 30, 2022, we had approximately $1,128 million in working capital, defined as current assets less current liabilities, as compared with $1,089 million as of December 31, 2021, an increase of approximately $38 million. Cash and cash equivalents totaled approximately $96 million and $361 million as of September 30, 2022 and December 31, 2021, respectively, for a decrease of $265 million, due, in part, to a decrease in net income and an increase in cash used in financing activities, including from share repurchases.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Sources and uses of cash are summarized below (in millions):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3"/>
        </w:trPr>
        <w:tc>
          <w:tcPr>
            <w:tcW w:w="8220" w:type="dxa"/>
            <w:vAlign w:val="bottom"/>
          </w:tcPr>
          <w:p>
            <w:pPr>
              <w:spacing w:after="0"/>
              <w:rPr>
                <w:sz w:val="18"/>
                <w:szCs w:val="18"/>
                <w:color w:val="auto"/>
              </w:rPr>
            </w:pPr>
          </w:p>
        </w:tc>
        <w:tc>
          <w:tcPr>
            <w:tcW w:w="302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2"/>
              </w:rPr>
              <w:t>For the Nine Months Ended September 30,</w:t>
            </w:r>
          </w:p>
        </w:tc>
      </w:tr>
      <w:tr>
        <w:trPr>
          <w:trHeight w:val="210"/>
        </w:trPr>
        <w:tc>
          <w:tcPr>
            <w:tcW w:w="8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center"/>
              <w:ind w:left="539"/>
              <w:spacing w:after="0"/>
              <w:rPr>
                <w:sz w:val="20"/>
                <w:szCs w:val="20"/>
                <w:color w:val="auto"/>
              </w:rPr>
            </w:pPr>
            <w:r>
              <w:rPr>
                <w:rFonts w:ascii="Arial" w:cs="Arial" w:eastAsia="Arial" w:hAnsi="Arial"/>
                <w:sz w:val="16"/>
                <w:szCs w:val="16"/>
                <w:color w:val="auto"/>
                <w:w w:val="89"/>
              </w:rPr>
              <w:t>118.7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499.1</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center"/>
              <w:ind w:left="519"/>
              <w:spacing w:after="0"/>
              <w:rPr>
                <w:sz w:val="20"/>
                <w:szCs w:val="20"/>
                <w:color w:val="auto"/>
              </w:rPr>
            </w:pPr>
            <w:r>
              <w:rPr>
                <w:rFonts w:ascii="Arial" w:cs="Arial" w:eastAsia="Arial" w:hAnsi="Arial"/>
                <w:sz w:val="16"/>
                <w:szCs w:val="16"/>
                <w:color w:val="auto"/>
                <w:w w:val="90"/>
              </w:rPr>
              <w:t>(241.7)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(716.7)</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w w:val="90"/>
              </w:rPr>
              <w:t>(139.5)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r>
    </w:tbl>
    <w:p>
      <w:pPr>
        <w:spacing w:after="0" w:line="24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b w:val="1"/>
          <w:bCs w:val="1"/>
          <w:i w:val="1"/>
          <w:iCs w:val="1"/>
          <w:color w:val="auto"/>
        </w:rPr>
        <w:t xml:space="preserve">Operating Activities. </w:t>
      </w:r>
      <w:r>
        <w:rPr>
          <w:rFonts w:ascii="Arial" w:cs="Arial" w:eastAsia="Arial" w:hAnsi="Arial"/>
          <w:sz w:val="15"/>
          <w:szCs w:val="15"/>
          <w:color w:val="auto"/>
        </w:rPr>
        <w:t>Cash flow from operations is primarily influenced by changes in the timing of demand for our services and operating margins, but can also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 affected by working capital needs associated with the various types of services we provide. Working capital is affected by changes in total accounts receivable, prepaid expenses and other current assets, accounts payable and payroll tax payments,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nine month period ended September 30, 2022 was $119 million, as compared with approximately $499 million for the same period in 2021, for a decrease in net cash provided by operating activities of approximately $380 million, due primarily to a decrease in net income as well as the effect of working capital changes in assets and liabilities, net, including from our recent acquisitions and from higher levels of purchasing activity to secure inventory and materials components to address concerns resulting from inflation and supply chain disruptions for the nine month period ended September 30, 2022. The above described items, which resulted in a reduction in our operating cash flows, were offset, in part, by increases in certain expenses that reconcile net income to operating cash flows, including amortization of intangible assets.</w:t>
      </w:r>
    </w:p>
    <w:p>
      <w:pPr>
        <w:spacing w:after="0" w:line="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Our days sales outstanding, net of contract liabilities (“DSO”) was 89 as of September 30, 2022. As of December 31, 2021, our DSO was 98, and as adjusted for December 2021 acquisitions, was 77. DSO is calculated as total accounts receivable, net of allowance, less contract liabilities, divided by average daily revenue for the most recently completed quarter as of the balance sheet date. Our DSOs can fluctuate from period to period due to timing of billings, billing terms, collections and settlements, timing of project close-outs and retainage collections, changes in project and customer mix and the effect of working capital initiatives. To provide a representative comparison of our DSOs across periods, for December 31, 2021, we calculated DSO as adjusted for our December 2021 acquisitions. This calculation for December 31, 2021 excludes revenue and accounts receivable, net of allowance, less contract liabilities for our December 2021 acquisitions, given that our consolidated results for the related period do not reflect the full quarter’s revenue for these acquisitions, but our consolidated balance sheet as of December 31, 2021 includes the full amount of related accounts receivable, net of allowance, less contract liabilities. The increase in DSO as of September 30, 2022 as compared with December 31, 2021, as adjusted for our December 2021 acquisitions, was due to timing of ordinary course billing and collection activities and the effect of our recent acquisitions, some of which have a higher DSO than the DSO of our organic operations. Other than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spacing w:after="0" w:line="6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b w:val="1"/>
          <w:bCs w:val="1"/>
          <w:i w:val="1"/>
          <w:iCs w:val="1"/>
          <w:color w:val="auto"/>
        </w:rPr>
        <w:t xml:space="preserve">Investing Activities. </w:t>
      </w:r>
      <w:r>
        <w:rPr>
          <w:rFonts w:ascii="Arial" w:cs="Arial" w:eastAsia="Arial" w:hAnsi="Arial"/>
          <w:sz w:val="15"/>
          <w:szCs w:val="15"/>
          <w:color w:val="auto"/>
        </w:rPr>
        <w:t>Net cash used in investing activities decreased by approximately $475 million to $242 million for the nine month period ended September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2022 from $717 million for the nine month period ended September 30, 2021. We paid $72 million related to acquisitions for the nine month period ended September 30, 2022, in which period we completed four acquisitions, as compared with $605 million for the same period in 2021, in which period we completed eight acquisitions, for an increase of approximately $533 million. Capital expenditures for the nine month period ended September 30, 2022 totaled $213 million, or $166 million, net of asset disposals, as compared with $132 million, or $107 million, net of asset disposals, for the same period in 2021, for an increase in cash used in investing activities of approximately $59 million, due to acceleration of capital expenditures for the nine month period ended September 30, 2022 to address supply chain disruption concerns. Payments for other investments, which relate primarily to investments in certain equity investees as well as payments for split dollar life insurance agreements, decreased from $7 million for the nine month period ended September 30, 2021 to $4 million for the same period in 2022. On October 7, 2022, we completed the acquisition of IEA in a cash and stock transaction. See “Recent Transactions,” above.</w:t>
      </w:r>
    </w:p>
    <w:p>
      <w:pPr>
        <w:spacing w:after="0" w:line="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used in financing activities for the nine month period ended September 30, 2022 was $139 million, as compared with $34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net cash provided by financing activities for the same period in 2021, for an increase in cash used in financing activities of $174 million. The increase in cash used in financing activities was driven primarily by share repurchase, acquisition-related and other financing activities. Share repurchases totaled $81 million for the nine month period ended September 30, 2022, whereas there were no share repurchases for the same period in 2021. Payments of acquisition-related contingent consideration included within financing activities totaled $35 million for the nine month period ended September 30, 2022 as compared with $22 million for the same period in 2021, for an increase in cash used in financing activities of $13 million. Total payments of acquisition-related contingent consideration, including payments in excess of acquisition-date liabilities, which are classified within operating activities, totaled $38 million for the nine month period ended September 30, 2022 as compared with $45 million for the same period in 2021. Additionally, payments for acquisition-related contingent assets related to the December 2021 acquisition of HMG totaled approximately $18 million for the nine month period ended September 30, 2022.</w:t>
      </w:r>
    </w:p>
    <w:p>
      <w:pPr>
        <w:spacing w:after="0" w:line="8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color w:val="auto"/>
        </w:rPr>
        <w:t>Credit Facility activity, net, totaled $148 million of borrowings, net of repayments for the nine month period ended September 30, 2022, as compared with $189 million for the same period in 2021, for a reduction in cash provided by financing activities of approximately $40 million. Payments of finance lease obligations increased by approximately $14 million for the nine month period ended September 30, 2022 as compared with the same period in 2021. Payments for other financing activities, net, which includes amounts paid for other borrowing and transaction-related financing activities, totaled $18 million for the nine month period ended September 30, 2022, as compared with $3 million for the same period in the prior year, for an increase in cash used in financing activities of approximately $16 million. Offsetting the above noted effects of Credit Facility and other financing activities, in the prior year period, we paid approximately $9 million to holders of our non-controlling interests, including $7 million as consideration to acquire 15% of the remaining interests of one of these entities, whereas for the nine month period ended September 30, 2022, we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made no payments.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Credit Facility</w:t>
      </w:r>
    </w:p>
    <w:p>
      <w:pPr>
        <w:spacing w:after="0" w:line="1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have a senior unsecured credit facility (the “Credit Facility”) that matures on November 1, 2026. The Credit Facility was amended on September 1, 2022 to, among other changes, increase the aggregate borrowing commitments from approximately $2.0 billion to $2.3 billion, which amount is composed of $1.9 billion of revolving commitments, an increase of $250 million from the previous Credit Facility, and a Term Loan with an original principal amount of $350 million. The amendment also released the guarantees that existed under the previous Credit Facility and removed the requirement that certain of our subsidiaries guarantee the obligations thereunder. The other terms and conditions of the Credit Facility remain substantially the same. Additionally, the amendment eliminated the use of LIBOR as a basis to determine certain interest rates and transitioned to SOFR for such purposes. Aggregate outstanding borrowings under the Credit Facility as of September 30, 2022 totaled approximately $1.3 billion. Borrowings under the amended Credit Facility are used for working capital requirements, capital expenditures and other corporate purposes, including for acquisitions, equity investments or other strategic arrangements, share repurchases and/or the repurchase or prepayment of indebtedness, including repayment of term loans.</w:t>
      </w:r>
    </w:p>
    <w:p>
      <w:pPr>
        <w:spacing w:after="0" w:line="8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are dependent upon borrowings and letters of credit under our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audited consolidated financial statements included in our 2021 Form 10-K.</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4.50% Senior Notes</w:t>
      </w:r>
    </w:p>
    <w:p>
      <w:pPr>
        <w:spacing w:after="0" w:line="1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have $600 million of 4.50% Senior Notes due August 15, 2028 (the “4.50% Senior Notes”). Pursuant to the terms of the indenture governing the 4.50% Senior Notes, the existing guarantees on the 4.50% Senior Notes were released substantially concurrent with the September 1, 2022 amendment to the Credit Facility, which, as discussed above, released the guarantors under the previous Credit Facility. Prior to the amendment, the 4.50% Senior Notes were fully and unconditionally guaranteed on a senior unsecured, joint and several basis by certain of the Company’s wholly-owned domestic restricted subsidiaries. Additionally, the indenture that governs the 4.50% Senior Notes contains a provision whereby certain restrictions that generally limit the ability of the Company and certain of its subsidiaries to (i) pay dividends, (ii) acquire shares of capital stock and (iii) make certain investments, are permanently terminated upon the 4.50% Senior Notes receiving “investment grade” ratings by Moody’s Investors Service, Inc. and Standard &amp; Poor’s Ratings Group. In the first quarter of 2022, the 4.50% Senior Notes received such investment grade ratings, and, as a result, the aforementioned restrictions were permanently terminated. The other terms and conditions of the 4.50% Senior Notes remain unchanged. The 4.50% Senior Notes are subject to certain provisions and covenants, as more fully described in Note 7 - Debt in the notes to the audited consolidated financial statements included in our 2021 Form 10-K.</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Covenants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in compliance with the provisions and covenants contained in our outstanding debt instruments as of September 30, 2022.</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IEA Acquisition Financing Activities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New Term Loan Facility</w:t>
      </w:r>
    </w:p>
    <w:p>
      <w:pPr>
        <w:spacing w:after="0" w:line="127"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On September 1, 2022, we entered into the New Term Loan Facility, which provided for $700.0 million in term loans, composed of $400.0 million in principal amount of three-year loans and $300.0 million in principal amount of five-year loans, which were drawn on October 7, 2022, the Closing Date of the IEA acquisition.</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6.625% IEA Senior Notes</w:t>
      </w:r>
    </w:p>
    <w:p>
      <w:pPr>
        <w:spacing w:after="0" w:line="1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Upon consummation of the October 2022 acquisition of IEA, we assumed $300 million of IEA’s 6.625% senior unsecured notes that mature on August 15, 2029 (the “6.625% IEA Senior Notes”), of which approximately $74.9 million in principal amount of 6.625% IEA Senior Notes were exchanged for the same principal amount of 6.625% MasTec Senior Notes in a private exchange offer and consent solicitation to certain holders of 6.625% IEA Senior Notes, as described below. Interest on the 6.625% IEA Senior Notes is payable semiannually in arrears on February 15 and August 15 of each year. Prior to the acquisition of IEA by MasTec, the 6.625% IEA Senior Notes were guaranteed by the IEA Guarantors. Effective October 7, 2022, concurrent with the acquisition of IEA and the repayment in full and termination of IEA’s credit facility, which resulted in the release of such guarantors under the prior credit facility, the IEA Guarantors of the 6.625% IEA Senior Notes were automatically and unconditionally released and discharged from their obligations under the IEA Senior Notes Indenture. The 6.625% IEA Senior Notes will be structurally subordinated to all indebtedness and other liabilities, including trade payables, of the Company’s subsidiaries and will be effectively subordinated to any secured indebtedness of the IEA Issuer, to the extent of the value of the collateral securing such indebtedness. Certain restrictions set forth in the indenture governing the 6.625% IEA Senior Notes were suspended in October 2022 following the acquisition of IEA by MasTec because such notes were rated “investment grade” by at least two nationally recognized ratings agencies. These covenants will remain suspended for so long as such investment grade ratings are maintained.</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Exchange Offer and 6.625% MasTec Senior Notes</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In August 2022, we commenced a private exchange offer and consent solicitation to certain holders of the 6.625% IEA Senior Notes for up to an aggregate principal amount of $300.0 million of 6.625% MasTec Senior Notes, conditioned upon completion of the IEA acquisition. On October 26, 2022, approximately $74.9 million in principal amount of 6.625% IEA Senior Notes were exchanged for the same principal amount of 6.625% MasTec Senior Notes. Interest on the 6.625% MasTec Senior Notes is payable semiannually on February 15 and August 15 of each year, commencing on February 15, 2023. The 6.625% MasTec Senior Notes are general senior unsecured obligations of the Company, and rank equal in right of payment with all of the Company’s existing and future senior unsecured indebtedness and senior in right of payment to any of the Company’s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43" w:name="page44"/>
    <w:bookmarkEnd w:id="43"/>
    <w:p>
      <w:pPr>
        <w:jc w:val="both"/>
        <w:ind w:right="20"/>
        <w:spacing w:after="0" w:line="269" w:lineRule="auto"/>
        <w:rPr>
          <w:sz w:val="20"/>
          <w:szCs w:val="20"/>
          <w:color w:val="auto"/>
        </w:rPr>
      </w:pPr>
      <w:r>
        <w:rPr>
          <w:rFonts w:ascii="Arial" w:cs="Arial" w:eastAsia="Arial" w:hAnsi="Arial"/>
          <w:sz w:val="16"/>
          <w:szCs w:val="16"/>
          <w:color w:val="auto"/>
        </w:rPr>
        <w:t>future subordinated indebtedness. The 6.625% MasTec Senior Notes are effectively subordinated to all secured indebtedness of the Company to the extent of the value of the assets securing such indebtedness and are structurally subordinated to all obligations of the subsidiaries of the Company, including trade payables and the 6.625% IEA Senior Notes.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12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See “Recent Transactions,” above, regarding our recent acquisition of IEA and related debt transactions. For detailed discussion and additional information pertaining to our debt instruments and IEA-related financing activities, see Note 7 - Debt in the notes to the consolidated financial statements in this Form 10-Q, which is incorporated by reference, for current period balances and discussion and see Note 7 - Debt in the notes to the audited consolidated financial statements included in our 2021 Form 10-K.</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As is common in our industry, we have entered into certain off-balance sheet arrangements in the ordinary course of business. Our significant off-balance sheet transactions include liabilities associated with non-cancelable operating leases </w:t>
      </w:r>
      <w:r>
        <w:rPr>
          <w:rFonts w:ascii="Arial" w:cs="Arial" w:eastAsia="Arial" w:hAnsi="Arial"/>
          <w:sz w:val="16"/>
          <w:szCs w:val="16"/>
          <w:color w:val="252525"/>
        </w:rPr>
        <w:t>with durations of less than twelve months</w:t>
      </w:r>
      <w:r>
        <w:rPr>
          <w:rFonts w:ascii="Arial" w:cs="Arial" w:eastAsia="Arial" w:hAnsi="Arial"/>
          <w:sz w:val="16"/>
          <w:szCs w:val="16"/>
          <w:color w:val="auto"/>
        </w:rPr>
        <w:t>, letter of credit obligations, surety and performance and payment bonds entered into in the normal course of business, self-insurance liabilities, liabilities associated with multiemployer pension plans, liabilities associated with potential funding obligations and indemnification and/or guarantee arrangements relating to our equity and other investment arrangements, including our variable interest entities. These off-balance sheet arrangements have not had, and are not reasonably likely to have, a material impact on our financial condition, revenues or expenses, results of operations, liquidity, cash requirements or capital resources in the next twelve months or in the foreseeable future. Refer to Note 14 - Commitments and Contingencies, Note 4 - Fair Value of Financial Instruments and Note 15 - Related Party Transactions in the notes to the consolidated financial statements, which are incorporated by reference.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color w:val="auto"/>
        </w:rPr>
        <w:t>Over the last year, inflation, supply chain and labor constraints have had a significant impact on the global economy, including on the construction industry in the United States. The primary inflationary factors directly affecting our operations are labor, fuel and material costs. Inflation has caused an increase in consumer prices, thereby elevating the risk of a recession. At the same time, the labor market remains at historically low levels of unemployment and companies are continuing to look to expand their employee workforces, creating further pressure on the supply of skilled labor. In times of low unemployment and/or high inflation, our labor costs may increase due to shortages in the supply of skilled labor and increases in compensation rates generally. Although most project materials are provided by our customers, increases in the cost of materials could negatively affect the economic viability of our customers’ projects, and accordingly, demand for our services. Material and commodity prices are subject to unexpected fluctuations due to events outside of our control, including fluctuations in global supply and demand, climate-related effects, and geopolitical events, such as the ongoing conflict in Ukraine, which events have recently caused market volatility, particularly in the oil and gas markets, among others. Recent increases in labor, fuel and materials costs, to the extent that we have been unable to pass such increases along to our customers, have negatively affected our project margins, and could continue to affect our profitability in the future if we are unable to pass these costs along to our customers. Such market volatility can also affect our customers’ investment decisions and subject us to project cancellations, deferrals or unexpected changes in the timing of project work. Market prices for goods can also be affected by supply chain disruptions, such as those arising from the effects of the COVID-19 pandemic. Additionally, as discussed within “Interest Rate Risk” below, the current inflationary environment has also resulted in an increase in market interest rates, which has increased the rates of interest on our variable rate debt. We closely monitor inflationary factors, including the current rise in the rate of inflation, and any potential effects they may have on our business operations, operating results and/or financial condition. While the impact of these factors cannot be fully eliminated, we proactively work to mitigate the effects of inflation; however, continued inflationary pressures and related interest rate increases could adversely affect our business operations in the future.</w:t>
      </w:r>
    </w:p>
    <w:p>
      <w:pPr>
        <w:spacing w:after="0" w:line="178" w:lineRule="exact"/>
        <w:rPr>
          <w:sz w:val="20"/>
          <w:szCs w:val="20"/>
          <w:color w:val="auto"/>
        </w:rPr>
      </w:pPr>
    </w:p>
    <w:p>
      <w:pPr>
        <w:ind w:right="4660"/>
        <w:spacing w:after="0" w:line="398" w:lineRule="auto"/>
        <w:rPr>
          <w:sz w:val="20"/>
          <w:szCs w:val="20"/>
          <w:color w:val="auto"/>
        </w:rPr>
      </w:pPr>
      <w:r>
        <w:rPr>
          <w:rFonts w:ascii="Arial" w:cs="Arial" w:eastAsia="Arial" w:hAnsi="Arial"/>
          <w:sz w:val="16"/>
          <w:szCs w:val="16"/>
          <w:b w:val="1"/>
          <w:bCs w:val="1"/>
          <w:color w:val="auto"/>
        </w:rPr>
        <w:t>ITEM 3. QUANTITATIVE AND QUALITATIVE DISCLOSURES ABOUT MARKET RISK Interest Rate Risk</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As of September 30, 2022,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September 30, 2022, we had $921 million aggregate principal amount of outstanding revolving loans under our Credit Facility with a weighted average interest rate of 4.30% and a Term Loan with a balance of $350 million and an interest rate of 4.51%. The current year interest rates for our Credit Facility and Term Loan reflect basis point increases of approximately 290 and 320, respectively, over the comparable period in 2021. In addition, as of the October 2022 closing date of the IEA acquisition, the outstanding principal balance of revolving loans under our Credit Facility has increased and we have $700 million of variable rate loans outstanding under the New Term Loan Facility.</w:t>
      </w:r>
    </w:p>
    <w:p>
      <w:pPr>
        <w:spacing w:after="0" w:line="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Our interest expense is affected by the overall interest rate environment. Our variable rate interest debt subjects us to risk from increases in prevailing interest rates. This risk increases in the current inflationary environment, in which the Federal Reserve has increased interest rates, resulting in an increase in our variable interest rates and related interest expense. We manage interest rate risk by maintaining a mix of fixed and variable rate debt obligations. A 100 basis point increase in the applicable interest rates under our Credit Facility and Term Loan would have increased our interest expense by approximately $10 million for the nine month period ended September 30, 2022.</w:t>
      </w:r>
    </w:p>
    <w:p>
      <w:pPr>
        <w:spacing w:after="0" w:line="9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As of September 30, 2022, our fixed interest rate debt primarily included $600 million aggregate principal amount of 4.50% Senior Notes and $345 million of finance lease obligations, which accrued interest at a weighted average interest rate of approximately 3.6%. In addition, in connection with the IEA acquisition, as of October 2022, we have an additional $300 million in aggregate principal amount of fixed notes bearing interest at 6.625%. None of this debt subjects us to interest rate risk, but we may be subject to changes in interest rates if and when we refinance this debt at maturity or otherwise. See “Recent Transactions” and “IEA Acquisition Financing Activities,” above, for discussion of the October 2022</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acquisition of IEA and related New Term Loan Facility, 6.625% IEA Senior Notes and 6.625% MasTec Senior Notes.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13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Certain of our consolidated revenue and operating expenses are in foreign currencies. Our foreign operations are primarily in Canada. Revenue generated from foreign operations represented 2% of our total revenue for the nine month period ended September 30, 2022.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for the nine month period ended September 30, 2022. Translation gains or losses, which are recorded in other comprehensive income or loss, result from translation of the assets and liabilities of our foreign subsidiaries into U.S. dollars. For the nine month period ended September 30, 2022, foreign currency translation losses, net, totaled approximately $4 million and related to our operations in Canada and Mexico.</w:t>
      </w:r>
    </w:p>
    <w:p>
      <w:pPr>
        <w:spacing w:after="0" w:line="7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September 30, 2022. We may enter into foreign currency derivative contracts in the future to manage such exposure.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Market Risk</w:t>
      </w:r>
    </w:p>
    <w:p>
      <w:pPr>
        <w:spacing w:after="0" w:line="13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September 30, 2022.</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There have been no changes in the Company’s internal control over financial reporting during the quarter ended September 30,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45" w:name="page46"/>
    <w:bookmarkEnd w:id="45"/>
    <w:p>
      <w:pPr>
        <w:spacing w:after="0"/>
        <w:tabs>
          <w:tab w:leader="none" w:pos="820" w:val="left"/>
        </w:tabs>
        <w:rPr>
          <w:sz w:val="20"/>
          <w:szCs w:val="20"/>
          <w:color w:val="auto"/>
        </w:rPr>
      </w:pPr>
      <w:r>
        <w:rPr>
          <w:rFonts w:ascii="Arial" w:cs="Arial" w:eastAsia="Arial" w:hAnsi="Arial"/>
          <w:sz w:val="16"/>
          <w:szCs w:val="16"/>
          <w:b w:val="1"/>
          <w:bCs w:val="1"/>
          <w:color w:val="auto"/>
        </w:rPr>
        <w:t>PART II.</w:t>
        <w:tab/>
        <w:t>OTHER INFORMATION</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w:t>
        <w:tab/>
        <w:t>LEGAL PROCEEDINGS</w:t>
      </w:r>
    </w:p>
    <w:p>
      <w:pPr>
        <w:spacing w:after="0" w:line="131"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Refer to Note 14 - Commitments and Contingencies in the notes to our consolidated financial statements included in this Quarterly Report on Form 10-Q, which is incorporated by reference in this Item 1, for a discussion of any recent material developments related to our legal proceedings since the filing of our 2021 Form 10-K.</w:t>
      </w:r>
    </w:p>
    <w:p>
      <w:pPr>
        <w:spacing w:after="0" w:line="158"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Subject to the potential effects of general economic conditions, including inflation and rising interest rates, and MasTec’s recent acquisition of IEA and the financing thereof, on certain of the risks we normally face in operating our business, including those disclosed in our 2021 Form 10-K, there have been no material changes to either the cautionary statement regarding forward-looking statements or to any of the risk factors disclosed in our 2021 Form 10-K, as updated by our Quarterly Report on Form 10-Q and other filings we make with the SEC.</w:t>
      </w:r>
    </w:p>
    <w:p>
      <w:pPr>
        <w:spacing w:after="0" w:line="88"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b w:val="1"/>
          <w:bCs w:val="1"/>
          <w:i w:val="1"/>
          <w:iCs w:val="1"/>
          <w:color w:val="auto"/>
        </w:rPr>
        <w:t>We are experiencing impacts from inflationary pressures, including with respect to fuel, labor and materials costs, which could adversely impact our profitability and cash flow.</w:t>
      </w:r>
    </w:p>
    <w:p>
      <w:pPr>
        <w:spacing w:after="0" w:line="6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4"/>
          <w:szCs w:val="14"/>
          <w:color w:val="auto"/>
        </w:rPr>
        <w:t>The U.S. economy has entered a period of increasing inflation. We are experiencing, and may continue to experience, the general impact of inflationary market pressures on our business, particularly with respect to fuel, labor and materials costs. The inflationary environment and current general labor shortage has resulted in wage inflation as well as increased competition for skilled labor. It is possible that our labor, fuel and materials costs could continue to increase as we expand our operations and volume of work. We have not been, and may not be able to, fully adjust our contract pricing to compensate for these cost increases, which has affected, and may continue to affect, our profitability and cash flows. Inflationary pressures and related recessionary concerns in light of governmental and central bank efforts to mitigate inflation could also cause uncertainties for our customers and negatively affect their capital expenditure and maintenance budgets. Should inflation persist or increase, interest rates may continue to rise, and inflation overall could have a significant effect on the economy in general, and the construction industry in particular, as well as create volatility in the capital markets, which could adversely affect demand for our services, as well as our profitability and cash flows and/or our ability to obtain financing.</w:t>
      </w:r>
    </w:p>
    <w:p>
      <w:pPr>
        <w:spacing w:after="0" w:line="155"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2.</w:t>
        <w:tab/>
        <w:t>UNREGISTERED SALES OF EQUITY SECURITIES AND USE OF PROCEEDS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Issuer Purchases of Equity Securities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repurchases of our common stock during the quarter ended September 30, 2022:</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jc w:val="center"/>
              <w:ind w:right="24"/>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vMerge w:val="restart"/>
          </w:tcPr>
          <w:p>
            <w:pPr>
              <w:jc w:val="center"/>
              <w:ind w:right="44"/>
              <w:spacing w:after="0" w:line="162" w:lineRule="exact"/>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Average Price</w:t>
            </w: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Purchased as Part of Publicly</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Shares Purchased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Purchased under the Program</w:t>
            </w:r>
          </w:p>
        </w:tc>
        <w:tc>
          <w:tcPr>
            <w:tcW w:w="0" w:type="dxa"/>
            <w:vAlign w:val="bottom"/>
          </w:tcPr>
          <w:p>
            <w:pPr>
              <w:spacing w:after="0"/>
              <w:rPr>
                <w:sz w:val="1"/>
                <w:szCs w:val="1"/>
                <w:color w:val="auto"/>
              </w:rPr>
            </w:pPr>
          </w:p>
        </w:tc>
      </w:tr>
      <w:tr>
        <w:trPr>
          <w:trHeight w:val="108"/>
        </w:trPr>
        <w:tc>
          <w:tcPr>
            <w:tcW w:w="3820" w:type="dxa"/>
            <w:vAlign w:val="bottom"/>
            <w:vMerge w:val="restart"/>
          </w:tcPr>
          <w:p>
            <w:pPr>
              <w:ind w:left="20"/>
              <w:spacing w:after="0" w:line="162" w:lineRule="exact"/>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8"/>
              </w:rPr>
              <w:t>(a)</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jc w:val="right"/>
              <w:ind w:right="19"/>
              <w:spacing w:after="0" w:line="162" w:lineRule="exact"/>
              <w:rPr>
                <w:sz w:val="20"/>
                <w:szCs w:val="20"/>
                <w:color w:val="auto"/>
              </w:rPr>
            </w:pPr>
            <w:r>
              <w:rPr>
                <w:rFonts w:ascii="Arial" w:cs="Arial" w:eastAsia="Arial" w:hAnsi="Arial"/>
                <w:sz w:val="16"/>
                <w:szCs w:val="16"/>
                <w:b w:val="1"/>
                <w:bCs w:val="1"/>
                <w:color w:val="auto"/>
                <w:w w:val="90"/>
              </w:rPr>
              <w:t>Paid per Share</w:t>
            </w:r>
          </w:p>
        </w:tc>
        <w:tc>
          <w:tcPr>
            <w:tcW w:w="120" w:type="dxa"/>
            <w:vAlign w:val="bottom"/>
            <w:vMerge w:val="restart"/>
          </w:tcPr>
          <w:p>
            <w:pPr>
              <w:spacing w:after="0"/>
              <w:rPr>
                <w:sz w:val="9"/>
                <w:szCs w:val="9"/>
                <w:color w:val="auto"/>
              </w:rPr>
            </w:pPr>
          </w:p>
        </w:tc>
        <w:tc>
          <w:tcPr>
            <w:tcW w:w="212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0"/>
              </w:rPr>
              <w:t>Announced Program</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tcPr>
          <w:p>
            <w:pPr>
              <w:jc w:val="center"/>
              <w:ind w:right="44"/>
              <w:spacing w:after="0" w:line="108" w:lineRule="exact"/>
              <w:rPr>
                <w:sz w:val="20"/>
                <w:szCs w:val="20"/>
                <w:color w:val="auto"/>
              </w:rPr>
            </w:pPr>
            <w:r>
              <w:rPr>
                <w:rFonts w:ascii="Arial" w:cs="Arial" w:eastAsia="Arial" w:hAnsi="Arial"/>
                <w:sz w:val="11"/>
                <w:szCs w:val="11"/>
                <w:b w:val="1"/>
                <w:bCs w:val="1"/>
                <w:color w:val="auto"/>
                <w:w w:val="99"/>
              </w:rPr>
              <w:t>(b)</w:t>
            </w:r>
          </w:p>
        </w:tc>
        <w:tc>
          <w:tcPr>
            <w:tcW w:w="0" w:type="dxa"/>
            <w:vAlign w:val="bottom"/>
          </w:tcPr>
          <w:p>
            <w:pPr>
              <w:spacing w:after="0"/>
              <w:rPr>
                <w:sz w:val="1"/>
                <w:szCs w:val="1"/>
                <w:color w:val="auto"/>
              </w:rPr>
            </w:pPr>
          </w:p>
        </w:tc>
      </w:tr>
      <w:tr>
        <w:trPr>
          <w:trHeight w:val="54"/>
        </w:trPr>
        <w:tc>
          <w:tcPr>
            <w:tcW w:w="382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vMerge w:val="continue"/>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vMerge w:val="continue"/>
          </w:tcPr>
          <w:p>
            <w:pPr>
              <w:spacing w:after="0"/>
              <w:rPr>
                <w:sz w:val="4"/>
                <w:szCs w:val="4"/>
                <w:color w:val="auto"/>
              </w:rPr>
            </w:pPr>
          </w:p>
        </w:tc>
        <w:tc>
          <w:tcPr>
            <w:tcW w:w="212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1 through July 31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72.74</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77,326,434</w:t>
            </w:r>
          </w:p>
        </w:tc>
        <w:tc>
          <w:tcPr>
            <w:tcW w:w="0" w:type="dxa"/>
            <w:vAlign w:val="bottom"/>
          </w:tcPr>
          <w:p>
            <w:pPr>
              <w:spacing w:after="0"/>
              <w:rPr>
                <w:sz w:val="1"/>
                <w:szCs w:val="1"/>
                <w:color w:val="auto"/>
              </w:rPr>
            </w:pPr>
          </w:p>
        </w:tc>
      </w:tr>
      <w:tr>
        <w:trPr>
          <w:trHeight w:val="213"/>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August 1 through August 31</w:t>
            </w:r>
          </w:p>
        </w:tc>
        <w:tc>
          <w:tcPr>
            <w:tcW w:w="1360" w:type="dxa"/>
            <w:vAlign w:val="bottom"/>
          </w:tcPr>
          <w:p>
            <w:pPr>
              <w:jc w:val="right"/>
              <w:spacing w:after="0"/>
              <w:rPr>
                <w:sz w:val="20"/>
                <w:szCs w:val="20"/>
                <w:color w:val="auto"/>
              </w:rPr>
            </w:pPr>
            <w:r>
              <w:rPr>
                <w:rFonts w:ascii="Arial" w:cs="Arial" w:eastAsia="Arial" w:hAnsi="Arial"/>
                <w:sz w:val="16"/>
                <w:szCs w:val="16"/>
                <w:color w:val="auto"/>
              </w:rPr>
              <w:t>8,622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82.49</w:t>
            </w:r>
          </w:p>
        </w:tc>
        <w:tc>
          <w:tcPr>
            <w:tcW w:w="120" w:type="dxa"/>
            <w:vAlign w:val="bottom"/>
          </w:tcPr>
          <w:p>
            <w:pPr>
              <w:spacing w:after="0"/>
              <w:rPr>
                <w:sz w:val="18"/>
                <w:szCs w:val="18"/>
                <w:color w:val="auto"/>
              </w:rPr>
            </w:pPr>
          </w:p>
        </w:tc>
        <w:tc>
          <w:tcPr>
            <w:tcW w:w="2120" w:type="dxa"/>
            <w:vAlign w:val="bottom"/>
          </w:tcPr>
          <w:p>
            <w:pPr>
              <w:ind w:left="18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spacing w:after="0"/>
              <w:rPr>
                <w:sz w:val="20"/>
                <w:szCs w:val="20"/>
                <w:color w:val="auto"/>
              </w:rPr>
            </w:pPr>
            <w:r>
              <w:rPr>
                <w:rFonts w:ascii="Arial" w:cs="Arial" w:eastAsia="Arial" w:hAnsi="Arial"/>
                <w:sz w:val="16"/>
                <w:szCs w:val="16"/>
                <w:color w:val="auto"/>
              </w:rPr>
              <w:t>77,326,434</w:t>
            </w:r>
          </w:p>
        </w:tc>
        <w:tc>
          <w:tcPr>
            <w:tcW w:w="0" w:type="dxa"/>
            <w:vAlign w:val="bottom"/>
          </w:tcPr>
          <w:p>
            <w:pPr>
              <w:spacing w:after="0"/>
              <w:rPr>
                <w:sz w:val="1"/>
                <w:szCs w:val="1"/>
                <w:color w:val="auto"/>
              </w:rPr>
            </w:pPr>
          </w:p>
        </w:tc>
      </w:tr>
      <w:tr>
        <w:trPr>
          <w:trHeight w:val="21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1 through September 30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79.26</w:t>
            </w:r>
          </w:p>
        </w:tc>
        <w:tc>
          <w:tcPr>
            <w:tcW w:w="120" w:type="dxa"/>
            <w:vAlign w:val="bottom"/>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ind w:left="18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77,326,434</w:t>
            </w:r>
          </w:p>
        </w:tc>
        <w:tc>
          <w:tcPr>
            <w:tcW w:w="0" w:type="dxa"/>
            <w:vAlign w:val="bottom"/>
          </w:tcPr>
          <w:p>
            <w:pPr>
              <w:spacing w:after="0"/>
              <w:rPr>
                <w:sz w:val="1"/>
                <w:szCs w:val="1"/>
                <w:color w:val="auto"/>
              </w:rPr>
            </w:pPr>
          </w:p>
        </w:tc>
      </w:tr>
      <w:tr>
        <w:trPr>
          <w:trHeight w:val="206"/>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Borders>
              <w:bottom w:val="single" w:sz="8" w:color="auto"/>
            </w:tcBorders>
          </w:tcPr>
          <w:p>
            <w:pPr>
              <w:ind w:left="18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hanging="332"/>
        <w:spacing w:after="0" w:line="293" w:lineRule="auto"/>
        <w:tabs>
          <w:tab w:leader="none" w:pos="337"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8,727, 8,174 and 8,595 shares reacquired by the Company on the open market pursuant to the Amended ESPPs in July, August and September of 2022, respectively, 448 shares withheld for income tax purposes in connection with shares issued under compensation and benefit programs in August of 2022.</w:t>
      </w:r>
    </w:p>
    <w:p>
      <w:pPr>
        <w:spacing w:after="0" w:line="11" w:lineRule="exact"/>
        <w:rPr>
          <w:rFonts w:ascii="Arial" w:cs="Arial" w:eastAsia="Arial" w:hAnsi="Arial"/>
          <w:sz w:val="14"/>
          <w:szCs w:val="14"/>
          <w:color w:val="auto"/>
        </w:rPr>
      </w:pPr>
    </w:p>
    <w:p>
      <w:pPr>
        <w:ind w:left="340" w:hanging="332"/>
        <w:spacing w:after="0" w:line="293" w:lineRule="auto"/>
        <w:tabs>
          <w:tab w:leader="none" w:pos="332"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September 30, 2022, the remaining amount available for share repurchases under our March 2020 $150 million share repurchase program, which was publicly announced on March 19, 2020, totaled $77.3 million.</w:t>
      </w:r>
    </w:p>
    <w:p>
      <w:pPr>
        <w:spacing w:after="0" w:line="165"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4.</w:t>
        <w:tab/>
        <w:t>MINE SAFETY DISCLOSURES</w:t>
      </w:r>
    </w:p>
    <w:p>
      <w:pPr>
        <w:spacing w:after="0" w:line="131" w:lineRule="exact"/>
        <w:rPr>
          <w:sz w:val="20"/>
          <w:szCs w:val="20"/>
          <w:color w:val="auto"/>
        </w:rPr>
      </w:pPr>
    </w:p>
    <w:p>
      <w:pPr>
        <w:ind w:right="20" w:firstLine="648"/>
        <w:spacing w:after="0" w:line="275" w:lineRule="auto"/>
        <w:rPr>
          <w:sz w:val="20"/>
          <w:szCs w:val="20"/>
          <w:color w:val="auto"/>
        </w:rPr>
      </w:pPr>
      <w:r>
        <w:rPr>
          <w:rFonts w:ascii="Arial" w:cs="Arial" w:eastAsia="Arial" w:hAnsi="Arial"/>
          <w:sz w:val="16"/>
          <w:szCs w:val="16"/>
          <w:color w:val="auto"/>
        </w:rPr>
        <w:t>The information concerning mine safety violations or other regulatory matters required by Section 1503(a) of the Dodd-Frank Wall Street Reform and Consumer Protection Act and Item 104 of Regulation S-K is included in Exhibit 95.1 to this Quarterly Report on Form 10-Q.</w:t>
      </w:r>
    </w:p>
    <w:p>
      <w:pPr>
        <w:spacing w:after="0" w:line="182"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5.</w:t>
        <w:tab/>
        <w:t>OTHER INFORMATION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6" w:name="page47"/>
    <w:bookmarkEnd w:id="46"/>
    <w:p>
      <w:pPr>
        <w:spacing w:after="0"/>
        <w:tabs>
          <w:tab w:leader="none" w:pos="740" w:val="left"/>
        </w:tabs>
        <w:rPr>
          <w:sz w:val="20"/>
          <w:szCs w:val="20"/>
          <w:color w:val="auto"/>
        </w:rPr>
      </w:pPr>
      <w:r>
        <w:rPr>
          <w:rFonts w:ascii="Arial" w:cs="Arial" w:eastAsia="Arial" w:hAnsi="Arial"/>
          <w:sz w:val="16"/>
          <w:szCs w:val="16"/>
          <w:b w:val="1"/>
          <w:bCs w:val="1"/>
          <w:color w:val="auto"/>
        </w:rPr>
        <w:t>ITEM 6.</w:t>
        <w:tab/>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 Index below contains a list of exhibits filed or furnished with this Form 10-Q.</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8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9940" w:type="dxa"/>
            <w:vAlign w:val="bottom"/>
            <w:gridSpan w:val="14"/>
          </w:tcPr>
          <w:p>
            <w:pPr>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vMerge w:val="restart"/>
          </w:tcPr>
          <w:p>
            <w:pPr>
              <w:ind w:left="40"/>
              <w:spacing w:after="0"/>
              <w:rPr>
                <w:sz w:val="20"/>
                <w:szCs w:val="20"/>
                <w:color w:val="auto"/>
              </w:rPr>
            </w:pPr>
            <w:r>
              <w:rPr>
                <w:rFonts w:ascii="Arial" w:cs="Arial" w:eastAsia="Arial" w:hAnsi="Arial"/>
                <w:sz w:val="16"/>
                <w:szCs w:val="16"/>
                <w:color w:val="auto"/>
              </w:rPr>
              <w:t>2.1</w:t>
            </w:r>
          </w:p>
        </w:tc>
        <w:tc>
          <w:tcPr>
            <w:tcW w:w="520" w:type="dxa"/>
            <w:vAlign w:val="bottom"/>
          </w:tcPr>
          <w:p>
            <w:pPr>
              <w:spacing w:after="0"/>
              <w:rPr>
                <w:sz w:val="21"/>
                <w:szCs w:val="21"/>
                <w:color w:val="auto"/>
              </w:rPr>
            </w:pPr>
          </w:p>
        </w:tc>
        <w:tc>
          <w:tcPr>
            <w:tcW w:w="9940" w:type="dxa"/>
            <w:vAlign w:val="bottom"/>
            <w:gridSpan w:val="14"/>
          </w:tcPr>
          <w:p>
            <w:pPr>
              <w:spacing w:after="0"/>
              <w:rPr>
                <w:rFonts w:ascii="Arial" w:cs="Arial" w:eastAsia="Arial" w:hAnsi="Arial"/>
                <w:sz w:val="16"/>
                <w:szCs w:val="16"/>
                <w:color w:val="0000FF"/>
                <w:w w:val="98"/>
              </w:rPr>
            </w:pPr>
            <w:hyperlink r:id="rId55">
              <w:r>
                <w:rPr>
                  <w:rFonts w:ascii="Arial" w:cs="Arial" w:eastAsia="Arial" w:hAnsi="Arial"/>
                  <w:sz w:val="16"/>
                  <w:szCs w:val="16"/>
                  <w:color w:val="0000FF"/>
                  <w:w w:val="98"/>
                </w:rPr>
                <w:t>Agreement and Plan of Merger, dated as of July 24, 2022, by and among Infrastructure and Energy Alternatives, Inc., MasTec, Inc. and Indigo</w:t>
              </w:r>
            </w:hyperlink>
          </w:p>
        </w:tc>
        <w:tc>
          <w:tcPr>
            <w:tcW w:w="0" w:type="dxa"/>
            <w:vAlign w:val="bottom"/>
          </w:tcPr>
          <w:p>
            <w:pPr>
              <w:spacing w:after="0"/>
              <w:rPr>
                <w:sz w:val="1"/>
                <w:szCs w:val="1"/>
                <w:color w:val="auto"/>
              </w:rPr>
            </w:pPr>
          </w:p>
        </w:tc>
      </w:tr>
      <w:tr>
        <w:trPr>
          <w:trHeight w:val="142"/>
        </w:trPr>
        <w:tc>
          <w:tcPr>
            <w:tcW w:w="7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900" w:type="dxa"/>
            <w:vAlign w:val="bottom"/>
            <w:tcBorders>
              <w:top w:val="single" w:sz="8" w:color="0000FF"/>
            </w:tcBorders>
            <w:gridSpan w:val="12"/>
          </w:tcPr>
          <w:p>
            <w:pPr>
              <w:spacing w:after="0" w:line="142" w:lineRule="exact"/>
              <w:rPr>
                <w:rFonts w:ascii="Arial" w:cs="Arial" w:eastAsia="Arial" w:hAnsi="Arial"/>
                <w:sz w:val="16"/>
                <w:szCs w:val="16"/>
                <w:color w:val="0000FF"/>
                <w:w w:val="96"/>
              </w:rPr>
            </w:pPr>
            <w:hyperlink r:id="rId55">
              <w:r>
                <w:rPr>
                  <w:rFonts w:ascii="Arial" w:cs="Arial" w:eastAsia="Arial" w:hAnsi="Arial"/>
                  <w:sz w:val="16"/>
                  <w:szCs w:val="16"/>
                  <w:color w:val="0000FF"/>
                  <w:w w:val="96"/>
                </w:rPr>
                <w:t>Acquisition I Corp.</w:t>
              </w:r>
              <w:r>
                <w:rPr>
                  <w:rFonts w:ascii="Arial" w:cs="Arial" w:eastAsia="Arial" w:hAnsi="Arial"/>
                  <w:sz w:val="16"/>
                  <w:szCs w:val="16"/>
                  <w:color w:val="000000"/>
                  <w:w w:val="96"/>
                </w:rPr>
                <w:t>, filed as Exhibit 2.1 to Infrastructure and Energy Alternatives, Inc.’s Current Report on Form 8-K filed with the SEC on July 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auto"/>
                <w:w w:val="78"/>
              </w:rPr>
              <w:t>2022 and incorporated</w:t>
            </w:r>
          </w:p>
        </w:tc>
        <w:tc>
          <w:tcPr>
            <w:tcW w:w="8660" w:type="dxa"/>
            <w:vAlign w:val="bottom"/>
            <w:gridSpan w:val="12"/>
          </w:tcPr>
          <w:p>
            <w:pPr>
              <w:ind w:left="220"/>
              <w:spacing w:after="0"/>
              <w:rPr>
                <w:sz w:val="20"/>
                <w:szCs w:val="20"/>
                <w:color w:val="auto"/>
              </w:rPr>
            </w:pPr>
            <w:r>
              <w:rPr>
                <w:rFonts w:ascii="Arial" w:cs="Arial" w:eastAsia="Arial" w:hAnsi="Arial"/>
                <w:sz w:val="16"/>
                <w:szCs w:val="16"/>
                <w:color w:val="auto"/>
              </w:rPr>
              <w:t>by reference herein.</w:t>
            </w:r>
          </w:p>
        </w:tc>
        <w:tc>
          <w:tcPr>
            <w:tcW w:w="0" w:type="dxa"/>
            <w:vAlign w:val="bottom"/>
          </w:tcPr>
          <w:p>
            <w:pPr>
              <w:spacing w:after="0"/>
              <w:rPr>
                <w:sz w:val="1"/>
                <w:szCs w:val="1"/>
                <w:color w:val="auto"/>
              </w:rPr>
            </w:pPr>
          </w:p>
        </w:tc>
      </w:tr>
      <w:tr>
        <w:trPr>
          <w:trHeight w:val="172"/>
        </w:trPr>
        <w:tc>
          <w:tcPr>
            <w:tcW w:w="760" w:type="dxa"/>
            <w:vAlign w:val="bottom"/>
            <w:vMerge w:val="restart"/>
          </w:tcPr>
          <w:p>
            <w:pPr>
              <w:ind w:left="40"/>
              <w:spacing w:after="0"/>
              <w:rPr>
                <w:sz w:val="20"/>
                <w:szCs w:val="20"/>
                <w:color w:val="auto"/>
              </w:rPr>
            </w:pPr>
            <w:r>
              <w:rPr>
                <w:rFonts w:ascii="Arial" w:cs="Arial" w:eastAsia="Arial" w:hAnsi="Arial"/>
                <w:sz w:val="16"/>
                <w:szCs w:val="16"/>
                <w:color w:val="auto"/>
              </w:rPr>
              <w:t>10.1</w:t>
            </w:r>
          </w:p>
        </w:tc>
        <w:tc>
          <w:tcPr>
            <w:tcW w:w="520" w:type="dxa"/>
            <w:vAlign w:val="bottom"/>
          </w:tcPr>
          <w:p>
            <w:pPr>
              <w:spacing w:after="0"/>
              <w:rPr>
                <w:sz w:val="14"/>
                <w:szCs w:val="14"/>
                <w:color w:val="auto"/>
              </w:rPr>
            </w:pPr>
          </w:p>
        </w:tc>
        <w:tc>
          <w:tcPr>
            <w:tcW w:w="9620" w:type="dxa"/>
            <w:vAlign w:val="bottom"/>
            <w:tcBorders>
              <w:bottom w:val="single" w:sz="8" w:color="0000FF"/>
            </w:tcBorders>
            <w:gridSpan w:val="11"/>
          </w:tcPr>
          <w:p>
            <w:pPr>
              <w:spacing w:after="0" w:line="172" w:lineRule="exact"/>
              <w:rPr>
                <w:rFonts w:ascii="Arial" w:cs="Arial" w:eastAsia="Arial" w:hAnsi="Arial"/>
                <w:sz w:val="16"/>
                <w:szCs w:val="16"/>
                <w:color w:val="0000FF"/>
                <w:w w:val="91"/>
              </w:rPr>
            </w:pPr>
            <w:hyperlink r:id="rId56">
              <w:r>
                <w:rPr>
                  <w:rFonts w:ascii="Arial" w:cs="Arial" w:eastAsia="Arial" w:hAnsi="Arial"/>
                  <w:sz w:val="16"/>
                  <w:szCs w:val="16"/>
                  <w:color w:val="0000FF"/>
                  <w:w w:val="91"/>
                </w:rPr>
                <w:t>Amendment No. 1 to Credit Agreement, dated as of September 1, 2022, by and among MasTec, Inc. and MasTec North America, Inc. as Borrowers,</w:t>
              </w:r>
            </w:hyperlink>
          </w:p>
        </w:tc>
        <w:tc>
          <w:tcPr>
            <w:tcW w:w="3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940" w:type="dxa"/>
            <w:vAlign w:val="bottom"/>
            <w:gridSpan w:val="14"/>
          </w:tcPr>
          <w:p>
            <w:pPr>
              <w:spacing w:after="0" w:line="169" w:lineRule="exact"/>
              <w:rPr>
                <w:rFonts w:ascii="Arial" w:cs="Arial" w:eastAsia="Arial" w:hAnsi="Arial"/>
                <w:sz w:val="16"/>
                <w:szCs w:val="16"/>
                <w:color w:val="0000FF"/>
                <w:w w:val="96"/>
              </w:rPr>
            </w:pPr>
            <w:hyperlink r:id="rId56">
              <w:r>
                <w:rPr>
                  <w:rFonts w:ascii="Arial" w:cs="Arial" w:eastAsia="Arial" w:hAnsi="Arial"/>
                  <w:sz w:val="16"/>
                  <w:szCs w:val="16"/>
                  <w:color w:val="0000FF"/>
                  <w:w w:val="96"/>
                </w:rPr>
                <w:t>Bank of America, N.A., as Administrative Agent, Swing Line Lender and L/C Issuer, and the other lenders party thereto</w:t>
              </w:r>
              <w:r>
                <w:rPr>
                  <w:rFonts w:ascii="Arial" w:cs="Arial" w:eastAsia="Arial" w:hAnsi="Arial"/>
                  <w:sz w:val="16"/>
                  <w:szCs w:val="16"/>
                  <w:color w:val="000000"/>
                  <w:w w:val="96"/>
                </w:rPr>
                <w:t>, filed as Exhibit 10.1 to our</w:t>
              </w:r>
            </w:hyperlink>
          </w:p>
        </w:tc>
        <w:tc>
          <w:tcPr>
            <w:tcW w:w="0" w:type="dxa"/>
            <w:vAlign w:val="bottom"/>
          </w:tcPr>
          <w:p>
            <w:pPr>
              <w:spacing w:after="0"/>
              <w:rPr>
                <w:sz w:val="1"/>
                <w:szCs w:val="1"/>
                <w:color w:val="auto"/>
              </w:rPr>
            </w:pPr>
          </w:p>
        </w:tc>
      </w:tr>
      <w:tr>
        <w:trPr>
          <w:trHeight w:val="200"/>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0" w:type="dxa"/>
            <w:vAlign w:val="bottom"/>
            <w:tcBorders>
              <w:top w:val="single" w:sz="8" w:color="0000FF"/>
            </w:tcBorders>
            <w:gridSpan w:val="10"/>
          </w:tcPr>
          <w:p>
            <w:pPr>
              <w:spacing w:after="0"/>
              <w:rPr>
                <w:sz w:val="20"/>
                <w:szCs w:val="20"/>
                <w:color w:val="auto"/>
              </w:rPr>
            </w:pPr>
            <w:r>
              <w:rPr>
                <w:rFonts w:ascii="Arial" w:cs="Arial" w:eastAsia="Arial" w:hAnsi="Arial"/>
                <w:sz w:val="16"/>
                <w:szCs w:val="16"/>
                <w:color w:val="auto"/>
              </w:rPr>
              <w:t>Current Report on Form 8-K filed with the SEC on September 1, 2022 and incorporated by reference herein.</w:t>
            </w:r>
          </w:p>
        </w:tc>
        <w:tc>
          <w:tcPr>
            <w:tcW w:w="21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0" w:type="dxa"/>
            <w:vAlign w:val="bottom"/>
            <w:vMerge w:val="restart"/>
          </w:tcPr>
          <w:p>
            <w:pPr>
              <w:ind w:left="40"/>
              <w:spacing w:after="0"/>
              <w:rPr>
                <w:sz w:val="20"/>
                <w:szCs w:val="20"/>
                <w:color w:val="auto"/>
              </w:rPr>
            </w:pPr>
            <w:r>
              <w:rPr>
                <w:rFonts w:ascii="Arial" w:cs="Arial" w:eastAsia="Arial" w:hAnsi="Arial"/>
                <w:sz w:val="16"/>
                <w:szCs w:val="16"/>
                <w:color w:val="auto"/>
              </w:rPr>
              <w:t>10.2</w:t>
            </w:r>
          </w:p>
        </w:tc>
        <w:tc>
          <w:tcPr>
            <w:tcW w:w="520" w:type="dxa"/>
            <w:vAlign w:val="bottom"/>
          </w:tcPr>
          <w:p>
            <w:pPr>
              <w:spacing w:after="0"/>
              <w:rPr>
                <w:sz w:val="17"/>
                <w:szCs w:val="17"/>
                <w:color w:val="auto"/>
              </w:rPr>
            </w:pPr>
          </w:p>
        </w:tc>
        <w:tc>
          <w:tcPr>
            <w:tcW w:w="9940" w:type="dxa"/>
            <w:vAlign w:val="bottom"/>
            <w:gridSpan w:val="14"/>
          </w:tcPr>
          <w:p>
            <w:pPr>
              <w:spacing w:after="0"/>
              <w:rPr>
                <w:rFonts w:ascii="Arial" w:cs="Arial" w:eastAsia="Arial" w:hAnsi="Arial"/>
                <w:sz w:val="16"/>
                <w:szCs w:val="16"/>
                <w:color w:val="0000FF"/>
                <w:w w:val="93"/>
              </w:rPr>
            </w:pPr>
            <w:hyperlink r:id="rId57">
              <w:r>
                <w:rPr>
                  <w:rFonts w:ascii="Arial" w:cs="Arial" w:eastAsia="Arial" w:hAnsi="Arial"/>
                  <w:sz w:val="16"/>
                  <w:szCs w:val="16"/>
                  <w:color w:val="0000FF"/>
                  <w:w w:val="93"/>
                </w:rPr>
                <w:t>Term Loan Agreement, dated as of September 1, 2022, by and among MasTec, Inc. and MasTec North America, Inc. as Borrowers, Bank of America,</w:t>
              </w:r>
            </w:hyperlink>
          </w:p>
        </w:tc>
        <w:tc>
          <w:tcPr>
            <w:tcW w:w="0" w:type="dxa"/>
            <w:vAlign w:val="bottom"/>
          </w:tcPr>
          <w:p>
            <w:pPr>
              <w:spacing w:after="0"/>
              <w:rPr>
                <w:sz w:val="1"/>
                <w:szCs w:val="1"/>
                <w:color w:val="auto"/>
              </w:rPr>
            </w:pPr>
          </w:p>
        </w:tc>
      </w:tr>
      <w:tr>
        <w:trPr>
          <w:trHeight w:val="142"/>
        </w:trPr>
        <w:tc>
          <w:tcPr>
            <w:tcW w:w="7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920" w:type="dxa"/>
            <w:vAlign w:val="bottom"/>
            <w:tcBorders>
              <w:top w:val="single" w:sz="8" w:color="0000FF"/>
            </w:tcBorders>
            <w:gridSpan w:val="13"/>
          </w:tcPr>
          <w:p>
            <w:pPr>
              <w:spacing w:after="0" w:line="142" w:lineRule="exact"/>
              <w:rPr>
                <w:rFonts w:ascii="Arial" w:cs="Arial" w:eastAsia="Arial" w:hAnsi="Arial"/>
                <w:sz w:val="16"/>
                <w:szCs w:val="16"/>
                <w:color w:val="0000FF"/>
                <w:w w:val="97"/>
              </w:rPr>
            </w:pPr>
            <w:hyperlink r:id="rId57">
              <w:r>
                <w:rPr>
                  <w:rFonts w:ascii="Arial" w:cs="Arial" w:eastAsia="Arial" w:hAnsi="Arial"/>
                  <w:sz w:val="16"/>
                  <w:szCs w:val="16"/>
                  <w:color w:val="0000FF"/>
                  <w:w w:val="97"/>
                </w:rPr>
                <w:t>N.A., as Administrative Agent, and the other lenders party thereto</w:t>
              </w:r>
              <w:r>
                <w:rPr>
                  <w:rFonts w:ascii="Arial" w:cs="Arial" w:eastAsia="Arial" w:hAnsi="Arial"/>
                  <w:sz w:val="16"/>
                  <w:szCs w:val="16"/>
                  <w:color w:val="000000"/>
                  <w:w w:val="97"/>
                </w:rPr>
                <w:t>, filed as Exhibit 10.2 to our Current Report on Form 8-K filed with the SEC on</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4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auto"/>
              </w:rPr>
              <w:t>September 1, 2022 and incorporated by reference herein.</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6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60" w:type="dxa"/>
            <w:vAlign w:val="bottom"/>
            <w:vMerge w:val="restart"/>
          </w:tcPr>
          <w:p>
            <w:pPr>
              <w:ind w:left="40"/>
              <w:spacing w:after="0"/>
              <w:rPr>
                <w:sz w:val="20"/>
                <w:szCs w:val="20"/>
                <w:color w:val="auto"/>
              </w:rPr>
            </w:pPr>
            <w:r>
              <w:rPr>
                <w:rFonts w:ascii="Arial" w:cs="Arial" w:eastAsia="Arial" w:hAnsi="Arial"/>
                <w:sz w:val="16"/>
                <w:szCs w:val="16"/>
                <w:color w:val="auto"/>
              </w:rPr>
              <w:t>10.3</w:t>
            </w:r>
          </w:p>
        </w:tc>
        <w:tc>
          <w:tcPr>
            <w:tcW w:w="520" w:type="dxa"/>
            <w:vAlign w:val="bottom"/>
          </w:tcPr>
          <w:p>
            <w:pPr>
              <w:spacing w:after="0"/>
              <w:rPr>
                <w:sz w:val="14"/>
                <w:szCs w:val="14"/>
                <w:color w:val="auto"/>
              </w:rPr>
            </w:pPr>
          </w:p>
        </w:tc>
        <w:tc>
          <w:tcPr>
            <w:tcW w:w="9940" w:type="dxa"/>
            <w:vAlign w:val="bottom"/>
            <w:tcBorders>
              <w:bottom w:val="single" w:sz="8" w:color="0000FF"/>
            </w:tcBorders>
            <w:gridSpan w:val="14"/>
          </w:tcPr>
          <w:p>
            <w:pPr>
              <w:spacing w:after="0" w:line="172" w:lineRule="exact"/>
              <w:rPr>
                <w:rFonts w:ascii="Arial" w:cs="Arial" w:eastAsia="Arial" w:hAnsi="Arial"/>
                <w:sz w:val="16"/>
                <w:szCs w:val="16"/>
                <w:color w:val="0000FF"/>
                <w:w w:val="93"/>
              </w:rPr>
            </w:pPr>
            <w:hyperlink r:id="rId58">
              <w:r>
                <w:rPr>
                  <w:rFonts w:ascii="Arial" w:cs="Arial" w:eastAsia="Arial" w:hAnsi="Arial"/>
                  <w:sz w:val="16"/>
                  <w:szCs w:val="16"/>
                  <w:color w:val="0000FF"/>
                  <w:w w:val="93"/>
                </w:rPr>
                <w:t>Indenture, dated as of August 17, 2021, by and among IEA Energy Services LLC, the guarantors party thereto from time to time and Wilmington Trust</w:t>
              </w:r>
            </w:hyperlink>
          </w:p>
        </w:tc>
        <w:tc>
          <w:tcPr>
            <w:tcW w:w="0" w:type="dxa"/>
            <w:vAlign w:val="bottom"/>
          </w:tcPr>
          <w:p>
            <w:pPr>
              <w:spacing w:after="0"/>
              <w:rPr>
                <w:sz w:val="1"/>
                <w:szCs w:val="1"/>
                <w:color w:val="auto"/>
              </w:rPr>
            </w:pPr>
          </w:p>
        </w:tc>
      </w:tr>
      <w:tr>
        <w:trPr>
          <w:trHeight w:val="142"/>
        </w:trPr>
        <w:tc>
          <w:tcPr>
            <w:tcW w:w="7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940" w:type="dxa"/>
            <w:vAlign w:val="bottom"/>
            <w:gridSpan w:val="14"/>
          </w:tcPr>
          <w:p>
            <w:pPr>
              <w:spacing w:after="0" w:line="142" w:lineRule="exact"/>
              <w:rPr>
                <w:rFonts w:ascii="Arial" w:cs="Arial" w:eastAsia="Arial" w:hAnsi="Arial"/>
                <w:sz w:val="16"/>
                <w:szCs w:val="16"/>
                <w:color w:val="0000FF"/>
                <w:w w:val="96"/>
              </w:rPr>
            </w:pPr>
            <w:hyperlink r:id="rId58">
              <w:r>
                <w:rPr>
                  <w:rFonts w:ascii="Arial" w:cs="Arial" w:eastAsia="Arial" w:hAnsi="Arial"/>
                  <w:sz w:val="16"/>
                  <w:szCs w:val="16"/>
                  <w:color w:val="0000FF"/>
                  <w:w w:val="96"/>
                </w:rPr>
                <w:t>National Association, as trustee, governing the 6.625% Senior Notes due 2029</w:t>
              </w:r>
              <w:r>
                <w:rPr>
                  <w:rFonts w:ascii="Arial" w:cs="Arial" w:eastAsia="Arial" w:hAnsi="Arial"/>
                  <w:sz w:val="16"/>
                  <w:szCs w:val="16"/>
                  <w:color w:val="000000"/>
                  <w:w w:val="96"/>
                </w:rPr>
                <w:t>, filed as Exhibit 4.1 to Infrastructure and Energy Alternatives, Inc.’s</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940" w:type="dxa"/>
            <w:vAlign w:val="bottom"/>
            <w:gridSpan w:val="14"/>
          </w:tcPr>
          <w:p>
            <w:pPr>
              <w:spacing w:after="0"/>
              <w:rPr>
                <w:sz w:val="20"/>
                <w:szCs w:val="20"/>
                <w:color w:val="auto"/>
              </w:rPr>
            </w:pPr>
            <w:r>
              <w:rPr>
                <w:rFonts w:ascii="Arial" w:cs="Arial" w:eastAsia="Arial" w:hAnsi="Arial"/>
                <w:sz w:val="16"/>
                <w:szCs w:val="16"/>
                <w:color w:val="auto"/>
              </w:rPr>
              <w:t>Current Report on Form 8-K filed with the SEC on August 17, 2021 and incorporated by reference herein.</w:t>
            </w:r>
          </w:p>
        </w:tc>
        <w:tc>
          <w:tcPr>
            <w:tcW w:w="0" w:type="dxa"/>
            <w:vAlign w:val="bottom"/>
          </w:tcPr>
          <w:p>
            <w:pPr>
              <w:spacing w:after="0"/>
              <w:rPr>
                <w:sz w:val="1"/>
                <w:szCs w:val="1"/>
                <w:color w:val="auto"/>
              </w:rPr>
            </w:pPr>
          </w:p>
        </w:tc>
      </w:tr>
      <w:tr>
        <w:trPr>
          <w:trHeight w:val="172"/>
        </w:trPr>
        <w:tc>
          <w:tcPr>
            <w:tcW w:w="760" w:type="dxa"/>
            <w:vAlign w:val="bottom"/>
          </w:tcPr>
          <w:p>
            <w:pPr>
              <w:ind w:left="40"/>
              <w:spacing w:after="0" w:line="172" w:lineRule="exact"/>
              <w:rPr>
                <w:sz w:val="20"/>
                <w:szCs w:val="20"/>
                <w:color w:val="auto"/>
              </w:rPr>
            </w:pPr>
            <w:r>
              <w:rPr>
                <w:rFonts w:ascii="Arial" w:cs="Arial" w:eastAsia="Arial" w:hAnsi="Arial"/>
                <w:sz w:val="16"/>
                <w:szCs w:val="16"/>
                <w:color w:val="auto"/>
              </w:rPr>
              <w:t>31.1*</w:t>
            </w:r>
          </w:p>
        </w:tc>
        <w:tc>
          <w:tcPr>
            <w:tcW w:w="520" w:type="dxa"/>
            <w:vAlign w:val="bottom"/>
          </w:tcPr>
          <w:p>
            <w:pPr>
              <w:spacing w:after="0"/>
              <w:rPr>
                <w:sz w:val="14"/>
                <w:szCs w:val="14"/>
                <w:color w:val="auto"/>
              </w:rPr>
            </w:pPr>
          </w:p>
        </w:tc>
        <w:tc>
          <w:tcPr>
            <w:tcW w:w="5020" w:type="dxa"/>
            <w:vAlign w:val="bottom"/>
            <w:tcBorders>
              <w:bottom w:val="single" w:sz="8" w:color="0000FF"/>
            </w:tcBorders>
            <w:gridSpan w:val="8"/>
          </w:tcPr>
          <w:p>
            <w:pPr>
              <w:spacing w:after="0" w:line="172" w:lineRule="exact"/>
              <w:rPr>
                <w:sz w:val="20"/>
                <w:szCs w:val="20"/>
                <w:color w:val="auto"/>
              </w:rPr>
            </w:pPr>
            <w:r>
              <w:rPr>
                <w:rFonts w:ascii="Arial" w:cs="Arial" w:eastAsia="Arial" w:hAnsi="Arial"/>
                <w:sz w:val="16"/>
                <w:szCs w:val="16"/>
                <w:color w:val="0000FF"/>
                <w:w w:val="92"/>
              </w:rPr>
              <w:t>Certifications required by Section 302(a) of the Sarbanes-Oxley Act of 2002.</w:t>
            </w:r>
          </w:p>
        </w:tc>
        <w:tc>
          <w:tcPr>
            <w:tcW w:w="49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0" w:type="dxa"/>
            <w:vAlign w:val="bottom"/>
          </w:tcPr>
          <w:p>
            <w:pPr>
              <w:ind w:left="40"/>
              <w:spacing w:after="0"/>
              <w:rPr>
                <w:sz w:val="20"/>
                <w:szCs w:val="20"/>
                <w:color w:val="auto"/>
              </w:rPr>
            </w:pPr>
            <w:r>
              <w:rPr>
                <w:rFonts w:ascii="Arial" w:cs="Arial" w:eastAsia="Arial" w:hAnsi="Arial"/>
                <w:sz w:val="16"/>
                <w:szCs w:val="16"/>
                <w:color w:val="auto"/>
              </w:rPr>
              <w:t>31.2*</w:t>
            </w:r>
          </w:p>
        </w:tc>
        <w:tc>
          <w:tcPr>
            <w:tcW w:w="520" w:type="dxa"/>
            <w:vAlign w:val="bottom"/>
          </w:tcPr>
          <w:p>
            <w:pPr>
              <w:spacing w:after="0"/>
              <w:rPr>
                <w:sz w:val="17"/>
                <w:szCs w:val="17"/>
                <w:color w:val="auto"/>
              </w:rPr>
            </w:pPr>
          </w:p>
        </w:tc>
        <w:tc>
          <w:tcPr>
            <w:tcW w:w="9940" w:type="dxa"/>
            <w:vAlign w:val="bottom"/>
            <w:gridSpan w:val="14"/>
          </w:tcPr>
          <w:p>
            <w:pPr>
              <w:spacing w:after="0"/>
              <w:rPr>
                <w:sz w:val="20"/>
                <w:szCs w:val="20"/>
                <w:color w:val="auto"/>
              </w:rPr>
            </w:pPr>
            <w:r>
              <w:rPr>
                <w:rFonts w:ascii="Arial" w:cs="Arial" w:eastAsia="Arial" w:hAnsi="Arial"/>
                <w:sz w:val="16"/>
                <w:szCs w:val="16"/>
                <w:color w:val="0000FF"/>
              </w:rPr>
              <w:t>Certifications required by Section 302(a) of the Sarbanes-Oxley Act of 2002.</w:t>
            </w:r>
          </w:p>
        </w:tc>
        <w:tc>
          <w:tcPr>
            <w:tcW w:w="0" w:type="dxa"/>
            <w:vAlign w:val="bottom"/>
          </w:tcPr>
          <w:p>
            <w:pPr>
              <w:spacing w:after="0"/>
              <w:rPr>
                <w:sz w:val="1"/>
                <w:szCs w:val="1"/>
                <w:color w:val="auto"/>
              </w:rPr>
            </w:pPr>
          </w:p>
        </w:tc>
      </w:tr>
      <w:tr>
        <w:trPr>
          <w:trHeight w:val="196"/>
        </w:trPr>
        <w:tc>
          <w:tcPr>
            <w:tcW w:w="760" w:type="dxa"/>
            <w:vAlign w:val="bottom"/>
          </w:tcPr>
          <w:p>
            <w:pPr>
              <w:ind w:left="40"/>
              <w:spacing w:after="0"/>
              <w:rPr>
                <w:sz w:val="20"/>
                <w:szCs w:val="20"/>
                <w:color w:val="auto"/>
              </w:rPr>
            </w:pPr>
            <w:r>
              <w:rPr>
                <w:rFonts w:ascii="Arial" w:cs="Arial" w:eastAsia="Arial" w:hAnsi="Arial"/>
                <w:sz w:val="16"/>
                <w:szCs w:val="16"/>
                <w:color w:val="auto"/>
              </w:rPr>
              <w:t>32.1**</w:t>
            </w:r>
          </w:p>
        </w:tc>
        <w:tc>
          <w:tcPr>
            <w:tcW w:w="520" w:type="dxa"/>
            <w:vAlign w:val="bottom"/>
          </w:tcPr>
          <w:p>
            <w:pPr>
              <w:spacing w:after="0"/>
              <w:rPr>
                <w:sz w:val="17"/>
                <w:szCs w:val="17"/>
                <w:color w:val="auto"/>
              </w:rPr>
            </w:pPr>
          </w:p>
        </w:tc>
        <w:tc>
          <w:tcPr>
            <w:tcW w:w="48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w w:val="92"/>
              </w:rPr>
              <w:t>Certifications required by Section 906 of the Sarbanes-Oxley Act of 2002.</w:t>
            </w:r>
          </w:p>
        </w:tc>
        <w:tc>
          <w:tcPr>
            <w:tcW w:w="160" w:type="dxa"/>
            <w:vAlign w:val="bottom"/>
            <w:tcBorders>
              <w:top w:val="single" w:sz="8" w:color="0000FF"/>
            </w:tcBorders>
          </w:tcPr>
          <w:p>
            <w:pPr>
              <w:spacing w:after="0"/>
              <w:rPr>
                <w:sz w:val="17"/>
                <w:szCs w:val="17"/>
                <w:color w:val="auto"/>
              </w:rPr>
            </w:pPr>
          </w:p>
        </w:tc>
        <w:tc>
          <w:tcPr>
            <w:tcW w:w="49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ind w:left="40"/>
              <w:spacing w:after="0"/>
              <w:rPr>
                <w:sz w:val="20"/>
                <w:szCs w:val="20"/>
                <w:color w:val="auto"/>
              </w:rPr>
            </w:pPr>
            <w:r>
              <w:rPr>
                <w:rFonts w:ascii="Arial" w:cs="Arial" w:eastAsia="Arial" w:hAnsi="Arial"/>
                <w:sz w:val="16"/>
                <w:szCs w:val="16"/>
                <w:color w:val="auto"/>
              </w:rPr>
              <w:t>32.2**</w:t>
            </w:r>
          </w:p>
        </w:tc>
        <w:tc>
          <w:tcPr>
            <w:tcW w:w="520" w:type="dxa"/>
            <w:vAlign w:val="bottom"/>
          </w:tcPr>
          <w:p>
            <w:pPr>
              <w:spacing w:after="0"/>
              <w:rPr>
                <w:sz w:val="17"/>
                <w:szCs w:val="17"/>
                <w:color w:val="auto"/>
              </w:rPr>
            </w:pPr>
          </w:p>
        </w:tc>
        <w:tc>
          <w:tcPr>
            <w:tcW w:w="9940" w:type="dxa"/>
            <w:vAlign w:val="bottom"/>
            <w:gridSpan w:val="14"/>
          </w:tcPr>
          <w:p>
            <w:pPr>
              <w:spacing w:after="0"/>
              <w:rPr>
                <w:sz w:val="20"/>
                <w:szCs w:val="20"/>
                <w:color w:val="auto"/>
              </w:rPr>
            </w:pPr>
            <w:r>
              <w:rPr>
                <w:rFonts w:ascii="Arial" w:cs="Arial" w:eastAsia="Arial" w:hAnsi="Arial"/>
                <w:sz w:val="16"/>
                <w:szCs w:val="16"/>
                <w:color w:val="0000FF"/>
              </w:rPr>
              <w:t>Certifications required by Section 906 of the Sarbanes-Oxley Act of 2002.</w:t>
            </w:r>
          </w:p>
        </w:tc>
        <w:tc>
          <w:tcPr>
            <w:tcW w:w="0" w:type="dxa"/>
            <w:vAlign w:val="bottom"/>
          </w:tcPr>
          <w:p>
            <w:pPr>
              <w:spacing w:after="0"/>
              <w:rPr>
                <w:sz w:val="1"/>
                <w:szCs w:val="1"/>
                <w:color w:val="auto"/>
              </w:rPr>
            </w:pPr>
          </w:p>
        </w:tc>
      </w:tr>
      <w:tr>
        <w:trPr>
          <w:trHeight w:val="196"/>
        </w:trPr>
        <w:tc>
          <w:tcPr>
            <w:tcW w:w="760" w:type="dxa"/>
            <w:vAlign w:val="bottom"/>
          </w:tcPr>
          <w:p>
            <w:pPr>
              <w:ind w:left="40"/>
              <w:spacing w:after="0"/>
              <w:rPr>
                <w:sz w:val="20"/>
                <w:szCs w:val="20"/>
                <w:color w:val="auto"/>
              </w:rPr>
            </w:pPr>
            <w:r>
              <w:rPr>
                <w:rFonts w:ascii="Arial" w:cs="Arial" w:eastAsia="Arial" w:hAnsi="Arial"/>
                <w:sz w:val="16"/>
                <w:szCs w:val="16"/>
                <w:color w:val="auto"/>
              </w:rPr>
              <w:t>95.1*</w:t>
            </w:r>
          </w:p>
        </w:tc>
        <w:tc>
          <w:tcPr>
            <w:tcW w:w="520" w:type="dxa"/>
            <w:vAlign w:val="bottom"/>
          </w:tcPr>
          <w:p>
            <w:pPr>
              <w:spacing w:after="0"/>
              <w:rPr>
                <w:sz w:val="17"/>
                <w:szCs w:val="17"/>
                <w:color w:val="auto"/>
              </w:rPr>
            </w:pPr>
          </w:p>
        </w:tc>
        <w:tc>
          <w:tcPr>
            <w:tcW w:w="15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92"/>
              </w:rPr>
              <w:t>Mine Safety Disclosure.</w:t>
            </w:r>
          </w:p>
        </w:tc>
        <w:tc>
          <w:tcPr>
            <w:tcW w:w="3240" w:type="dxa"/>
            <w:vAlign w:val="bottom"/>
            <w:tcBorders>
              <w:top w:val="single" w:sz="8" w:color="0000FF"/>
            </w:tcBorders>
            <w:gridSpan w:val="2"/>
          </w:tcPr>
          <w:p>
            <w:pPr>
              <w:spacing w:after="0"/>
              <w:rPr>
                <w:sz w:val="17"/>
                <w:szCs w:val="17"/>
                <w:color w:val="auto"/>
              </w:rPr>
            </w:pPr>
          </w:p>
        </w:tc>
        <w:tc>
          <w:tcPr>
            <w:tcW w:w="51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940" w:type="dxa"/>
            <w:vAlign w:val="bottom"/>
            <w:gridSpan w:val="14"/>
          </w:tcPr>
          <w:p>
            <w:pPr>
              <w:spacing w:after="0" w:line="119" w:lineRule="exact"/>
              <w:rPr>
                <w:sz w:val="20"/>
                <w:szCs w:val="20"/>
                <w:color w:val="auto"/>
              </w:rPr>
            </w:pPr>
            <w:r>
              <w:rPr>
                <w:rFonts w:ascii="Arial" w:cs="Arial" w:eastAsia="Arial" w:hAnsi="Arial"/>
                <w:sz w:val="13"/>
                <w:szCs w:val="13"/>
                <w:color w:val="auto"/>
              </w:rPr>
              <w:t>Inline 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900" w:type="dxa"/>
            <w:vAlign w:val="bottom"/>
          </w:tcPr>
          <w:p>
            <w:pPr>
              <w:spacing w:after="0"/>
              <w:rPr>
                <w:sz w:val="20"/>
                <w:szCs w:val="20"/>
                <w:color w:val="auto"/>
              </w:rPr>
            </w:pPr>
            <w:r>
              <w:rPr>
                <w:rFonts w:ascii="Arial" w:cs="Arial" w:eastAsia="Arial" w:hAnsi="Arial"/>
                <w:sz w:val="16"/>
                <w:szCs w:val="16"/>
                <w:color w:val="auto"/>
              </w:rPr>
              <w:t>101.INS</w:t>
            </w:r>
          </w:p>
        </w:tc>
        <w:tc>
          <w:tcPr>
            <w:tcW w:w="1920" w:type="dxa"/>
            <w:vAlign w:val="bottom"/>
            <w:vMerge w:val="restart"/>
          </w:tcPr>
          <w:p>
            <w:pPr>
              <w:ind w:left="340"/>
              <w:spacing w:after="0"/>
              <w:rPr>
                <w:sz w:val="20"/>
                <w:szCs w:val="20"/>
                <w:color w:val="auto"/>
              </w:rPr>
            </w:pPr>
            <w:r>
              <w:rPr>
                <w:rFonts w:ascii="Arial" w:cs="Arial" w:eastAsia="Arial" w:hAnsi="Arial"/>
                <w:sz w:val="16"/>
                <w:szCs w:val="16"/>
                <w:color w:val="auto"/>
                <w:w w:val="95"/>
              </w:rPr>
              <w:t>Inline XBRL document.</w:t>
            </w:r>
          </w:p>
        </w:tc>
        <w:tc>
          <w:tcPr>
            <w:tcW w:w="0" w:type="dxa"/>
            <w:vAlign w:val="bottom"/>
          </w:tcPr>
          <w:p>
            <w:pPr>
              <w:spacing w:after="0"/>
              <w:rPr>
                <w:sz w:val="1"/>
                <w:szCs w:val="1"/>
                <w:color w:val="auto"/>
              </w:rPr>
            </w:pPr>
          </w:p>
        </w:tc>
      </w:tr>
      <w:tr>
        <w:trPr>
          <w:trHeight w:val="67"/>
        </w:trPr>
        <w:tc>
          <w:tcPr>
            <w:tcW w:w="90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sectPr>
          <w:pgSz w:w="11900" w:h="16838" w:orient="portrait"/>
          <w:cols w:equalWidth="0" w:num="1">
            <w:col w:w="11220"/>
          </w:cols>
          <w:pgMar w:left="320" w:top="1111" w:right="359" w:bottom="1440" w:gutter="0" w:footer="0" w:header="0"/>
        </w:sectPr>
      </w:pPr>
    </w:p>
    <w:p>
      <w:pPr>
        <w:ind w:left="60"/>
        <w:spacing w:after="0"/>
        <w:rPr>
          <w:sz w:val="20"/>
          <w:szCs w:val="20"/>
          <w:color w:val="auto"/>
        </w:rPr>
      </w:pPr>
      <w:r>
        <w:rPr>
          <w:rFonts w:ascii="Arial" w:cs="Arial" w:eastAsia="Arial" w:hAnsi="Arial"/>
          <w:sz w:val="16"/>
          <w:szCs w:val="16"/>
          <w:color w:val="auto"/>
        </w:rPr>
        <w:t>101.SCH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101.CAL</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101.DEF</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101.LAB</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101.PRE</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104</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Schema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Calculation Linkbase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Definition Linkbase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Label Linkbase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w:t>
      </w:r>
    </w:p>
    <w:p>
      <w:pPr>
        <w:spacing w:after="0" w:line="32" w:lineRule="exact"/>
        <w:rPr>
          <w:sz w:val="20"/>
          <w:szCs w:val="20"/>
          <w:color w:val="auto"/>
        </w:rPr>
      </w:pPr>
    </w:p>
    <w:p>
      <w:pPr>
        <w:ind w:right="160"/>
        <w:spacing w:after="0"/>
        <w:rPr>
          <w:sz w:val="20"/>
          <w:szCs w:val="20"/>
          <w:color w:val="auto"/>
        </w:rPr>
      </w:pPr>
      <w:r>
        <w:rPr>
          <w:rFonts w:ascii="Arial" w:cs="Arial" w:eastAsia="Arial" w:hAnsi="Arial"/>
          <w:sz w:val="16"/>
          <w:szCs w:val="16"/>
          <w:color w:val="auto"/>
        </w:rPr>
        <w:t>The cover page of MasTec, Inc.’s Quarterly Report on Form 10-Q for the quarter ended September 30, 2022, formatted in Inline XBRL (included with the Exhibit 101 attachments).</w:t>
      </w:r>
    </w:p>
    <w:p>
      <w:pPr>
        <w:spacing w:after="0" w:line="325" w:lineRule="exact"/>
        <w:rPr>
          <w:sz w:val="20"/>
          <w:szCs w:val="20"/>
          <w:color w:val="auto"/>
        </w:rPr>
      </w:pPr>
    </w:p>
    <w:p>
      <w:pPr>
        <w:sectPr>
          <w:pgSz w:w="11900" w:h="16838" w:orient="portrait"/>
          <w:cols w:equalWidth="0" w:num="2">
            <w:col w:w="1140" w:space="160"/>
            <w:col w:w="9920"/>
          </w:cols>
          <w:pgMar w:left="320" w:top="1111" w:right="359" w:bottom="1440" w:gutter="0" w:footer="0" w:header="0"/>
          <w:type w:val="continuous"/>
        </w:sect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Filed herewith.</w:t>
      </w:r>
    </w:p>
    <w:p>
      <w:pPr>
        <w:spacing w:after="0" w:line="28"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type w:val="continuous"/>
        </w:sectPr>
      </w:pPr>
    </w:p>
    <w:bookmarkStart w:id="47" w:name="page48"/>
    <w:bookmarkEnd w:id="47"/>
    <w:p>
      <w:pPr>
        <w:jc w:val="center"/>
        <w:ind w:right="320"/>
        <w:spacing w:after="0"/>
        <w:rPr>
          <w:sz w:val="20"/>
          <w:szCs w:val="20"/>
          <w:color w:val="auto"/>
        </w:rPr>
      </w:pPr>
      <w:r>
        <w:rPr>
          <w:rFonts w:ascii="Arial" w:cs="Arial" w:eastAsia="Arial" w:hAnsi="Arial"/>
          <w:sz w:val="16"/>
          <w:szCs w:val="16"/>
          <w:b w:val="1"/>
          <w:bCs w:val="1"/>
          <w:color w:val="auto"/>
        </w:rPr>
        <w:t>SIGNATURES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66"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MASTEC, INC.</w:t>
      </w:r>
    </w:p>
    <w:p>
      <w:pPr>
        <w:spacing w:after="0" w:line="32"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6"/>
          <w:szCs w:val="16"/>
          <w:color w:val="auto"/>
        </w:rPr>
        <w:t>Date:</w:t>
        <w:tab/>
        <w:t>November 3, 2022</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17780</wp:posOffset>
            </wp:positionV>
            <wp:extent cx="29660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José R. Mas</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(Principal Executive Officer)</w:t>
      </w:r>
    </w:p>
    <w:p>
      <w:pPr>
        <w:spacing w:after="0" w:line="30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17780</wp:posOffset>
            </wp:positionV>
            <wp:extent cx="29660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George L. Pita</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113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I, José R. Mas, certify that: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248"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13"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sz w:val="20"/>
          <w:szCs w:val="20"/>
          <w:color w:val="auto"/>
        </w:rPr>
      </w:pPr>
    </w:p>
    <w:p>
      <w:pPr>
        <w:ind w:left="980" w:hanging="486"/>
        <w:spacing w:after="0" w:line="269" w:lineRule="auto"/>
        <w:tabs>
          <w:tab w:leader="none" w:pos="864"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04" w:lineRule="exact"/>
        <w:rPr>
          <w:rFonts w:ascii="Arial" w:cs="Arial" w:eastAsia="Arial" w:hAnsi="Arial"/>
          <w:sz w:val="16"/>
          <w:szCs w:val="16"/>
          <w:color w:val="auto"/>
        </w:rPr>
      </w:pPr>
    </w:p>
    <w:p>
      <w:pPr>
        <w:ind w:left="980" w:hanging="486"/>
        <w:spacing w:after="0" w:line="269" w:lineRule="auto"/>
        <w:tabs>
          <w:tab w:leader="none" w:pos="803"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Arial" w:cs="Arial" w:eastAsia="Arial" w:hAnsi="Arial"/>
          <w:sz w:val="16"/>
          <w:szCs w:val="16"/>
          <w:color w:val="auto"/>
        </w:rPr>
      </w:pPr>
    </w:p>
    <w:p>
      <w:pPr>
        <w:ind w:left="980" w:hanging="486"/>
        <w:spacing w:after="0" w:line="275" w:lineRule="auto"/>
        <w:tabs>
          <w:tab w:leader="none" w:pos="788"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980" w:hanging="486"/>
        <w:spacing w:after="0" w:line="328" w:lineRule="auto"/>
        <w:tabs>
          <w:tab w:leader="none" w:pos="826" w:val="left"/>
        </w:tabs>
        <w:numPr>
          <w:ilvl w:val="0"/>
          <w:numId w:val="17"/>
        </w:numPr>
        <w:rPr>
          <w:rFonts w:ascii="Arial" w:cs="Arial" w:eastAsia="Arial" w:hAnsi="Arial"/>
          <w:sz w:val="15"/>
          <w:szCs w:val="15"/>
          <w:color w:val="auto"/>
        </w:rPr>
      </w:pPr>
      <w:r>
        <w:rPr>
          <w:rFonts w:ascii="Arial" w:cs="Arial" w:eastAsia="Arial" w:hAnsi="Arial"/>
          <w:sz w:val="15"/>
          <w:szCs w:val="15"/>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sz w:val="20"/>
          <w:szCs w:val="20"/>
          <w:color w:val="auto"/>
        </w:rPr>
      </w:pPr>
    </w:p>
    <w:p>
      <w:pPr>
        <w:ind w:left="980" w:hanging="486"/>
        <w:spacing w:after="0" w:line="275" w:lineRule="auto"/>
        <w:tabs>
          <w:tab w:leader="none" w:pos="87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6"/>
          <w:szCs w:val="16"/>
          <w:color w:val="auto"/>
        </w:rPr>
      </w:pPr>
    </w:p>
    <w:p>
      <w:pPr>
        <w:ind w:left="980" w:hanging="486"/>
        <w:spacing w:after="0" w:line="275" w:lineRule="auto"/>
        <w:tabs>
          <w:tab w:leader="none" w:pos="812"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3, 2022</w:t>
      </w:r>
    </w:p>
    <w:p>
      <w:pPr>
        <w:spacing w:after="0" w:line="30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w:t>
      </w:r>
      <w:r>
        <w:rPr>
          <w:rFonts w:ascii="Arial" w:cs="Arial" w:eastAsia="Arial" w:hAnsi="Arial"/>
          <w:sz w:val="16"/>
          <w:szCs w:val="16"/>
          <w:i w:val="1"/>
          <w:iCs w:val="1"/>
          <w:color w:val="auto"/>
        </w:rPr>
        <w:t>/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17780</wp:posOffset>
            </wp:positionV>
            <wp:extent cx="26574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18"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José R. Mas</w:t>
      </w:r>
    </w:p>
    <w:p>
      <w:pPr>
        <w:ind w:left="5000"/>
        <w:spacing w:after="0" w:line="211" w:lineRule="auto"/>
        <w:rPr>
          <w:sz w:val="20"/>
          <w:szCs w:val="20"/>
          <w:color w:val="auto"/>
        </w:rPr>
      </w:pPr>
      <w:r>
        <w:rPr>
          <w:rFonts w:ascii="Arial" w:cs="Arial" w:eastAsia="Arial" w:hAnsi="Arial"/>
          <w:sz w:val="16"/>
          <w:szCs w:val="16"/>
          <w:color w:val="auto"/>
        </w:rPr>
        <w:t>Chief Executive Officer</w:t>
      </w:r>
    </w:p>
    <w:p>
      <w:pPr>
        <w:ind w:left="500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89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I, George L. Pita, certify that: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24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13"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sz w:val="20"/>
          <w:szCs w:val="20"/>
          <w:color w:val="auto"/>
        </w:rPr>
      </w:pPr>
    </w:p>
    <w:p>
      <w:pPr>
        <w:ind w:left="980" w:hanging="486"/>
        <w:spacing w:after="0" w:line="269" w:lineRule="auto"/>
        <w:tabs>
          <w:tab w:leader="none" w:pos="8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04" w:lineRule="exact"/>
        <w:rPr>
          <w:rFonts w:ascii="Arial" w:cs="Arial" w:eastAsia="Arial" w:hAnsi="Arial"/>
          <w:sz w:val="16"/>
          <w:szCs w:val="16"/>
          <w:color w:val="auto"/>
        </w:rPr>
      </w:pPr>
    </w:p>
    <w:p>
      <w:pPr>
        <w:ind w:left="980" w:hanging="486"/>
        <w:spacing w:after="0" w:line="269" w:lineRule="auto"/>
        <w:tabs>
          <w:tab w:leader="none" w:pos="803"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Arial" w:cs="Arial" w:eastAsia="Arial" w:hAnsi="Arial"/>
          <w:sz w:val="16"/>
          <w:szCs w:val="16"/>
          <w:color w:val="auto"/>
        </w:rPr>
      </w:pPr>
    </w:p>
    <w:p>
      <w:pPr>
        <w:ind w:left="980" w:hanging="486"/>
        <w:spacing w:after="0" w:line="275" w:lineRule="auto"/>
        <w:tabs>
          <w:tab w:leader="none" w:pos="788"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980" w:hanging="486"/>
        <w:spacing w:after="0" w:line="328" w:lineRule="auto"/>
        <w:tabs>
          <w:tab w:leader="none" w:pos="826" w:val="left"/>
        </w:tabs>
        <w:numPr>
          <w:ilvl w:val="0"/>
          <w:numId w:val="19"/>
        </w:numPr>
        <w:rPr>
          <w:rFonts w:ascii="Arial" w:cs="Arial" w:eastAsia="Arial" w:hAnsi="Arial"/>
          <w:sz w:val="15"/>
          <w:szCs w:val="15"/>
          <w:color w:val="auto"/>
        </w:rPr>
      </w:pPr>
      <w:r>
        <w:rPr>
          <w:rFonts w:ascii="Arial" w:cs="Arial" w:eastAsia="Arial" w:hAnsi="Arial"/>
          <w:sz w:val="15"/>
          <w:szCs w:val="15"/>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sz w:val="20"/>
          <w:szCs w:val="20"/>
          <w:color w:val="auto"/>
        </w:rPr>
      </w:pPr>
    </w:p>
    <w:p>
      <w:pPr>
        <w:ind w:left="980" w:hanging="486"/>
        <w:spacing w:after="0" w:line="275" w:lineRule="auto"/>
        <w:tabs>
          <w:tab w:leader="none" w:pos="87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6"/>
          <w:szCs w:val="16"/>
          <w:color w:val="auto"/>
        </w:rPr>
      </w:pPr>
    </w:p>
    <w:p>
      <w:pPr>
        <w:ind w:left="980" w:hanging="486"/>
        <w:spacing w:after="0" w:line="275" w:lineRule="auto"/>
        <w:tabs>
          <w:tab w:leader="none" w:pos="812"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3, 2022</w:t>
      </w:r>
    </w:p>
    <w:p>
      <w:pPr>
        <w:spacing w:after="0" w:line="302" w:lineRule="exact"/>
        <w:rPr>
          <w:sz w:val="20"/>
          <w:szCs w:val="20"/>
          <w:color w:val="auto"/>
        </w:rPr>
      </w:pPr>
    </w:p>
    <w:p>
      <w:pPr>
        <w:ind w:left="500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17780</wp:posOffset>
            </wp:positionV>
            <wp:extent cx="27514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8"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George L. Pita</w:t>
      </w:r>
    </w:p>
    <w:p>
      <w:pPr>
        <w:ind w:left="5000"/>
        <w:spacing w:after="0" w:line="211" w:lineRule="auto"/>
        <w:rPr>
          <w:sz w:val="20"/>
          <w:szCs w:val="20"/>
          <w:color w:val="auto"/>
        </w:rPr>
      </w:pPr>
      <w:r>
        <w:rPr>
          <w:rFonts w:ascii="Arial" w:cs="Arial" w:eastAsia="Arial" w:hAnsi="Arial"/>
          <w:sz w:val="16"/>
          <w:szCs w:val="16"/>
          <w:color w:val="auto"/>
        </w:rPr>
        <w:t>Executive Vice President and Chief Financial Officer</w:t>
      </w:r>
    </w:p>
    <w:p>
      <w:pPr>
        <w:ind w:left="500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89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September 30, 2022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205" w:lineRule="exact"/>
        <w:rPr>
          <w:sz w:val="20"/>
          <w:szCs w:val="20"/>
          <w:color w:val="auto"/>
        </w:rPr>
      </w:pPr>
    </w:p>
    <w:p>
      <w:pPr>
        <w:ind w:left="840" w:hanging="346"/>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61" w:lineRule="exact"/>
        <w:rPr>
          <w:rFonts w:ascii="Arial" w:cs="Arial" w:eastAsia="Arial" w:hAnsi="Arial"/>
          <w:sz w:val="16"/>
          <w:szCs w:val="16"/>
          <w:color w:val="auto"/>
        </w:rPr>
      </w:pPr>
    </w:p>
    <w:p>
      <w:pPr>
        <w:ind w:left="20" w:right="1000" w:firstLine="474"/>
        <w:spacing w:after="0" w:line="469" w:lineRule="auto"/>
        <w:tabs>
          <w:tab w:leader="none" w:pos="83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 November 3, 2022</w:t>
      </w:r>
    </w:p>
    <w:p>
      <w:pPr>
        <w:spacing w:after="0" w:line="104" w:lineRule="exact"/>
        <w:rPr>
          <w:sz w:val="20"/>
          <w:szCs w:val="20"/>
          <w:color w:val="auto"/>
        </w:rPr>
      </w:pPr>
    </w:p>
    <w:p>
      <w:pPr>
        <w:ind w:left="4720"/>
        <w:spacing w:after="0"/>
        <w:rPr>
          <w:sz w:val="20"/>
          <w:szCs w:val="20"/>
          <w:color w:val="auto"/>
        </w:rPr>
      </w:pPr>
      <w:r>
        <w:rPr>
          <w:rFonts w:ascii="Arial" w:cs="Arial" w:eastAsia="Arial" w:hAnsi="Arial"/>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17780</wp:posOffset>
            </wp:positionV>
            <wp:extent cx="25031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8"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José R. Mas</w:t>
      </w:r>
    </w:p>
    <w:p>
      <w:pPr>
        <w:ind w:left="4720"/>
        <w:spacing w:after="0" w:line="211" w:lineRule="auto"/>
        <w:rPr>
          <w:sz w:val="20"/>
          <w:szCs w:val="20"/>
          <w:color w:val="auto"/>
        </w:rPr>
      </w:pPr>
      <w:r>
        <w:rPr>
          <w:rFonts w:ascii="Arial" w:cs="Arial" w:eastAsia="Arial" w:hAnsi="Arial"/>
          <w:sz w:val="16"/>
          <w:szCs w:val="16"/>
          <w:color w:val="auto"/>
        </w:rPr>
        <w:t>Chief Executive Officer</w:t>
      </w:r>
    </w:p>
    <w:p>
      <w:pPr>
        <w:ind w:left="4720"/>
        <w:spacing w:after="0"/>
        <w:rPr>
          <w:sz w:val="20"/>
          <w:szCs w:val="20"/>
          <w:color w:val="auto"/>
        </w:rPr>
      </w:pPr>
      <w:r>
        <w:rPr>
          <w:rFonts w:ascii="Arial" w:cs="Arial" w:eastAsia="Arial" w:hAnsi="Arial"/>
          <w:sz w:val="16"/>
          <w:szCs w:val="16"/>
          <w:color w:val="auto"/>
        </w:rPr>
        <w:t>(Principal Executive Officer)</w:t>
      </w:r>
    </w:p>
    <w:p>
      <w:pPr>
        <w:spacing w:after="0" w:line="342"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certification set forth above is being furnished as an exhibit solely pursuant to Section 906 of the Sarbanes-Oxley Act of 2002 and is not being filed as part of the Quarterly Report on Form 10-Q for the period ended September 30, 2022, or as a separate disclosure document of the Company or the certifying officers.</w:t>
      </w:r>
    </w:p>
    <w:p>
      <w:pPr>
        <w:sectPr>
          <w:pgSz w:w="11900" w:h="16838" w:orient="portrait"/>
          <w:cols w:equalWidth="0" w:num="1">
            <w:col w:w="11240"/>
          </w:cols>
          <w:pgMar w:left="320" w:top="89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September 30, 2022 as filed with the Securities and Exchange Commission on the date hereof (the “Report”), I, George L. Pita, Executive Vice President and Chief Financial Officer of MasTec, Inc., certify, pursuant to 18 U.S.C. Section 1350, as adopted pursuant to Section 906 of the Sarbanes-Oxley Act of 2002, that, to the best of my knowledge:</w:t>
      </w:r>
    </w:p>
    <w:p>
      <w:pPr>
        <w:spacing w:after="0" w:line="205" w:lineRule="exact"/>
        <w:rPr>
          <w:sz w:val="20"/>
          <w:szCs w:val="20"/>
          <w:color w:val="auto"/>
        </w:rPr>
      </w:pPr>
    </w:p>
    <w:p>
      <w:pPr>
        <w:ind w:left="840" w:hanging="346"/>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61" w:lineRule="exact"/>
        <w:rPr>
          <w:rFonts w:ascii="Arial" w:cs="Arial" w:eastAsia="Arial" w:hAnsi="Arial"/>
          <w:sz w:val="16"/>
          <w:szCs w:val="16"/>
          <w:color w:val="auto"/>
        </w:rPr>
      </w:pPr>
    </w:p>
    <w:p>
      <w:pPr>
        <w:ind w:left="20" w:right="1000" w:firstLine="474"/>
        <w:spacing w:after="0" w:line="469" w:lineRule="auto"/>
        <w:tabs>
          <w:tab w:leader="none" w:pos="83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 November 3, 2022</w:t>
      </w:r>
    </w:p>
    <w:p>
      <w:pPr>
        <w:spacing w:after="0" w:line="104" w:lineRule="exact"/>
        <w:rPr>
          <w:sz w:val="20"/>
          <w:szCs w:val="20"/>
          <w:color w:val="auto"/>
        </w:rPr>
      </w:pPr>
    </w:p>
    <w:p>
      <w:pPr>
        <w:ind w:left="500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17780</wp:posOffset>
            </wp:positionV>
            <wp:extent cx="30086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8"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George L. Pita</w:t>
      </w:r>
    </w:p>
    <w:p>
      <w:pPr>
        <w:ind w:left="5000"/>
        <w:spacing w:after="0" w:line="211" w:lineRule="auto"/>
        <w:rPr>
          <w:sz w:val="20"/>
          <w:szCs w:val="20"/>
          <w:color w:val="auto"/>
        </w:rPr>
      </w:pPr>
      <w:r>
        <w:rPr>
          <w:rFonts w:ascii="Arial" w:cs="Arial" w:eastAsia="Arial" w:hAnsi="Arial"/>
          <w:sz w:val="16"/>
          <w:szCs w:val="16"/>
          <w:color w:val="auto"/>
        </w:rPr>
        <w:t>Executive Vice President and Chief Financial Officer</w:t>
      </w:r>
    </w:p>
    <w:p>
      <w:pPr>
        <w:ind w:left="5000"/>
        <w:spacing w:after="0"/>
        <w:rPr>
          <w:sz w:val="20"/>
          <w:szCs w:val="20"/>
          <w:color w:val="auto"/>
        </w:rPr>
      </w:pPr>
      <w:r>
        <w:rPr>
          <w:rFonts w:ascii="Arial" w:cs="Arial" w:eastAsia="Arial" w:hAnsi="Arial"/>
          <w:sz w:val="16"/>
          <w:szCs w:val="16"/>
          <w:color w:val="auto"/>
        </w:rPr>
        <w:t>(Principal Financial and Accounting Officer)</w:t>
      </w:r>
    </w:p>
    <w:p>
      <w:pPr>
        <w:spacing w:after="0" w:line="342"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certification set forth above is being furnished as an exhibit solely pursuant to Section 906 of the Sarbanes-Oxley Act of 2002 and is not being filed as part of the Quarterly Report on Form 10-Q for the period ended September 30, 2022, or as a separate disclosure document of the Company or the certifying officers.</w:t>
      </w:r>
    </w:p>
    <w:p>
      <w:pPr>
        <w:sectPr>
          <w:pgSz w:w="11900" w:h="16838" w:orient="portrait"/>
          <w:cols w:equalWidth="0" w:num="1">
            <w:col w:w="11240"/>
          </w:cols>
          <w:pgMar w:left="320" w:top="895" w:right="339" w:bottom="1440" w:gutter="0" w:footer="0" w:header="0"/>
        </w:sectPr>
      </w:pPr>
    </w:p>
    <w:bookmarkStart w:id="52" w:name="page53"/>
    <w:bookmarkEnd w:id="52"/>
    <w:p>
      <w:pPr>
        <w:ind w:left="10160"/>
        <w:spacing w:after="0"/>
        <w:rPr>
          <w:sz w:val="20"/>
          <w:szCs w:val="20"/>
          <w:color w:val="auto"/>
        </w:rPr>
      </w:pPr>
      <w:r>
        <w:rPr>
          <w:rFonts w:ascii="Arial" w:cs="Arial" w:eastAsia="Arial" w:hAnsi="Arial"/>
          <w:sz w:val="16"/>
          <w:szCs w:val="16"/>
          <w:b w:val="1"/>
          <w:bCs w:val="1"/>
          <w:color w:val="auto"/>
        </w:rPr>
        <w:t>Exhibit 95.1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MINE SAFETY DISCLOSURES</w:t>
      </w:r>
    </w:p>
    <w:p>
      <w:pPr>
        <w:spacing w:after="0" w:line="25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Two of our acquired businesses operate aggregate mines that are subject to regulation by the federal Mine Safety and Health Administration (“MSHA”) under the Federal Mine Safety and Health Act of 1977, 30 U.S.C. § 801 </w:t>
      </w:r>
      <w:r>
        <w:rPr>
          <w:rFonts w:ascii="Arial" w:cs="Arial" w:eastAsia="Arial" w:hAnsi="Arial"/>
          <w:sz w:val="16"/>
          <w:szCs w:val="16"/>
          <w:i w:val="1"/>
          <w:iCs w:val="1"/>
          <w:color w:val="auto"/>
        </w:rPr>
        <w:t>et seq</w:t>
      </w:r>
      <w:r>
        <w:rPr>
          <w:rFonts w:ascii="Arial" w:cs="Arial" w:eastAsia="Arial" w:hAnsi="Arial"/>
          <w:sz w:val="16"/>
          <w:szCs w:val="16"/>
          <w:color w:val="auto"/>
        </w:rPr>
        <w:t>. (the “Mine Act”). Set forth below is the required information regarding certain mining safety and health matters for the quarter ended September 30, 2022. Citations and orders may be contested and appealed, and in that process, may be reduced in severity and amount, and are sometimes dismissed. The table below includes references to specific sections of the Mine Act.</w:t>
      </w:r>
    </w:p>
    <w:p>
      <w:pPr>
        <w:spacing w:after="0" w:line="83"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6"/>
          <w:szCs w:val="16"/>
          <w:color w:val="auto"/>
        </w:rPr>
        <w:t>The information in the table below is presented by mine, consistent with the manner in which we maintain safety and compliance information about our mining operations.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Section</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6"/>
              </w:rPr>
              <w:t>Section</w:t>
            </w: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9"/>
              </w:rPr>
              <w:t>Section</w:t>
            </w:r>
          </w:p>
        </w:tc>
        <w:tc>
          <w:tcPr>
            <w:tcW w:w="10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3"/>
              </w:rPr>
              <w:t>104(d)</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6"/>
              </w:rPr>
              <w:t>Section</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6"/>
              </w:rPr>
              <w:t>Section</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Pending</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3"/>
              </w:rPr>
              <w:t>Citations</w:t>
            </w:r>
          </w:p>
        </w:tc>
        <w:tc>
          <w:tcPr>
            <w:tcW w:w="1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6"/>
              </w:rPr>
              <w:t>Proposed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7"/>
              </w:rPr>
              <w:t>104</w:t>
            </w:r>
          </w:p>
        </w:tc>
        <w:tc>
          <w:tcPr>
            <w:tcW w:w="80" w:type="dxa"/>
            <w:vAlign w:val="bottom"/>
          </w:tcPr>
          <w:p>
            <w:pPr>
              <w:spacing w:after="0"/>
              <w:rPr>
                <w:sz w:val="14"/>
                <w:szCs w:val="14"/>
                <w:color w:val="auto"/>
              </w:rPr>
            </w:pPr>
          </w:p>
        </w:tc>
        <w:tc>
          <w:tcPr>
            <w:tcW w:w="96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3"/>
              </w:rPr>
              <w:t>104(b)</w:t>
            </w:r>
          </w:p>
        </w:tc>
        <w:tc>
          <w:tcPr>
            <w:tcW w:w="1000" w:type="dxa"/>
            <w:vAlign w:val="bottom"/>
            <w:gridSpan w:val="2"/>
          </w:tcPr>
          <w:p>
            <w:pPr>
              <w:jc w:val="center"/>
              <w:ind w:right="60"/>
              <w:spacing w:after="0" w:line="162" w:lineRule="exact"/>
              <w:rPr>
                <w:sz w:val="20"/>
                <w:szCs w:val="20"/>
                <w:color w:val="auto"/>
              </w:rPr>
            </w:pPr>
            <w:r>
              <w:rPr>
                <w:rFonts w:ascii="Arial" w:cs="Arial" w:eastAsia="Arial" w:hAnsi="Arial"/>
                <w:sz w:val="16"/>
                <w:szCs w:val="16"/>
                <w:b w:val="1"/>
                <w:bCs w:val="1"/>
                <w:color w:val="auto"/>
                <w:w w:val="91"/>
              </w:rPr>
              <w:t>and</w:t>
            </w:r>
          </w:p>
        </w:tc>
        <w:tc>
          <w:tcPr>
            <w:tcW w:w="11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110(b)(2)</w:t>
            </w:r>
          </w:p>
        </w:tc>
        <w:tc>
          <w:tcPr>
            <w:tcW w:w="9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107(a)</w:t>
            </w:r>
          </w:p>
        </w:tc>
        <w:tc>
          <w:tcPr>
            <w:tcW w:w="134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Legal</w:t>
            </w:r>
          </w:p>
        </w:tc>
        <w:tc>
          <w:tcPr>
            <w:tcW w:w="0" w:type="dxa"/>
            <w:vAlign w:val="bottom"/>
          </w:tcPr>
          <w:p>
            <w:pPr>
              <w:spacing w:after="0"/>
              <w:rPr>
                <w:sz w:val="1"/>
                <w:szCs w:val="1"/>
                <w:color w:val="auto"/>
              </w:rPr>
            </w:pPr>
          </w:p>
        </w:tc>
      </w:tr>
      <w:tr>
        <w:trPr>
          <w:trHeight w:val="243"/>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Mine Name / ID</w:t>
            </w:r>
          </w:p>
        </w:tc>
        <w:tc>
          <w:tcPr>
            <w:tcW w:w="8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Citations</w:t>
            </w:r>
            <w:r>
              <w:rPr>
                <w:rFonts w:ascii="Arial" w:cs="Arial" w:eastAsia="Arial" w:hAnsi="Arial"/>
                <w:sz w:val="21"/>
                <w:szCs w:val="21"/>
                <w:b w:val="1"/>
                <w:bCs w:val="1"/>
                <w:color w:val="auto"/>
                <w:w w:val="86"/>
                <w:vertAlign w:val="superscript"/>
              </w:rPr>
              <w:t>(a)</w:t>
            </w:r>
          </w:p>
        </w:tc>
        <w:tc>
          <w:tcPr>
            <w:tcW w:w="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Orders</w:t>
            </w:r>
            <w:r>
              <w:rPr>
                <w:rFonts w:ascii="Arial" w:cs="Arial" w:eastAsia="Arial" w:hAnsi="Arial"/>
                <w:sz w:val="21"/>
                <w:szCs w:val="21"/>
                <w:b w:val="1"/>
                <w:bCs w:val="1"/>
                <w:color w:val="auto"/>
                <w:w w:val="88"/>
                <w:vertAlign w:val="superscript"/>
              </w:rPr>
              <w:t>(b)</w:t>
            </w: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Orders</w:t>
            </w:r>
            <w:r>
              <w:rPr>
                <w:rFonts w:ascii="Arial" w:cs="Arial" w:eastAsia="Arial" w:hAnsi="Arial"/>
                <w:sz w:val="21"/>
                <w:szCs w:val="21"/>
                <w:b w:val="1"/>
                <w:bCs w:val="1"/>
                <w:color w:val="auto"/>
                <w:w w:val="86"/>
                <w:vertAlign w:val="superscript"/>
              </w:rPr>
              <w:t>(c)</w:t>
            </w:r>
          </w:p>
        </w:tc>
        <w:tc>
          <w:tcPr>
            <w:tcW w:w="8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Violations</w:t>
            </w:r>
            <w:r>
              <w:rPr>
                <w:rFonts w:ascii="Arial" w:cs="Arial" w:eastAsia="Arial" w:hAnsi="Arial"/>
                <w:sz w:val="21"/>
                <w:szCs w:val="21"/>
                <w:b w:val="1"/>
                <w:bCs w:val="1"/>
                <w:color w:val="auto"/>
                <w:w w:val="86"/>
                <w:vertAlign w:val="superscript"/>
              </w:rPr>
              <w:t>(d)</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Orders</w:t>
            </w:r>
            <w:r>
              <w:rPr>
                <w:rFonts w:ascii="Arial" w:cs="Arial" w:eastAsia="Arial" w:hAnsi="Arial"/>
                <w:sz w:val="21"/>
                <w:szCs w:val="21"/>
                <w:b w:val="1"/>
                <w:bCs w:val="1"/>
                <w:color w:val="auto"/>
                <w:w w:val="89"/>
                <w:vertAlign w:val="superscript"/>
              </w:rPr>
              <w:t>(e)</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Assessments</w:t>
            </w:r>
            <w:r>
              <w:rPr>
                <w:rFonts w:ascii="Arial" w:cs="Arial" w:eastAsia="Arial" w:hAnsi="Arial"/>
                <w:sz w:val="21"/>
                <w:szCs w:val="21"/>
                <w:b w:val="1"/>
                <w:bCs w:val="1"/>
                <w:color w:val="auto"/>
                <w:w w:val="81"/>
                <w:vertAlign w:val="superscript"/>
              </w:rPr>
              <w:t>(f)</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Fatalities</w:t>
            </w:r>
            <w:r>
              <w:rPr>
                <w:rFonts w:ascii="Arial" w:cs="Arial" w:eastAsia="Arial" w:hAnsi="Arial"/>
                <w:sz w:val="21"/>
                <w:szCs w:val="21"/>
                <w:b w:val="1"/>
                <w:bCs w:val="1"/>
                <w:color w:val="auto"/>
                <w:w w:val="87"/>
                <w:vertAlign w:val="superscript"/>
              </w:rPr>
              <w:t>(g)</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Action</w:t>
            </w:r>
            <w:r>
              <w:rPr>
                <w:rFonts w:ascii="Arial" w:cs="Arial" w:eastAsia="Arial" w:hAnsi="Arial"/>
                <w:sz w:val="21"/>
                <w:szCs w:val="21"/>
                <w:b w:val="1"/>
                <w:bCs w:val="1"/>
                <w:color w:val="auto"/>
                <w:w w:val="88"/>
                <w:vertAlign w:val="superscript"/>
              </w:rPr>
              <w:t>(h)</w:t>
            </w:r>
          </w:p>
        </w:tc>
        <w:tc>
          <w:tcPr>
            <w:tcW w:w="0" w:type="dxa"/>
            <w:vAlign w:val="bottom"/>
          </w:tcPr>
          <w:p>
            <w:pPr>
              <w:spacing w:after="0"/>
              <w:rPr>
                <w:sz w:val="1"/>
                <w:szCs w:val="1"/>
                <w:color w:val="auto"/>
              </w:rPr>
            </w:pPr>
          </w:p>
        </w:tc>
      </w:tr>
      <w:tr>
        <w:trPr>
          <w:trHeight w:val="20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FNF Crushing 1 / 02-03091</w:t>
            </w: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FNF Crushing 2 / 02-02622</w:t>
            </w:r>
          </w:p>
        </w:tc>
        <w:tc>
          <w:tcPr>
            <w:tcW w:w="1060" w:type="dxa"/>
            <w:vAlign w:val="bottom"/>
            <w:gridSpan w:val="2"/>
          </w:tcPr>
          <w:p>
            <w:pPr>
              <w:jc w:val="center"/>
              <w:ind w:right="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FNF Crushing 3 / 02-02774</w:t>
            </w: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FNF Crushing 4 / 02-03036</w:t>
            </w:r>
          </w:p>
        </w:tc>
        <w:tc>
          <w:tcPr>
            <w:tcW w:w="1060" w:type="dxa"/>
            <w:vAlign w:val="bottom"/>
            <w:gridSpan w:val="2"/>
          </w:tcPr>
          <w:p>
            <w:pPr>
              <w:jc w:val="center"/>
              <w:ind w:right="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FNF Crushing 5 / 29-02226</w:t>
            </w: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FNF Crushing 6 / 02-02589</w:t>
            </w:r>
          </w:p>
        </w:tc>
        <w:tc>
          <w:tcPr>
            <w:tcW w:w="1060" w:type="dxa"/>
            <w:vAlign w:val="bottom"/>
            <w:gridSpan w:val="2"/>
          </w:tcPr>
          <w:p>
            <w:pPr>
              <w:jc w:val="center"/>
              <w:ind w:right="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FNF Crushing 7 / 02-03079</w:t>
            </w: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FNF Crushing 8 / 02-03035</w:t>
            </w:r>
          </w:p>
        </w:tc>
        <w:tc>
          <w:tcPr>
            <w:tcW w:w="1060" w:type="dxa"/>
            <w:vAlign w:val="bottom"/>
            <w:gridSpan w:val="2"/>
          </w:tcPr>
          <w:p>
            <w:pPr>
              <w:jc w:val="center"/>
              <w:ind w:right="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Topaz Mine 26-02440</w:t>
            </w: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$396</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Mesquite Wash Plant 26-02774</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$133</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$529</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60" w:hanging="252"/>
        <w:spacing w:after="0" w:line="291" w:lineRule="auto"/>
        <w:tabs>
          <w:tab w:leader="none" w:pos="353"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total number of violations of mandatory health or safety standards that could significantly and substantially contribute to the cause and effect of a coal or other mine safety or health hazard under Section 104 of the Mine Act for which the operator received a citation from the MSHA.</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104(b) of the Mine Act.</w:t>
      </w:r>
    </w:p>
    <w:p>
      <w:pPr>
        <w:spacing w:after="0" w:line="41" w:lineRule="exact"/>
        <w:rPr>
          <w:rFonts w:ascii="Arial" w:cs="Arial" w:eastAsia="Arial" w:hAnsi="Arial"/>
          <w:sz w:val="14"/>
          <w:szCs w:val="14"/>
          <w:color w:val="auto"/>
        </w:rPr>
      </w:pPr>
    </w:p>
    <w:p>
      <w:pPr>
        <w:ind w:left="300" w:hanging="292"/>
        <w:spacing w:after="0"/>
        <w:tabs>
          <w:tab w:leader="none" w:pos="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total number of citations and orders for unwarrantable failure of the mine operator to comply with mandatory health or safety standards under Section 104(d) of the Mine Act.</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total number of flagrant violations under Section 110(b)(2) of the Mine Act.</w:t>
      </w:r>
    </w:p>
    <w:p>
      <w:pPr>
        <w:spacing w:after="0" w:line="41" w:lineRule="exact"/>
        <w:rPr>
          <w:rFonts w:ascii="Arial" w:cs="Arial" w:eastAsia="Arial" w:hAnsi="Arial"/>
          <w:sz w:val="14"/>
          <w:szCs w:val="14"/>
          <w:color w:val="auto"/>
        </w:rPr>
      </w:pPr>
    </w:p>
    <w:p>
      <w:pPr>
        <w:ind w:left="300" w:hanging="292"/>
        <w:spacing w:after="0"/>
        <w:tabs>
          <w:tab w:leader="none" w:pos="3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total number of imminent danger orders issued under Section 107(a) of the Mine Act.</w:t>
      </w:r>
    </w:p>
    <w:p>
      <w:pPr>
        <w:spacing w:after="0" w:line="41" w:lineRule="exact"/>
        <w:rPr>
          <w:rFonts w:ascii="Arial" w:cs="Arial" w:eastAsia="Arial" w:hAnsi="Arial"/>
          <w:sz w:val="14"/>
          <w:szCs w:val="14"/>
          <w:color w:val="auto"/>
        </w:rPr>
      </w:pPr>
    </w:p>
    <w:p>
      <w:pPr>
        <w:ind w:left="300" w:hanging="292"/>
        <w:spacing w:after="0"/>
        <w:tabs>
          <w:tab w:leader="none" w:pos="3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total dollar value of proposed assessments from the MSHA under the Mine Act.</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total number of mining-related fatalities.</w:t>
      </w:r>
    </w:p>
    <w:p>
      <w:pPr>
        <w:spacing w:after="0" w:line="41"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Any pending legal action before the Federal Mine Safety and Health Review Commission involving the applicable mine(s).</w:t>
      </w:r>
    </w:p>
    <w:p>
      <w:pPr>
        <w:spacing w:after="0" w:line="21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6"/>
          <w:szCs w:val="16"/>
          <w:color w:val="auto"/>
        </w:rPr>
        <w:t>During the quarter ended September 30, 2022, our aggregate mines did not receive any written notices of a pattern of violations of mandatory health or safety standards, or of the potential to have such a pattern of violations, that are of such nature as could have significantly and substantially contributed to the cause and effect of coal or other mine health or safety hazards under Section 104(e) of the Mine Act.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sectPr>
      <w:pgSz w:w="11900" w:h="16838" w:orient="portrait"/>
      <w:cols w:equalWidth="0" w:num="1">
        <w:col w:w="11240"/>
      </w:cols>
      <w:pgMar w:left="320" w:top="9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1)"/>
      <w:numFmt w:val="lowerLetter"/>
      <w:start w:val="3"/>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lowerRoman"/>
      <w:start w:val="1"/>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55" Type="http://schemas.openxmlformats.org/officeDocument/2006/relationships/hyperlink" Target="https://www.sec.gov/Archives/edgar/data/1652362/000110465922082260/tm2221705d1_ex2-1.htm" TargetMode="External"/><Relationship Id="rId56" Type="http://schemas.openxmlformats.org/officeDocument/2006/relationships/hyperlink" Target="https://www.sec.gov/Archives/edgar/data/15615/000119312522236556/d370427dex101.htm" TargetMode="External"/><Relationship Id="rId57" Type="http://schemas.openxmlformats.org/officeDocument/2006/relationships/hyperlink" Target="https://www.sec.gov/Archives/edgar/data/15615/000119312522236556/d370427dex102.htm" TargetMode="External"/><Relationship Id="rId58" Type="http://schemas.openxmlformats.org/officeDocument/2006/relationships/hyperlink" Target="https://www.sec.gov/Archives/edgar/data/1652362/000165236221000181/iea-cred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2022-11-03T18:07:41Z</dcterms:created>
  <dcterms:modified xsi:type="dcterms:W3CDTF">2022-11-03T18:07:41Z</dcterms:modified>
</cp:coreProperties>
</file>