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firstLine="8"/>
        <w:spacing w:after="0" w:line="270" w:lineRule="auto"/>
        <w:tabs>
          <w:tab w:leader="none" w:pos="364" w:val="left"/>
        </w:tabs>
        <w:numPr>
          <w:ilvl w:val="0"/>
          <w:numId w:val="1"/>
        </w:numPr>
        <w:rPr>
          <w:rFonts w:ascii="MS PGothic" w:cs="MS PGothic" w:eastAsia="MS PGothic" w:hAnsi="MS PGothic"/>
          <w:sz w:val="16"/>
          <w:szCs w:val="16"/>
          <w:color w:val="auto"/>
        </w:rPr>
      </w:pPr>
      <w:r>
        <w:rPr>
          <w:rFonts w:ascii="Arial" w:cs="Arial" w:eastAsia="Arial" w:hAnsi="Arial"/>
          <w:sz w:val="24"/>
          <w:szCs w:val="24"/>
          <w:b w:val="1"/>
          <w:bCs w:val="1"/>
          <w:color w:val="auto"/>
        </w:rPr>
        <w:t>QUARTERLY REPORT PURSUANT TO SECTION 13 OR 15(d) OF THE 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For the quarterly period ended March 31, 2020</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7" w:lineRule="exact"/>
        <w:rPr>
          <w:sz w:val="24"/>
          <w:szCs w:val="24"/>
          <w:color w:val="auto"/>
        </w:rPr>
      </w:pPr>
    </w:p>
    <w:p>
      <w:pPr>
        <w:ind w:firstLine="8"/>
        <w:spacing w:after="0" w:line="260" w:lineRule="auto"/>
        <w:tabs>
          <w:tab w:leader="none" w:pos="351" w:val="left"/>
        </w:tabs>
        <w:numPr>
          <w:ilvl w:val="0"/>
          <w:numId w:val="2"/>
        </w:numPr>
        <w:rPr>
          <w:rFonts w:ascii="MS PGothic" w:cs="MS PGothic" w:eastAsia="MS PGothic" w:hAnsi="MS PGothic"/>
          <w:sz w:val="16"/>
          <w:szCs w:val="16"/>
          <w:color w:val="auto"/>
        </w:rPr>
      </w:pPr>
      <w:r>
        <w:rPr>
          <w:rFonts w:ascii="Arial" w:cs="Arial" w:eastAsia="Arial" w:hAnsi="Arial"/>
          <w:sz w:val="24"/>
          <w:szCs w:val="24"/>
          <w:b w:val="1"/>
          <w:bCs w:val="1"/>
          <w:color w:val="auto"/>
        </w:rPr>
        <w:t>TRANSITION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transition period from __ to __</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001-08106</w:t>
      </w:r>
    </w:p>
    <w:p>
      <w:pPr>
        <w:spacing w:after="0" w:line="22"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154940</wp:posOffset>
            </wp:positionV>
            <wp:extent cx="97726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265" cy="18859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MasTec,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149" w:lineRule="exact"/>
        <w:rPr>
          <w:sz w:val="24"/>
          <w:szCs w:val="24"/>
          <w:color w:val="auto"/>
        </w:rPr>
      </w:pPr>
    </w:p>
    <w:tbl>
      <w:tblPr>
        <w:tblLayout w:type="fixed"/>
        <w:tblInd w:w="1140" w:type="dxa"/>
        <w:tblCellMar>
          <w:top w:w="0" w:type="dxa"/>
          <w:left w:w="0" w:type="dxa"/>
          <w:bottom w:w="0" w:type="dxa"/>
          <w:right w:w="0" w:type="dxa"/>
        </w:tblCellMar>
      </w:tblPr>
      <w:tr>
        <w:trPr>
          <w:trHeight w:val="210"/>
        </w:trPr>
        <w:tc>
          <w:tcPr>
            <w:tcW w:w="6180" w:type="dxa"/>
            <w:vAlign w:val="bottom"/>
          </w:tcPr>
          <w:p>
            <w:pPr>
              <w:jc w:val="center"/>
              <w:ind w:right="2744"/>
              <w:spacing w:after="0"/>
              <w:rPr>
                <w:sz w:val="20"/>
                <w:szCs w:val="20"/>
                <w:color w:val="auto"/>
              </w:rPr>
            </w:pPr>
            <w:r>
              <w:rPr>
                <w:rFonts w:ascii="Arial" w:cs="Arial" w:eastAsia="Arial" w:hAnsi="Arial"/>
                <w:sz w:val="16"/>
                <w:szCs w:val="16"/>
                <w:b w:val="1"/>
                <w:bCs w:val="1"/>
                <w:color w:val="auto"/>
                <w:w w:val="97"/>
              </w:rPr>
              <w:t>Florida</w:t>
            </w:r>
          </w:p>
        </w:tc>
        <w:tc>
          <w:tcPr>
            <w:tcW w:w="2120" w:type="dxa"/>
            <w:vAlign w:val="bottom"/>
          </w:tcPr>
          <w:p>
            <w:pPr>
              <w:jc w:val="right"/>
              <w:ind w:right="546"/>
              <w:spacing w:after="0"/>
              <w:rPr>
                <w:sz w:val="20"/>
                <w:szCs w:val="20"/>
                <w:color w:val="auto"/>
              </w:rPr>
            </w:pPr>
            <w:r>
              <w:rPr>
                <w:rFonts w:ascii="Arial" w:cs="Arial" w:eastAsia="Arial" w:hAnsi="Arial"/>
                <w:sz w:val="16"/>
                <w:szCs w:val="16"/>
                <w:b w:val="1"/>
                <w:bCs w:val="1"/>
                <w:color w:val="auto"/>
              </w:rPr>
              <w:t>65-0829355</w:t>
            </w:r>
          </w:p>
        </w:tc>
      </w:tr>
      <w:tr>
        <w:trPr>
          <w:trHeight w:val="221"/>
        </w:trPr>
        <w:tc>
          <w:tcPr>
            <w:tcW w:w="6180" w:type="dxa"/>
            <w:vAlign w:val="bottom"/>
          </w:tcPr>
          <w:p>
            <w:pPr>
              <w:jc w:val="center"/>
              <w:ind w:right="2744"/>
              <w:spacing w:after="0"/>
              <w:rPr>
                <w:sz w:val="20"/>
                <w:szCs w:val="20"/>
                <w:color w:val="auto"/>
              </w:rPr>
            </w:pPr>
            <w:r>
              <w:rPr>
                <w:rFonts w:ascii="Arial" w:cs="Arial" w:eastAsia="Arial" w:hAnsi="Arial"/>
                <w:sz w:val="13"/>
                <w:szCs w:val="13"/>
                <w:b w:val="1"/>
                <w:bCs w:val="1"/>
                <w:i w:val="1"/>
                <w:iCs w:val="1"/>
                <w:color w:val="auto"/>
                <w:w w:val="91"/>
              </w:rPr>
              <w:t>(State or other jurisdiction of incorporation or organization)</w:t>
            </w:r>
          </w:p>
        </w:tc>
        <w:tc>
          <w:tcPr>
            <w:tcW w:w="2120" w:type="dxa"/>
            <w:vAlign w:val="bottom"/>
          </w:tcPr>
          <w:p>
            <w:pPr>
              <w:jc w:val="center"/>
              <w:ind w:left="26"/>
              <w:spacing w:after="0"/>
              <w:rPr>
                <w:sz w:val="20"/>
                <w:szCs w:val="20"/>
                <w:color w:val="auto"/>
              </w:rPr>
            </w:pPr>
            <w:r>
              <w:rPr>
                <w:rFonts w:ascii="Arial" w:cs="Arial" w:eastAsia="Arial" w:hAnsi="Arial"/>
                <w:sz w:val="13"/>
                <w:szCs w:val="13"/>
                <w:b w:val="1"/>
                <w:bCs w:val="1"/>
                <w:i w:val="1"/>
                <w:iCs w:val="1"/>
                <w:color w:val="auto"/>
                <w:w w:val="94"/>
              </w:rPr>
              <w:t>(I.R.S. Employer Identification No.)</w:t>
            </w:r>
          </w:p>
        </w:tc>
      </w:tr>
      <w:tr>
        <w:trPr>
          <w:trHeight w:val="427"/>
        </w:trPr>
        <w:tc>
          <w:tcPr>
            <w:tcW w:w="6180" w:type="dxa"/>
            <w:vAlign w:val="bottom"/>
          </w:tcPr>
          <w:p>
            <w:pPr>
              <w:jc w:val="center"/>
              <w:ind w:right="2764"/>
              <w:spacing w:after="0"/>
              <w:rPr>
                <w:sz w:val="20"/>
                <w:szCs w:val="20"/>
                <w:color w:val="auto"/>
              </w:rPr>
            </w:pPr>
            <w:r>
              <w:rPr>
                <w:rFonts w:ascii="Arial" w:cs="Arial" w:eastAsia="Arial" w:hAnsi="Arial"/>
                <w:sz w:val="16"/>
                <w:szCs w:val="16"/>
                <w:b w:val="1"/>
                <w:bCs w:val="1"/>
                <w:color w:val="auto"/>
                <w:w w:val="90"/>
              </w:rPr>
              <w:t>800 S. Douglas Road, 12th Floor</w:t>
            </w:r>
          </w:p>
        </w:tc>
        <w:tc>
          <w:tcPr>
            <w:tcW w:w="2120" w:type="dxa"/>
            <w:vAlign w:val="bottom"/>
          </w:tcPr>
          <w:p>
            <w:pPr>
              <w:spacing w:after="0"/>
              <w:rPr>
                <w:sz w:val="24"/>
                <w:szCs w:val="24"/>
                <w:color w:val="auto"/>
              </w:rPr>
            </w:pPr>
          </w:p>
        </w:tc>
      </w:tr>
      <w:tr>
        <w:trPr>
          <w:trHeight w:val="270"/>
        </w:trPr>
        <w:tc>
          <w:tcPr>
            <w:tcW w:w="6180" w:type="dxa"/>
            <w:vAlign w:val="bottom"/>
          </w:tcPr>
          <w:p>
            <w:pPr>
              <w:ind w:left="820"/>
              <w:spacing w:after="0"/>
              <w:rPr>
                <w:sz w:val="20"/>
                <w:szCs w:val="20"/>
                <w:color w:val="auto"/>
              </w:rPr>
            </w:pPr>
            <w:r>
              <w:rPr>
                <w:rFonts w:ascii="Arial" w:cs="Arial" w:eastAsia="Arial" w:hAnsi="Arial"/>
                <w:sz w:val="16"/>
                <w:szCs w:val="16"/>
                <w:b w:val="1"/>
                <w:bCs w:val="1"/>
                <w:color w:val="auto"/>
              </w:rPr>
              <w:t>Coral Gables, Florida</w:t>
            </w:r>
          </w:p>
        </w:tc>
        <w:tc>
          <w:tcPr>
            <w:tcW w:w="2120" w:type="dxa"/>
            <w:vAlign w:val="bottom"/>
          </w:tcPr>
          <w:p>
            <w:pPr>
              <w:jc w:val="right"/>
              <w:ind w:right="726"/>
              <w:spacing w:after="0"/>
              <w:rPr>
                <w:sz w:val="20"/>
                <w:szCs w:val="20"/>
                <w:color w:val="auto"/>
              </w:rPr>
            </w:pPr>
            <w:r>
              <w:rPr>
                <w:rFonts w:ascii="Arial" w:cs="Arial" w:eastAsia="Arial" w:hAnsi="Arial"/>
                <w:sz w:val="16"/>
                <w:szCs w:val="16"/>
                <w:b w:val="1"/>
                <w:bCs w:val="1"/>
                <w:color w:val="auto"/>
              </w:rPr>
              <w:t>33134</w:t>
            </w:r>
          </w:p>
        </w:tc>
      </w:tr>
      <w:tr>
        <w:trPr>
          <w:trHeight w:val="221"/>
        </w:trPr>
        <w:tc>
          <w:tcPr>
            <w:tcW w:w="6180" w:type="dxa"/>
            <w:vAlign w:val="bottom"/>
          </w:tcPr>
          <w:p>
            <w:pPr>
              <w:jc w:val="center"/>
              <w:ind w:right="2744"/>
              <w:spacing w:after="0"/>
              <w:rPr>
                <w:sz w:val="20"/>
                <w:szCs w:val="20"/>
                <w:color w:val="auto"/>
              </w:rPr>
            </w:pPr>
            <w:r>
              <w:rPr>
                <w:rFonts w:ascii="Arial" w:cs="Arial" w:eastAsia="Arial" w:hAnsi="Arial"/>
                <w:sz w:val="13"/>
                <w:szCs w:val="13"/>
                <w:b w:val="1"/>
                <w:bCs w:val="1"/>
                <w:i w:val="1"/>
                <w:iCs w:val="1"/>
                <w:color w:val="auto"/>
                <w:w w:val="88"/>
              </w:rPr>
              <w:t>(Address of principal executive offices)</w:t>
            </w:r>
          </w:p>
        </w:tc>
        <w:tc>
          <w:tcPr>
            <w:tcW w:w="2120" w:type="dxa"/>
            <w:vAlign w:val="bottom"/>
          </w:tcPr>
          <w:p>
            <w:pPr>
              <w:jc w:val="center"/>
              <w:ind w:left="46"/>
              <w:spacing w:after="0"/>
              <w:rPr>
                <w:sz w:val="20"/>
                <w:szCs w:val="20"/>
                <w:color w:val="auto"/>
              </w:rPr>
            </w:pPr>
            <w:r>
              <w:rPr>
                <w:rFonts w:ascii="Arial" w:cs="Arial" w:eastAsia="Arial" w:hAnsi="Arial"/>
                <w:sz w:val="13"/>
                <w:szCs w:val="13"/>
                <w:b w:val="1"/>
                <w:bCs w:val="1"/>
                <w:i w:val="1"/>
                <w:iCs w:val="1"/>
                <w:color w:val="auto"/>
                <w:w w:val="93"/>
              </w:rPr>
              <w:t>(Zip Code)</w:t>
            </w:r>
          </w:p>
        </w:tc>
      </w:tr>
      <w:tr>
        <w:trPr>
          <w:trHeight w:val="184"/>
        </w:trPr>
        <w:tc>
          <w:tcPr>
            <w:tcW w:w="6180" w:type="dxa"/>
            <w:vAlign w:val="bottom"/>
          </w:tcPr>
          <w:p>
            <w:pPr>
              <w:jc w:val="right"/>
              <w:ind w:right="1104"/>
              <w:spacing w:after="0"/>
              <w:rPr>
                <w:sz w:val="20"/>
                <w:szCs w:val="20"/>
                <w:color w:val="auto"/>
              </w:rPr>
            </w:pPr>
            <w:r>
              <w:rPr>
                <w:rFonts w:ascii="Arial" w:cs="Arial" w:eastAsia="Arial" w:hAnsi="Arial"/>
                <w:sz w:val="16"/>
                <w:szCs w:val="16"/>
                <w:b w:val="1"/>
                <w:bCs w:val="1"/>
                <w:color w:val="auto"/>
              </w:rPr>
              <w:t>(305) 599-1800</w:t>
            </w:r>
          </w:p>
        </w:tc>
        <w:tc>
          <w:tcPr>
            <w:tcW w:w="2120" w:type="dxa"/>
            <w:vAlign w:val="bottom"/>
          </w:tcPr>
          <w:p>
            <w:pPr>
              <w:spacing w:after="0"/>
              <w:rPr>
                <w:sz w:val="16"/>
                <w:szCs w:val="16"/>
                <w:color w:val="auto"/>
              </w:rPr>
            </w:pPr>
          </w:p>
        </w:tc>
      </w:tr>
      <w:tr>
        <w:trPr>
          <w:trHeight w:val="182"/>
        </w:trPr>
        <w:tc>
          <w:tcPr>
            <w:tcW w:w="6180" w:type="dxa"/>
            <w:vAlign w:val="bottom"/>
          </w:tcPr>
          <w:p>
            <w:pPr>
              <w:jc w:val="center"/>
              <w:ind w:left="2704"/>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2120" w:type="dxa"/>
            <w:vAlign w:val="bottom"/>
          </w:tcPr>
          <w:p>
            <w:pPr>
              <w:spacing w:after="0"/>
              <w:rPr>
                <w:sz w:val="15"/>
                <w:szCs w:val="15"/>
                <w:color w:val="auto"/>
              </w:rPr>
            </w:pPr>
          </w:p>
        </w:tc>
      </w:tr>
    </w:tbl>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6" w:lineRule="exact"/>
        <w:rPr>
          <w:sz w:val="24"/>
          <w:szCs w:val="24"/>
          <w:color w:val="auto"/>
        </w:rPr>
      </w:pPr>
    </w:p>
    <w:tbl>
      <w:tblPr>
        <w:tblLayout w:type="fixed"/>
        <w:tblInd w:w="1440" w:type="dxa"/>
        <w:tblCellMar>
          <w:top w:w="0" w:type="dxa"/>
          <w:left w:w="0" w:type="dxa"/>
          <w:bottom w:w="0" w:type="dxa"/>
          <w:right w:w="0" w:type="dxa"/>
        </w:tblCellMar>
      </w:tblPr>
      <w:tr>
        <w:trPr>
          <w:trHeight w:val="149"/>
        </w:trPr>
        <w:tc>
          <w:tcPr>
            <w:tcW w:w="600" w:type="dxa"/>
            <w:vAlign w:val="bottom"/>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Title of each class</w:t>
            </w:r>
          </w:p>
        </w:tc>
        <w:tc>
          <w:tcPr>
            <w:tcW w:w="1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Trading symbol(s)</w:t>
            </w:r>
          </w:p>
        </w:tc>
        <w:tc>
          <w:tcPr>
            <w:tcW w:w="1400" w:type="dxa"/>
            <w:vAlign w:val="bottom"/>
          </w:tcPr>
          <w:p>
            <w:pPr>
              <w:spacing w:after="0"/>
              <w:rPr>
                <w:sz w:val="12"/>
                <w:szCs w:val="12"/>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Name of each exchange on which registered</w:t>
            </w:r>
          </w:p>
        </w:tc>
      </w:tr>
      <w:tr>
        <w:trPr>
          <w:trHeight w:val="244"/>
        </w:trPr>
        <w:tc>
          <w:tcPr>
            <w:tcW w:w="294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w w:val="91"/>
              </w:rPr>
              <w:t>Common Stock, $0.10 Par Value</w:t>
            </w:r>
          </w:p>
        </w:tc>
        <w:tc>
          <w:tcPr>
            <w:tcW w:w="7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MTZ</w:t>
            </w:r>
          </w:p>
        </w:tc>
        <w:tc>
          <w:tcPr>
            <w:tcW w:w="1400" w:type="dxa"/>
            <w:vAlign w:val="bottom"/>
          </w:tcPr>
          <w:p>
            <w:pPr>
              <w:spacing w:after="0"/>
              <w:rPr>
                <w:sz w:val="21"/>
                <w:szCs w:val="21"/>
                <w:color w:val="auto"/>
              </w:rPr>
            </w:pPr>
          </w:p>
        </w:tc>
        <w:tc>
          <w:tcPr>
            <w:tcW w:w="2500" w:type="dxa"/>
            <w:vAlign w:val="bottom"/>
          </w:tcPr>
          <w:p>
            <w:pPr>
              <w:ind w:left="220"/>
              <w:spacing w:after="0"/>
              <w:rPr>
                <w:sz w:val="20"/>
                <w:szCs w:val="20"/>
                <w:color w:val="auto"/>
              </w:rPr>
            </w:pPr>
            <w:r>
              <w:rPr>
                <w:rFonts w:ascii="Arial" w:cs="Arial" w:eastAsia="Arial" w:hAnsi="Arial"/>
                <w:sz w:val="16"/>
                <w:szCs w:val="16"/>
                <w:b w:val="1"/>
                <w:bCs w:val="1"/>
                <w:color w:val="auto"/>
              </w:rPr>
              <w:t>New York Stock Exchange</w:t>
            </w:r>
          </w:p>
        </w:tc>
      </w:tr>
    </w:tbl>
    <w:p>
      <w:pPr>
        <w:spacing w:after="0" w:line="239" w:lineRule="exact"/>
        <w:rPr>
          <w:sz w:val="24"/>
          <w:szCs w:val="24"/>
          <w:color w:val="auto"/>
        </w:rPr>
      </w:pPr>
    </w:p>
    <w:p>
      <w:pPr>
        <w:jc w:val="both"/>
        <w:ind w:firstLine="648"/>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648"/>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ind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1" w:lineRule="exact"/>
        <w:rPr>
          <w:sz w:val="24"/>
          <w:szCs w:val="24"/>
          <w:color w:val="auto"/>
        </w:rPr>
      </w:pPr>
    </w:p>
    <w:tbl>
      <w:tblPr>
        <w:tblLayout w:type="fixed"/>
        <w:tblInd w:w="86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24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23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880" w:type="dxa"/>
            <w:vAlign w:val="bottom"/>
          </w:tcPr>
          <w:p>
            <w:pPr>
              <w:ind w:left="1420"/>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3" w:lineRule="exact"/>
        <w:rPr>
          <w:sz w:val="24"/>
          <w:szCs w:val="24"/>
          <w:color w:val="auto"/>
        </w:rPr>
      </w:pPr>
    </w:p>
    <w:p>
      <w:pPr>
        <w:ind w:right="440" w:firstLine="648"/>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660" w:right="282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27, 2020, MasTec, Inc. had 73,752,319 shares of common stock outstanding.</w:t>
      </w:r>
    </w:p>
    <w:p>
      <w:pPr>
        <w:sectPr>
          <w:pgSz w:w="11900" w:h="16838" w:orient="portrait"/>
          <w:cols w:equalWidth="0" w:num="1">
            <w:col w:w="11240"/>
          </w:cols>
          <w:pgMar w:left="320" w:top="59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QUARTER ENDED MARCH 31, 2020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Page</w:t>
            </w:r>
          </w:p>
        </w:tc>
      </w:tr>
      <w:tr>
        <w:trPr>
          <w:trHeight w:val="271"/>
        </w:trPr>
        <w:tc>
          <w:tcPr>
            <w:tcW w:w="8760" w:type="dxa"/>
            <w:vAlign w:val="bottom"/>
            <w:gridSpan w:val="2"/>
          </w:tcPr>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Part I. FINANCIAL INFORMATION</w:t>
              </w:r>
            </w:hyperlink>
          </w:p>
        </w:tc>
        <w:tc>
          <w:tcPr>
            <w:tcW w:w="1860" w:type="dxa"/>
            <w:vAlign w:val="bottom"/>
          </w:tcPr>
          <w:p>
            <w:pPr>
              <w:spacing w:after="0"/>
              <w:rPr>
                <w:sz w:val="23"/>
                <w:szCs w:val="23"/>
                <w:color w:val="auto"/>
              </w:rPr>
            </w:pPr>
          </w:p>
        </w:tc>
        <w:tc>
          <w:tcPr>
            <w:tcW w:w="300" w:type="dxa"/>
            <w:vAlign w:val="bottom"/>
            <w:tcBorders>
              <w:top w:val="single" w:sz="8" w:color="auto"/>
            </w:tcBorders>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3</w:t>
              </w:r>
            </w:hyperlink>
          </w:p>
        </w:tc>
      </w:tr>
      <w:tr>
        <w:trPr>
          <w:trHeight w:val="257"/>
        </w:trPr>
        <w:tc>
          <w:tcPr>
            <w:tcW w:w="1060" w:type="dxa"/>
            <w:vAlign w:val="bottom"/>
          </w:tcPr>
          <w:p>
            <w:pPr>
              <w:ind w:left="24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Item 1</w:t>
              </w:r>
            </w:hyperlink>
          </w:p>
        </w:tc>
        <w:tc>
          <w:tcPr>
            <w:tcW w:w="7700" w:type="dxa"/>
            <w:vAlign w:val="bottom"/>
          </w:tcPr>
          <w:p>
            <w:pPr>
              <w:ind w:left="6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Financial Statements</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3</w:t>
              </w:r>
            </w:hyperlink>
          </w:p>
        </w:tc>
      </w:tr>
      <w:tr>
        <w:trPr>
          <w:trHeight w:val="270"/>
        </w:trPr>
        <w:tc>
          <w:tcPr>
            <w:tcW w:w="1060" w:type="dxa"/>
            <w:vAlign w:val="bottom"/>
          </w:tcPr>
          <w:p>
            <w:pPr>
              <w:spacing w:after="0"/>
              <w:rPr>
                <w:sz w:val="23"/>
                <w:szCs w:val="23"/>
                <w:color w:val="auto"/>
              </w:rPr>
            </w:pPr>
          </w:p>
        </w:tc>
        <w:tc>
          <w:tcPr>
            <w:tcW w:w="7700" w:type="dxa"/>
            <w:vAlign w:val="bottom"/>
          </w:tcPr>
          <w:p>
            <w:pPr>
              <w:ind w:left="6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Consolidated Statements of Operations (Unaudited)</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3</w:t>
              </w:r>
            </w:hyperlink>
          </w:p>
        </w:tc>
      </w:tr>
      <w:tr>
        <w:trPr>
          <w:trHeight w:val="270"/>
        </w:trPr>
        <w:tc>
          <w:tcPr>
            <w:tcW w:w="1060" w:type="dxa"/>
            <w:vAlign w:val="bottom"/>
          </w:tcPr>
          <w:p>
            <w:pPr>
              <w:spacing w:after="0"/>
              <w:rPr>
                <w:sz w:val="23"/>
                <w:szCs w:val="23"/>
                <w:color w:val="auto"/>
              </w:rPr>
            </w:pPr>
          </w:p>
        </w:tc>
        <w:tc>
          <w:tcPr>
            <w:tcW w:w="7700" w:type="dxa"/>
            <w:vAlign w:val="bottom"/>
          </w:tcPr>
          <w:p>
            <w:pPr>
              <w:ind w:left="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Consolidated Statements of Comprehensive Income (Unaudited)</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4</w:t>
              </w:r>
            </w:hyperlink>
          </w:p>
        </w:tc>
      </w:tr>
      <w:tr>
        <w:trPr>
          <w:trHeight w:val="270"/>
        </w:trPr>
        <w:tc>
          <w:tcPr>
            <w:tcW w:w="1060" w:type="dxa"/>
            <w:vAlign w:val="bottom"/>
          </w:tcPr>
          <w:p>
            <w:pPr>
              <w:spacing w:after="0"/>
              <w:rPr>
                <w:sz w:val="23"/>
                <w:szCs w:val="23"/>
                <w:color w:val="auto"/>
              </w:rPr>
            </w:pPr>
          </w:p>
        </w:tc>
        <w:tc>
          <w:tcPr>
            <w:tcW w:w="7700" w:type="dxa"/>
            <w:vAlign w:val="bottom"/>
          </w:tcPr>
          <w:p>
            <w:pPr>
              <w:ind w:left="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Consolidated Balance Sheets (Unaudited)</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5</w:t>
              </w:r>
            </w:hyperlink>
          </w:p>
        </w:tc>
      </w:tr>
      <w:tr>
        <w:trPr>
          <w:trHeight w:val="270"/>
        </w:trPr>
        <w:tc>
          <w:tcPr>
            <w:tcW w:w="1060" w:type="dxa"/>
            <w:vAlign w:val="bottom"/>
          </w:tcPr>
          <w:p>
            <w:pPr>
              <w:spacing w:after="0"/>
              <w:rPr>
                <w:sz w:val="23"/>
                <w:szCs w:val="23"/>
                <w:color w:val="auto"/>
              </w:rPr>
            </w:pPr>
          </w:p>
        </w:tc>
        <w:tc>
          <w:tcPr>
            <w:tcW w:w="7700" w:type="dxa"/>
            <w:vAlign w:val="bottom"/>
          </w:tcPr>
          <w:p>
            <w:pPr>
              <w:ind w:left="6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Consolidated Statements of Equity (Unaudited)</w:t>
              </w:r>
            </w:hyperlink>
          </w:p>
        </w:tc>
        <w:tc>
          <w:tcPr>
            <w:tcW w:w="2160" w:type="dxa"/>
            <w:vAlign w:val="bottom"/>
            <w:gridSpan w:val="2"/>
          </w:tcPr>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6</w:t>
              </w:r>
            </w:hyperlink>
          </w:p>
        </w:tc>
      </w:tr>
      <w:tr>
        <w:trPr>
          <w:trHeight w:val="270"/>
        </w:trPr>
        <w:tc>
          <w:tcPr>
            <w:tcW w:w="1060" w:type="dxa"/>
            <w:vAlign w:val="bottom"/>
          </w:tcPr>
          <w:p>
            <w:pPr>
              <w:spacing w:after="0"/>
              <w:rPr>
                <w:sz w:val="23"/>
                <w:szCs w:val="23"/>
                <w:color w:val="auto"/>
              </w:rPr>
            </w:pPr>
          </w:p>
        </w:tc>
        <w:tc>
          <w:tcPr>
            <w:tcW w:w="7700" w:type="dxa"/>
            <w:vAlign w:val="bottom"/>
          </w:tcPr>
          <w:p>
            <w:pPr>
              <w:ind w:left="6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Consolidated Statements of Cash Flows (Unaudited)</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7</w:t>
              </w:r>
            </w:hyperlink>
          </w:p>
        </w:tc>
      </w:tr>
      <w:tr>
        <w:trPr>
          <w:trHeight w:val="270"/>
        </w:trPr>
        <w:tc>
          <w:tcPr>
            <w:tcW w:w="1060" w:type="dxa"/>
            <w:vAlign w:val="bottom"/>
          </w:tcPr>
          <w:p>
            <w:pPr>
              <w:spacing w:after="0"/>
              <w:rPr>
                <w:sz w:val="23"/>
                <w:szCs w:val="23"/>
                <w:color w:val="auto"/>
              </w:rPr>
            </w:pPr>
          </w:p>
        </w:tc>
        <w:tc>
          <w:tcPr>
            <w:tcW w:w="7700" w:type="dxa"/>
            <w:vAlign w:val="bottom"/>
          </w:tcPr>
          <w:p>
            <w:pPr>
              <w:ind w:left="6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Notes to Consolidated Financial Statements (Unaudited)</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8</w:t>
              </w:r>
            </w:hyperlink>
          </w:p>
        </w:tc>
      </w:tr>
      <w:tr>
        <w:trPr>
          <w:trHeight w:val="257"/>
        </w:trPr>
        <w:tc>
          <w:tcPr>
            <w:tcW w:w="1060" w:type="dxa"/>
            <w:vAlign w:val="bottom"/>
          </w:tcPr>
          <w:p>
            <w:pPr>
              <w:ind w:left="24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Item 2</w:t>
              </w:r>
            </w:hyperlink>
          </w:p>
        </w:tc>
        <w:tc>
          <w:tcPr>
            <w:tcW w:w="7700" w:type="dxa"/>
            <w:vAlign w:val="bottom"/>
          </w:tcPr>
          <w:p>
            <w:pPr>
              <w:ind w:left="6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Management’s Discussion and Analysis of Financial Condition and Results of Operations</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27</w:t>
              </w:r>
            </w:hyperlink>
          </w:p>
        </w:tc>
      </w:tr>
      <w:tr>
        <w:trPr>
          <w:trHeight w:val="256"/>
        </w:trPr>
        <w:tc>
          <w:tcPr>
            <w:tcW w:w="1060" w:type="dxa"/>
            <w:vAlign w:val="bottom"/>
          </w:tcPr>
          <w:p>
            <w:pPr>
              <w:ind w:left="240"/>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Item 3</w:t>
              </w:r>
            </w:hyperlink>
          </w:p>
        </w:tc>
        <w:tc>
          <w:tcPr>
            <w:tcW w:w="7700" w:type="dxa"/>
            <w:vAlign w:val="bottom"/>
          </w:tcPr>
          <w:p>
            <w:pPr>
              <w:ind w:left="60"/>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Quantitative and Qualitative Disclosures About Market Risk</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35</w:t>
              </w:r>
            </w:hyperlink>
          </w:p>
        </w:tc>
      </w:tr>
      <w:tr>
        <w:trPr>
          <w:trHeight w:val="257"/>
        </w:trPr>
        <w:tc>
          <w:tcPr>
            <w:tcW w:w="1060" w:type="dxa"/>
            <w:vAlign w:val="bottom"/>
          </w:tcPr>
          <w:p>
            <w:pPr>
              <w:ind w:left="240"/>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Item 4</w:t>
              </w:r>
            </w:hyperlink>
          </w:p>
        </w:tc>
        <w:tc>
          <w:tcPr>
            <w:tcW w:w="7700" w:type="dxa"/>
            <w:vAlign w:val="bottom"/>
          </w:tcPr>
          <w:p>
            <w:pPr>
              <w:ind w:left="60"/>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Controls and Procedures</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36</w:t>
              </w:r>
            </w:hyperlink>
          </w:p>
        </w:tc>
      </w:tr>
      <w:tr>
        <w:trPr>
          <w:trHeight w:val="257"/>
        </w:trPr>
        <w:tc>
          <w:tcPr>
            <w:tcW w:w="8760" w:type="dxa"/>
            <w:vAlign w:val="bottom"/>
            <w:gridSpan w:val="2"/>
          </w:tcPr>
          <w:p>
            <w:pPr>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Part II. OTHER INFORMATION</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36</w:t>
              </w:r>
            </w:hyperlink>
          </w:p>
        </w:tc>
      </w:tr>
      <w:tr>
        <w:trPr>
          <w:trHeight w:val="257"/>
        </w:trPr>
        <w:tc>
          <w:tcPr>
            <w:tcW w:w="1060" w:type="dxa"/>
            <w:vAlign w:val="bottom"/>
          </w:tcPr>
          <w:p>
            <w:pPr>
              <w:ind w:left="240"/>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Item 1</w:t>
              </w:r>
            </w:hyperlink>
          </w:p>
        </w:tc>
        <w:tc>
          <w:tcPr>
            <w:tcW w:w="7700" w:type="dxa"/>
            <w:vAlign w:val="bottom"/>
          </w:tcPr>
          <w:p>
            <w:pPr>
              <w:ind w:left="60"/>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Legal Proceedings</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36</w:t>
              </w:r>
            </w:hyperlink>
          </w:p>
        </w:tc>
      </w:tr>
      <w:tr>
        <w:trPr>
          <w:trHeight w:val="256"/>
        </w:trPr>
        <w:tc>
          <w:tcPr>
            <w:tcW w:w="1060" w:type="dxa"/>
            <w:vAlign w:val="bottom"/>
          </w:tcPr>
          <w:p>
            <w:pPr>
              <w:ind w:left="240"/>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Item 1A</w:t>
              </w:r>
            </w:hyperlink>
          </w:p>
        </w:tc>
        <w:tc>
          <w:tcPr>
            <w:tcW w:w="7700" w:type="dxa"/>
            <w:vAlign w:val="bottom"/>
          </w:tcPr>
          <w:p>
            <w:pPr>
              <w:ind w:left="60"/>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Risk Factors</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36</w:t>
              </w:r>
            </w:hyperlink>
          </w:p>
        </w:tc>
      </w:tr>
      <w:tr>
        <w:trPr>
          <w:trHeight w:val="257"/>
        </w:trPr>
        <w:tc>
          <w:tcPr>
            <w:tcW w:w="1060" w:type="dxa"/>
            <w:vAlign w:val="bottom"/>
          </w:tcPr>
          <w:p>
            <w:pPr>
              <w:ind w:left="240"/>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Item 2</w:t>
              </w:r>
            </w:hyperlink>
          </w:p>
        </w:tc>
        <w:tc>
          <w:tcPr>
            <w:tcW w:w="7700" w:type="dxa"/>
            <w:vAlign w:val="bottom"/>
          </w:tcPr>
          <w:p>
            <w:pPr>
              <w:ind w:left="60"/>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Unregistered Sales of Equity Securities and Use of Proceeds</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37</w:t>
              </w:r>
            </w:hyperlink>
          </w:p>
        </w:tc>
      </w:tr>
      <w:tr>
        <w:trPr>
          <w:trHeight w:val="257"/>
        </w:trPr>
        <w:tc>
          <w:tcPr>
            <w:tcW w:w="1060" w:type="dxa"/>
            <w:vAlign w:val="bottom"/>
          </w:tcPr>
          <w:p>
            <w:pPr>
              <w:ind w:left="24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Item 4</w:t>
              </w:r>
            </w:hyperlink>
          </w:p>
        </w:tc>
        <w:tc>
          <w:tcPr>
            <w:tcW w:w="7700" w:type="dxa"/>
            <w:vAlign w:val="bottom"/>
          </w:tcPr>
          <w:p>
            <w:pPr>
              <w:ind w:left="60"/>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Mine Safety Disclosures</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37</w:t>
              </w:r>
            </w:hyperlink>
          </w:p>
        </w:tc>
      </w:tr>
      <w:tr>
        <w:trPr>
          <w:trHeight w:val="257"/>
        </w:trPr>
        <w:tc>
          <w:tcPr>
            <w:tcW w:w="1060" w:type="dxa"/>
            <w:vAlign w:val="bottom"/>
          </w:tcPr>
          <w:p>
            <w:pPr>
              <w:ind w:left="240"/>
              <w:spacing w:after="0"/>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Item 6</w:t>
              </w:r>
            </w:hyperlink>
          </w:p>
        </w:tc>
        <w:tc>
          <w:tcPr>
            <w:tcW w:w="7700" w:type="dxa"/>
            <w:vAlign w:val="bottom"/>
          </w:tcPr>
          <w:p>
            <w:pPr>
              <w:ind w:left="60"/>
              <w:spacing w:after="0"/>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Exhibits</w:t>
              </w:r>
            </w:hyperlink>
          </w:p>
        </w:tc>
        <w:tc>
          <w:tcPr>
            <w:tcW w:w="2160" w:type="dxa"/>
            <w:vAlign w:val="bottom"/>
            <w:gridSpan w:val="2"/>
          </w:tcPr>
          <w:p>
            <w:pPr>
              <w:jc w:val="right"/>
              <w:spacing w:after="0"/>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38</w:t>
              </w:r>
            </w:hyperlink>
          </w:p>
        </w:tc>
      </w:tr>
      <w:tr>
        <w:trPr>
          <w:trHeight w:val="256"/>
        </w:trPr>
        <w:tc>
          <w:tcPr>
            <w:tcW w:w="1060" w:type="dxa"/>
            <w:vAlign w:val="bottom"/>
          </w:tcPr>
          <w:p>
            <w:pPr>
              <w:spacing w:after="0"/>
              <w:rPr>
                <w:rFonts w:ascii="Arial" w:cs="Arial" w:eastAsia="Arial" w:hAnsi="Arial"/>
                <w:sz w:val="16"/>
                <w:szCs w:val="16"/>
                <w:u w:val="single" w:color="auto"/>
                <w:color w:val="0000EE"/>
                <w:w w:val="99"/>
              </w:rPr>
            </w:pPr>
            <w:hyperlink w:anchor="page39">
              <w:r>
                <w:rPr>
                  <w:rFonts w:ascii="Arial" w:cs="Arial" w:eastAsia="Arial" w:hAnsi="Arial"/>
                  <w:sz w:val="16"/>
                  <w:szCs w:val="16"/>
                  <w:u w:val="single" w:color="auto"/>
                  <w:color w:val="0000EE"/>
                  <w:w w:val="99"/>
                </w:rPr>
                <w:t>SIGNATURES</w:t>
              </w:r>
            </w:hyperlink>
          </w:p>
        </w:tc>
        <w:tc>
          <w:tcPr>
            <w:tcW w:w="7700" w:type="dxa"/>
            <w:vAlign w:val="bottom"/>
          </w:tcPr>
          <w:p>
            <w:pPr>
              <w:spacing w:after="0"/>
              <w:rPr>
                <w:sz w:val="22"/>
                <w:szCs w:val="22"/>
                <w:color w:val="auto"/>
              </w:rPr>
            </w:pPr>
          </w:p>
        </w:tc>
        <w:tc>
          <w:tcPr>
            <w:tcW w:w="2160" w:type="dxa"/>
            <w:vAlign w:val="bottom"/>
            <w:gridSpan w:val="2"/>
          </w:tcPr>
          <w:p>
            <w:pPr>
              <w:jc w:val="right"/>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39</w:t>
              </w:r>
            </w:hyperlink>
          </w:p>
        </w:tc>
      </w:tr>
      <w:tr>
        <w:trPr>
          <w:trHeight w:val="635"/>
        </w:trPr>
        <w:tc>
          <w:tcPr>
            <w:tcW w:w="1060" w:type="dxa"/>
            <w:vAlign w:val="bottom"/>
          </w:tcPr>
          <w:p>
            <w:pPr>
              <w:spacing w:after="0"/>
              <w:rPr>
                <w:sz w:val="24"/>
                <w:szCs w:val="24"/>
                <w:color w:val="auto"/>
              </w:rPr>
            </w:pPr>
          </w:p>
        </w:tc>
        <w:tc>
          <w:tcPr>
            <w:tcW w:w="7700" w:type="dxa"/>
            <w:vAlign w:val="bottom"/>
          </w:tcPr>
          <w:p>
            <w:pPr>
              <w:ind w:left="4360"/>
              <w:spacing w:after="0"/>
              <w:rPr>
                <w:sz w:val="20"/>
                <w:szCs w:val="20"/>
                <w:color w:val="auto"/>
              </w:rPr>
            </w:pPr>
            <w:r>
              <w:rPr>
                <w:rFonts w:ascii="Arial" w:cs="Arial" w:eastAsia="Arial" w:hAnsi="Arial"/>
                <w:sz w:val="16"/>
                <w:szCs w:val="16"/>
                <w:color w:val="auto"/>
              </w:rPr>
              <w:t>2</w:t>
            </w: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0920"/>
          </w:cols>
          <w:pgMar w:left="480" w:top="504" w:right="4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7540" w:type="dxa"/>
            <w:vAlign w:val="bottom"/>
          </w:tcPr>
          <w:p>
            <w:pPr>
              <w:ind w:left="100"/>
              <w:spacing w:after="0"/>
              <w:rPr>
                <w:sz w:val="20"/>
                <w:szCs w:val="20"/>
                <w:color w:val="auto"/>
              </w:rPr>
            </w:pPr>
            <w:r>
              <w:rPr>
                <w:rFonts w:ascii="Arial" w:cs="Arial" w:eastAsia="Arial" w:hAnsi="Arial"/>
                <w:sz w:val="16"/>
                <w:szCs w:val="16"/>
                <w:b w:val="1"/>
                <w:bCs w:val="1"/>
                <w:color w:val="auto"/>
              </w:rPr>
              <w:t>FINANCIAL INFORMATION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97"/>
        </w:trPr>
        <w:tc>
          <w:tcPr>
            <w:tcW w:w="68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7540" w:type="dxa"/>
            <w:vAlign w:val="bottom"/>
          </w:tcPr>
          <w:p>
            <w:pPr>
              <w:ind w:left="220"/>
              <w:spacing w:after="0"/>
              <w:rPr>
                <w:sz w:val="20"/>
                <w:szCs w:val="20"/>
                <w:color w:val="auto"/>
              </w:rPr>
            </w:pPr>
            <w:r>
              <w:rPr>
                <w:rFonts w:ascii="Arial" w:cs="Arial" w:eastAsia="Arial" w:hAnsi="Arial"/>
                <w:sz w:val="16"/>
                <w:szCs w:val="16"/>
                <w:b w:val="1"/>
                <w:bCs w:val="1"/>
                <w:color w:val="auto"/>
              </w:rPr>
              <w:t>FINANCIAL STATEMENTS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7"/>
        </w:trPr>
        <w:tc>
          <w:tcPr>
            <w:tcW w:w="680" w:type="dxa"/>
            <w:vAlign w:val="bottom"/>
          </w:tcPr>
          <w:p>
            <w:pPr>
              <w:spacing w:after="0"/>
              <w:rPr>
                <w:sz w:val="24"/>
                <w:szCs w:val="24"/>
                <w:color w:val="auto"/>
              </w:rPr>
            </w:pPr>
          </w:p>
        </w:tc>
        <w:tc>
          <w:tcPr>
            <w:tcW w:w="7540" w:type="dxa"/>
            <w:vAlign w:val="bottom"/>
          </w:tcPr>
          <w:p>
            <w:pPr>
              <w:jc w:val="center"/>
              <w:ind w:left="2259"/>
              <w:spacing w:after="0"/>
              <w:rPr>
                <w:sz w:val="20"/>
                <w:szCs w:val="20"/>
                <w:color w:val="auto"/>
              </w:rPr>
            </w:pPr>
            <w:r>
              <w:rPr>
                <w:rFonts w:ascii="Arial" w:cs="Arial" w:eastAsia="Arial" w:hAnsi="Arial"/>
                <w:sz w:val="16"/>
                <w:szCs w:val="16"/>
                <w:b w:val="1"/>
                <w:bCs w:val="1"/>
                <w:color w:val="auto"/>
              </w:rPr>
              <w:t>MASTEC, INC.</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9"/>
        </w:trPr>
        <w:tc>
          <w:tcPr>
            <w:tcW w:w="680" w:type="dxa"/>
            <w:vAlign w:val="bottom"/>
          </w:tcPr>
          <w:p>
            <w:pPr>
              <w:spacing w:after="0"/>
              <w:rPr>
                <w:sz w:val="16"/>
                <w:szCs w:val="16"/>
                <w:color w:val="auto"/>
              </w:rPr>
            </w:pPr>
          </w:p>
        </w:tc>
        <w:tc>
          <w:tcPr>
            <w:tcW w:w="7540" w:type="dxa"/>
            <w:vAlign w:val="bottom"/>
          </w:tcPr>
          <w:p>
            <w:pPr>
              <w:jc w:val="center"/>
              <w:ind w:left="2259"/>
              <w:spacing w:after="0"/>
              <w:rPr>
                <w:sz w:val="20"/>
                <w:szCs w:val="20"/>
                <w:color w:val="auto"/>
              </w:rPr>
            </w:pPr>
            <w:r>
              <w:rPr>
                <w:rFonts w:ascii="Arial" w:cs="Arial" w:eastAsia="Arial" w:hAnsi="Arial"/>
                <w:sz w:val="16"/>
                <w:szCs w:val="16"/>
                <w:b w:val="1"/>
                <w:bCs w:val="1"/>
                <w:color w:val="auto"/>
              </w:rPr>
              <w:t>CONSOLIDATED STATEMENTS OF OPERATIONS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680" w:type="dxa"/>
            <w:vAlign w:val="bottom"/>
          </w:tcPr>
          <w:p>
            <w:pPr>
              <w:spacing w:after="0"/>
              <w:rPr>
                <w:sz w:val="18"/>
                <w:szCs w:val="18"/>
                <w:color w:val="auto"/>
              </w:rPr>
            </w:pPr>
          </w:p>
        </w:tc>
        <w:tc>
          <w:tcPr>
            <w:tcW w:w="7540" w:type="dxa"/>
            <w:vAlign w:val="bottom"/>
          </w:tcPr>
          <w:p>
            <w:pPr>
              <w:jc w:val="center"/>
              <w:ind w:left="2259"/>
              <w:spacing w:after="0"/>
              <w:rPr>
                <w:sz w:val="20"/>
                <w:szCs w:val="20"/>
                <w:color w:val="auto"/>
              </w:rPr>
            </w:pPr>
            <w:r>
              <w:rPr>
                <w:rFonts w:ascii="Arial" w:cs="Arial" w:eastAsia="Arial" w:hAnsi="Arial"/>
                <w:sz w:val="16"/>
                <w:szCs w:val="16"/>
                <w:b w:val="1"/>
                <w:bCs w:val="1"/>
                <w:color w:val="auto"/>
                <w:w w:val="90"/>
              </w:rPr>
              <w:t>(unaudited - in thousands, except per share amounts)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553"/>
        </w:trPr>
        <w:tc>
          <w:tcPr>
            <w:tcW w:w="6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3"/>
              </w:rPr>
              <w:t>For the Three Months Ended March 31,</w:t>
            </w:r>
          </w:p>
        </w:tc>
      </w:tr>
      <w:tr>
        <w:trPr>
          <w:trHeight w:val="33"/>
        </w:trPr>
        <w:tc>
          <w:tcPr>
            <w:tcW w:w="6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68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Revenue</w:t>
            </w:r>
          </w:p>
        </w:tc>
        <w:tc>
          <w:tcPr>
            <w:tcW w:w="7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1,416,604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1,518,340</w:t>
            </w: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6"/>
                <w:szCs w:val="16"/>
                <w:color w:val="auto"/>
              </w:rPr>
              <w:t>Costs of revenue, excluding depreciation and amortization</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1,226,297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1,312,048</w:t>
            </w:r>
          </w:p>
        </w:tc>
      </w:tr>
      <w:tr>
        <w:trPr>
          <w:trHeight w:val="33"/>
        </w:trPr>
        <w:tc>
          <w:tcPr>
            <w:tcW w:w="8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54,226</w:t>
            </w: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7,391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4,805</w:t>
            </w:r>
          </w:p>
        </w:tc>
      </w:tr>
      <w:tr>
        <w:trPr>
          <w:trHeight w:val="33"/>
        </w:trPr>
        <w:tc>
          <w:tcPr>
            <w:tcW w:w="8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72,616</w:t>
            </w: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17,004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22,258</w:t>
            </w:r>
          </w:p>
        </w:tc>
      </w:tr>
      <w:tr>
        <w:trPr>
          <w:trHeight w:val="33"/>
        </w:trPr>
        <w:tc>
          <w:tcPr>
            <w:tcW w:w="8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(6,260)</w:t>
            </w: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6"/>
                <w:szCs w:val="16"/>
                <w:color w:val="auto"/>
              </w:rPr>
              <w:t>Other (income) expense, net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3,507</w:t>
            </w:r>
          </w:p>
        </w:tc>
      </w:tr>
      <w:tr>
        <w:trPr>
          <w:trHeight w:val="33"/>
        </w:trPr>
        <w:tc>
          <w:tcPr>
            <w:tcW w:w="82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Income before income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36,485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55,140</w:t>
            </w: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6"/>
                <w:szCs w:val="16"/>
                <w:color w:val="auto"/>
              </w:rPr>
              <w:t>Provision for income taxes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(12,033)</w:t>
            </w:r>
          </w:p>
        </w:tc>
      </w:tr>
      <w:tr>
        <w:trPr>
          <w:trHeight w:val="33"/>
        </w:trPr>
        <w:tc>
          <w:tcPr>
            <w:tcW w:w="82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43,107</w:t>
            </w:r>
          </w:p>
        </w:tc>
      </w:tr>
      <w:tr>
        <w:trPr>
          <w:trHeight w:val="217"/>
        </w:trPr>
        <w:tc>
          <w:tcPr>
            <w:tcW w:w="8220" w:type="dxa"/>
            <w:vAlign w:val="bottom"/>
            <w:gridSpan w:val="2"/>
          </w:tcPr>
          <w:p>
            <w:pPr>
              <w:ind w:left="40"/>
              <w:spacing w:after="0"/>
              <w:rPr>
                <w:sz w:val="20"/>
                <w:szCs w:val="20"/>
                <w:color w:val="auto"/>
              </w:rPr>
            </w:pPr>
            <w:r>
              <w:rPr>
                <w:rFonts w:ascii="Arial" w:cs="Arial" w:eastAsia="Arial" w:hAnsi="Arial"/>
                <w:sz w:val="16"/>
                <w:szCs w:val="16"/>
                <w:color w:val="auto"/>
              </w:rPr>
              <w:t>Net loss attributable to non-controlling interests</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82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Net income attributable to MasTec, Inc.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43,112</w:t>
            </w:r>
          </w:p>
        </w:tc>
      </w:tr>
      <w:tr>
        <w:trPr>
          <w:trHeight w:val="290"/>
        </w:trPr>
        <w:tc>
          <w:tcPr>
            <w:tcW w:w="6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per share (Note 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gridSpan w:val="2"/>
          </w:tcPr>
          <w:p>
            <w:pPr>
              <w:ind w:left="180"/>
              <w:spacing w:after="0"/>
              <w:rPr>
                <w:sz w:val="20"/>
                <w:szCs w:val="20"/>
                <w:color w:val="auto"/>
              </w:rPr>
            </w:pPr>
            <w:r>
              <w:rPr>
                <w:rFonts w:ascii="Arial" w:cs="Arial" w:eastAsia="Arial" w:hAnsi="Arial"/>
                <w:sz w:val="16"/>
                <w:szCs w:val="16"/>
                <w:color w:val="auto"/>
              </w:rPr>
              <w:t>Basic earnings per share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0.48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0.57</w:t>
            </w:r>
          </w:p>
        </w:tc>
      </w:tr>
      <w:tr>
        <w:trPr>
          <w:trHeight w:val="33"/>
        </w:trPr>
        <w:tc>
          <w:tcPr>
            <w:tcW w:w="82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Basic weighted average common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74,991</w:t>
            </w:r>
          </w:p>
        </w:tc>
      </w:tr>
      <w:tr>
        <w:trPr>
          <w:trHeight w:val="209"/>
        </w:trPr>
        <w:tc>
          <w:tcPr>
            <w:tcW w:w="68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7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Diluted earnings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r>
      <w:tr>
        <w:trPr>
          <w:trHeight w:val="217"/>
        </w:trPr>
        <w:tc>
          <w:tcPr>
            <w:tcW w:w="8220" w:type="dxa"/>
            <w:vAlign w:val="bottom"/>
            <w:gridSpan w:val="2"/>
          </w:tcPr>
          <w:p>
            <w:pPr>
              <w:ind w:left="180"/>
              <w:spacing w:after="0"/>
              <w:rPr>
                <w:sz w:val="20"/>
                <w:szCs w:val="20"/>
                <w:color w:val="auto"/>
              </w:rPr>
            </w:pPr>
            <w:r>
              <w:rPr>
                <w:rFonts w:ascii="Arial" w:cs="Arial" w:eastAsia="Arial" w:hAnsi="Arial"/>
                <w:sz w:val="16"/>
                <w:szCs w:val="16"/>
                <w:color w:val="auto"/>
              </w:rPr>
              <w:t>Diluted weighted average common shares outstanding</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75,413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75,578</w:t>
            </w:r>
          </w:p>
        </w:tc>
      </w:tr>
      <w:tr>
        <w:trPr>
          <w:trHeight w:val="33"/>
        </w:trPr>
        <w:tc>
          <w:tcPr>
            <w:tcW w:w="6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5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3"/>
              </w:rPr>
              <w:t>For the Three Months Ended March 31,</w:t>
            </w:r>
          </w:p>
        </w:tc>
      </w:tr>
      <w:tr>
        <w:trPr>
          <w:trHeight w:val="33"/>
        </w:trPr>
        <w:tc>
          <w:tcPr>
            <w:tcW w:w="8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36,062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43,107</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losses, net of tax</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8220" w:type="dxa"/>
            <w:vAlign w:val="bottom"/>
          </w:tcPr>
          <w:p>
            <w:pPr>
              <w:ind w:left="200"/>
              <w:spacing w:after="0"/>
              <w:rPr>
                <w:sz w:val="20"/>
                <w:szCs w:val="20"/>
                <w:color w:val="auto"/>
              </w:rPr>
            </w:pPr>
            <w:r>
              <w:rPr>
                <w:rFonts w:ascii="Arial" w:cs="Arial" w:eastAsia="Arial" w:hAnsi="Arial"/>
                <w:sz w:val="16"/>
                <w:szCs w:val="16"/>
                <w:color w:val="auto"/>
              </w:rPr>
              <w:t>Unrealized losses on equity investee activity, net of tax</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(22,961)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(5,462)</w:t>
            </w:r>
          </w:p>
        </w:tc>
      </w:tr>
      <w:tr>
        <w:trPr>
          <w:trHeight w:val="33"/>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37,545</w:t>
            </w:r>
          </w:p>
        </w:tc>
      </w:tr>
      <w:tr>
        <w:trPr>
          <w:trHeight w:val="217"/>
        </w:trPr>
        <w:tc>
          <w:tcPr>
            <w:tcW w:w="8220" w:type="dxa"/>
            <w:vAlign w:val="bottom"/>
          </w:tcPr>
          <w:p>
            <w:pPr>
              <w:ind w:left="200"/>
              <w:spacing w:after="0"/>
              <w:rPr>
                <w:sz w:val="20"/>
                <w:szCs w:val="20"/>
                <w:color w:val="auto"/>
              </w:rPr>
            </w:pPr>
            <w:r>
              <w:rPr>
                <w:rFonts w:ascii="Arial" w:cs="Arial" w:eastAsia="Arial" w:hAnsi="Arial"/>
                <w:sz w:val="16"/>
                <w:szCs w:val="16"/>
                <w:color w:val="auto"/>
              </w:rPr>
              <w:t>Comprehensive loss attributable to non-controlling interests</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Comprehensive income attributable to MasTec, Inc.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12,973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37,550</w:t>
            </w:r>
          </w:p>
        </w:tc>
      </w:tr>
      <w:tr>
        <w:trPr>
          <w:trHeight w:val="20"/>
        </w:trPr>
        <w:tc>
          <w:tcPr>
            <w:tcW w:w="8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5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 - in thousands, except share information)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71,427</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Accounts receivable, net of allowance</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796,120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850,326</w:t>
            </w:r>
          </w:p>
        </w:tc>
      </w:tr>
      <w:tr>
        <w:trPr>
          <w:trHeight w:val="33"/>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Contract 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997,901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1,024,568</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106,586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100,069</w:t>
            </w:r>
          </w:p>
        </w:tc>
      </w:tr>
      <w:tr>
        <w:trPr>
          <w:trHeight w:val="33"/>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52,000</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61,302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75,169</w:t>
            </w:r>
          </w:p>
        </w:tc>
      </w:tr>
      <w:tr>
        <w:trPr>
          <w:trHeight w:val="33"/>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2,079,779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2,173,559</w:t>
            </w:r>
          </w:p>
        </w:tc>
      </w:tr>
      <w:tr>
        <w:trPr>
          <w:trHeight w:val="217"/>
        </w:trPr>
        <w:tc>
          <w:tcPr>
            <w:tcW w:w="8220" w:type="dxa"/>
            <w:vAlign w:val="bottom"/>
          </w:tcPr>
          <w:p>
            <w:pPr>
              <w:ind w:left="18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937,309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905,835</w:t>
            </w:r>
          </w:p>
        </w:tc>
      </w:tr>
      <w:tr>
        <w:trPr>
          <w:trHeight w:val="33"/>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210,637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229,903</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Goodwill, net</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1,221,147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1,221,440</w:t>
            </w:r>
          </w:p>
        </w:tc>
      </w:tr>
      <w:tr>
        <w:trPr>
          <w:trHeight w:val="33"/>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211,528</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Other long-term assets</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243,888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254,741</w:t>
            </w:r>
          </w:p>
        </w:tc>
      </w:tr>
      <w:tr>
        <w:trPr>
          <w:trHeight w:val="33"/>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4,893,548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4,997,006</w:t>
            </w:r>
          </w:p>
        </w:tc>
      </w:tr>
      <w:tr>
        <w:trPr>
          <w:trHeight w:val="231"/>
        </w:trPr>
        <w:tc>
          <w:tcPr>
            <w:tcW w:w="8220" w:type="dxa"/>
            <w:vAlign w:val="bottom"/>
          </w:tcPr>
          <w:p>
            <w:pPr>
              <w:ind w:left="40"/>
              <w:spacing w:after="0"/>
              <w:rPr>
                <w:sz w:val="20"/>
                <w:szCs w:val="20"/>
                <w:color w:val="auto"/>
              </w:rPr>
            </w:pPr>
            <w:r>
              <w:rPr>
                <w:rFonts w:ascii="Arial" w:cs="Arial" w:eastAsia="Arial" w:hAnsi="Arial"/>
                <w:sz w:val="16"/>
                <w:szCs w:val="16"/>
                <w:color w:val="auto"/>
              </w:rPr>
              <w:t>Liabilities and equity</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Current portion of long-term debt, including finance leases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121,848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118,429</w:t>
            </w:r>
          </w:p>
        </w:tc>
      </w:tr>
      <w:tr>
        <w:trPr>
          <w:trHeight w:val="33"/>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81,561</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533,509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535,029</w:t>
            </w:r>
          </w:p>
        </w:tc>
      </w:tr>
      <w:tr>
        <w:trPr>
          <w:trHeight w:val="33"/>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salaries and wages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123,080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87,562</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Other accrued expenses</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125,770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115,581</w:t>
            </w:r>
          </w:p>
        </w:tc>
      </w:tr>
      <w:tr>
        <w:trPr>
          <w:trHeight w:val="33"/>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Contract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206,180</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71,466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74,784</w:t>
            </w:r>
          </w:p>
        </w:tc>
      </w:tr>
      <w:tr>
        <w:trPr>
          <w:trHeight w:val="33"/>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1,260,033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1,219,126</w:t>
            </w:r>
          </w:p>
        </w:tc>
      </w:tr>
      <w:tr>
        <w:trPr>
          <w:trHeight w:val="217"/>
        </w:trPr>
        <w:tc>
          <w:tcPr>
            <w:tcW w:w="8220" w:type="dxa"/>
            <w:vAlign w:val="bottom"/>
          </w:tcPr>
          <w:p>
            <w:pPr>
              <w:ind w:left="180"/>
              <w:spacing w:after="0"/>
              <w:rPr>
                <w:sz w:val="20"/>
                <w:szCs w:val="20"/>
                <w:color w:val="auto"/>
              </w:rPr>
            </w:pPr>
            <w:r>
              <w:rPr>
                <w:rFonts w:ascii="Arial" w:cs="Arial" w:eastAsia="Arial" w:hAnsi="Arial"/>
                <w:sz w:val="16"/>
                <w:szCs w:val="16"/>
                <w:color w:val="auto"/>
              </w:rPr>
              <w:t>Long-term debt, including finance leases</w:t>
            </w: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1,297,342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1,314,030</w:t>
            </w:r>
          </w:p>
        </w:tc>
      </w:tr>
      <w:tr>
        <w:trPr>
          <w:trHeight w:val="33"/>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143,441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154,553</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276,060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296,326</w:t>
            </w:r>
          </w:p>
        </w:tc>
      </w:tr>
      <w:tr>
        <w:trPr>
          <w:trHeight w:val="33"/>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226,859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221,280</w:t>
            </w:r>
          </w:p>
        </w:tc>
      </w:tr>
      <w:tr>
        <w:trPr>
          <w:trHeight w:val="217"/>
        </w:trPr>
        <w:tc>
          <w:tcPr>
            <w:tcW w:w="822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3,203,735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3,205,315</w:t>
            </w:r>
          </w:p>
        </w:tc>
      </w:tr>
      <w:tr>
        <w:trPr>
          <w:trHeight w:val="33"/>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Commitments and contingencies </w:t>
            </w:r>
            <w:r>
              <w:rPr>
                <w:rFonts w:ascii="Arial" w:cs="Arial" w:eastAsia="Arial" w:hAnsi="Arial"/>
                <w:sz w:val="14"/>
                <w:szCs w:val="14"/>
                <w:color w:val="auto"/>
              </w:rPr>
              <w:t>(Note 14)</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Equity</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stock, $1.00 par value: authorized shares - 5,000,000; issued and outstanding shares – none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220" w:type="dxa"/>
            <w:vAlign w:val="bottom"/>
          </w:tcPr>
          <w:p>
            <w:pPr>
              <w:ind w:left="180"/>
              <w:spacing w:after="0"/>
              <w:rPr>
                <w:sz w:val="20"/>
                <w:szCs w:val="20"/>
                <w:color w:val="auto"/>
              </w:rPr>
            </w:pPr>
            <w:r>
              <w:rPr>
                <w:rFonts w:ascii="Arial" w:cs="Arial" w:eastAsia="Arial" w:hAnsi="Arial"/>
                <w:sz w:val="16"/>
                <w:szCs w:val="16"/>
                <w:color w:val="auto"/>
                <w:w w:val="93"/>
              </w:rPr>
              <w:t>Common stock, $0.10 par value: authorized shares - 145,000,000; issued shares - 92,618,032 and 91,909,430 (including</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8220" w:type="dxa"/>
            <w:vAlign w:val="bottom"/>
          </w:tcPr>
          <w:p>
            <w:pPr>
              <w:ind w:left="180"/>
              <w:spacing w:after="0"/>
              <w:rPr>
                <w:sz w:val="20"/>
                <w:szCs w:val="20"/>
                <w:color w:val="auto"/>
              </w:rPr>
            </w:pPr>
            <w:r>
              <w:rPr>
                <w:rFonts w:ascii="Arial" w:cs="Arial" w:eastAsia="Arial" w:hAnsi="Arial"/>
                <w:sz w:val="16"/>
                <w:szCs w:val="16"/>
                <w:color w:val="auto"/>
              </w:rPr>
              <w:t>1,759,870 and 1,221,593 of unvested stock awards) as of March 31, 2020 and December 31, 2019, respectively</w:t>
            </w:r>
          </w:p>
        </w:tc>
        <w:tc>
          <w:tcPr>
            <w:tcW w:w="24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9,262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9,191</w:t>
            </w:r>
          </w:p>
        </w:tc>
      </w:tr>
      <w:tr>
        <w:trPr>
          <w:trHeight w:val="33"/>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surplus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814,425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809,753</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1,546,939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1,510,709</w:t>
            </w:r>
          </w:p>
        </w:tc>
      </w:tr>
      <w:tr>
        <w:trPr>
          <w:trHeight w:val="33"/>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(75,706)</w:t>
            </w:r>
          </w:p>
        </w:tc>
      </w:tr>
      <w:tr>
        <w:trPr>
          <w:trHeight w:val="220"/>
        </w:trPr>
        <w:tc>
          <w:tcPr>
            <w:tcW w:w="8220" w:type="dxa"/>
            <w:vAlign w:val="bottom"/>
          </w:tcPr>
          <w:p>
            <w:pPr>
              <w:ind w:left="180"/>
              <w:spacing w:after="0"/>
              <w:rPr>
                <w:sz w:val="20"/>
                <w:szCs w:val="20"/>
                <w:color w:val="auto"/>
              </w:rPr>
            </w:pPr>
            <w:r>
              <w:rPr>
                <w:rFonts w:ascii="Arial" w:cs="Arial" w:eastAsia="Arial" w:hAnsi="Arial"/>
                <w:sz w:val="16"/>
                <w:szCs w:val="16"/>
                <w:color w:val="auto"/>
                <w:w w:val="99"/>
              </w:rPr>
              <w:t>Treasury stock, at cost: 18,914,841 shares and 15,344,917 shares as of March 31, 2020 and December 31, 2019,</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8220" w:type="dxa"/>
            <w:vAlign w:val="bottom"/>
          </w:tcPr>
          <w:p>
            <w:pPr>
              <w:ind w:left="180"/>
              <w:spacing w:after="0"/>
              <w:rPr>
                <w:sz w:val="20"/>
                <w:szCs w:val="20"/>
                <w:color w:val="auto"/>
              </w:rPr>
            </w:pPr>
            <w:r>
              <w:rPr>
                <w:rFonts w:ascii="Arial" w:cs="Arial" w:eastAsia="Arial" w:hAnsi="Arial"/>
                <w:sz w:val="16"/>
                <w:szCs w:val="16"/>
                <w:color w:val="auto"/>
              </w:rPr>
              <w:t>respectively</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(586,153)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(466,727)</w:t>
            </w:r>
          </w:p>
        </w:tc>
      </w:tr>
      <w:tr>
        <w:trPr>
          <w:trHeight w:val="33"/>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MasTec, Inc. shareholders’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1,685,510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1,787,220</w:t>
            </w:r>
          </w:p>
        </w:tc>
      </w:tr>
      <w:tr>
        <w:trPr>
          <w:trHeight w:val="217"/>
        </w:trPr>
        <w:tc>
          <w:tcPr>
            <w:tcW w:w="8220" w:type="dxa"/>
            <w:vAlign w:val="bottom"/>
          </w:tcPr>
          <w:p>
            <w:pPr>
              <w:ind w:left="18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4,303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4,471</w:t>
            </w:r>
          </w:p>
        </w:tc>
      </w:tr>
      <w:tr>
        <w:trPr>
          <w:trHeight w:val="33"/>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1,689,813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1,791,691</w:t>
            </w:r>
          </w:p>
        </w:tc>
      </w:tr>
      <w:tr>
        <w:trPr>
          <w:trHeight w:val="217"/>
        </w:trPr>
        <w:tc>
          <w:tcPr>
            <w:tcW w:w="8220" w:type="dxa"/>
            <w:vAlign w:val="bottom"/>
          </w:tcPr>
          <w:p>
            <w:pPr>
              <w:ind w:left="28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4,893,548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4,997,006</w:t>
            </w:r>
          </w:p>
        </w:tc>
      </w:tr>
      <w:tr>
        <w:trPr>
          <w:trHeight w:val="33"/>
        </w:trPr>
        <w:tc>
          <w:tcPr>
            <w:tcW w:w="8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11240"/>
          </w:cols>
          <w:pgMar w:left="320" w:top="504" w:right="3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504"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CONSOLIDATED STATEMENTS OF EQUITY</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(unaudited - in thousands, except shares)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rPr>
                <w:sz w:val="17"/>
                <w:szCs w:val="17"/>
                <w:color w:val="auto"/>
              </w:rPr>
            </w:pPr>
          </w:p>
        </w:tc>
        <w:tc>
          <w:tcPr>
            <w:tcW w:w="1680" w:type="dxa"/>
            <w:vAlign w:val="bottom"/>
            <w:gridSpan w:val="4"/>
            <w:vMerge w:val="restart"/>
          </w:tcPr>
          <w:p>
            <w:pPr>
              <w:ind w:left="280"/>
              <w:spacing w:after="0"/>
              <w:rPr>
                <w:sz w:val="20"/>
                <w:szCs w:val="20"/>
                <w:color w:val="auto"/>
              </w:rPr>
            </w:pPr>
            <w:r>
              <w:rPr>
                <w:rFonts w:ascii="Arial" w:cs="Arial" w:eastAsia="Arial" w:hAnsi="Arial"/>
                <w:sz w:val="16"/>
                <w:szCs w:val="16"/>
                <w:b w:val="1"/>
                <w:bCs w:val="1"/>
                <w:color w:val="auto"/>
              </w:rPr>
              <w:t>Common Stock</w:t>
            </w:r>
          </w:p>
        </w:tc>
        <w:tc>
          <w:tcPr>
            <w:tcW w:w="19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Treasury Stock</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680" w:type="dxa"/>
            <w:vAlign w:val="bottom"/>
            <w:gridSpan w:val="4"/>
            <w:vMerge w:val="continue"/>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Other</w:t>
            </w: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MasTec, Inc.</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7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120"/>
              <w:spacing w:after="0" w:line="182" w:lineRule="exact"/>
              <w:rPr>
                <w:sz w:val="20"/>
                <w:szCs w:val="20"/>
                <w:color w:val="auto"/>
              </w:rPr>
            </w:pPr>
            <w:r>
              <w:rPr>
                <w:rFonts w:ascii="Arial" w:cs="Arial" w:eastAsia="Arial" w:hAnsi="Arial"/>
                <w:sz w:val="16"/>
                <w:szCs w:val="16"/>
                <w:b w:val="1"/>
                <w:bCs w:val="1"/>
                <w:color w:val="auto"/>
              </w:rPr>
              <w:t>Capital</w:t>
            </w:r>
          </w:p>
        </w:tc>
        <w:tc>
          <w:tcPr>
            <w:tcW w:w="920" w:type="dxa"/>
            <w:vAlign w:val="bottom"/>
            <w:gridSpan w:val="2"/>
          </w:tcPr>
          <w:p>
            <w:pPr>
              <w:ind w:left="100"/>
              <w:spacing w:after="0" w:line="182" w:lineRule="exact"/>
              <w:rPr>
                <w:sz w:val="20"/>
                <w:szCs w:val="20"/>
                <w:color w:val="auto"/>
              </w:rPr>
            </w:pPr>
            <w:r>
              <w:rPr>
                <w:rFonts w:ascii="Arial" w:cs="Arial" w:eastAsia="Arial" w:hAnsi="Arial"/>
                <w:sz w:val="16"/>
                <w:szCs w:val="16"/>
                <w:b w:val="1"/>
                <w:bCs w:val="1"/>
                <w:color w:val="auto"/>
              </w:rPr>
              <w:t>Retained</w:t>
            </w:r>
          </w:p>
        </w:tc>
        <w:tc>
          <w:tcPr>
            <w:tcW w:w="124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w w:val="99"/>
              </w:rPr>
              <w:t>Comprehensive</w:t>
            </w:r>
          </w:p>
        </w:tc>
        <w:tc>
          <w:tcPr>
            <w:tcW w:w="112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rPr>
              <w:t>Shareholders’</w:t>
            </w:r>
          </w:p>
        </w:tc>
        <w:tc>
          <w:tcPr>
            <w:tcW w:w="94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rPr>
              <w:t>Controlling</w:t>
            </w:r>
          </w:p>
        </w:tc>
        <w:tc>
          <w:tcPr>
            <w:tcW w:w="860" w:type="dxa"/>
            <w:vAlign w:val="bottom"/>
          </w:tcPr>
          <w:p>
            <w:pPr>
              <w:jc w:val="right"/>
              <w:ind w:right="159"/>
              <w:spacing w:after="0" w:line="18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02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8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840" w:type="dxa"/>
            <w:vAlign w:val="bottom"/>
            <w:gridSpan w:val="2"/>
          </w:tcPr>
          <w:p>
            <w:pPr>
              <w:ind w:left="100"/>
              <w:spacing w:after="0"/>
              <w:rPr>
                <w:sz w:val="20"/>
                <w:szCs w:val="20"/>
                <w:color w:val="auto"/>
              </w:rPr>
            </w:pPr>
            <w:r>
              <w:rPr>
                <w:rFonts w:ascii="Arial" w:cs="Arial" w:eastAsia="Arial" w:hAnsi="Arial"/>
                <w:sz w:val="16"/>
                <w:szCs w:val="16"/>
                <w:b w:val="1"/>
                <w:bCs w:val="1"/>
                <w:color w:val="auto"/>
              </w:rPr>
              <w:t>Surplus</w:t>
            </w: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24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Loss</w:t>
            </w: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Equity</w:t>
            </w: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Interests</w:t>
            </w: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For the Three Months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Ended March 31, 2020</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740" w:type="dxa"/>
            <w:vAlign w:val="bottom"/>
          </w:tcPr>
          <w:p>
            <w:pPr>
              <w:ind w:left="40"/>
              <w:spacing w:after="0"/>
              <w:rPr>
                <w:sz w:val="20"/>
                <w:szCs w:val="20"/>
                <w:color w:val="auto"/>
              </w:rPr>
            </w:pPr>
            <w:r>
              <w:rPr>
                <w:rFonts w:ascii="Arial" w:cs="Arial" w:eastAsia="Arial" w:hAnsi="Arial"/>
                <w:sz w:val="16"/>
                <w:szCs w:val="16"/>
                <w:color w:val="auto"/>
                <w:w w:val="95"/>
              </w:rPr>
              <w:t>Balance as of December</w:t>
            </w: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tcPr>
          <w:p>
            <w:pPr>
              <w:ind w:left="40"/>
              <w:spacing w:after="0"/>
              <w:rPr>
                <w:sz w:val="20"/>
                <w:szCs w:val="20"/>
                <w:color w:val="auto"/>
              </w:rPr>
            </w:pPr>
            <w:r>
              <w:rPr>
                <w:rFonts w:ascii="Arial" w:cs="Arial" w:eastAsia="Arial" w:hAnsi="Arial"/>
                <w:sz w:val="16"/>
                <w:szCs w:val="16"/>
                <w:color w:val="auto"/>
              </w:rPr>
              <w:t>31, 2019</w:t>
            </w:r>
          </w:p>
        </w:tc>
        <w:tc>
          <w:tcPr>
            <w:tcW w:w="820" w:type="dxa"/>
            <w:vAlign w:val="bottom"/>
          </w:tcPr>
          <w:p>
            <w:pPr>
              <w:jc w:val="right"/>
              <w:spacing w:after="0"/>
              <w:rPr>
                <w:sz w:val="20"/>
                <w:szCs w:val="20"/>
                <w:color w:val="auto"/>
              </w:rPr>
            </w:pPr>
            <w:r>
              <w:rPr>
                <w:rFonts w:ascii="Arial" w:cs="Arial" w:eastAsia="Arial" w:hAnsi="Arial"/>
                <w:sz w:val="16"/>
                <w:szCs w:val="16"/>
                <w:color w:val="auto"/>
                <w:w w:val="92"/>
              </w:rPr>
              <w:t>91,909,430</w:t>
            </w:r>
          </w:p>
        </w:tc>
        <w:tc>
          <w:tcPr>
            <w:tcW w:w="1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$ 9,191</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2"/>
              </w:rPr>
              <w:t>(15,344,917)</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$(466,727)</w:t>
            </w:r>
          </w:p>
        </w:tc>
        <w:tc>
          <w:tcPr>
            <w:tcW w:w="1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w w:val="92"/>
              </w:rPr>
              <w:t>$809,753</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$1,510,709</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(75,706)</w:t>
            </w:r>
          </w:p>
        </w:tc>
        <w:tc>
          <w:tcPr>
            <w:tcW w:w="1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1,787,220</w:t>
            </w:r>
          </w:p>
        </w:tc>
        <w:tc>
          <w:tcPr>
            <w:tcW w:w="12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4,471</w:t>
            </w:r>
          </w:p>
        </w:tc>
        <w:tc>
          <w:tcPr>
            <w:tcW w:w="1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w w:val="92"/>
              </w:rPr>
              <w:t>$1,791,691</w:t>
            </w:r>
          </w:p>
        </w:tc>
        <w:tc>
          <w:tcPr>
            <w:tcW w:w="0" w:type="dxa"/>
            <w:vAlign w:val="bottom"/>
          </w:tcPr>
          <w:p>
            <w:pPr>
              <w:spacing w:after="0"/>
              <w:rPr>
                <w:sz w:val="1"/>
                <w:szCs w:val="1"/>
                <w:color w:val="auto"/>
              </w:rPr>
            </w:pPr>
          </w:p>
        </w:tc>
      </w:tr>
      <w:tr>
        <w:trPr>
          <w:trHeight w:val="47"/>
        </w:trPr>
        <w:tc>
          <w:tcPr>
            <w:tcW w:w="17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36,062</w:t>
            </w:r>
          </w:p>
        </w:tc>
        <w:tc>
          <w:tcPr>
            <w:tcW w:w="0" w:type="dxa"/>
            <w:vAlign w:val="bottom"/>
          </w:tcPr>
          <w:p>
            <w:pPr>
              <w:spacing w:after="0"/>
              <w:rPr>
                <w:sz w:val="1"/>
                <w:szCs w:val="1"/>
                <w:color w:val="auto"/>
              </w:rPr>
            </w:pPr>
          </w:p>
        </w:tc>
      </w:tr>
      <w:tr>
        <w:trPr>
          <w:trHeight w:val="220"/>
        </w:trPr>
        <w:tc>
          <w:tcPr>
            <w:tcW w:w="1740" w:type="dxa"/>
            <w:vAlign w:val="bottom"/>
          </w:tcPr>
          <w:p>
            <w:pPr>
              <w:ind w:left="120"/>
              <w:spacing w:after="0"/>
              <w:rPr>
                <w:sz w:val="20"/>
                <w:szCs w:val="20"/>
                <w:color w:val="auto"/>
              </w:rPr>
            </w:pPr>
            <w:r>
              <w:rPr>
                <w:rFonts w:ascii="Arial" w:cs="Arial" w:eastAsia="Arial" w:hAnsi="Arial"/>
                <w:sz w:val="16"/>
                <w:szCs w:val="16"/>
                <w:color w:val="auto"/>
              </w:rPr>
              <w:t>Other comprehensive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40"/>
              <w:spacing w:after="0"/>
              <w:rPr>
                <w:sz w:val="20"/>
                <w:szCs w:val="20"/>
                <w:color w:val="auto"/>
              </w:rPr>
            </w:pPr>
            <w:r>
              <w:rPr>
                <w:rFonts w:ascii="Arial" w:cs="Arial" w:eastAsia="Arial" w:hAnsi="Arial"/>
                <w:sz w:val="16"/>
                <w:szCs w:val="16"/>
                <w:color w:val="auto"/>
              </w:rPr>
              <w:t>loss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(23,257)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(23,257)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(23,257)</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stock-based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4,049</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4,049</w:t>
            </w:r>
          </w:p>
        </w:tc>
        <w:tc>
          <w:tcPr>
            <w:tcW w:w="0" w:type="dxa"/>
            <w:vAlign w:val="bottom"/>
          </w:tcPr>
          <w:p>
            <w:pPr>
              <w:spacing w:after="0"/>
              <w:rPr>
                <w:sz w:val="1"/>
                <w:szCs w:val="1"/>
                <w:color w:val="auto"/>
              </w:rPr>
            </w:pPr>
          </w:p>
        </w:tc>
      </w:tr>
      <w:tr>
        <w:trPr>
          <w:trHeight w:val="220"/>
        </w:trPr>
        <w:tc>
          <w:tcPr>
            <w:tcW w:w="1740" w:type="dxa"/>
            <w:vAlign w:val="bottom"/>
          </w:tcPr>
          <w:p>
            <w:pPr>
              <w:ind w:left="120"/>
              <w:spacing w:after="0"/>
              <w:rPr>
                <w:sz w:val="20"/>
                <w:szCs w:val="20"/>
                <w:color w:val="auto"/>
              </w:rPr>
            </w:pPr>
            <w:r>
              <w:rPr>
                <w:rFonts w:ascii="Arial" w:cs="Arial" w:eastAsia="Arial" w:hAnsi="Arial"/>
                <w:sz w:val="16"/>
                <w:szCs w:val="16"/>
                <w:color w:val="auto"/>
              </w:rPr>
              <w:t>Issuance of restricted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40"/>
              <w:spacing w:after="0"/>
              <w:rPr>
                <w:sz w:val="20"/>
                <w:szCs w:val="20"/>
                <w:color w:val="auto"/>
              </w:rPr>
            </w:pPr>
            <w:r>
              <w:rPr>
                <w:rFonts w:ascii="Arial" w:cs="Arial" w:eastAsia="Arial" w:hAnsi="Arial"/>
                <w:sz w:val="16"/>
                <w:szCs w:val="16"/>
                <w:color w:val="auto"/>
              </w:rPr>
              <w:t>shares, net</w:t>
            </w:r>
          </w:p>
        </w:tc>
        <w:tc>
          <w:tcPr>
            <w:tcW w:w="820" w:type="dxa"/>
            <w:vAlign w:val="bottom"/>
          </w:tcPr>
          <w:p>
            <w:pPr>
              <w:jc w:val="right"/>
              <w:spacing w:after="0"/>
              <w:rPr>
                <w:sz w:val="20"/>
                <w:szCs w:val="20"/>
                <w:color w:val="auto"/>
              </w:rPr>
            </w:pPr>
            <w:r>
              <w:rPr>
                <w:rFonts w:ascii="Arial" w:cs="Arial" w:eastAsia="Arial" w:hAnsi="Arial"/>
                <w:sz w:val="16"/>
                <w:szCs w:val="16"/>
                <w:color w:val="auto"/>
              </w:rPr>
              <w:t>694,779</w:t>
            </w:r>
          </w:p>
        </w:tc>
        <w:tc>
          <w:tcPr>
            <w:tcW w:w="1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Other stock issuances,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net of shares withheld for</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13,823</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20"/>
        </w:trPr>
        <w:tc>
          <w:tcPr>
            <w:tcW w:w="1740" w:type="dxa"/>
            <w:vAlign w:val="bottom"/>
          </w:tcPr>
          <w:p>
            <w:pPr>
              <w:ind w:left="120"/>
              <w:spacing w:after="0"/>
              <w:rPr>
                <w:sz w:val="20"/>
                <w:szCs w:val="20"/>
                <w:color w:val="auto"/>
              </w:rPr>
            </w:pPr>
            <w:r>
              <w:rPr>
                <w:rFonts w:ascii="Arial" w:cs="Arial" w:eastAsia="Arial" w:hAnsi="Arial"/>
                <w:sz w:val="16"/>
                <w:szCs w:val="16"/>
                <w:color w:val="auto"/>
              </w:rPr>
              <w:t>Acquisition of treasury</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40"/>
              <w:spacing w:after="0"/>
              <w:rPr>
                <w:sz w:val="20"/>
                <w:szCs w:val="20"/>
                <w:color w:val="auto"/>
              </w:rPr>
            </w:pPr>
            <w:r>
              <w:rPr>
                <w:rFonts w:ascii="Arial" w:cs="Arial" w:eastAsia="Arial" w:hAnsi="Arial"/>
                <w:sz w:val="16"/>
                <w:szCs w:val="16"/>
                <w:color w:val="auto"/>
              </w:rPr>
              <w:t>stock, at cost</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(3,569,924)</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(119,426)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(119,426)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(119,426)</w:t>
            </w:r>
          </w:p>
        </w:tc>
        <w:tc>
          <w:tcPr>
            <w:tcW w:w="0" w:type="dxa"/>
            <w:vAlign w:val="bottom"/>
          </w:tcPr>
          <w:p>
            <w:pPr>
              <w:spacing w:after="0"/>
              <w:rPr>
                <w:sz w:val="1"/>
                <w:szCs w:val="1"/>
                <w:color w:val="auto"/>
              </w:rPr>
            </w:pPr>
          </w:p>
        </w:tc>
      </w:tr>
      <w:tr>
        <w:trPr>
          <w:trHeight w:val="33"/>
        </w:trPr>
        <w:tc>
          <w:tcPr>
            <w:tcW w:w="17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Balance as of March 31,</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92,618,032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$ 9,262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(18,914,841)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$(586,153)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$814,425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$1,546,939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1,685,510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$1,689,813</w:t>
            </w:r>
          </w:p>
        </w:tc>
        <w:tc>
          <w:tcPr>
            <w:tcW w:w="0" w:type="dxa"/>
            <w:vAlign w:val="bottom"/>
          </w:tcPr>
          <w:p>
            <w:pPr>
              <w:spacing w:after="0"/>
              <w:rPr>
                <w:sz w:val="1"/>
                <w:szCs w:val="1"/>
                <w:color w:val="auto"/>
              </w:rPr>
            </w:pPr>
          </w:p>
        </w:tc>
      </w:tr>
      <w:tr>
        <w:trPr>
          <w:trHeight w:val="291"/>
        </w:trPr>
        <w:tc>
          <w:tcPr>
            <w:tcW w:w="17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For the Three Months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Ended March 31, 2019</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740" w:type="dxa"/>
            <w:vAlign w:val="bottom"/>
          </w:tcPr>
          <w:p>
            <w:pPr>
              <w:ind w:left="40"/>
              <w:spacing w:after="0"/>
              <w:rPr>
                <w:sz w:val="20"/>
                <w:szCs w:val="20"/>
                <w:color w:val="auto"/>
              </w:rPr>
            </w:pPr>
            <w:r>
              <w:rPr>
                <w:rFonts w:ascii="Arial" w:cs="Arial" w:eastAsia="Arial" w:hAnsi="Arial"/>
                <w:sz w:val="16"/>
                <w:szCs w:val="16"/>
                <w:color w:val="auto"/>
                <w:w w:val="95"/>
              </w:rPr>
              <w:t>Balance as of December</w:t>
            </w: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tcPr>
          <w:p>
            <w:pPr>
              <w:ind w:left="40"/>
              <w:spacing w:after="0"/>
              <w:rPr>
                <w:sz w:val="20"/>
                <w:szCs w:val="20"/>
                <w:color w:val="auto"/>
              </w:rPr>
            </w:pPr>
            <w:r>
              <w:rPr>
                <w:rFonts w:ascii="Arial" w:cs="Arial" w:eastAsia="Arial" w:hAnsi="Arial"/>
                <w:sz w:val="16"/>
                <w:szCs w:val="16"/>
                <w:color w:val="auto"/>
              </w:rPr>
              <w:t>31, 2018</w:t>
            </w:r>
          </w:p>
        </w:tc>
        <w:tc>
          <w:tcPr>
            <w:tcW w:w="820" w:type="dxa"/>
            <w:vAlign w:val="bottom"/>
          </w:tcPr>
          <w:p>
            <w:pPr>
              <w:jc w:val="right"/>
              <w:spacing w:after="0"/>
              <w:rPr>
                <w:sz w:val="20"/>
                <w:szCs w:val="20"/>
                <w:color w:val="auto"/>
              </w:rPr>
            </w:pPr>
            <w:r>
              <w:rPr>
                <w:rFonts w:ascii="Arial" w:cs="Arial" w:eastAsia="Arial" w:hAnsi="Arial"/>
                <w:sz w:val="16"/>
                <w:szCs w:val="16"/>
                <w:color w:val="auto"/>
                <w:w w:val="92"/>
              </w:rPr>
              <w:t>91,327,009</w:t>
            </w:r>
          </w:p>
        </w:tc>
        <w:tc>
          <w:tcPr>
            <w:tcW w:w="1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$ 9,133</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2"/>
              </w:rPr>
              <w:t>(15,329,817)</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$(466,125)</w:t>
            </w:r>
          </w:p>
        </w:tc>
        <w:tc>
          <w:tcPr>
            <w:tcW w:w="1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w w:val="92"/>
              </w:rPr>
              <w:t>$789,009</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$1,118,375</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(60,494)</w:t>
            </w:r>
          </w:p>
        </w:tc>
        <w:tc>
          <w:tcPr>
            <w:tcW w:w="1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1,389,898</w:t>
            </w:r>
          </w:p>
        </w:tc>
        <w:tc>
          <w:tcPr>
            <w:tcW w:w="12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2,126</w:t>
            </w:r>
          </w:p>
        </w:tc>
        <w:tc>
          <w:tcPr>
            <w:tcW w:w="1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w w:val="92"/>
              </w:rPr>
              <w:t>$1,392,024</w:t>
            </w:r>
          </w:p>
        </w:tc>
        <w:tc>
          <w:tcPr>
            <w:tcW w:w="0" w:type="dxa"/>
            <w:vAlign w:val="bottom"/>
          </w:tcPr>
          <w:p>
            <w:pPr>
              <w:spacing w:after="0"/>
              <w:rPr>
                <w:sz w:val="1"/>
                <w:szCs w:val="1"/>
                <w:color w:val="auto"/>
              </w:rPr>
            </w:pPr>
          </w:p>
        </w:tc>
      </w:tr>
      <w:tr>
        <w:trPr>
          <w:trHeight w:val="47"/>
        </w:trPr>
        <w:tc>
          <w:tcPr>
            <w:tcW w:w="17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43,107</w:t>
            </w:r>
          </w:p>
        </w:tc>
        <w:tc>
          <w:tcPr>
            <w:tcW w:w="0" w:type="dxa"/>
            <w:vAlign w:val="bottom"/>
          </w:tcPr>
          <w:p>
            <w:pPr>
              <w:spacing w:after="0"/>
              <w:rPr>
                <w:sz w:val="1"/>
                <w:szCs w:val="1"/>
                <w:color w:val="auto"/>
              </w:rPr>
            </w:pPr>
          </w:p>
        </w:tc>
      </w:tr>
      <w:tr>
        <w:trPr>
          <w:trHeight w:val="220"/>
        </w:trPr>
        <w:tc>
          <w:tcPr>
            <w:tcW w:w="1740" w:type="dxa"/>
            <w:vAlign w:val="bottom"/>
          </w:tcPr>
          <w:p>
            <w:pPr>
              <w:ind w:left="120"/>
              <w:spacing w:after="0"/>
              <w:rPr>
                <w:sz w:val="20"/>
                <w:szCs w:val="20"/>
                <w:color w:val="auto"/>
              </w:rPr>
            </w:pPr>
            <w:r>
              <w:rPr>
                <w:rFonts w:ascii="Arial" w:cs="Arial" w:eastAsia="Arial" w:hAnsi="Arial"/>
                <w:sz w:val="16"/>
                <w:szCs w:val="16"/>
                <w:color w:val="auto"/>
              </w:rPr>
              <w:t>Other comprehensive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40"/>
              <w:spacing w:after="0"/>
              <w:rPr>
                <w:sz w:val="20"/>
                <w:szCs w:val="20"/>
                <w:color w:val="auto"/>
              </w:rPr>
            </w:pPr>
            <w:r>
              <w:rPr>
                <w:rFonts w:ascii="Arial" w:cs="Arial" w:eastAsia="Arial" w:hAnsi="Arial"/>
                <w:sz w:val="16"/>
                <w:szCs w:val="16"/>
                <w:color w:val="auto"/>
              </w:rPr>
              <w:t>loss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(5,562)</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stock-based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3,720</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3,720</w:t>
            </w:r>
          </w:p>
        </w:tc>
        <w:tc>
          <w:tcPr>
            <w:tcW w:w="0" w:type="dxa"/>
            <w:vAlign w:val="bottom"/>
          </w:tcPr>
          <w:p>
            <w:pPr>
              <w:spacing w:after="0"/>
              <w:rPr>
                <w:sz w:val="1"/>
                <w:szCs w:val="1"/>
                <w:color w:val="auto"/>
              </w:rPr>
            </w:pPr>
          </w:p>
        </w:tc>
      </w:tr>
      <w:tr>
        <w:trPr>
          <w:trHeight w:val="220"/>
        </w:trPr>
        <w:tc>
          <w:tcPr>
            <w:tcW w:w="1740" w:type="dxa"/>
            <w:vAlign w:val="bottom"/>
          </w:tcPr>
          <w:p>
            <w:pPr>
              <w:ind w:left="120"/>
              <w:spacing w:after="0"/>
              <w:rPr>
                <w:sz w:val="20"/>
                <w:szCs w:val="20"/>
                <w:color w:val="auto"/>
              </w:rPr>
            </w:pPr>
            <w:r>
              <w:rPr>
                <w:rFonts w:ascii="Arial" w:cs="Arial" w:eastAsia="Arial" w:hAnsi="Arial"/>
                <w:sz w:val="16"/>
                <w:szCs w:val="16"/>
                <w:color w:val="auto"/>
              </w:rPr>
              <w:t>Issuance of restricted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40"/>
              <w:spacing w:after="0"/>
              <w:rPr>
                <w:sz w:val="20"/>
                <w:szCs w:val="20"/>
                <w:color w:val="auto"/>
              </w:rPr>
            </w:pPr>
            <w:r>
              <w:rPr>
                <w:rFonts w:ascii="Arial" w:cs="Arial" w:eastAsia="Arial" w:hAnsi="Arial"/>
                <w:sz w:val="16"/>
                <w:szCs w:val="16"/>
                <w:color w:val="auto"/>
              </w:rPr>
              <w:t>shares, net</w:t>
            </w:r>
          </w:p>
        </w:tc>
        <w:tc>
          <w:tcPr>
            <w:tcW w:w="820" w:type="dxa"/>
            <w:vAlign w:val="bottom"/>
          </w:tcPr>
          <w:p>
            <w:pPr>
              <w:jc w:val="right"/>
              <w:spacing w:after="0"/>
              <w:rPr>
                <w:sz w:val="20"/>
                <w:szCs w:val="20"/>
                <w:color w:val="auto"/>
              </w:rPr>
            </w:pPr>
            <w:r>
              <w:rPr>
                <w:rFonts w:ascii="Arial" w:cs="Arial" w:eastAsia="Arial" w:hAnsi="Arial"/>
                <w:sz w:val="16"/>
                <w:szCs w:val="16"/>
                <w:color w:val="auto"/>
              </w:rPr>
              <w:t>233,362</w:t>
            </w:r>
          </w:p>
        </w:tc>
        <w:tc>
          <w:tcPr>
            <w:tcW w:w="1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Other stock issuances,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net of shares withheld for</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31,027</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w:t>
            </w:r>
          </w:p>
        </w:tc>
        <w:tc>
          <w:tcPr>
            <w:tcW w:w="0" w:type="dxa"/>
            <w:vAlign w:val="bottom"/>
          </w:tcPr>
          <w:p>
            <w:pPr>
              <w:spacing w:after="0"/>
              <w:rPr>
                <w:sz w:val="1"/>
                <w:szCs w:val="1"/>
                <w:color w:val="auto"/>
              </w:rPr>
            </w:pPr>
          </w:p>
        </w:tc>
      </w:tr>
      <w:tr>
        <w:trPr>
          <w:trHeight w:val="220"/>
        </w:trPr>
        <w:tc>
          <w:tcPr>
            <w:tcW w:w="1740" w:type="dxa"/>
            <w:vAlign w:val="bottom"/>
          </w:tcPr>
          <w:p>
            <w:pPr>
              <w:ind w:left="120"/>
              <w:spacing w:after="0"/>
              <w:rPr>
                <w:sz w:val="20"/>
                <w:szCs w:val="20"/>
                <w:color w:val="auto"/>
              </w:rPr>
            </w:pPr>
            <w:r>
              <w:rPr>
                <w:rFonts w:ascii="Arial" w:cs="Arial" w:eastAsia="Arial" w:hAnsi="Arial"/>
                <w:sz w:val="16"/>
                <w:szCs w:val="16"/>
                <w:color w:val="auto"/>
              </w:rPr>
              <w:t>Acquisition of treasury</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40"/>
              <w:spacing w:after="0"/>
              <w:rPr>
                <w:sz w:val="20"/>
                <w:szCs w:val="20"/>
                <w:color w:val="auto"/>
              </w:rPr>
            </w:pPr>
            <w:r>
              <w:rPr>
                <w:rFonts w:ascii="Arial" w:cs="Arial" w:eastAsia="Arial" w:hAnsi="Arial"/>
                <w:sz w:val="16"/>
                <w:szCs w:val="16"/>
                <w:color w:val="auto"/>
              </w:rPr>
              <w:t>stock, at cost</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(15,100)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33"/>
        </w:trPr>
        <w:tc>
          <w:tcPr>
            <w:tcW w:w="17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Balance as of March 31,</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91,591,398</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$ 9,159</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(15,344,917)</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$(466,727)</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$793,748</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$1,161,487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1,431,611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2,121</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$1,433,732</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5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3"/>
              </w:rPr>
              <w:t>For the Three Months Ended March 31,</w:t>
            </w:r>
          </w:p>
        </w:tc>
      </w:tr>
      <w:tr>
        <w:trPr>
          <w:trHeight w:val="33"/>
        </w:trPr>
        <w:tc>
          <w:tcPr>
            <w:tcW w:w="8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36,062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43,107</w:t>
            </w: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53,089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54,226</w:t>
            </w: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4,805</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Non-cash interest expense, net</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453</w:t>
            </w: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stock-based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3,720</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(Benefit from) provision for deferred income taxes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(12,614)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899</w:t>
            </w: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earnings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(6,260)</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Gains on sales of assets, net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(2,052)</w:t>
            </w: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non-cash items, net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(3,043)</w:t>
            </w:r>
          </w:p>
        </w:tc>
      </w:tr>
      <w:tr>
        <w:trPr>
          <w:trHeight w:val="237"/>
        </w:trPr>
        <w:tc>
          <w:tcPr>
            <w:tcW w:w="8220" w:type="dxa"/>
            <w:vAlign w:val="bottom"/>
          </w:tcPr>
          <w:p>
            <w:pPr>
              <w:ind w:left="200"/>
              <w:spacing w:after="0"/>
              <w:rPr>
                <w:sz w:val="20"/>
                <w:szCs w:val="20"/>
                <w:color w:val="auto"/>
              </w:rPr>
            </w:pPr>
            <w:r>
              <w:rPr>
                <w:rFonts w:ascii="Arial" w:cs="Arial" w:eastAsia="Arial" w:hAnsi="Arial"/>
                <w:sz w:val="16"/>
                <w:szCs w:val="16"/>
                <w:color w:val="auto"/>
              </w:rPr>
              <w:t>Changes in assets and liabilities, net of acquisitions: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 of allowance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(37,831)</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Contract assets</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26,311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6,376</w:t>
            </w: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9,690</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Other assets, current and long-term portion</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17,906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2,398</w:t>
            </w: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(134,491)</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Contract liabilities</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2,603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3,821</w:t>
            </w: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liabilities, current and long-term portion</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7,375</w:t>
            </w:r>
          </w:p>
        </w:tc>
      </w:tr>
      <w:tr>
        <w:trPr>
          <w:trHeight w:val="217"/>
        </w:trPr>
        <w:tc>
          <w:tcPr>
            <w:tcW w:w="8220" w:type="dxa"/>
            <w:vAlign w:val="bottom"/>
          </w:tcPr>
          <w:p>
            <w:pPr>
              <w:ind w:left="200"/>
              <w:spacing w:after="0"/>
              <w:rPr>
                <w:sz w:val="20"/>
                <w:szCs w:val="20"/>
                <w:color w:val="auto"/>
              </w:rPr>
            </w:pPr>
            <w:r>
              <w:rPr>
                <w:rFonts w:ascii="Arial" w:cs="Arial" w:eastAsia="Arial" w:hAnsi="Arial"/>
                <w:sz w:val="16"/>
                <w:szCs w:val="16"/>
                <w:color w:val="auto"/>
              </w:rPr>
              <w:t>Net cash provided by (used in) operating activities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203,266</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(46,807)</w:t>
            </w:r>
          </w:p>
        </w:tc>
      </w:tr>
      <w:tr>
        <w:trPr>
          <w:trHeight w:val="33"/>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Cash paid for acquisitions, net of cash acquired</w:t>
            </w: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(93,684)</w:t>
            </w: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(34,396)</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Proceeds from sale of property and equipment</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8,363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8,654</w:t>
            </w: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for other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(2,190)</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Proceeds from other investments</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10,413</w:t>
            </w: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investing activities, net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(58,740)</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(111,203)</w:t>
            </w:r>
          </w:p>
        </w:tc>
      </w:tr>
      <w:tr>
        <w:trPr>
          <w:trHeight w:val="33"/>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Proceeds from credit facilities</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675,935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866,397</w:t>
            </w: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Repayments of credit facilities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(671,780)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(670,794)</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Repayments of other borrowings, net</w:t>
            </w: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finance lease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(17,239)</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Proceeds from stock-based awards</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1,476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1,079</w:t>
            </w: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for stock-based awards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(119,427)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(5,652)</w:t>
            </w:r>
          </w:p>
        </w:tc>
      </w:tr>
      <w:tr>
        <w:trPr>
          <w:trHeight w:val="33"/>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cash (used in) provided by financing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(145,224)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173,773</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Effect of currency translation on cash</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15,772</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Cash and cash equivalents - beginning of period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71,427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27,422</w:t>
            </w:r>
          </w:p>
        </w:tc>
      </w:tr>
      <w:tr>
        <w:trPr>
          <w:trHeight w:val="33"/>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 end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43,194</w:t>
            </w:r>
          </w:p>
        </w:tc>
      </w:tr>
      <w:tr>
        <w:trPr>
          <w:trHeight w:val="128"/>
        </w:trPr>
        <w:tc>
          <w:tcPr>
            <w:tcW w:w="8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r>
      <w:tr>
        <w:trPr>
          <w:trHeight w:val="264"/>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8220" w:type="dxa"/>
            <w:vAlign w:val="bottom"/>
          </w:tcPr>
          <w:p>
            <w:pPr>
              <w:ind w:left="260"/>
              <w:spacing w:after="0"/>
              <w:rPr>
                <w:sz w:val="20"/>
                <w:szCs w:val="20"/>
                <w:color w:val="auto"/>
              </w:rPr>
            </w:pPr>
            <w:r>
              <w:rPr>
                <w:rFonts w:ascii="Arial" w:cs="Arial" w:eastAsia="Arial" w:hAnsi="Arial"/>
                <w:sz w:val="16"/>
                <w:szCs w:val="16"/>
                <w:color w:val="auto"/>
              </w:rPr>
              <w:t>Interest paid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21,479</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26,220</w:t>
            </w: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tax (refunds) payments,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2,837</w:t>
            </w:r>
          </w:p>
        </w:tc>
      </w:tr>
      <w:tr>
        <w:trPr>
          <w:trHeight w:val="237"/>
        </w:trPr>
        <w:tc>
          <w:tcPr>
            <w:tcW w:w="8220" w:type="dxa"/>
            <w:vAlign w:val="bottom"/>
          </w:tcPr>
          <w:p>
            <w:pPr>
              <w:ind w:left="20"/>
              <w:spacing w:after="0"/>
              <w:rPr>
                <w:sz w:val="20"/>
                <w:szCs w:val="20"/>
                <w:color w:val="auto"/>
              </w:rPr>
            </w:pPr>
            <w:r>
              <w:rPr>
                <w:rFonts w:ascii="Arial" w:cs="Arial" w:eastAsia="Arial" w:hAnsi="Arial"/>
                <w:sz w:val="16"/>
                <w:szCs w:val="16"/>
                <w:color w:val="auto"/>
              </w:rPr>
              <w:t>Supplemental disclosure of non-cash information:</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Additions to property and equipment from finance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26,932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40,258</w:t>
            </w:r>
          </w:p>
        </w:tc>
      </w:tr>
      <w:tr>
        <w:trPr>
          <w:trHeight w:val="33"/>
        </w:trPr>
        <w:tc>
          <w:tcPr>
            <w:tcW w:w="8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11240"/>
          </w:cols>
          <w:pgMar w:left="320" w:top="504" w:right="339" w:bottom="944"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504" w:right="339" w:bottom="944"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Business, Basis of Presentation and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Nature of the Business</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wireless, wireline/fiber and customer fulfillment activities; petroleum and natural gas pipeline infrastructure; electrical utility transmission and distribution; power generation, including from renewable sources; heavy civil; and industrial infrastructure. MasTec’s customers are primarily in these industries. MasTec reports its results under five reportable segments: (1) Communications; (2) Oil and Gas; (3) Electrical Transmission; (4) Power Generation and Industrial; and (5) Other.</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1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2019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2019 contained in the Company’s 2019 Annual Report on Form 10-K (the “2019 Form 10-K”). In management’s opinion, all normal and recurring adjustments considered necessary for a fair presentation of the financial position, results of operations and cash flows for the periods presented have been included. When necessary, certain prior year amounts have been reclassified to conform to the current period presentation. 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1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except for mandatorily redeemable non-controlling interests, which are recorded within liabilities. Net income or loss attributable to non-controlling interests is reported as a separate line item below net income or loss. The Company’s investments in entities for which the Company does not have a controlling interest, but over which it has the ability to exert significant influence, are accounted for using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Translation of Foreign Currencies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Currency gains or losses resulting from transactions executed in currencies other than the functional currency are included in other income or expense, net. In these consolidated financial statements, “$” means U.S. dollars unless otherwise noted.</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Management Estimates</w:t>
      </w:r>
    </w:p>
    <w:p>
      <w:pPr>
        <w:spacing w:after="0" w:line="11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the results of which form the basis of making judgments about the Company’s operating results and the carrying values of assets and liabilities that are not readily apparent from other sources. 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and intangible assets, acquisition-related contingent consideration and equity investments; allowances for credit losses; asset lives used in computing depreciation and amortization; fair values of financial instruments; self-insurance liabilities; other accruals and allowances; income taxes; and the estimated effects of litigation and other contingencies. While management believes that such estimates are reasonable when considered in conjunction with the Company’s consolidated financial position and results of operations taken as a whole, actual results could differ materially from those estimates.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recognizes revenue from contracts with customers under Accounting Standards Codification (“ASC”) Topic 606 (“Topic 606”). Under Topic 606, revenue is recognized when, or as, control of promised goods and services is transferred to customers, and the amount of revenue recognized reflects the consideration to which an entity expects to be entitled in exchange for the goods and services transferred. Revenue is primarily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504" w:right="339" w:bottom="1440" w:gutter="0" w:footer="0" w:header="0"/>
        </w:sectPr>
      </w:pPr>
    </w:p>
    <w:bookmarkStart w:id="8" w:name="page9"/>
    <w:bookmarkEnd w:id="8"/>
    <w:p>
      <w:pPr>
        <w:jc w:val="both"/>
        <w:spacing w:after="0" w:line="275" w:lineRule="auto"/>
        <w:rPr>
          <w:sz w:val="20"/>
          <w:szCs w:val="20"/>
          <w:color w:val="auto"/>
        </w:rPr>
      </w:pPr>
      <w:r>
        <w:rPr>
          <w:rFonts w:ascii="Arial" w:cs="Arial" w:eastAsia="Arial" w:hAnsi="Arial"/>
          <w:sz w:val="16"/>
          <w:szCs w:val="16"/>
          <w:color w:val="auto"/>
        </w:rPr>
        <w:t>recognized by the Company over time utilizing the cost-to-cost measure of progress, which best depicts the continuous transfer of control of goods or services to the customer, and correspondingly, when performance obligations are satisfied for the related contracts.</w:t>
      </w:r>
    </w:p>
    <w:p>
      <w:pPr>
        <w:spacing w:after="0" w:line="6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b w:val="1"/>
          <w:bCs w:val="1"/>
          <w:i w:val="1"/>
          <w:iCs w:val="1"/>
          <w:color w:val="auto"/>
        </w:rPr>
        <w:t xml:space="preserve">Contracts. </w:t>
      </w:r>
      <w:r>
        <w:rPr>
          <w:rFonts w:ascii="Arial" w:cs="Arial" w:eastAsia="Arial" w:hAnsi="Arial"/>
          <w:sz w:val="14"/>
          <w:szCs w:val="14"/>
          <w:color w:val="auto"/>
        </w:rPr>
        <w:t>The Company derives revenue primarily from construction projects performed under: (i) master and other service agreements, which provide a menu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projects performed under master service and other service agreements totaled 42% and 41% of consolidated revenue for the three month periods ended March 31, 2020 and 2019, respectively.</w:t>
      </w:r>
    </w:p>
    <w:p>
      <w:pPr>
        <w:spacing w:after="0" w:line="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For certain master service and other service agreements under which the Company performs installation and maintenance services, primarily for install-to-the-home service providers in its Communications segment, revenue is recognized at a point in time. This is generally when the work order has been fulfilled, which is typically the same day the work is initiated. Point in time revenue accounted for approximately 6% of consolidated revenue for both the three month periods ended March 31, 2020 and 2019. Substantially all of the Company’s other revenue is recognized over time.</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total contract transaction price and cost estimation processes used for recognizing revenue over time under the cost-to-cost method is based on the professional knowledge and experience of the Company’s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could materially affect the Company’s consolidated results of operations for that period. Provisions for losses on uncompleted contracts are recorded in the period in which such losses are determined. For both the three month periods ended March 31, 2020 and 2019, project profit was affected by less than 5% as a result of changes in contract estimates included in projects that were in process as of December 31, 2019 and 2018. Revenue recognized for the three month periods ended March 31, 2020 and 2019 as a result of changes in total contract transaction price estimates, including from variable consideration, from performance obligations satisfied or partially satisfied in prior periods totaled approximately $17.8 million and $12.5 million, respectively.</w:t>
      </w:r>
    </w:p>
    <w:p>
      <w:pPr>
        <w:spacing w:after="0" w:line="8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may incur certain costs that can be capitalized, such as initial set-up or mobilization costs. Such costs, which are amortized over the life of the respective projects, were not material in either of the three month periods ended March 31, 2020 or 2019.</w:t>
      </w:r>
    </w:p>
    <w:p>
      <w:pPr>
        <w:spacing w:after="0" w:line="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Performance Obligations. </w:t>
      </w:r>
      <w:r>
        <w:rPr>
          <w:rFonts w:ascii="Arial" w:cs="Arial" w:eastAsia="Arial" w:hAnsi="Arial"/>
          <w:sz w:val="16"/>
          <w:szCs w:val="16"/>
          <w:color w:val="auto"/>
        </w:rPr>
        <w:t>A performance obligation is a contractual promise to transfer a distinct good or service to a customer, and is the unit of account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Topic 606. The transaction price of a contract is allocated to each distinct performance obligation and recognized as revenue when or as the performance obligation is satisfied. The vast majority of the Company’s performance obligations are completed within one year.</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March 31, 2020, the amount of the Company’s remaining performance obligations was $5.7 billion. Based on current expectations, the Company expects to recognize approximately $4.5 billion of its remaining performance obligations as revenue during 2020, with the remainder to be recognized primarily in 2021.</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Variable Consideration. </w:t>
      </w:r>
      <w:r>
        <w:rPr>
          <w:rFonts w:ascii="Arial" w:cs="Arial" w:eastAsia="Arial" w:hAnsi="Arial"/>
          <w:sz w:val="16"/>
          <w:szCs w:val="16"/>
          <w:color w:val="auto"/>
        </w:rPr>
        <w:t>Transaction prices for the Company’s contracts may include variable consideration, which comprises items such as change orders, claims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engineering studies and legal opinions, past practices with the customer, specific discussions, correspondence or preliminary negotiations with the customer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As of March 31, 2020 and December 31, 2019, the Company included approximately $35 million and $27 million, respectively, of change orders and/or claims in transaction prices for certain contracts that were in the process of being resolved in the ordinary course of business, including through negotiation, arbitration and other proceedings. These transaction price adjustments, when earned, are included within contract assets or accounts receivable, net of allowance, as appropriate. As of both March 31, 2020 and December 31, 2019, these change orders and/or claims were primarily related to certain projects in the Company’s Oil and Gas segment. The Company actively engages with its customers to complete the final approval process, and generally expects these processes to be completed within one year. Amounts ultimately realized upon final agreement by customers could be higher or lower than such estimated amounts.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1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See the recent accounting pronouncements discussion below for information pertaining to the effects of recently adopted and other recent accounting pronouncements, as updated from the discussion in the Company’s 2019 Form 10-K.</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Pronouncements Adopted in 2020</w:t>
      </w:r>
    </w:p>
    <w:p>
      <w:pPr>
        <w:spacing w:after="0" w:line="1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252525"/>
        </w:rPr>
        <w:t xml:space="preserve">In August 2018, the Financial Accounting Standards Board (“FASB”) issued Accounting Standard Update (“ASU”) 2018-15, </w:t>
      </w:r>
      <w:r>
        <w:rPr>
          <w:rFonts w:ascii="Arial" w:cs="Arial" w:eastAsia="Arial" w:hAnsi="Arial"/>
          <w:sz w:val="16"/>
          <w:szCs w:val="16"/>
          <w:i w:val="1"/>
          <w:iCs w:val="1"/>
          <w:color w:val="252525"/>
        </w:rPr>
        <w:t xml:space="preserve">Intangibles-Goodwill and Other-Internal-Use Software (Subtopic 350-40) Customer’s Accounting for Implementation Costs Incurred in a Cloud Computing Arrangement That Is a Service Contract </w:t>
      </w:r>
      <w:r>
        <w:rPr>
          <w:rFonts w:ascii="Arial" w:cs="Arial" w:eastAsia="Arial" w:hAnsi="Arial"/>
          <w:sz w:val="16"/>
          <w:szCs w:val="16"/>
          <w:color w:val="252525"/>
        </w:rPr>
        <w:t>(“ASU</w:t>
      </w:r>
      <w:r>
        <w:rPr>
          <w:rFonts w:ascii="Arial" w:cs="Arial" w:eastAsia="Arial" w:hAnsi="Arial"/>
          <w:sz w:val="16"/>
          <w:szCs w:val="16"/>
          <w:i w:val="1"/>
          <w:iCs w:val="1"/>
          <w:color w:val="252525"/>
        </w:rPr>
        <w:t xml:space="preserve"> </w:t>
      </w:r>
      <w:r>
        <w:rPr>
          <w:rFonts w:ascii="Arial" w:cs="Arial" w:eastAsia="Arial" w:hAnsi="Arial"/>
          <w:sz w:val="16"/>
          <w:szCs w:val="16"/>
          <w:color w:val="252525"/>
        </w:rPr>
        <w:t>2018-15”) to reduce diversity in practice in accounting for the costs of implementing cloud computing arrangements that are service contracts. ASU 2018-15 aligns the requirements for capitalizing implementation costs incurred in a cloud computing arrangement that is a service contract with the requirements for internal-use software. Accounting for the service element of the cloud computing arrangement is not affected by the new guidance. Under ASU 2018-15, amortization expense, payments for and asset balances related to such capitalized implementation costs are to be presented within the same line items of the entity’s statements of operations, cash flows and balance sheets, respectively,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616" w:right="339" w:bottom="1440" w:gutter="0" w:footer="0" w:header="0"/>
        </w:sectPr>
      </w:pPr>
    </w:p>
    <w:bookmarkStart w:id="9" w:name="page10"/>
    <w:bookmarkEnd w:id="9"/>
    <w:p>
      <w:pPr>
        <w:jc w:val="both"/>
        <w:spacing w:after="0" w:line="275" w:lineRule="auto"/>
        <w:rPr>
          <w:sz w:val="20"/>
          <w:szCs w:val="20"/>
          <w:color w:val="auto"/>
        </w:rPr>
      </w:pPr>
      <w:r>
        <w:rPr>
          <w:rFonts w:ascii="Arial" w:cs="Arial" w:eastAsia="Arial" w:hAnsi="Arial"/>
          <w:sz w:val="16"/>
          <w:szCs w:val="16"/>
          <w:color w:val="252525"/>
        </w:rPr>
        <w:t>as the related service fee activity and balances would be presented. ASU 2018-15, which the Company adopted on a prospective basis during the first quarter of 2020, did not have a material effect on the Company’s consolidated financial statements.</w:t>
      </w:r>
    </w:p>
    <w:p>
      <w:pPr>
        <w:spacing w:after="0" w:line="17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 xml:space="preserve">In August 2018, the FASB issued ASU 2018-13, </w:t>
      </w:r>
      <w:r>
        <w:rPr>
          <w:rFonts w:ascii="Arial" w:cs="Arial" w:eastAsia="Arial" w:hAnsi="Arial"/>
          <w:sz w:val="15"/>
          <w:szCs w:val="15"/>
          <w:i w:val="1"/>
          <w:iCs w:val="1"/>
          <w:color w:val="auto"/>
        </w:rPr>
        <w:t>Fair Value Measurement (Topic 820) Disclosure Framework - Changes to the Disclosure Requiremen</w:t>
      </w:r>
      <w:r>
        <w:rPr>
          <w:rFonts w:ascii="Arial" w:cs="Arial" w:eastAsia="Arial" w:hAnsi="Arial"/>
          <w:sz w:val="15"/>
          <w:szCs w:val="15"/>
          <w:i w:val="1"/>
          <w:iCs w:val="1"/>
          <w:color w:val="252525"/>
        </w:rPr>
        <w:t>ts for Fair</w:t>
      </w:r>
      <w:r>
        <w:rPr>
          <w:rFonts w:ascii="Arial" w:cs="Arial" w:eastAsia="Arial" w:hAnsi="Arial"/>
          <w:sz w:val="15"/>
          <w:szCs w:val="15"/>
          <w:color w:val="auto"/>
        </w:rPr>
        <w:t xml:space="preserve"> </w:t>
      </w:r>
      <w:r>
        <w:rPr>
          <w:rFonts w:ascii="Arial" w:cs="Arial" w:eastAsia="Arial" w:hAnsi="Arial"/>
          <w:sz w:val="15"/>
          <w:szCs w:val="15"/>
          <w:i w:val="1"/>
          <w:iCs w:val="1"/>
          <w:color w:val="252525"/>
        </w:rPr>
        <w:t xml:space="preserve">Value Measurement </w:t>
      </w:r>
      <w:r>
        <w:rPr>
          <w:rFonts w:ascii="Arial" w:cs="Arial" w:eastAsia="Arial" w:hAnsi="Arial"/>
          <w:sz w:val="15"/>
          <w:szCs w:val="15"/>
          <w:color w:val="252525"/>
        </w:rPr>
        <w:t>(“ASU 2018-13”). ASU 2018-13, which is intended to improve the effectiveness of fair value measurement disclosures, modifies the disclosure</w:t>
      </w:r>
      <w:r>
        <w:rPr>
          <w:rFonts w:ascii="Arial" w:cs="Arial" w:eastAsia="Arial" w:hAnsi="Arial"/>
          <w:sz w:val="15"/>
          <w:szCs w:val="15"/>
          <w:i w:val="1"/>
          <w:iCs w:val="1"/>
          <w:color w:val="252525"/>
        </w:rPr>
        <w:t xml:space="preserve"> </w:t>
      </w:r>
      <w:r>
        <w:rPr>
          <w:rFonts w:ascii="Arial" w:cs="Arial" w:eastAsia="Arial" w:hAnsi="Arial"/>
          <w:sz w:val="15"/>
          <w:szCs w:val="15"/>
          <w:color w:val="252525"/>
        </w:rPr>
        <w:t>requirements for certain estimates and assumptions used in determining the fair value of assets and liabilities. ASU 2018-13, which the Company adopted during the first quarter of 2020, did not have a material effect on the Company’s consolidated financial statements. See Note 4 - Fair Value of Financial Instruments for certain disclosure updates pertaining to the Company’s Level 3 financial instruments as a result of the adoption of ASU 2018-13.</w:t>
      </w:r>
    </w:p>
    <w:p>
      <w:pPr>
        <w:spacing w:after="0" w:line="17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4"/>
          <w:szCs w:val="14"/>
          <w:color w:val="auto"/>
        </w:rPr>
        <w:t xml:space="preserve">In June 2016, the FASB issued ASU 2016-13, </w:t>
      </w:r>
      <w:r>
        <w:rPr>
          <w:rFonts w:ascii="Arial" w:cs="Arial" w:eastAsia="Arial" w:hAnsi="Arial"/>
          <w:sz w:val="14"/>
          <w:szCs w:val="14"/>
          <w:i w:val="1"/>
          <w:iCs w:val="1"/>
          <w:color w:val="auto"/>
        </w:rPr>
        <w:t>Financial Instruments - Credit Losses (Topic 326), Measurement of Credit Losses on Financial Instruments</w:t>
      </w:r>
      <w:r>
        <w:rPr>
          <w:rFonts w:ascii="Arial" w:cs="Arial" w:eastAsia="Arial" w:hAnsi="Arial"/>
          <w:sz w:val="14"/>
          <w:szCs w:val="14"/>
          <w:color w:val="252525"/>
        </w:rPr>
        <w:t>. This</w:t>
      </w:r>
      <w:r>
        <w:rPr>
          <w:rFonts w:ascii="Arial" w:cs="Arial" w:eastAsia="Arial" w:hAnsi="Arial"/>
          <w:sz w:val="14"/>
          <w:szCs w:val="14"/>
          <w:color w:val="auto"/>
        </w:rPr>
        <w:t xml:space="preserve"> </w:t>
      </w:r>
      <w:r>
        <w:rPr>
          <w:rFonts w:ascii="Arial" w:cs="Arial" w:eastAsia="Arial" w:hAnsi="Arial"/>
          <w:sz w:val="14"/>
          <w:szCs w:val="14"/>
          <w:color w:val="252525"/>
        </w:rPr>
        <w:t xml:space="preserve">ASU, together with its related clarifying ASUs (collectively, “ASU 2016-13”), introduced an expected credit loss methodology for the measurement and recognition of credit losses on most financial assets, including financial assets arising from revenue transactions, such as accounts receivable and contract assets. The current expected credit loss methodology, which is based on historical experience, current conditions and reasonable and supportable forecasts, replaced the probable/incurred loss model for measuring and recognizing expected credit losses. </w:t>
      </w:r>
      <w:r>
        <w:rPr>
          <w:rFonts w:ascii="Arial" w:cs="Arial" w:eastAsia="Arial" w:hAnsi="Arial"/>
          <w:sz w:val="14"/>
          <w:szCs w:val="14"/>
          <w:color w:val="000000"/>
        </w:rPr>
        <w:t>The Company adopted this ASU in the first quarter of 2020 and incorporated this guidance into its methodology for</w:t>
      </w:r>
      <w:r>
        <w:rPr>
          <w:rFonts w:ascii="Arial" w:cs="Arial" w:eastAsia="Arial" w:hAnsi="Arial"/>
          <w:sz w:val="14"/>
          <w:szCs w:val="14"/>
          <w:color w:val="252525"/>
        </w:rPr>
        <w:t xml:space="preserve"> </w:t>
      </w:r>
      <w:r>
        <w:rPr>
          <w:rFonts w:ascii="Arial" w:cs="Arial" w:eastAsia="Arial" w:hAnsi="Arial"/>
          <w:sz w:val="14"/>
          <w:szCs w:val="14"/>
          <w:color w:val="000000"/>
        </w:rPr>
        <w:t xml:space="preserve">estimating its accounts receivable allowances. The adoption of ASU 2016-13 did not have a material effect on the Company’s consolidated financial statements as credit losses are not expected to be significant based on historical trends, the financial condition of our customers and external factors. Management actively monitors the economic environment, including any potential effects from the COVID-19 pandemic, on the Company’s customers and/or its financial assets. </w:t>
      </w:r>
      <w:r>
        <w:rPr>
          <w:rFonts w:ascii="Arial" w:cs="Arial" w:eastAsia="Arial" w:hAnsi="Arial"/>
          <w:sz w:val="14"/>
          <w:szCs w:val="14"/>
          <w:color w:val="252525"/>
        </w:rPr>
        <w:t>For additional information</w:t>
      </w:r>
      <w:r>
        <w:rPr>
          <w:rFonts w:ascii="Arial" w:cs="Arial" w:eastAsia="Arial" w:hAnsi="Arial"/>
          <w:sz w:val="14"/>
          <w:szCs w:val="14"/>
          <w:color w:val="000000"/>
        </w:rPr>
        <w:t xml:space="preserve"> </w:t>
      </w:r>
      <w:r>
        <w:rPr>
          <w:rFonts w:ascii="Arial" w:cs="Arial" w:eastAsia="Arial" w:hAnsi="Arial"/>
          <w:sz w:val="14"/>
          <w:szCs w:val="14"/>
          <w:color w:val="252525"/>
        </w:rPr>
        <w:t>about the Company’s accounts receivable and related allowances, see Note 5 - Accounts Receivable, Net of Allowance, and Contract Assets and Liabilities.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252525"/>
        </w:rPr>
        <w:t xml:space="preserve">In March 2020, the FASB issued ASU 2020-04, </w:t>
      </w:r>
      <w:r>
        <w:rPr>
          <w:rFonts w:ascii="Arial" w:cs="Arial" w:eastAsia="Arial" w:hAnsi="Arial"/>
          <w:sz w:val="16"/>
          <w:szCs w:val="16"/>
          <w:i w:val="1"/>
          <w:iCs w:val="1"/>
          <w:color w:val="252525"/>
        </w:rPr>
        <w:t>Reference Reform Rate (Topic 848): Facilitation of the Effects of Reference Rate Reform on Financial Reporting</w:t>
      </w:r>
      <w:r>
        <w:rPr>
          <w:rFonts w:ascii="Arial" w:cs="Arial" w:eastAsia="Arial" w:hAnsi="Arial"/>
          <w:sz w:val="16"/>
          <w:szCs w:val="16"/>
          <w:color w:val="252525"/>
        </w:rPr>
        <w:t xml:space="preserve"> (“ASU 2020-04”) to provide temporary optional expedients and exceptions to the contract modifications, hedge relationships and other transactions affected by reference rate reform if certain criteria are met. This ASU, which was effective upon issuance and may be applied through December 31, 2022, is applicable to all contracts and hedging relationships that reference the London Interbank Offered Rate or any other reference rate expected to be discontinued. The Company is currently evaluating the impact of reference rate reform and the potential application of this guidance.</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Earnings Per Share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Basic earnings or loss per share is computed by dividing net income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underlying the Company’s earnings per share calculations for the periods indicated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020" w:type="dxa"/>
            <w:vAlign w:val="bottom"/>
            <w:gridSpan w:val="5"/>
          </w:tcPr>
          <w:p>
            <w:pPr>
              <w:jc w:val="right"/>
              <w:ind w:right="39"/>
              <w:spacing w:after="0"/>
              <w:rPr>
                <w:sz w:val="20"/>
                <w:szCs w:val="20"/>
                <w:color w:val="auto"/>
              </w:rPr>
            </w:pPr>
            <w:r>
              <w:rPr>
                <w:rFonts w:ascii="Arial" w:cs="Arial" w:eastAsia="Arial" w:hAnsi="Arial"/>
                <w:sz w:val="16"/>
                <w:szCs w:val="16"/>
                <w:b w:val="1"/>
                <w:bCs w:val="1"/>
                <w:color w:val="auto"/>
                <w:w w:val="97"/>
              </w:rPr>
              <w:t>For the Three Months Ended March 31,</w:t>
            </w:r>
          </w:p>
        </w:tc>
      </w:tr>
      <w:tr>
        <w:trPr>
          <w:trHeight w:val="3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MasTec:</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8220" w:type="dxa"/>
            <w:vAlign w:val="bottom"/>
          </w:tcPr>
          <w:p>
            <w:pPr>
              <w:ind w:left="180"/>
              <w:spacing w:after="0"/>
              <w:rPr>
                <w:sz w:val="20"/>
                <w:szCs w:val="20"/>
                <w:color w:val="auto"/>
              </w:rPr>
            </w:pPr>
            <w:r>
              <w:rPr>
                <w:rFonts w:ascii="Arial" w:cs="Arial" w:eastAsia="Arial" w:hAnsi="Arial"/>
                <w:sz w:val="16"/>
                <w:szCs w:val="16"/>
                <w:color w:val="auto"/>
              </w:rPr>
              <w:t xml:space="preserve">Net income - basic and diluted </w:t>
            </w:r>
            <w:r>
              <w:rPr>
                <w:rFonts w:ascii="Arial" w:cs="Arial" w:eastAsia="Arial" w:hAnsi="Arial"/>
                <w:sz w:val="21"/>
                <w:szCs w:val="21"/>
                <w:color w:val="auto"/>
                <w:vertAlign w:val="superscript"/>
              </w:rPr>
              <w:t>(a)</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36,230</w:t>
            </w:r>
          </w:p>
        </w:tc>
        <w:tc>
          <w:tcPr>
            <w:tcW w:w="12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43,112</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00"/>
              <w:spacing w:after="0"/>
              <w:rPr>
                <w:sz w:val="20"/>
                <w:szCs w:val="20"/>
                <w:color w:val="auto"/>
              </w:rPr>
            </w:pPr>
            <w:r>
              <w:rPr>
                <w:rFonts w:ascii="Arial" w:cs="Arial" w:eastAsia="Arial" w:hAnsi="Arial"/>
                <w:sz w:val="16"/>
                <w:szCs w:val="16"/>
                <w:color w:val="auto"/>
              </w:rPr>
              <w:t>Weighted average shares outstanding - basic</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74,738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74,991</w:t>
            </w:r>
          </w:p>
        </w:tc>
      </w:tr>
      <w:tr>
        <w:trPr>
          <w:trHeight w:val="3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Dilutive common stock equivalents</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w:t>
            </w:r>
          </w:p>
        </w:tc>
      </w:tr>
      <w:tr>
        <w:trPr>
          <w:trHeight w:val="217"/>
        </w:trPr>
        <w:tc>
          <w:tcPr>
            <w:tcW w:w="8220" w:type="dxa"/>
            <w:vAlign w:val="bottom"/>
          </w:tcPr>
          <w:p>
            <w:pPr>
              <w:ind w:left="200"/>
              <w:spacing w:after="0"/>
              <w:rPr>
                <w:sz w:val="20"/>
                <w:szCs w:val="20"/>
                <w:color w:val="auto"/>
              </w:rPr>
            </w:pPr>
            <w:r>
              <w:rPr>
                <w:rFonts w:ascii="Arial" w:cs="Arial" w:eastAsia="Arial" w:hAnsi="Arial"/>
                <w:sz w:val="16"/>
                <w:szCs w:val="16"/>
                <w:color w:val="auto"/>
              </w:rPr>
              <w:t>Weighted average shares outstanding - diluted</w:t>
            </w:r>
          </w:p>
        </w:tc>
        <w:tc>
          <w:tcPr>
            <w:tcW w:w="9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75,413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75,578</w:t>
            </w:r>
          </w:p>
        </w:tc>
      </w:tr>
      <w:tr>
        <w:trPr>
          <w:trHeight w:val="3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Calculated as total net income less amounts attributable to non-controlling interests.</w:t>
      </w:r>
    </w:p>
    <w:p>
      <w:pPr>
        <w:spacing w:after="0" w:line="11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 repurchased approximately 3.6 million shares of its common stock during the three month period ended March 31, 2020, as discussed in Note 11 - Equity. The effect of these repurchases on the Company’s first quarter 2020 weighted average shares outstanding was not significant due to the timing of the repurchases, which occurred in the latter part of the quarter. In future quarters, these share repurchases will be fully reflected in the total number of weighted average shares outstanding for the respective quarter to date periods.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Goodwill and Other 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balances for goodwill by reportable segment as of March 31, 2020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Power</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92"/>
              </w:rPr>
              <w:t>Electrical</w:t>
            </w:r>
          </w:p>
        </w:tc>
        <w:tc>
          <w:tcPr>
            <w:tcW w:w="122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rPr>
              <w:t>Generation and</w:t>
            </w:r>
          </w:p>
        </w:tc>
        <w:tc>
          <w:tcPr>
            <w:tcW w:w="160" w:type="dxa"/>
            <w:vAlign w:val="bottom"/>
          </w:tcPr>
          <w:p>
            <w:pPr>
              <w:spacing w:after="0"/>
              <w:rPr>
                <w:sz w:val="14"/>
                <w:szCs w:val="14"/>
                <w:color w:val="auto"/>
              </w:rPr>
            </w:pPr>
          </w:p>
        </w:tc>
        <w:tc>
          <w:tcPr>
            <w:tcW w:w="840" w:type="dxa"/>
            <w:vAlign w:val="bottom"/>
          </w:tcPr>
          <w:p>
            <w:pPr>
              <w:jc w:val="right"/>
              <w:ind w:right="264"/>
              <w:spacing w:after="0" w:line="162" w:lineRule="exact"/>
              <w:rPr>
                <w:sz w:val="20"/>
                <w:szCs w:val="20"/>
                <w:color w:val="auto"/>
              </w:rPr>
            </w:pPr>
            <w:r>
              <w:rPr>
                <w:rFonts w:ascii="Arial" w:cs="Arial" w:eastAsia="Arial" w:hAnsi="Arial"/>
                <w:sz w:val="15"/>
                <w:szCs w:val="15"/>
                <w:b w:val="1"/>
                <w:bCs w:val="1"/>
                <w:color w:val="auto"/>
              </w:rPr>
              <w:t>Total</w:t>
            </w:r>
          </w:p>
        </w:tc>
      </w:tr>
      <w:tr>
        <w:trPr>
          <w:trHeight w:val="202"/>
        </w:trPr>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5"/>
                <w:szCs w:val="15"/>
                <w:b w:val="1"/>
                <w:bCs w:val="1"/>
                <w:color w:val="auto"/>
              </w:rPr>
              <w:t>Communications</w:t>
            </w:r>
          </w:p>
        </w:tc>
        <w:tc>
          <w:tcPr>
            <w:tcW w:w="14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5"/>
                <w:szCs w:val="15"/>
                <w:b w:val="1"/>
                <w:bCs w:val="1"/>
                <w:color w:val="auto"/>
              </w:rPr>
              <w:t>Oil and Gas</w:t>
            </w: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Transmission</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4"/>
              </w:rPr>
              <w:t>Industrial</w:t>
            </w:r>
          </w:p>
        </w:tc>
        <w:tc>
          <w:tcPr>
            <w:tcW w:w="160" w:type="dxa"/>
            <w:vAlign w:val="bottom"/>
          </w:tcPr>
          <w:p>
            <w:pPr>
              <w:spacing w:after="0"/>
              <w:rPr>
                <w:sz w:val="17"/>
                <w:szCs w:val="17"/>
                <w:color w:val="auto"/>
              </w:rPr>
            </w:pPr>
          </w:p>
        </w:tc>
        <w:tc>
          <w:tcPr>
            <w:tcW w:w="840" w:type="dxa"/>
            <w:vAlign w:val="bottom"/>
          </w:tcPr>
          <w:p>
            <w:pPr>
              <w:jc w:val="right"/>
              <w:ind w:right="124"/>
              <w:spacing w:after="0"/>
              <w:rPr>
                <w:sz w:val="20"/>
                <w:szCs w:val="20"/>
                <w:color w:val="auto"/>
              </w:rPr>
            </w:pPr>
            <w:r>
              <w:rPr>
                <w:rFonts w:ascii="Arial" w:cs="Arial" w:eastAsia="Arial" w:hAnsi="Arial"/>
                <w:sz w:val="15"/>
                <w:szCs w:val="15"/>
                <w:b w:val="1"/>
                <w:bCs w:val="1"/>
                <w:color w:val="auto"/>
                <w:w w:val="97"/>
              </w:rPr>
              <w:t>Goodwill</w:t>
            </w:r>
          </w:p>
        </w:tc>
      </w:tr>
      <w:tr>
        <w:trPr>
          <w:trHeight w:val="254"/>
        </w:trPr>
        <w:tc>
          <w:tcPr>
            <w:tcW w:w="4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gross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541.8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489.3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149.9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152.8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1,333.8</w:t>
            </w:r>
          </w:p>
        </w:tc>
      </w:tr>
      <w:tr>
        <w:trPr>
          <w:trHeight w:val="246"/>
        </w:trPr>
        <w:tc>
          <w:tcPr>
            <w:tcW w:w="4960" w:type="dxa"/>
            <w:vAlign w:val="bottom"/>
          </w:tcPr>
          <w:p>
            <w:pPr>
              <w:ind w:left="180"/>
              <w:spacing w:after="0"/>
              <w:rPr>
                <w:sz w:val="20"/>
                <w:szCs w:val="20"/>
                <w:color w:val="auto"/>
              </w:rPr>
            </w:pPr>
            <w:r>
              <w:rPr>
                <w:rFonts w:ascii="Arial" w:cs="Arial" w:eastAsia="Arial" w:hAnsi="Arial"/>
                <w:sz w:val="16"/>
                <w:szCs w:val="16"/>
                <w:color w:val="auto"/>
              </w:rPr>
              <w:t>Accumulated impairment loss</w:t>
            </w:r>
          </w:p>
        </w:tc>
        <w:tc>
          <w:tcPr>
            <w:tcW w:w="14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(112.7)</w:t>
            </w:r>
          </w:p>
        </w:tc>
      </w:tr>
      <w:tr>
        <w:trPr>
          <w:trHeight w:val="250"/>
        </w:trPr>
        <w:tc>
          <w:tcPr>
            <w:tcW w:w="4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541.8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376.6</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149.9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152.8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1,221.1</w:t>
            </w:r>
          </w:p>
        </w:tc>
      </w:tr>
    </w:tbl>
    <w:p>
      <w:pPr>
        <w:spacing w:after="0" w:line="200" w:lineRule="exact"/>
        <w:rPr>
          <w:sz w:val="20"/>
          <w:szCs w:val="20"/>
          <w:color w:val="auto"/>
        </w:rPr>
      </w:pPr>
    </w:p>
    <w:p>
      <w:pPr>
        <w:sectPr>
          <w:pgSz w:w="11900" w:h="16838" w:orient="portrait"/>
          <w:cols w:equalWidth="0" w:num="1">
            <w:col w:w="11240"/>
          </w:cols>
          <w:pgMar w:left="320" w:top="616" w:right="33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616" w:right="339" w:bottom="1440" w:gutter="0" w:footer="0" w:header="0"/>
          <w:type w:val="continuous"/>
        </w:sectPr>
      </w:pPr>
    </w:p>
    <w:bookmarkStart w:id="10" w:name="page11"/>
    <w:bookmarkEnd w:id="10"/>
    <w:p>
      <w:pPr>
        <w:jc w:val="both"/>
        <w:ind w:firstLine="648"/>
        <w:spacing w:after="0" w:line="261" w:lineRule="auto"/>
        <w:rPr>
          <w:sz w:val="20"/>
          <w:szCs w:val="20"/>
          <w:color w:val="auto"/>
        </w:rPr>
      </w:pPr>
      <w:r>
        <w:rPr>
          <w:rFonts w:ascii="Arial" w:cs="Arial" w:eastAsia="Arial" w:hAnsi="Arial"/>
          <w:sz w:val="16"/>
          <w:szCs w:val="16"/>
          <w:color w:val="auto"/>
        </w:rPr>
        <w:t>For the three month period ended March 31, 2020, goodwill included a net increase of $0.8 million from measurement period adjustments. Currency translation effects related to goodwill and accumulated impairment losses for the three month period ended March 31, 2020 totaled approximately $9.9 million of losses and $8.8 million of gains, respectively.</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changes in other intangible assets, net, for the period indicated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ind w:left="140"/>
              <w:spacing w:after="0"/>
              <w:rPr>
                <w:sz w:val="20"/>
                <w:szCs w:val="20"/>
                <w:color w:val="auto"/>
              </w:rPr>
            </w:pPr>
            <w:r>
              <w:rPr>
                <w:rFonts w:ascii="Arial" w:cs="Arial" w:eastAsia="Arial" w:hAnsi="Arial"/>
                <w:sz w:val="15"/>
                <w:szCs w:val="15"/>
                <w:b w:val="1"/>
                <w:bCs w:val="1"/>
                <w:color w:val="auto"/>
              </w:rPr>
              <w:t>Other Intangible Assets</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4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ind w:left="460"/>
              <w:spacing w:after="0"/>
              <w:rPr>
                <w:sz w:val="20"/>
                <w:szCs w:val="20"/>
                <w:color w:val="auto"/>
              </w:rPr>
            </w:pPr>
            <w:r>
              <w:rPr>
                <w:rFonts w:ascii="Arial" w:cs="Arial" w:eastAsia="Arial" w:hAnsi="Arial"/>
                <w:sz w:val="15"/>
                <w:szCs w:val="15"/>
                <w:b w:val="1"/>
                <w:bCs w:val="1"/>
                <w:color w:val="auto"/>
              </w:rPr>
              <w:t>Non-Amortizing</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Amortizing</w:t>
            </w: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line="169" w:lineRule="exact"/>
              <w:rPr>
                <w:sz w:val="20"/>
                <w:szCs w:val="20"/>
                <w:color w:val="auto"/>
              </w:rPr>
            </w:pPr>
            <w:r>
              <w:rPr>
                <w:rFonts w:ascii="Arial" w:cs="Arial" w:eastAsia="Arial" w:hAnsi="Arial"/>
                <w:sz w:val="15"/>
                <w:szCs w:val="15"/>
                <w:b w:val="1"/>
                <w:bCs w:val="1"/>
                <w:color w:val="auto"/>
                <w:w w:val="91"/>
              </w:rPr>
              <w:t>Customer</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100"/>
              <w:spacing w:after="0" w:line="162" w:lineRule="exact"/>
              <w:rPr>
                <w:sz w:val="20"/>
                <w:szCs w:val="20"/>
                <w:color w:val="auto"/>
              </w:rPr>
            </w:pPr>
            <w:r>
              <w:rPr>
                <w:rFonts w:ascii="Arial" w:cs="Arial" w:eastAsia="Arial" w:hAnsi="Arial"/>
                <w:sz w:val="15"/>
                <w:szCs w:val="15"/>
                <w:b w:val="1"/>
                <w:bCs w:val="1"/>
                <w:color w:val="auto"/>
              </w:rPr>
              <w:t>Trade</w:t>
            </w: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9"/>
              </w:rPr>
              <w:t>Relationships</w:t>
            </w:r>
          </w:p>
        </w:tc>
        <w:tc>
          <w:tcPr>
            <w:tcW w:w="100" w:type="dxa"/>
            <w:vAlign w:val="bottom"/>
          </w:tcPr>
          <w:p>
            <w:pPr>
              <w:spacing w:after="0"/>
              <w:rPr>
                <w:sz w:val="14"/>
                <w:szCs w:val="14"/>
                <w:color w:val="auto"/>
              </w:rPr>
            </w:pPr>
          </w:p>
        </w:tc>
        <w:tc>
          <w:tcPr>
            <w:tcW w:w="1220" w:type="dxa"/>
            <w:vAlign w:val="bottom"/>
            <w:gridSpan w:val="2"/>
          </w:tcPr>
          <w:p>
            <w:pPr>
              <w:ind w:left="360"/>
              <w:spacing w:after="0" w:line="162" w:lineRule="exact"/>
              <w:rPr>
                <w:sz w:val="20"/>
                <w:szCs w:val="20"/>
                <w:color w:val="auto"/>
              </w:rPr>
            </w:pPr>
            <w:r>
              <w:rPr>
                <w:rFonts w:ascii="Arial" w:cs="Arial" w:eastAsia="Arial" w:hAnsi="Arial"/>
                <w:sz w:val="15"/>
                <w:szCs w:val="15"/>
                <w:b w:val="1"/>
                <w:bCs w:val="1"/>
                <w:color w:val="auto"/>
              </w:rPr>
              <w:t>Pre-</w:t>
            </w:r>
          </w:p>
        </w:tc>
        <w:tc>
          <w:tcPr>
            <w:tcW w:w="120" w:type="dxa"/>
            <w:vAlign w:val="bottom"/>
          </w:tcPr>
          <w:p>
            <w:pPr>
              <w:spacing w:after="0"/>
              <w:rPr>
                <w:sz w:val="14"/>
                <w:szCs w:val="14"/>
                <w:color w:val="auto"/>
              </w:rPr>
            </w:pPr>
          </w:p>
        </w:tc>
        <w:tc>
          <w:tcPr>
            <w:tcW w:w="7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89"/>
              </w:rPr>
              <w:t xml:space="preserve">Other </w:t>
            </w:r>
            <w:r>
              <w:rPr>
                <w:rFonts w:ascii="Arial" w:cs="Arial" w:eastAsia="Arial" w:hAnsi="Arial"/>
                <w:sz w:val="25"/>
                <w:szCs w:val="25"/>
                <w:b w:val="1"/>
                <w:bCs w:val="1"/>
                <w:color w:val="auto"/>
                <w:w w:val="89"/>
                <w:vertAlign w:val="superscript"/>
              </w:rPr>
              <w:t>(a)</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Names</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94"/>
              </w:rPr>
              <w:t>Pre-Qualifications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89"/>
              </w:rPr>
              <w:t>and Backlog</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4"/>
              </w:rPr>
              <w:t>Qualifications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intangible assets, gross, as of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34.5</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72.9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286.5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420.2</w:t>
            </w:r>
          </w:p>
        </w:tc>
        <w:tc>
          <w:tcPr>
            <w:tcW w:w="0" w:type="dxa"/>
            <w:vAlign w:val="bottom"/>
          </w:tcPr>
          <w:p>
            <w:pPr>
              <w:spacing w:after="0"/>
              <w:rPr>
                <w:sz w:val="1"/>
                <w:szCs w:val="1"/>
                <w:color w:val="auto"/>
              </w:rPr>
            </w:pPr>
          </w:p>
        </w:tc>
      </w:tr>
      <w:tr>
        <w:trPr>
          <w:trHeight w:val="266"/>
        </w:trPr>
        <w:tc>
          <w:tcPr>
            <w:tcW w:w="4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Accumulated amortization</w:t>
            </w: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(191.2)</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(208.7)</w:t>
            </w:r>
          </w:p>
        </w:tc>
        <w:tc>
          <w:tcPr>
            <w:tcW w:w="0" w:type="dxa"/>
            <w:vAlign w:val="bottom"/>
          </w:tcPr>
          <w:p>
            <w:pPr>
              <w:spacing w:after="0"/>
              <w:rPr>
                <w:sz w:val="1"/>
                <w:szCs w:val="1"/>
                <w:color w:val="auto"/>
              </w:rPr>
            </w:pPr>
          </w:p>
        </w:tc>
      </w:tr>
      <w:tr>
        <w:trPr>
          <w:trHeight w:val="254"/>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intangible assets, net, as of December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34.5</w:t>
            </w:r>
          </w:p>
        </w:tc>
        <w:tc>
          <w:tcPr>
            <w:tcW w:w="1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72.9</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95.3</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8.8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211.5</w:t>
            </w:r>
          </w:p>
        </w:tc>
        <w:tc>
          <w:tcPr>
            <w:tcW w:w="0" w:type="dxa"/>
            <w:vAlign w:val="bottom"/>
          </w:tcPr>
          <w:p>
            <w:pPr>
              <w:spacing w:after="0"/>
              <w:rPr>
                <w:sz w:val="1"/>
                <w:szCs w:val="1"/>
                <w:color w:val="auto"/>
              </w:rPr>
            </w:pPr>
          </w:p>
        </w:tc>
      </w:tr>
      <w:tr>
        <w:trPr>
          <w:trHeight w:val="250"/>
        </w:trPr>
        <w:tc>
          <w:tcPr>
            <w:tcW w:w="4400" w:type="dxa"/>
            <w:vAlign w:val="bottom"/>
          </w:tcPr>
          <w:p>
            <w:pPr>
              <w:ind w:left="180"/>
              <w:spacing w:after="0"/>
              <w:rPr>
                <w:sz w:val="20"/>
                <w:szCs w:val="20"/>
                <w:color w:val="auto"/>
              </w:rPr>
            </w:pPr>
            <w:r>
              <w:rPr>
                <w:rFonts w:ascii="Arial" w:cs="Arial" w:eastAsia="Arial" w:hAnsi="Arial"/>
                <w:sz w:val="16"/>
                <w:szCs w:val="16"/>
                <w:color w:val="auto"/>
              </w:rPr>
              <w:t xml:space="preserve">Classification changes </w:t>
            </w:r>
            <w:r>
              <w:rPr>
                <w:rFonts w:ascii="Arial" w:cs="Arial" w:eastAsia="Arial" w:hAnsi="Arial"/>
                <w:sz w:val="21"/>
                <w:szCs w:val="21"/>
                <w:color w:val="auto"/>
                <w:vertAlign w:val="superscript"/>
              </w:rPr>
              <w:t>(b)</w:t>
            </w:r>
          </w:p>
        </w:tc>
        <w:tc>
          <w:tcPr>
            <w:tcW w:w="1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21"/>
                <w:szCs w:val="21"/>
                <w:color w:val="auto"/>
              </w:rPr>
            </w:pPr>
          </w:p>
        </w:tc>
        <w:tc>
          <w:tcPr>
            <w:tcW w:w="520" w:type="dxa"/>
            <w:vAlign w:val="bottom"/>
          </w:tcPr>
          <w:p>
            <w:pPr>
              <w:jc w:val="right"/>
              <w:ind w:right="4"/>
              <w:spacing w:after="0"/>
              <w:rPr>
                <w:sz w:val="20"/>
                <w:szCs w:val="20"/>
                <w:color w:val="auto"/>
              </w:rPr>
            </w:pPr>
            <w:r>
              <w:rPr>
                <w:rFonts w:ascii="Arial" w:cs="Arial" w:eastAsia="Arial" w:hAnsi="Arial"/>
                <w:sz w:val="15"/>
                <w:szCs w:val="15"/>
                <w:color w:val="auto"/>
              </w:rPr>
              <w:t>(69.8)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69.8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Measurement period adjustments </w:t>
            </w:r>
            <w:r>
              <w:rPr>
                <w:rFonts w:ascii="Arial" w:cs="Arial" w:eastAsia="Arial" w:hAnsi="Arial"/>
                <w:sz w:val="21"/>
                <w:szCs w:val="21"/>
                <w:color w:val="auto"/>
                <w:vertAlign w:val="superscript"/>
              </w:rPr>
              <w:t>(c)</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66"/>
        </w:trPr>
        <w:tc>
          <w:tcPr>
            <w:tcW w:w="4400" w:type="dxa"/>
            <w:vAlign w:val="bottom"/>
          </w:tcPr>
          <w:p>
            <w:pPr>
              <w:ind w:left="180"/>
              <w:spacing w:after="0"/>
              <w:rPr>
                <w:sz w:val="20"/>
                <w:szCs w:val="20"/>
                <w:color w:val="auto"/>
              </w:rPr>
            </w:pPr>
            <w:r>
              <w:rPr>
                <w:rFonts w:ascii="Arial" w:cs="Arial" w:eastAsia="Arial" w:hAnsi="Arial"/>
                <w:sz w:val="16"/>
                <w:szCs w:val="16"/>
                <w:color w:val="auto"/>
              </w:rPr>
              <w:t>Currency translation adjustments</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23"/>
                <w:szCs w:val="23"/>
                <w:color w:val="auto"/>
              </w:rPr>
            </w:pPr>
          </w:p>
        </w:tc>
        <w:tc>
          <w:tcPr>
            <w:tcW w:w="520" w:type="dxa"/>
            <w:vAlign w:val="bottom"/>
          </w:tcPr>
          <w:p>
            <w:pPr>
              <w:jc w:val="right"/>
              <w:ind w:right="4"/>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74"/>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expense</w:t>
            </w: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246"/>
        </w:trPr>
        <w:tc>
          <w:tcPr>
            <w:tcW w:w="4400" w:type="dxa"/>
            <w:vAlign w:val="bottom"/>
          </w:tcPr>
          <w:p>
            <w:pPr>
              <w:ind w:left="40"/>
              <w:spacing w:after="0"/>
              <w:rPr>
                <w:sz w:val="20"/>
                <w:szCs w:val="20"/>
                <w:color w:val="auto"/>
              </w:rPr>
            </w:pPr>
            <w:r>
              <w:rPr>
                <w:rFonts w:ascii="Arial" w:cs="Arial" w:eastAsia="Arial" w:hAnsi="Arial"/>
                <w:sz w:val="16"/>
                <w:szCs w:val="16"/>
                <w:color w:val="auto"/>
              </w:rPr>
              <w:t>Other intangible assets, net, as of March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34.5</w:t>
            </w:r>
          </w:p>
        </w:tc>
        <w:tc>
          <w:tcPr>
            <w:tcW w:w="120" w:type="dxa"/>
            <w:vAlign w:val="bottom"/>
          </w:tcPr>
          <w:p>
            <w:pPr>
              <w:spacing w:after="0"/>
              <w:rPr>
                <w:sz w:val="21"/>
                <w:szCs w:val="21"/>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89.2</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68.8</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200.8</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Consists principally of trade names and non-compete agreements.</w:t>
      </w:r>
    </w:p>
    <w:p>
      <w:pPr>
        <w:spacing w:after="0" w:line="13"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connection with its first quarter assessment of goodwill and indefinite-lived intangible assets, management reassessed the indefinite life classification of its two pre-qualification intangible assets. Management determined that, based on changes in the assets’ characteristics, including current and expected changes in the customer mix of the associated reporting units, a finite life classification for these assets was more appropriate. As a result, in the first quarter of 2020, the Company changed the classification of these pre-qualification intangible assets from indefinite-lived to finite-lived and began amortizing them on an accelerated basis. As of March 31, 2020, the estimated remaining weighted average useful life of these assets was approximately 12 years.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adjustments to preliminary estimates of fair value within the measurement period of up to one year from the date of acquisition.</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of intangible assets for the three month periods ended March 31, 2020 and 2019 totaled $7.4 million and $4.8 million, respectively.</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2019 Acquisitions. </w:t>
      </w:r>
      <w:r>
        <w:rPr>
          <w:rFonts w:ascii="Arial" w:cs="Arial" w:eastAsia="Arial" w:hAnsi="Arial"/>
          <w:sz w:val="16"/>
          <w:szCs w:val="16"/>
          <w:color w:val="auto"/>
        </w:rPr>
        <w:t>During 2019, MasTec completed six acquisitions, one of which specializes in water infrastructure for pipeline companies and is included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within the </w:t>
      </w:r>
      <w:r>
        <w:rPr>
          <w:rFonts w:ascii="Arial" w:cs="Arial" w:eastAsia="Arial" w:hAnsi="Arial"/>
          <w:sz w:val="16"/>
          <w:szCs w:val="16"/>
          <w:color w:val="26282A"/>
        </w:rPr>
        <w:t>Company’s Oil and Gas segment,</w:t>
      </w:r>
      <w:r>
        <w:rPr>
          <w:rFonts w:ascii="Arial" w:cs="Arial" w:eastAsia="Arial" w:hAnsi="Arial"/>
          <w:sz w:val="16"/>
          <w:szCs w:val="16"/>
          <w:color w:val="auto"/>
        </w:rPr>
        <w:t xml:space="preserve"> four o</w:t>
      </w:r>
      <w:r>
        <w:rPr>
          <w:rFonts w:ascii="Arial" w:cs="Arial" w:eastAsia="Arial" w:hAnsi="Arial"/>
          <w:sz w:val="16"/>
          <w:szCs w:val="16"/>
          <w:color w:val="26282A"/>
        </w:rPr>
        <w:t>f which are</w:t>
      </w:r>
      <w:r>
        <w:rPr>
          <w:rFonts w:ascii="Arial" w:cs="Arial" w:eastAsia="Arial" w:hAnsi="Arial"/>
          <w:sz w:val="16"/>
          <w:szCs w:val="16"/>
          <w:color w:val="auto"/>
        </w:rPr>
        <w:t xml:space="preserve"> included within the Company’s Communications segment, including a wireline/fiber deployment construction contractor and a telecommunications company specializing in a broad range of end-to-end wireless telecommunications solutions, and one of which specializes in construction projects in the power industry and is included in the Company’s Power Generation and Industrial segment</w:t>
      </w:r>
      <w:r>
        <w:rPr>
          <w:rFonts w:ascii="Arial" w:cs="Arial" w:eastAsia="Arial" w:hAnsi="Arial"/>
          <w:sz w:val="16"/>
          <w:szCs w:val="16"/>
          <w:color w:val="26282A"/>
        </w:rPr>
        <w:t>. For all but one of these acquisitions, the Company</w:t>
      </w:r>
      <w:r>
        <w:rPr>
          <w:rFonts w:ascii="Arial" w:cs="Arial" w:eastAsia="Arial" w:hAnsi="Arial"/>
          <w:sz w:val="16"/>
          <w:szCs w:val="16"/>
          <w:color w:val="auto"/>
        </w:rPr>
        <w:t xml:space="preserve"> </w:t>
      </w:r>
      <w:r>
        <w:rPr>
          <w:rFonts w:ascii="Arial" w:cs="Arial" w:eastAsia="Arial" w:hAnsi="Arial"/>
          <w:sz w:val="16"/>
          <w:szCs w:val="16"/>
          <w:color w:val="26282A"/>
        </w:rPr>
        <w:t>acquired all of the equity interests in the related entities. For the telecommunications company specializing in wireless telecommunications solutions, the Company acquired 96% of the entity’s equity interests, with the obligation to acquire the balance over time.</w:t>
      </w:r>
    </w:p>
    <w:p>
      <w:pPr>
        <w:spacing w:after="0" w:line="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26282A"/>
        </w:rPr>
        <w:t xml:space="preserve">The aggregate purchase price for these entities, as adjusted, was composed of approximately </w:t>
      </w:r>
      <w:r>
        <w:rPr>
          <w:rFonts w:ascii="Arial" w:cs="Arial" w:eastAsia="Arial" w:hAnsi="Arial"/>
          <w:sz w:val="15"/>
          <w:szCs w:val="15"/>
          <w:color w:val="000000"/>
        </w:rPr>
        <w:t>$175.1 million</w:t>
      </w:r>
      <w:r>
        <w:rPr>
          <w:rFonts w:ascii="Arial" w:cs="Arial" w:eastAsia="Arial" w:hAnsi="Arial"/>
          <w:sz w:val="15"/>
          <w:szCs w:val="15"/>
          <w:color w:val="26282A"/>
        </w:rPr>
        <w:t xml:space="preserve"> in cash, net of cash acquired, plus earn-out liabilities and a mandatorily redeemable non-controlling interest valued at approximately </w:t>
      </w:r>
      <w:r>
        <w:rPr>
          <w:rFonts w:ascii="Arial" w:cs="Arial" w:eastAsia="Arial" w:hAnsi="Arial"/>
          <w:sz w:val="15"/>
          <w:szCs w:val="15"/>
          <w:color w:val="000000"/>
        </w:rPr>
        <w:t>$22.2 million</w:t>
      </w:r>
      <w:r>
        <w:rPr>
          <w:rFonts w:ascii="Arial" w:cs="Arial" w:eastAsia="Arial" w:hAnsi="Arial"/>
          <w:sz w:val="15"/>
          <w:szCs w:val="15"/>
          <w:color w:val="26282A"/>
        </w:rPr>
        <w:t xml:space="preserve"> and </w:t>
      </w:r>
      <w:r>
        <w:rPr>
          <w:rFonts w:ascii="Arial" w:cs="Arial" w:eastAsia="Arial" w:hAnsi="Arial"/>
          <w:sz w:val="15"/>
          <w:szCs w:val="15"/>
          <w:color w:val="000000"/>
        </w:rPr>
        <w:t>$17.8 million</w:t>
      </w:r>
      <w:r>
        <w:rPr>
          <w:rFonts w:ascii="Arial" w:cs="Arial" w:eastAsia="Arial" w:hAnsi="Arial"/>
          <w:sz w:val="15"/>
          <w:szCs w:val="15"/>
          <w:color w:val="26282A"/>
        </w:rPr>
        <w:t xml:space="preserve">, respectively. </w:t>
      </w:r>
      <w:r>
        <w:rPr>
          <w:rFonts w:ascii="Arial" w:cs="Arial" w:eastAsia="Arial" w:hAnsi="Arial"/>
          <w:sz w:val="15"/>
          <w:szCs w:val="15"/>
          <w:color w:val="000000"/>
        </w:rPr>
        <w:t>The Company refers to its traditional earn-out</w:t>
      </w:r>
      <w:r>
        <w:rPr>
          <w:rFonts w:ascii="Arial" w:cs="Arial" w:eastAsia="Arial" w:hAnsi="Arial"/>
          <w:sz w:val="15"/>
          <w:szCs w:val="15"/>
          <w:color w:val="26282A"/>
        </w:rPr>
        <w:t xml:space="preserve"> </w:t>
      </w:r>
      <w:r>
        <w:rPr>
          <w:rFonts w:ascii="Arial" w:cs="Arial" w:eastAsia="Arial" w:hAnsi="Arial"/>
          <w:sz w:val="15"/>
          <w:szCs w:val="15"/>
          <w:color w:val="000000"/>
        </w:rPr>
        <w:t>arrangements and the mandatorily redeemable non-controlling interest collectively as “Earn-outs,” which are generally payable annually and are recorded within other current and other long-term liabilities in the consolidated balance sheets. Earn-outs for the 2019 acquisitions have terms ranging from three to five years. As of March 31, 2020, the range of remaining potential undiscounted Earn-out liabilities for the 2019 acquisitions was estimated to be between $2 million and $71 million; however, there is no maximum payment amount. Determination of the estimated fair values of the net assets acquired and the estimated Earn-out liabilities for these acquisitions was preliminary as of March 31, 2020; as a result, further adjustments to these estimates may occur.</w:t>
      </w:r>
    </w:p>
    <w:p>
      <w:pPr>
        <w:spacing w:after="0" w:line="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Pro Forma Financial Information and Acquisition Results. </w:t>
      </w:r>
      <w:r>
        <w:rPr>
          <w:rFonts w:ascii="Arial" w:cs="Arial" w:eastAsia="Arial" w:hAnsi="Arial"/>
          <w:sz w:val="16"/>
          <w:szCs w:val="16"/>
          <w:color w:val="auto"/>
        </w:rPr>
        <w:t>For the three month periods ended March 31, 2020 and 2019, unaudited supplemental pro forma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totaled approximately $1.4 billion and $1.6 billion, respectively, and unaudited supplemental pro forma net income totaled approximately $37.3 million and $48.1 million, respectively.</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For the three month periods ended March 31, 2020 and 2019, the Company’s consolidated results of operations included acquisition-related revenue of approximately $49.5 million and $39.7 million, respectively, and included acquisition-related net loss of approximately $1.2 million and $6.1 million, respectively, based on the Company’s consolidated effective tax rates. These acquisition-related results do not include the effects of acquisition costs or interest expense associated with consideration paid for the related acquisitions.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Fair Value of Financial Instruments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Company’s financial instruments include cash and cash equivalents, accounts and notes receivable, cash collateral deposited with insurance carriers, life insurance assets, equity investments, deferred compensation plan assets and liabilities, accounts payable and other current liabilities, acquisition-related contingent consideration, mandatorily redeemable non-controlling interests and debt obligations.</w:t>
      </w:r>
    </w:p>
    <w:p>
      <w:pPr>
        <w:spacing w:after="0" w:line="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w:t>
      </w:r>
    </w:p>
    <w:p>
      <w:pPr>
        <w:sectPr>
          <w:pgSz w:w="11900" w:h="16838" w:orient="portrait"/>
          <w:cols w:equalWidth="0" w:num="1">
            <w:col w:w="11240"/>
          </w:cols>
          <w:pgMar w:left="320" w:top="670" w:right="3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670" w:right="339" w:bottom="1440" w:gutter="0" w:footer="0" w:header="0"/>
          <w:type w:val="continuous"/>
        </w:sectPr>
      </w:pPr>
    </w:p>
    <w:bookmarkStart w:id="11" w:name="page12"/>
    <w:bookmarkEnd w:id="11"/>
    <w:p>
      <w:pPr>
        <w:ind w:left="340"/>
        <w:spacing w:after="0"/>
        <w:rPr>
          <w:sz w:val="20"/>
          <w:szCs w:val="20"/>
          <w:color w:val="auto"/>
        </w:rPr>
      </w:pPr>
      <w:r>
        <w:rPr>
          <w:rFonts w:ascii="Arial" w:cs="Arial" w:eastAsia="Arial" w:hAnsi="Arial"/>
          <w:sz w:val="16"/>
          <w:szCs w:val="16"/>
          <w:b w:val="1"/>
          <w:bCs w:val="1"/>
          <w:i w:val="1"/>
          <w:iCs w:val="1"/>
          <w:color w:val="auto"/>
        </w:rPr>
        <w:t>Acquisition-Related Contingent Consideration and Other Liabilities</w:t>
      </w:r>
    </w:p>
    <w:p>
      <w:pPr>
        <w:spacing w:after="0" w:line="11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Acquisition-related contingent consideration and other liabilities is composed of Earn-outs, which represent the estimated fair value of future amounts payable for businesses that are contingent upon the acquired business achieving certain levels of earnings in the future. As of March 31, 2020 and December 31, 2019, the estimated fair value of the Company’s Earn-out liabilities totaled $176.0 million and $173.2 million, respectively, of which $52.9 million and $54.1 million, respectively, was included within other current liabilities.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ranged from 12.0% to 24.7%, with a weighted average rate of 14.0% based on relative fair value, as of March 31, 2020, and probability-weighted projections of earnings before interest, taxes, depreciation and amortization (“EBITDA”). Significant changes in any of these assumptions could result in significantly higher or lower potential Earn-out liabilities. As of March 31, 2020, the range of potential undiscounted Earn-out liabilities was estimated to be between $60 million and $256 million; however, there is no maximum payment amount.</w:t>
      </w:r>
    </w:p>
    <w:p>
      <w:pPr>
        <w:spacing w:after="0" w:line="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Earn-out activity consists primarily of additions from new business combinations; changes in the expected fair value of future payment obligations; and payments. Measurement period adjustments for Earn-out liabilities, which are fair value adjustments relating to new information obtained about the facts and circumstances existing as of the date of acquisition for a period of up to one year, are recorded to goodwill. Other revisions to the expected fair values of the Company’s traditional earn-out liabilities are reflected as income or expense, as appropriate, and, for the mandatorily redeemable non-controlling interest, are recorded as interest expense, net. Earn-out payments, to the extent they relate to estimated liabilities as of the date of acquisition, are reflected within financing activities in the consolidated statements of cash flows. Payments in excess of acquisition date liabilities are classified within operating activities.</w:t>
      </w:r>
    </w:p>
    <w:p>
      <w:pPr>
        <w:spacing w:after="0" w:line="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There were no additions to acquisition-related contingent consideration and other liabilities from new business combinations for the three month period ended March 31, 2020, and for the three month period ended March 31, 2019, additions from new business combinations totaled $15.2 million. Measurement period adjustments for the three month period ended March 31, 2020 totaled an increase of approximately $1.1 million and related to a business in the Company’s Communications segment. There were no measurement period adjustments for the three month period ended March 31, 2019. Fair value adjustments totaled a net increase of approximately $1.8 million for the three month period ended March 31, 2020, and related to businesses in the Company’s Oil and Gas and Communications segments. Fair value adjustments, including those related to finalization of completed earn-out arrangements, totaled a net increase of approximately $7.2 million for the three month period ended March 31, 2019, and related to businesses in the Company’s Oil and Gas and Communications segments. There were no Earn-out payments in either of the three month periods ended March 31, 2020 or 2019.</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Equity Investments</w:t>
      </w:r>
    </w:p>
    <w:p>
      <w:pPr>
        <w:spacing w:after="0" w:line="1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Company’s equity investments as of March 31, 2020 include: (i) the Company’s 33% equity interests in Trans-Pecos Pipeline, LLC (“TPP”) and Comanche Trail Pipeline, LLC (“CTP,” and together with TPP, the “Waha JVs”), which are accounted for as equity method investments; (ii) a $15 million investment in Cross Country Infrastructure Services, Inc. (“CCI”); (iii) the Company’s interests in certain proportionately consolidated non-controlled contractual joint ventures; (iv) the Company’s equity interests in American Virtual Cloud Technologies, Inc. (formerly Pensare Acquisition Corp. (“Pensare”)); and (v) certain other equity investments.</w:t>
      </w:r>
    </w:p>
    <w:p>
      <w:pPr>
        <w:spacing w:after="0" w:line="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i w:val="1"/>
          <w:iCs w:val="1"/>
          <w:color w:val="auto"/>
        </w:rPr>
        <w:t>Investment Arrangements</w:t>
      </w:r>
      <w:r>
        <w:rPr>
          <w:rFonts w:ascii="Arial" w:cs="Arial" w:eastAsia="Arial" w:hAnsi="Arial"/>
          <w:sz w:val="16"/>
          <w:szCs w:val="16"/>
          <w:color w:val="auto"/>
        </w:rPr>
        <w:t>. From time to time, the Company may participate in selected investment or strategic arrangements, including equity interests in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entities and participation in contractual joint ventures, some of which may involve the extension of loans or other types of financing arrangements. As of March 31, 2020, the Company determined that certain of its investment arrangements were variable interest entities (“VIEs”). Except for one individually insignificant VIE, the Company does not have the power to direct the primary activities that most significantly impact the economic performance of its VIEs nor is it the primary beneficiary. Accordingly, except for the previously mentioned VIE, the Company’s VIEs are not consolidated.</w:t>
      </w:r>
    </w:p>
    <w:p>
      <w:pPr>
        <w:spacing w:after="0" w:line="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Equity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less impairment (“adjusted cost basis”). As of March 31, 2020 and December 31, 2019, the aggregate carrying value of the Company’s equity investments totaled approximately $195 million and $196 million, respectively, including approximately $18 million of equity investments measured on an adjusted cost basis as of both March 31, 2020 and December 31, 2019. There were no impairments of, or material changes in, the fair value of these investments during either of the three month periods ended March 31, 2020 or 2019.</w:t>
      </w:r>
    </w:p>
    <w:p>
      <w:pPr>
        <w:spacing w:after="0" w:line="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i w:val="1"/>
          <w:iCs w:val="1"/>
          <w:color w:val="auto"/>
        </w:rPr>
        <w:t xml:space="preserve">The Waha JVs. </w:t>
      </w:r>
      <w:r>
        <w:rPr>
          <w:rFonts w:ascii="Arial" w:cs="Arial" w:eastAsia="Arial" w:hAnsi="Arial"/>
          <w:sz w:val="15"/>
          <w:szCs w:val="15"/>
          <w:color w:val="auto"/>
        </w:rPr>
        <w:t>The Waha JVs own and operate two pipelines and a header system that transport natural gas to the Mexican border for export. Equity in earnings</w:t>
      </w:r>
      <w:r>
        <w:rPr>
          <w:rFonts w:ascii="Arial" w:cs="Arial" w:eastAsia="Arial" w:hAnsi="Arial"/>
          <w:sz w:val="15"/>
          <w:szCs w:val="15"/>
          <w:i w:val="1"/>
          <w:iCs w:val="1"/>
          <w:color w:val="auto"/>
        </w:rPr>
        <w:t xml:space="preserve"> </w:t>
      </w:r>
      <w:r>
        <w:rPr>
          <w:rFonts w:ascii="Arial" w:cs="Arial" w:eastAsia="Arial" w:hAnsi="Arial"/>
          <w:sz w:val="15"/>
          <w:szCs w:val="15"/>
          <w:color w:val="auto"/>
        </w:rPr>
        <w:t>related to the Company’s proportionate share of income from the Waha JVs, which is included within the Company’s Other segment, totaled approximately $7.6 million and $6.3 million for the three month periods ended March 31, 2020 and 2019, respectively. Cumulative undistributed earnings from the Waha JVs, which represents cumulative equity in earnings for the Waha JVs less distributions of earnings, totaled $53.1 million as of March 31, 2020. Distributions of earnings from the Waha JVs, which are included within operating cash flows, totaled $2.6 million and $3.9 million for the three month periods ended March 31, 2020 and 2019, respectively. The Company’s net investment in the Waha JVs, which differs from its proportionate share of the net assets of the Waha JVs due primarily to capitalized investment costs, totaled approximately $156 million and $174 million as of March 31, 2020 and December 31, 2019, respectively.</w:t>
      </w:r>
    </w:p>
    <w:p>
      <w:pPr>
        <w:spacing w:after="0" w:line="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three month periods ended March 31, 2020 and 2019, the Company’s proportionate share of unrecognized unrealized activity on these interest rate swaps totaled losses of approximately $30.3 million, or $23.0 million, net of tax, and $7.2 million, or $5.5 million, net of tax, respectively.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616" w:right="339" w:bottom="1440" w:gutter="0" w:footer="0" w:header="0"/>
        </w:sectPr>
      </w:pPr>
    </w:p>
    <w:bookmarkStart w:id="12" w:name="page13"/>
    <w:bookmarkEnd w:id="12"/>
    <w:p>
      <w:pPr>
        <w:jc w:val="both"/>
        <w:ind w:firstLine="648"/>
        <w:spacing w:after="0" w:line="266" w:lineRule="auto"/>
        <w:rPr>
          <w:sz w:val="20"/>
          <w:szCs w:val="20"/>
          <w:color w:val="auto"/>
        </w:rPr>
      </w:pPr>
      <w:r>
        <w:rPr>
          <w:rFonts w:ascii="Arial" w:cs="Arial" w:eastAsia="Arial" w:hAnsi="Arial"/>
          <w:sz w:val="15"/>
          <w:szCs w:val="15"/>
          <w:i w:val="1"/>
          <w:iCs w:val="1"/>
          <w:color w:val="auto"/>
        </w:rPr>
        <w:t xml:space="preserve">Other Investments. </w:t>
      </w:r>
      <w:r>
        <w:rPr>
          <w:rFonts w:ascii="Arial" w:cs="Arial" w:eastAsia="Arial" w:hAnsi="Arial"/>
          <w:sz w:val="15"/>
          <w:szCs w:val="15"/>
          <w:color w:val="auto"/>
        </w:rPr>
        <w:t>During 2017, the Company purchased approximately 4% of the common stock of Pensare, a special purpose acquisition company focusing on</w:t>
      </w:r>
      <w:r>
        <w:rPr>
          <w:rFonts w:ascii="Arial" w:cs="Arial" w:eastAsia="Arial" w:hAnsi="Arial"/>
          <w:sz w:val="15"/>
          <w:szCs w:val="15"/>
          <w:i w:val="1"/>
          <w:iCs w:val="1"/>
          <w:color w:val="auto"/>
        </w:rPr>
        <w:t xml:space="preserve"> </w:t>
      </w:r>
      <w:r>
        <w:rPr>
          <w:rFonts w:ascii="Arial" w:cs="Arial" w:eastAsia="Arial" w:hAnsi="Arial"/>
          <w:sz w:val="15"/>
          <w:szCs w:val="15"/>
          <w:color w:val="auto"/>
        </w:rPr>
        <w:t>transactions in the telecommunications industry, and warrants to purchase an additional 2.0 million shares of Pensare common stock (the “initial warrants”), for $2.0 million. José R. Mas, MasTec’s Chief Executive Officer, was a director of Pensare through the end of March 2020. The shares of common stock purchased by MasTec are not transferable or salable until one year after Pensare successfully completes a business combination transaction, with limited exceptions. The initial warrants are exercisable at a purchase price of $11.50 per share beginning thirty days after the first date Pensare successfully completes a business combination transaction. In April 2020, Pensare completed a business combination transaction with Stratos Management Systems, Inc. and its operating companies, which do business as Computex Technology Solutions (collectively, “Computex”), an information technology service provider, and in connection therewith, Pensare changed its name to American Virtual Cloud Technologies, Inc. (“AVCT”). In addition to other investors in a private placement conducted by AVCT contemporaneously with the completion of the business combination transaction in April 2020, MasTec invested $3.0 million in exchange for 3,000 units of AVCT securities, each of which consists of $1,000 in principal amount of AVCT Series A convertible debentures, convertible at $3.45 per share, subject to customary anti-dilution adjustments, and a warrant to purchase 100 shares of AVCT common stock at $0.01 per share (the “AVCT warrants”). The convertible debentures may be converted in whole or in part at any time from April 7, 2020 until full payment thereof, subject to mandatory conversion of the convertible debentures, pursuant to the terms thereof, and the AVCT warrants are exercisable at any time from April 7, 2020 through April 7, 2025. Due to the completion of the Computex business combination, the initial warrants will be exercisable beginning May 7, 2020, until the earlier to occur of April 7, 2025 and the liquidation of AVCT, subject to extension.</w:t>
      </w:r>
    </w:p>
    <w:p>
      <w:pPr>
        <w:spacing w:after="0" w:line="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Prior to completion of the Computex acquisition, certain holders of AVCT’s redeemable common stock elected to redeem their shares, the effect of which, after giving effect to the additional investment described above, was to increase the Company’s beneficial ownership interest in AVCT common stock to approximately 21%. The Company does not have the ability to exert significant influence over the operating and financial policies of AVCT, therefore, the shares are measured on an adjusted cost basis. The initial warrants, which are derivative financial instruments, and the shares, for which the fair value was not readily determinable as of both March 31, 2020 and December 31, 2019 due to the nature of the restrictions, are included within other long-term assets in the Company’s consolidated financial statements. The fair value of the initial warrants is determined based on observable and unobservable Level 3 inputs, including market volatility and the rights and obligations of the warrants. For both the three month periods ended March 31, 2020 and 2019, there were no material changes in the fair value of the Company’s investment in AVCT.</w:t>
      </w:r>
    </w:p>
    <w:p>
      <w:pPr>
        <w:spacing w:after="0" w:line="73"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15"/>
          <w:szCs w:val="15"/>
          <w:color w:val="auto"/>
        </w:rPr>
        <w:t>The Company has equity interests in three telecommunications entities that provide certain services to MasTec. Expense recognized in connection with these arrangements totaled $2.7 million for the three month period ended March 31, 2020, and related amounts payable were $2.1 million as of March 31, 2020.</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Summarized Financial Information of Equity Method Investments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presents summarized information for entities that comprise the Company’s significant equity method investments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020" w:type="dxa"/>
            <w:vAlign w:val="bottom"/>
            <w:gridSpan w:val="5"/>
          </w:tcPr>
          <w:p>
            <w:pPr>
              <w:jc w:val="right"/>
              <w:ind w:right="39"/>
              <w:spacing w:after="0"/>
              <w:rPr>
                <w:sz w:val="20"/>
                <w:szCs w:val="20"/>
                <w:color w:val="auto"/>
              </w:rPr>
            </w:pPr>
            <w:r>
              <w:rPr>
                <w:rFonts w:ascii="Arial" w:cs="Arial" w:eastAsia="Arial" w:hAnsi="Arial"/>
                <w:sz w:val="16"/>
                <w:szCs w:val="16"/>
                <w:b w:val="1"/>
                <w:bCs w:val="1"/>
                <w:color w:val="auto"/>
                <w:w w:val="97"/>
              </w:rPr>
              <w:t>For the Three Months Ended March 31,</w:t>
            </w:r>
          </w:p>
        </w:tc>
      </w:tr>
      <w:tr>
        <w:trPr>
          <w:trHeight w:val="33"/>
        </w:trPr>
        <w:tc>
          <w:tcPr>
            <w:tcW w:w="8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19.2</w:t>
            </w:r>
          </w:p>
        </w:tc>
      </w:tr>
    </w:tbl>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Notes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both March 31, 2020 and December 31, 2019, the gross carrying amount of the Company’s 4.875% senior notes due March 15, 2023 (the “4.875% Senior Notes”), which are measured at fair value on a non-recurring basis, totaled $400 million. As of March 31, 2020 and December 31, 2019, the estimated fair value of the 4.875% Senior Notes, based on Level 1 inputs, totaled $372.0 million and $404.5 million,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Accounts Receivable, Net of Allowance, and Contract Assets and Liabilities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following table provides details of accounts receivable, net of allowance, and contract assets (together, “accounts receivable, net”) as of the dates indicated (in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billings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860.4</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Less allowance</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33"/>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Accounts receivable, net of allowance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850.3</w:t>
            </w:r>
          </w:p>
        </w:tc>
      </w:tr>
      <w:tr>
        <w:trPr>
          <w:trHeight w:val="290"/>
        </w:trPr>
        <w:tc>
          <w:tcPr>
            <w:tcW w:w="8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Retainage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345.2</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Unbilled receivables</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709.4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679.4</w:t>
            </w:r>
          </w:p>
        </w:tc>
      </w:tr>
      <w:tr>
        <w:trPr>
          <w:trHeight w:val="33"/>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Contract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1,024.6</w:t>
            </w:r>
          </w:p>
        </w:tc>
      </w:tr>
      <w:tr>
        <w:trPr>
          <w:trHeight w:val="20"/>
        </w:trPr>
        <w:tc>
          <w:tcPr>
            <w:tcW w:w="8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3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Contract billings represent the amount of performance obligations that have been billed but not yet collected. Contract assets consist of unbilled receivables and retainage. Unbilled receivables represent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For the three month period ended March 31, 2020, provisions for credit losses totaled $1.6 million and impairment losses on contract assets were not material.</w:t>
      </w:r>
    </w:p>
    <w:p>
      <w:pPr>
        <w:sectPr>
          <w:pgSz w:w="11900" w:h="16838" w:orient="portrait"/>
          <w:cols w:equalWidth="0" w:num="1">
            <w:col w:w="11240"/>
          </w:cols>
          <w:pgMar w:left="320" w:top="616" w:right="3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616" w:right="339" w:bottom="1440" w:gutter="0" w:footer="0" w:header="0"/>
          <w:type w:val="continuous"/>
        </w:sectPr>
      </w:pPr>
    </w:p>
    <w:bookmarkStart w:id="13" w:name="page14"/>
    <w:bookmarkEnd w:id="13"/>
    <w:p>
      <w:pPr>
        <w:jc w:val="both"/>
        <w:ind w:firstLine="648"/>
        <w:spacing w:after="0" w:line="251" w:lineRule="auto"/>
        <w:rPr>
          <w:sz w:val="20"/>
          <w:szCs w:val="20"/>
          <w:color w:val="auto"/>
        </w:rPr>
      </w:pPr>
      <w:r>
        <w:rPr>
          <w:rFonts w:ascii="Arial" w:cs="Arial" w:eastAsia="Arial" w:hAnsi="Arial"/>
          <w:sz w:val="16"/>
          <w:szCs w:val="16"/>
          <w:color w:val="auto"/>
        </w:rPr>
        <w:t>Contract liabilities consist primarily of deferred revenue.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Contract liabilities also include the amount of any accrued project losses. Total contract liabilities, including accrued project losses, totaled approximately $204.3 million and $206.2 million as of March 31, 2020 and December 31, 2019, respectively, of which deferred revenue comprised approximately $181.4 million and $184.1 million, respectively. For the three month period ended March 31, 2020, the Company recognized revenue of approximately $105.6 million related to amounts that were included in deferred revenue as of December 31, 2019, resulting primarily from the advancement of physical progress on the related projects during the period.</w:t>
      </w:r>
    </w:p>
    <w:p>
      <w:pPr>
        <w:spacing w:after="0" w:line="8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The Company is party to non-recourse financing arrangements in the ordinary course of business, under which certain receivables are settled with the customer’s bank in return for a nominal fee. Discount charges related to these arrangements, which are included within interest expense, net, totaled approximately $1.8 million and $2.9 million for the three month periods ended March 31, 2020 and 2019,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Property and Equipment,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property and equipment, net, including property and equipment held under finance leases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35.8</w:t>
            </w:r>
          </w:p>
        </w:tc>
      </w:tr>
      <w:tr>
        <w:trPr>
          <w:trHeight w:val="33"/>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1,659.4</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Office furniture and equipment</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197.3</w:t>
            </w:r>
          </w:p>
        </w:tc>
      </w:tr>
      <w:tr>
        <w:trPr>
          <w:trHeight w:val="33"/>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r>
      <w:tr>
        <w:trPr>
          <w:trHeight w:val="217"/>
        </w:trPr>
        <w:tc>
          <w:tcPr>
            <w:tcW w:w="822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1,981.6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1,923.5</w:t>
            </w:r>
          </w:p>
        </w:tc>
      </w:tr>
      <w:tr>
        <w:trPr>
          <w:trHeight w:val="33"/>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(1,017.7)</w:t>
            </w:r>
          </w:p>
        </w:tc>
      </w:tr>
      <w:tr>
        <w:trPr>
          <w:trHeight w:val="217"/>
        </w:trPr>
        <w:tc>
          <w:tcPr>
            <w:tcW w:w="822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937.3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905.8</w:t>
            </w:r>
          </w:p>
        </w:tc>
      </w:tr>
      <w:tr>
        <w:trPr>
          <w:trHeight w:val="33"/>
        </w:trPr>
        <w:tc>
          <w:tcPr>
            <w:tcW w:w="8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36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gross amount of capitalized internal-use software, which is included within office furniture and equipment, totaled $144.8 million and $138.2 million as of March 31, 2020 and December 31, 2019, respectively. Capitalized internal-use software, net of accumulated amortization, totaled $34.8 million and $31.5 million as of March 31, 2020 and December 31, 2019, respectively. Depreciation expense associated with property and equipment, which includes amortization of capitalized internal-use software, totaled $53.1 million and $54.2 million, respectively, for the three month periods ended March 31, 2020 and 2019. Accrued capital expenditures totaled $10.7 million and $5.2 million as of March 31, 2020 and December 31, 2019, respectively. The effects of accrued capital expenditures are excluded from the Company’s consolidated statements of cash flows given their non-cash nature.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the carrying values of debt as of the dates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576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2720" w:type="dxa"/>
            <w:vAlign w:val="bottom"/>
            <w:gridSpan w:val="3"/>
          </w:tcPr>
          <w:p>
            <w:pPr>
              <w:ind w:left="20"/>
              <w:spacing w:after="0"/>
              <w:rPr>
                <w:sz w:val="20"/>
                <w:szCs w:val="20"/>
                <w:color w:val="auto"/>
              </w:rPr>
            </w:pPr>
            <w:r>
              <w:rPr>
                <w:rFonts w:ascii="Arial" w:cs="Arial" w:eastAsia="Arial" w:hAnsi="Arial"/>
                <w:sz w:val="16"/>
                <w:szCs w:val="16"/>
                <w:b w:val="1"/>
                <w:bCs w:val="1"/>
                <w:color w:val="auto"/>
              </w:rPr>
              <w:t>Maturity Date</w:t>
            </w: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5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2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September 19, 2024</w:t>
            </w: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760" w:type="dxa"/>
            <w:vAlign w:val="bottom"/>
            <w:gridSpan w:val="2"/>
          </w:tcPr>
          <w:p>
            <w:pPr>
              <w:ind w:left="180"/>
              <w:spacing w:after="0"/>
              <w:rPr>
                <w:sz w:val="20"/>
                <w:szCs w:val="20"/>
                <w:color w:val="auto"/>
              </w:rPr>
            </w:pPr>
            <w:r>
              <w:rPr>
                <w:rFonts w:ascii="Arial" w:cs="Arial" w:eastAsia="Arial" w:hAnsi="Arial"/>
                <w:sz w:val="16"/>
                <w:szCs w:val="16"/>
                <w:color w:val="auto"/>
              </w:rPr>
              <w:t>Revolving loans</w:t>
            </w:r>
          </w:p>
        </w:tc>
        <w:tc>
          <w:tcPr>
            <w:tcW w:w="272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332.7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339.2</w:t>
            </w:r>
          </w:p>
        </w:tc>
      </w:tr>
      <w:tr>
        <w:trPr>
          <w:trHeight w:val="33"/>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Term loan</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r>
      <w:tr>
        <w:trPr>
          <w:trHeight w:val="237"/>
        </w:trPr>
        <w:tc>
          <w:tcPr>
            <w:tcW w:w="5760" w:type="dxa"/>
            <w:vAlign w:val="bottom"/>
            <w:gridSpan w:val="2"/>
          </w:tcPr>
          <w:p>
            <w:pPr>
              <w:ind w:left="40"/>
              <w:spacing w:after="0"/>
              <w:rPr>
                <w:sz w:val="20"/>
                <w:szCs w:val="20"/>
                <w:color w:val="auto"/>
              </w:rPr>
            </w:pPr>
            <w:r>
              <w:rPr>
                <w:rFonts w:ascii="Arial" w:cs="Arial" w:eastAsia="Arial" w:hAnsi="Arial"/>
                <w:sz w:val="16"/>
                <w:szCs w:val="16"/>
                <w:color w:val="auto"/>
              </w:rPr>
              <w:t>4.875% Senior Notes</w:t>
            </w:r>
          </w:p>
        </w:tc>
        <w:tc>
          <w:tcPr>
            <w:tcW w:w="2720" w:type="dxa"/>
            <w:vAlign w:val="bottom"/>
            <w:gridSpan w:val="3"/>
          </w:tcPr>
          <w:p>
            <w:pPr>
              <w:ind w:left="20"/>
              <w:spacing w:after="0"/>
              <w:rPr>
                <w:sz w:val="20"/>
                <w:szCs w:val="20"/>
                <w:color w:val="auto"/>
              </w:rPr>
            </w:pPr>
            <w:r>
              <w:rPr>
                <w:rFonts w:ascii="Arial" w:cs="Arial" w:eastAsia="Arial" w:hAnsi="Arial"/>
                <w:sz w:val="16"/>
                <w:szCs w:val="16"/>
                <w:color w:val="auto"/>
              </w:rPr>
              <w:t>March 15, 2023</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Finance lease and other obligations</w:t>
            </w:r>
          </w:p>
        </w:tc>
        <w:tc>
          <w:tcPr>
            <w:tcW w:w="2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305.6</w:t>
            </w:r>
          </w:p>
        </w:tc>
      </w:tr>
      <w:tr>
        <w:trPr>
          <w:trHeight w:val="217"/>
        </w:trPr>
        <w:tc>
          <w:tcPr>
            <w:tcW w:w="5760" w:type="dxa"/>
            <w:vAlign w:val="bottom"/>
            <w:gridSpan w:val="2"/>
          </w:tcPr>
          <w:p>
            <w:pPr>
              <w:ind w:left="180"/>
              <w:spacing w:after="0"/>
              <w:rPr>
                <w:sz w:val="20"/>
                <w:szCs w:val="20"/>
                <w:color w:val="auto"/>
              </w:rPr>
            </w:pPr>
            <w:r>
              <w:rPr>
                <w:rFonts w:ascii="Arial" w:cs="Arial" w:eastAsia="Arial" w:hAnsi="Arial"/>
                <w:sz w:val="16"/>
                <w:szCs w:val="16"/>
                <w:color w:val="auto"/>
              </w:rPr>
              <w:t>Total debt obligations</w:t>
            </w:r>
          </w:p>
        </w:tc>
        <w:tc>
          <w:tcPr>
            <w:tcW w:w="2480" w:type="dxa"/>
            <w:vAlign w:val="bottom"/>
            <w:gridSpan w:val="2"/>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1,430.9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1,444.8</w:t>
            </w:r>
          </w:p>
        </w:tc>
      </w:tr>
      <w:tr>
        <w:trPr>
          <w:trHeight w:val="33"/>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Less unamortized deferred financing costs</w:t>
            </w:r>
          </w:p>
        </w:tc>
        <w:tc>
          <w:tcPr>
            <w:tcW w:w="2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7"/>
        </w:trPr>
        <w:tc>
          <w:tcPr>
            <w:tcW w:w="5760" w:type="dxa"/>
            <w:vAlign w:val="bottom"/>
            <w:gridSpan w:val="2"/>
          </w:tcPr>
          <w:p>
            <w:pPr>
              <w:ind w:left="180"/>
              <w:spacing w:after="0"/>
              <w:rPr>
                <w:sz w:val="20"/>
                <w:szCs w:val="20"/>
                <w:color w:val="auto"/>
              </w:rPr>
            </w:pPr>
            <w:r>
              <w:rPr>
                <w:rFonts w:ascii="Arial" w:cs="Arial" w:eastAsia="Arial" w:hAnsi="Arial"/>
                <w:sz w:val="16"/>
                <w:szCs w:val="16"/>
                <w:color w:val="auto"/>
              </w:rPr>
              <w:t>Total debt, net of deferred financing costs</w:t>
            </w:r>
          </w:p>
        </w:tc>
        <w:tc>
          <w:tcPr>
            <w:tcW w:w="2480" w:type="dxa"/>
            <w:vAlign w:val="bottom"/>
            <w:gridSpan w:val="2"/>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1,419.1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1,432.4</w:t>
            </w:r>
          </w:p>
        </w:tc>
      </w:tr>
      <w:tr>
        <w:trPr>
          <w:trHeight w:val="33"/>
        </w:trPr>
        <w:tc>
          <w:tcPr>
            <w:tcW w:w="5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5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Current portion of long-term debt</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118.4</w:t>
            </w:r>
          </w:p>
        </w:tc>
      </w:tr>
      <w:tr>
        <w:trPr>
          <w:trHeight w:val="217"/>
        </w:trPr>
        <w:tc>
          <w:tcPr>
            <w:tcW w:w="5760" w:type="dxa"/>
            <w:vAlign w:val="bottom"/>
            <w:gridSpan w:val="2"/>
          </w:tcPr>
          <w:p>
            <w:pPr>
              <w:ind w:left="280"/>
              <w:spacing w:after="0"/>
              <w:rPr>
                <w:sz w:val="20"/>
                <w:szCs w:val="20"/>
                <w:color w:val="auto"/>
              </w:rPr>
            </w:pPr>
            <w:r>
              <w:rPr>
                <w:rFonts w:ascii="Arial" w:cs="Arial" w:eastAsia="Arial" w:hAnsi="Arial"/>
                <w:sz w:val="16"/>
                <w:szCs w:val="16"/>
                <w:color w:val="auto"/>
              </w:rPr>
              <w:t>Long-term debt</w:t>
            </w:r>
          </w:p>
        </w:tc>
        <w:tc>
          <w:tcPr>
            <w:tcW w:w="2480" w:type="dxa"/>
            <w:vAlign w:val="bottom"/>
            <w:gridSpan w:val="2"/>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1,297.3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1,314.0</w:t>
            </w:r>
          </w:p>
        </w:tc>
      </w:tr>
      <w:tr>
        <w:trPr>
          <w:trHeight w:val="33"/>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Company’s senior secured credit facility (the “Credit Facility”) has aggregate borrowing commitments totaling approximately $1.75 billion as of March 31, 2020, composed of $1.35 billion of revolving commitments and a term loan of approximately $400 million. The term loan is subject to amortization in quarterly principal installments of $2.5 million commencing in December 2020, which amount will increase to $5.0 million commencing in December 2021. Quarterly principal installments on the term loan are subject to adjustment, if applicable, for certain prepayments.</w:t>
      </w:r>
    </w:p>
    <w:p>
      <w:pPr>
        <w:spacing w:after="0" w:line="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March 31, 2020 and December 31, 2019, outstanding revolving loans, which included $125 million and $138 million, respectively, of borrowings denominated in foreign currencies, accrued interest at weighted average rates of approximately 2.47% and 3.50% per annum, respectively. The term loan accrued interest at rates of 2.24% and 3.05% as of March 31, 2020 and December 31, 2019, respectively. Letters of credit of approximately</w:t>
      </w:r>
    </w:p>
    <w:p>
      <w:pPr>
        <w:sectPr>
          <w:pgSz w:w="11900" w:h="16838" w:orient="portrait"/>
          <w:cols w:equalWidth="0" w:num="1">
            <w:col w:w="11240"/>
          </w:cols>
          <w:pgMar w:left="320" w:top="616"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616" w:right="339" w:bottom="1440" w:gutter="0" w:footer="0" w:header="0"/>
          <w:type w:val="continuous"/>
        </w:sectPr>
      </w:pPr>
    </w:p>
    <w:bookmarkStart w:id="14" w:name="page15"/>
    <w:bookmarkEnd w:id="14"/>
    <w:p>
      <w:pPr>
        <w:jc w:val="both"/>
        <w:spacing w:after="0" w:line="272" w:lineRule="auto"/>
        <w:rPr>
          <w:sz w:val="20"/>
          <w:szCs w:val="20"/>
          <w:color w:val="auto"/>
        </w:rPr>
      </w:pPr>
      <w:r>
        <w:rPr>
          <w:rFonts w:ascii="Arial" w:cs="Arial" w:eastAsia="Arial" w:hAnsi="Arial"/>
          <w:sz w:val="15"/>
          <w:szCs w:val="15"/>
          <w:color w:val="auto"/>
        </w:rPr>
        <w:t>$143.1 million and $98.0 million were issued as of March 31, 2020 and December 31, 2019, respectively. As of both March 31, 2020 and December 31, 2019, letter of credit fees accrued at 0.375% per annum for performance standby letters of credit and at 1.25% per annum for financial standby letters of credit. Outstanding letters of credit mature at various dates and most have automatic renewal provisions, subject to prior notice of cancellation. As of March 31, 2020 and December 31, 2019, availability for revolving loans totaled $874.2 million and $912.8 million, respectively, or up to $506.9 million and $552.0 million, respectively, for new letters of credit. Revolving loan borrowing capacity included $175.2 million and $162.4 million of availability in either Canadian dollars or Mexican pesos as of March 31, 2020 and December 31, 2019, respectively. The unused facility fee as of both March 31, 2020 and December 31, 2019 accrued at a rate of 0.20%.</w:t>
      </w:r>
    </w:p>
    <w:p>
      <w:pPr>
        <w:spacing w:after="0" w:line="6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Credit Facility is guaranteed by certain subsidiaries of the Company (the “Guarantor Subsidiaries”) and the obligations under the Credit Facility are secured by substantially all of the Company’s and the Guarantor Subsidiaries’ respective assets, subject to certain exceptions.</w:t>
      </w:r>
    </w:p>
    <w:p>
      <w:pPr>
        <w:spacing w:after="0" w:line="1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Other Credit Facilities</w:t>
      </w:r>
      <w:r>
        <w:rPr>
          <w:rFonts w:ascii="Arial" w:cs="Arial" w:eastAsia="Arial" w:hAnsi="Arial"/>
          <w:sz w:val="16"/>
          <w:szCs w:val="16"/>
          <w:color w:val="auto"/>
        </w:rPr>
        <w:t>. The Company has other credit facilities that support the working capital requirements of its foreign operations and certain letter of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issuances. As of both March 31, 2020 and December 31, 2019, there were no borrowings under the Company’s other credit facilities. Additionally, the Company has a credit facility under which it may issue up to $50.0 million of performance standby letters of credit. As of March 31, 2020 and December 31, 2019, letters of credit issued under this facility totaled $18.1 million and $17.1 million, respectively, and accrued fees at 0.50% and 0.40% per annum, respectively. The Company’s other credit facilities are subject to customary provisions and covenants.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Guarantees and Covenants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4.875% Senior Notes are senior unsecured unsubordinated obligations and rank equal in right of payment with existing and future unsubordinated debt, and rank senior in right of payment to existing and future subordinated debt and are fully and unconditionally guaranteed on an unsecured, unsubordinated, joint and several basis by certain of the Company’s existing and future 100%-owned direct and indirect domestic subsidiaries that are each guarantors of the Credit Facility or other outstanding indebtedness. See Note 16 - Supplemental Guarantor Condensed Consolidating Financial Information. MasTec was in compliance with the provisions and covenants of its outstanding debt instruments as of March 31, 2020 and December 31, 2019.</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March 31, 2020 and December 31, 2019, accrued interest payable, which is recorded within other accrued expenses in the consolidated balance sheets, totaled $2.8 million and $7.5 million, respectively. For additional information pertaining to the Company’s debt instruments, including its 4.875% Senior Notes, see Note 7 - Debt in the Company’s 2019 Form 10-K.</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Lease Obligations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In the ordinary course of business, the Company enters into agreements that provide financing for machinery and equipment and for other of its facility, vehicle and equipment needs, including related party leases. As of March 31, 2020, the Company’s leases have remaining lease terms of up to nine years. Lease agreements may contain renewal clauses, which, if elected, generally extend the term of the lease for one to five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Finance Leases</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The gross amount of assets held under finance leases as of March 31, 2020 and December 31, 2019 totaled $484.2 million and $463.5 million, respectively. Assets held under finance leases, net of accumulated depreciation, totaled $384.4 million and $375.9 million as of March 31, 2020 and December 31, 2019, respectively. Depreciation expense associated with finance leases totaled $15.8 million and $10.0 million for the three month periods ended March 31, 2020 and 2019, respectively.</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 xml:space="preserve">Operating lease additions for the three month period ended March 31, 2020 totaled $5.8 million and totaled $12.0 million for the three month period ended March 31, 2019, excluding the effect of adoption of 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of approximately $230.0 million. For the three month periods ended March 31, 2020 and 2019, rent expense for leases that have terms in excess of one year totaled approximately $35.3 million and $27.9 million, respectively, of which $2.9 million and $2.3 million, respectively, represented variable lease costs. The Company also incurred rent expense for leases with terms of one year or less totaling approximately $77.5 million and $92.8 million for the three month periods ended March 31, 2020 and 2019, respectively. Rent expense for operating leases is generally consistent with the amount of the related payments, and is included within operating activities in the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616" w:right="339" w:bottom="1440" w:gutter="0" w:footer="0" w:header="0"/>
        </w:sectPr>
      </w:pPr>
    </w:p>
    <w:bookmarkStart w:id="15" w:name="page16"/>
    <w:bookmarkEnd w:id="15"/>
    <w:p>
      <w:pPr>
        <w:ind w:left="340"/>
        <w:spacing w:after="0"/>
        <w:rPr>
          <w:sz w:val="20"/>
          <w:szCs w:val="20"/>
          <w:color w:val="auto"/>
        </w:rPr>
      </w:pPr>
      <w:r>
        <w:rPr>
          <w:rFonts w:ascii="Arial" w:cs="Arial" w:eastAsia="Arial" w:hAnsi="Arial"/>
          <w:sz w:val="16"/>
          <w:szCs w:val="16"/>
          <w:b w:val="1"/>
          <w:bCs w:val="1"/>
          <w:i w:val="1"/>
          <w:iCs w:val="1"/>
          <w:color w:val="auto"/>
        </w:rPr>
        <w:t>Additional Lease Information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20" w:type="dxa"/>
            <w:vAlign w:val="bottom"/>
          </w:tcPr>
          <w:p>
            <w:pPr>
              <w:ind w:left="660"/>
              <w:spacing w:after="0"/>
              <w:rPr>
                <w:sz w:val="20"/>
                <w:szCs w:val="20"/>
                <w:color w:val="auto"/>
              </w:rPr>
            </w:pPr>
            <w:r>
              <w:rPr>
                <w:rFonts w:ascii="Arial" w:cs="Arial" w:eastAsia="Arial" w:hAnsi="Arial"/>
                <w:sz w:val="16"/>
                <w:szCs w:val="16"/>
                <w:color w:val="auto"/>
              </w:rPr>
              <w:t>Future minimum lease commitments as of March 31, 2020 were as follows (in millions):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397"/>
        </w:trPr>
        <w:tc>
          <w:tcPr>
            <w:tcW w:w="8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Finance</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0"/>
        </w:trPr>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Leases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w w:val="90"/>
              </w:rPr>
              <w:t>Operating Leases</w:t>
            </w:r>
          </w:p>
        </w:tc>
      </w:tr>
      <w:tr>
        <w:trPr>
          <w:trHeight w:val="33"/>
        </w:trPr>
        <w:tc>
          <w:tcPr>
            <w:tcW w:w="8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 remaining nine months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2021</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68.2</w:t>
            </w: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2023</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21.2</w:t>
            </w: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30.6</w:t>
            </w:r>
          </w:p>
        </w:tc>
      </w:tr>
      <w:tr>
        <w:trPr>
          <w:trHeight w:val="33"/>
        </w:trPr>
        <w:tc>
          <w:tcPr>
            <w:tcW w:w="8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minimum lease payments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243.9</w:t>
            </w:r>
          </w:p>
        </w:tc>
      </w:tr>
      <w:tr>
        <w:trPr>
          <w:trHeight w:val="217"/>
        </w:trPr>
        <w:tc>
          <w:tcPr>
            <w:tcW w:w="8220" w:type="dxa"/>
            <w:vAlign w:val="bottom"/>
          </w:tcPr>
          <w:p>
            <w:pPr>
              <w:ind w:left="500"/>
              <w:spacing w:after="0"/>
              <w:rPr>
                <w:sz w:val="20"/>
                <w:szCs w:val="20"/>
                <w:color w:val="auto"/>
              </w:rPr>
            </w:pPr>
            <w:r>
              <w:rPr>
                <w:rFonts w:ascii="Arial" w:cs="Arial" w:eastAsia="Arial" w:hAnsi="Arial"/>
                <w:sz w:val="16"/>
                <w:szCs w:val="16"/>
                <w:color w:val="auto"/>
              </w:rPr>
              <w:t>Less amounts representing interest</w:t>
            </w: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w:t>
            </w:r>
          </w:p>
        </w:tc>
      </w:tr>
      <w:tr>
        <w:trPr>
          <w:trHeight w:val="33"/>
        </w:trPr>
        <w:tc>
          <w:tcPr>
            <w:tcW w:w="8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lease obligations, net of interest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223.5</w:t>
            </w:r>
          </w:p>
        </w:tc>
      </w:tr>
      <w:tr>
        <w:trPr>
          <w:trHeight w:val="237"/>
        </w:trPr>
        <w:tc>
          <w:tcPr>
            <w:tcW w:w="8220" w:type="dxa"/>
            <w:vAlign w:val="bottom"/>
          </w:tcPr>
          <w:p>
            <w:pPr>
              <w:ind w:left="500"/>
              <w:spacing w:after="0"/>
              <w:rPr>
                <w:sz w:val="20"/>
                <w:szCs w:val="20"/>
                <w:color w:val="auto"/>
              </w:rPr>
            </w:pPr>
            <w:r>
              <w:rPr>
                <w:rFonts w:ascii="Arial" w:cs="Arial" w:eastAsia="Arial" w:hAnsi="Arial"/>
                <w:sz w:val="16"/>
                <w:szCs w:val="16"/>
                <w:color w:val="auto"/>
              </w:rPr>
              <w:t>Less current portion</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80.1</w:t>
            </w:r>
          </w:p>
        </w:tc>
      </w:tr>
      <w:tr>
        <w:trPr>
          <w:trHeight w:val="33"/>
        </w:trPr>
        <w:tc>
          <w:tcPr>
            <w:tcW w:w="8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portion of lease obligations, net of interest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143.4</w:t>
            </w:r>
          </w:p>
        </w:tc>
      </w:tr>
      <w:tr>
        <w:trPr>
          <w:trHeight w:val="20"/>
        </w:trPr>
        <w:tc>
          <w:tcPr>
            <w:tcW w:w="8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3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of March 31, 2020, finance leases had a weighted average remaining lease term of 2.7 years and a weighted average discount rate of 4.1%. Non-cancelable operating leases had a weighted average remaining lease term of 4.2 years and a weighted average discount rate of 4.1% as of March 31, 2020.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 and Other Employee Benefit Plans</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The Company has stock-based compensation plans, under which shares of the Company’s common stock are reserved for issuance. Under all stock-based compensation plans in effect as of March 31, 2020, there were approximately 3,154,000 shares available for future grant. Non-cash stock-based compensation expense under all plans totaled $4.0 million and $3.7 million for the three month periods ended March 31, 2020 and 2019, respectively. Income tax benefits associated with stock-based compensation arrangements totaled $0.9 million and $3.2 million for the three month periods ended March 31, 2020 and 2019, respectively, including net tax deficiencies related to the vesting of share-based payment awards totaling $0.1 million and net tax benefits totaling $2.3 million, respectively.</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Shares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March 31, 2020, total unearned compensation related to restricted shares was approximately $41.1 million, which is expected to be recognized over a weighted average period of approximately 2.4 years. The fair value of restricted shares that vested, which is based on the market price on the date of vesting, totaled $5.6 million and $13.6 million for the three month periods ended March 31, 2020 and 2019, respectively.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Per Share Weighted</w:t>
            </w:r>
          </w:p>
        </w:tc>
      </w:tr>
      <w:tr>
        <w:trPr>
          <w:trHeight w:val="203"/>
        </w:trPr>
        <w:tc>
          <w:tcPr>
            <w:tcW w:w="8220" w:type="dxa"/>
            <w:vAlign w:val="bottom"/>
          </w:tcPr>
          <w:p>
            <w:pPr>
              <w:spacing w:after="0"/>
              <w:rPr>
                <w:sz w:val="17"/>
                <w:szCs w:val="17"/>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Restricted</w:t>
            </w:r>
          </w:p>
        </w:tc>
        <w:tc>
          <w:tcPr>
            <w:tcW w:w="140" w:type="dxa"/>
            <w:vAlign w:val="bottom"/>
          </w:tcPr>
          <w:p>
            <w:pPr>
              <w:spacing w:after="0"/>
              <w:rPr>
                <w:sz w:val="17"/>
                <w:szCs w:val="17"/>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w w:val="97"/>
              </w:rPr>
              <w:t>Average Grant</w:t>
            </w:r>
          </w:p>
        </w:tc>
      </w:tr>
      <w:tr>
        <w:trPr>
          <w:trHeight w:val="243"/>
        </w:trPr>
        <w:tc>
          <w:tcPr>
            <w:tcW w:w="8220" w:type="dxa"/>
            <w:vAlign w:val="bottom"/>
          </w:tcPr>
          <w:p>
            <w:pPr>
              <w:ind w:left="40"/>
              <w:spacing w:after="0"/>
              <w:rPr>
                <w:sz w:val="20"/>
                <w:szCs w:val="20"/>
                <w:color w:val="auto"/>
              </w:rPr>
            </w:pPr>
            <w:r>
              <w:rPr>
                <w:rFonts w:ascii="Arial" w:cs="Arial" w:eastAsia="Arial" w:hAnsi="Arial"/>
                <w:sz w:val="16"/>
                <w:szCs w:val="16"/>
                <w:b w:val="1"/>
                <w:bCs w:val="1"/>
                <w:color w:val="auto"/>
              </w:rPr>
              <w:t xml:space="preserve">Activity, restricted shares: </w:t>
            </w:r>
            <w:r>
              <w:rPr>
                <w:rFonts w:ascii="Arial" w:cs="Arial" w:eastAsia="Arial" w:hAnsi="Arial"/>
                <w:sz w:val="21"/>
                <w:szCs w:val="21"/>
                <w:b w:val="1"/>
                <w:bCs w:val="1"/>
                <w:color w:val="auto"/>
                <w:vertAlign w:val="superscript"/>
              </w:rPr>
              <w:t>(a)</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40" w:type="dxa"/>
            <w:vAlign w:val="bottom"/>
          </w:tcPr>
          <w:p>
            <w:pPr>
              <w:spacing w:after="0"/>
              <w:rPr>
                <w:sz w:val="21"/>
                <w:szCs w:val="21"/>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Date Fair Value</w:t>
            </w: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December 31, 2019</w:t>
            </w:r>
          </w:p>
        </w:tc>
        <w:tc>
          <w:tcPr>
            <w:tcW w:w="14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1,221,593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45.36</w:t>
            </w:r>
          </w:p>
        </w:tc>
      </w:tr>
      <w:tr>
        <w:trPr>
          <w:trHeight w:val="217"/>
        </w:trPr>
        <w:tc>
          <w:tcPr>
            <w:tcW w:w="8220" w:type="dxa"/>
            <w:vAlign w:val="bottom"/>
          </w:tcPr>
          <w:p>
            <w:pPr>
              <w:ind w:left="280"/>
              <w:spacing w:after="0"/>
              <w:rPr>
                <w:sz w:val="20"/>
                <w:szCs w:val="20"/>
                <w:color w:val="auto"/>
              </w:rPr>
            </w:pPr>
            <w:r>
              <w:rPr>
                <w:rFonts w:ascii="Arial" w:cs="Arial" w:eastAsia="Arial" w:hAnsi="Arial"/>
                <w:sz w:val="16"/>
                <w:szCs w:val="16"/>
                <w:color w:val="auto"/>
              </w:rPr>
              <w:t>Granted</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927,579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27.04</w:t>
            </w:r>
          </w:p>
        </w:tc>
      </w:tr>
      <w:tr>
        <w:trPr>
          <w:trHeight w:val="33"/>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(156,502)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39.02</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Canceled/forfeited</w:t>
            </w:r>
          </w:p>
        </w:tc>
        <w:tc>
          <w:tcPr>
            <w:tcW w:w="1460" w:type="dxa"/>
            <w:vAlign w:val="bottom"/>
          </w:tcPr>
          <w:p>
            <w:pPr>
              <w:jc w:val="right"/>
              <w:spacing w:after="0"/>
              <w:rPr>
                <w:sz w:val="20"/>
                <w:szCs w:val="20"/>
                <w:color w:val="auto"/>
              </w:rPr>
            </w:pPr>
            <w:r>
              <w:rPr>
                <w:rFonts w:ascii="Arial" w:cs="Arial" w:eastAsia="Arial" w:hAnsi="Arial"/>
                <w:sz w:val="16"/>
                <w:szCs w:val="16"/>
                <w:color w:val="auto"/>
              </w:rPr>
              <w:t>(230,500)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60.04</w:t>
            </w:r>
          </w:p>
        </w:tc>
      </w:tr>
      <w:tr>
        <w:trPr>
          <w:trHeight w:val="33"/>
        </w:trPr>
        <w:tc>
          <w:tcPr>
            <w:tcW w:w="8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March 31, 2020</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1,762,170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34.36</w:t>
            </w:r>
          </w:p>
        </w:tc>
      </w:tr>
      <w:tr>
        <w:trPr>
          <w:trHeight w:val="20"/>
        </w:trPr>
        <w:tc>
          <w:tcPr>
            <w:tcW w:w="8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2,300 restricted stock units as of March 31, 2020.</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616" w:right="339" w:bottom="1440" w:gutter="0" w:footer="0" w:header="0"/>
        </w:sectPr>
      </w:pPr>
    </w:p>
    <w:bookmarkStart w:id="16" w:name="page17"/>
    <w:bookmarkEnd w:id="16"/>
    <w:p>
      <w:pPr>
        <w:ind w:left="340"/>
        <w:spacing w:after="0"/>
        <w:rPr>
          <w:sz w:val="20"/>
          <w:szCs w:val="20"/>
          <w:color w:val="auto"/>
        </w:rPr>
      </w:pPr>
      <w:r>
        <w:rPr>
          <w:rFonts w:ascii="Arial" w:cs="Arial" w:eastAsia="Arial" w:hAnsi="Arial"/>
          <w:sz w:val="16"/>
          <w:szCs w:val="16"/>
          <w:b w:val="1"/>
          <w:bCs w:val="1"/>
          <w:i w:val="1"/>
          <w:iCs w:val="1"/>
          <w:color w:val="auto"/>
        </w:rPr>
        <w:t>Employee Stock Purchase Plans</w:t>
      </w:r>
    </w:p>
    <w:p>
      <w:pPr>
        <w:spacing w:after="0" w:line="1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certain employee stock purchase plans (collectively, “ESPPs”), under which shares of the Company’s common stock are available for purchase by eligible employees. The following table provides details pertaining to the Company’s ESPPs for the periods indicated: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020" w:type="dxa"/>
            <w:vAlign w:val="bottom"/>
            <w:gridSpan w:val="5"/>
          </w:tcPr>
          <w:p>
            <w:pPr>
              <w:jc w:val="right"/>
              <w:ind w:right="39"/>
              <w:spacing w:after="0"/>
              <w:rPr>
                <w:sz w:val="20"/>
                <w:szCs w:val="20"/>
                <w:color w:val="auto"/>
              </w:rPr>
            </w:pPr>
            <w:r>
              <w:rPr>
                <w:rFonts w:ascii="Arial" w:cs="Arial" w:eastAsia="Arial" w:hAnsi="Arial"/>
                <w:sz w:val="16"/>
                <w:szCs w:val="16"/>
                <w:b w:val="1"/>
                <w:bCs w:val="1"/>
                <w:color w:val="auto"/>
                <w:w w:val="97"/>
              </w:rPr>
              <w:t>For the Three Months Ended March 31,</w:t>
            </w:r>
          </w:p>
        </w:tc>
      </w:tr>
      <w:tr>
        <w:trPr>
          <w:trHeight w:val="33"/>
        </w:trPr>
        <w:tc>
          <w:tcPr>
            <w:tcW w:w="8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Cash proceeds </w:t>
            </w:r>
            <w:r>
              <w:rPr>
                <w:rFonts w:ascii="Arial" w:cs="Arial" w:eastAsia="Arial" w:hAnsi="Arial"/>
                <w:sz w:val="15"/>
                <w:szCs w:val="15"/>
                <w:color w:val="auto"/>
              </w:rPr>
              <w:t>(in millions)</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Common shares issued</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53,399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35,732</w:t>
            </w:r>
          </w:p>
        </w:tc>
      </w:tr>
      <w:tr>
        <w:trPr>
          <w:trHeight w:val="3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price per share</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34.48</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Weighted average per share grant date fair value</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8.76</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Other Retirement Plans</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Multiemployer Plans. </w:t>
      </w:r>
      <w:r>
        <w:rPr>
          <w:rFonts w:ascii="Arial" w:cs="Arial" w:eastAsia="Arial" w:hAnsi="Arial"/>
          <w:sz w:val="16"/>
          <w:szCs w:val="16"/>
          <w:color w:val="auto"/>
        </w:rPr>
        <w:t>Certain of MasTec’s subsidiaries, including certain subsidiaries in Canada, contribute amounts to multiemployer pension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multiemployer benefit plans and trusts (“MEPPs”), which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assessed on a “pay-as-you-go” basis based on union employee payrolls. Union 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for the periods indicated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6"/>
          </w:tcPr>
          <w:p>
            <w:pPr>
              <w:spacing w:after="0"/>
              <w:rPr>
                <w:sz w:val="20"/>
                <w:szCs w:val="20"/>
                <w:color w:val="auto"/>
              </w:rPr>
            </w:pPr>
            <w:r>
              <w:rPr>
                <w:rFonts w:ascii="Arial" w:cs="Arial" w:eastAsia="Arial" w:hAnsi="Arial"/>
                <w:sz w:val="16"/>
                <w:szCs w:val="16"/>
                <w:b w:val="1"/>
                <w:bCs w:val="1"/>
                <w:color w:val="auto"/>
              </w:rPr>
              <w:t>Multiemployer Plans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60" w:type="dxa"/>
            <w:vAlign w:val="bottom"/>
          </w:tcPr>
          <w:p>
            <w:pPr>
              <w:spacing w:after="0"/>
              <w:rPr>
                <w:sz w:val="20"/>
                <w:szCs w:val="20"/>
                <w:color w:val="auto"/>
              </w:rPr>
            </w:pPr>
          </w:p>
        </w:tc>
        <w:tc>
          <w:tcPr>
            <w:tcW w:w="2280" w:type="dxa"/>
            <w:vAlign w:val="bottom"/>
            <w:gridSpan w:val="4"/>
          </w:tcPr>
          <w:p>
            <w:pPr>
              <w:ind w:left="420"/>
              <w:spacing w:after="0"/>
              <w:rPr>
                <w:sz w:val="20"/>
                <w:szCs w:val="20"/>
                <w:color w:val="auto"/>
              </w:rPr>
            </w:pPr>
            <w:r>
              <w:rPr>
                <w:rFonts w:ascii="Arial" w:cs="Arial" w:eastAsia="Arial" w:hAnsi="Arial"/>
                <w:sz w:val="16"/>
                <w:szCs w:val="16"/>
                <w:b w:val="1"/>
                <w:bCs w:val="1"/>
                <w:color w:val="auto"/>
              </w:rPr>
              <w:t>Covered Employees</w:t>
            </w:r>
          </w:p>
        </w:tc>
        <w:tc>
          <w:tcPr>
            <w:tcW w:w="140" w:type="dxa"/>
            <w:vAlign w:val="bottom"/>
          </w:tcPr>
          <w:p>
            <w:pPr>
              <w:spacing w:after="0"/>
              <w:rPr>
                <w:sz w:val="20"/>
                <w:szCs w:val="20"/>
                <w:color w:val="auto"/>
              </w:rPr>
            </w:pPr>
          </w:p>
        </w:tc>
        <w:tc>
          <w:tcPr>
            <w:tcW w:w="2780" w:type="dxa"/>
            <w:vAlign w:val="bottom"/>
            <w:gridSpan w:val="6"/>
          </w:tcPr>
          <w:p>
            <w:pPr>
              <w:ind w:left="980"/>
              <w:spacing w:after="0"/>
              <w:rPr>
                <w:sz w:val="20"/>
                <w:szCs w:val="20"/>
                <w:color w:val="auto"/>
              </w:rPr>
            </w:pPr>
            <w:r>
              <w:rPr>
                <w:rFonts w:ascii="Arial" w:cs="Arial" w:eastAsia="Arial" w:hAnsi="Arial"/>
                <w:sz w:val="16"/>
                <w:szCs w:val="16"/>
                <w:b w:val="1"/>
                <w:bCs w:val="1"/>
                <w:color w:val="auto"/>
                <w:w w:val="91"/>
              </w:rPr>
              <w:t xml:space="preserve">Contributions </w:t>
            </w:r>
            <w:r>
              <w:rPr>
                <w:rFonts w:ascii="Arial" w:cs="Arial" w:eastAsia="Arial" w:hAnsi="Arial"/>
                <w:sz w:val="15"/>
                <w:szCs w:val="15"/>
                <w:b w:val="1"/>
                <w:bCs w:val="1"/>
                <w:color w:val="auto"/>
                <w:w w:val="91"/>
              </w:rPr>
              <w:t>(in millions)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1140" w:type="dxa"/>
            <w:vAlign w:val="bottom"/>
            <w:gridSpan w:val="2"/>
          </w:tcPr>
          <w:p>
            <w:pPr>
              <w:ind w:left="360"/>
              <w:spacing w:after="0"/>
              <w:rPr>
                <w:sz w:val="20"/>
                <w:szCs w:val="20"/>
                <w:color w:val="auto"/>
              </w:rPr>
            </w:pPr>
            <w:r>
              <w:rPr>
                <w:rFonts w:ascii="Arial" w:cs="Arial" w:eastAsia="Arial" w:hAnsi="Arial"/>
                <w:sz w:val="16"/>
                <w:szCs w:val="16"/>
                <w:b w:val="1"/>
                <w:bCs w:val="1"/>
                <w:color w:val="auto"/>
              </w:rPr>
              <w:t>Low</w:t>
            </w:r>
          </w:p>
        </w:tc>
        <w:tc>
          <w:tcPr>
            <w:tcW w:w="1140" w:type="dxa"/>
            <w:vAlign w:val="bottom"/>
            <w:gridSpan w:val="2"/>
          </w:tcPr>
          <w:p>
            <w:pPr>
              <w:ind w:left="360"/>
              <w:spacing w:after="0"/>
              <w:rPr>
                <w:sz w:val="20"/>
                <w:szCs w:val="20"/>
                <w:color w:val="auto"/>
              </w:rPr>
            </w:pPr>
            <w:r>
              <w:rPr>
                <w:rFonts w:ascii="Arial" w:cs="Arial" w:eastAsia="Arial" w:hAnsi="Arial"/>
                <w:sz w:val="16"/>
                <w:szCs w:val="16"/>
                <w:b w:val="1"/>
                <w:bCs w:val="1"/>
                <w:color w:val="auto"/>
              </w:rPr>
              <w:t>High</w:t>
            </w:r>
          </w:p>
        </w:tc>
        <w:tc>
          <w:tcPr>
            <w:tcW w:w="140" w:type="dxa"/>
            <w:vAlign w:val="bottom"/>
          </w:tcPr>
          <w:p>
            <w:pPr>
              <w:spacing w:after="0"/>
              <w:rPr>
                <w:sz w:val="18"/>
                <w:szCs w:val="18"/>
                <w:color w:val="auto"/>
              </w:rPr>
            </w:pPr>
          </w:p>
        </w:tc>
        <w:tc>
          <w:tcPr>
            <w:tcW w:w="1300" w:type="dxa"/>
            <w:vAlign w:val="bottom"/>
            <w:gridSpan w:val="2"/>
          </w:tcPr>
          <w:p>
            <w:pPr>
              <w:ind w:left="260"/>
              <w:spacing w:after="0"/>
              <w:rPr>
                <w:sz w:val="20"/>
                <w:szCs w:val="20"/>
                <w:color w:val="auto"/>
              </w:rPr>
            </w:pPr>
            <w:r>
              <w:rPr>
                <w:rFonts w:ascii="Arial" w:cs="Arial" w:eastAsia="Arial" w:hAnsi="Arial"/>
                <w:sz w:val="16"/>
                <w:szCs w:val="16"/>
                <w:b w:val="1"/>
                <w:bCs w:val="1"/>
                <w:color w:val="auto"/>
              </w:rPr>
              <w:t>Pension</w:t>
            </w:r>
          </w:p>
        </w:tc>
        <w:tc>
          <w:tcPr>
            <w:tcW w:w="14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5"/>
              </w:rPr>
              <w:t>Multiemployer</w:t>
            </w:r>
          </w:p>
        </w:tc>
        <w:tc>
          <w:tcPr>
            <w:tcW w:w="22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960" w:type="dxa"/>
            <w:vAlign w:val="bottom"/>
            <w:vMerge w:val="restart"/>
          </w:tcPr>
          <w:p>
            <w:pPr>
              <w:jc w:val="right"/>
              <w:ind w:right="2059"/>
              <w:spacing w:after="0"/>
              <w:rPr>
                <w:sz w:val="20"/>
                <w:szCs w:val="20"/>
                <w:color w:val="auto"/>
              </w:rPr>
            </w:pPr>
            <w:r>
              <w:rPr>
                <w:rFonts w:ascii="Arial" w:cs="Arial" w:eastAsia="Arial" w:hAnsi="Arial"/>
                <w:sz w:val="16"/>
                <w:szCs w:val="16"/>
                <w:b w:val="1"/>
                <w:bCs w:val="1"/>
                <w:color w:val="auto"/>
                <w:w w:val="94"/>
              </w:rPr>
              <w:t>For the Three Months Ended March 31:</w:t>
            </w: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6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jc w:val="right"/>
              <w:ind w:right="4539"/>
              <w:spacing w:after="0"/>
              <w:rPr>
                <w:sz w:val="20"/>
                <w:szCs w:val="20"/>
                <w:color w:val="auto"/>
              </w:rPr>
            </w:pPr>
            <w:r>
              <w:rPr>
                <w:rFonts w:ascii="Arial" w:cs="Arial" w:eastAsia="Arial" w:hAnsi="Arial"/>
                <w:sz w:val="16"/>
                <w:szCs w:val="16"/>
                <w:color w:val="auto"/>
                <w:w w:val="89"/>
              </w:rPr>
              <w:t>2020</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37"/>
        </w:trPr>
        <w:tc>
          <w:tcPr>
            <w:tcW w:w="4960" w:type="dxa"/>
            <w:vAlign w:val="bottom"/>
          </w:tcPr>
          <w:p>
            <w:pPr>
              <w:jc w:val="right"/>
              <w:ind w:right="4539"/>
              <w:spacing w:after="0"/>
              <w:rPr>
                <w:sz w:val="20"/>
                <w:szCs w:val="20"/>
                <w:color w:val="auto"/>
              </w:rPr>
            </w:pPr>
            <w:r>
              <w:rPr>
                <w:rFonts w:ascii="Arial" w:cs="Arial" w:eastAsia="Arial" w:hAnsi="Arial"/>
                <w:sz w:val="16"/>
                <w:szCs w:val="16"/>
                <w:color w:val="auto"/>
                <w:w w:val="89"/>
              </w:rPr>
              <w:t>2019</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1,626</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2,117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fluctuations in the number of employees covered under multiemployer plans and related contributions in the table above related primarily to timing of activity for the Company’s union resource-based projects, the majority of which are within its oil and gas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Equity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Activity</w:t>
      </w:r>
    </w:p>
    <w:p>
      <w:pPr>
        <w:spacing w:after="0" w:line="2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Company’s share repurchase programs provide for the repurchase of shares of MasTec common stock from time to time in open market transactions or in privately-negotiated transactions in accordance with applicable securities laws. The timing and the amount of any repurchases is determined based on market conditions, legal requirements, cash flow and liquidity needs and other factors. The Company’s share repurchase programs do not have an expiration date and may be modified or suspended at any time at the Company’s discretion. Share repurchases, which are recorded at cost and are held in the Company’s treasury, are funded with available cash or with availability under the Credit Facility. The Company may use either authorized and unissued shares or treasury shares to meet share issuance requirements. Treasury stock is recorded at cost.</w:t>
      </w:r>
    </w:p>
    <w:p>
      <w:pPr>
        <w:spacing w:after="0" w:line="1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three month period ended March 31, 2020, the Company repurchased approximately 3.6 million shares of its common stock for an aggregate purchase price of $119.4 million. Of the 3.6 million repurchased shares, 0.6 million were repurchased for $28.8 million under a $150 million share repurchase program that was established in September 2018 and completed in the first quarter of 2020, and 3.0 million were repurchased for $90.6 million under the Company’s December 2018 $100 million share repurchase program. For the three month period ended March 31, 2019, share repurchases totaled approximately $0.6 million, which were completed under the Company’s September 2018 $150 million share repurchase program.</w:t>
      </w:r>
    </w:p>
    <w:p>
      <w:pPr>
        <w:spacing w:after="0" w:line="191" w:lineRule="exact"/>
        <w:rPr>
          <w:sz w:val="20"/>
          <w:szCs w:val="20"/>
          <w:color w:val="auto"/>
        </w:rPr>
      </w:pPr>
    </w:p>
    <w:p>
      <w:pPr>
        <w:jc w:val="both"/>
        <w:ind w:right="20" w:firstLine="648"/>
        <w:spacing w:after="0" w:line="349" w:lineRule="auto"/>
        <w:rPr>
          <w:sz w:val="20"/>
          <w:szCs w:val="20"/>
          <w:color w:val="auto"/>
        </w:rPr>
      </w:pPr>
      <w:r>
        <w:rPr>
          <w:rFonts w:ascii="Arial" w:cs="Arial" w:eastAsia="Arial" w:hAnsi="Arial"/>
          <w:sz w:val="14"/>
          <w:szCs w:val="14"/>
          <w:color w:val="auto"/>
        </w:rPr>
        <w:t>As of March 31, 2020, $159.4 million was available for future share repurchases under all of the Company’s open share repurchase programs, which included $9.4 million under the Company’s December 2018 share repurchase program and $150 million under a new share repurchase program that was authorized on March 19, 2020.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2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Unrealized foreign currency translation activity, net, for the three month periods ended March 31, 2020 and 2019 relates to the Company’s operations in Canada and Mexico. Unrealized investment activity, net, for the three month periods ended March 31, 2020 and 2019 relates to unrealized losses on interest rate swaps associated with the Waha JVs.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Income Taxes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w:t>
      </w:r>
    </w:p>
    <w:p>
      <w:pPr>
        <w:sectPr>
          <w:pgSz w:w="11900" w:h="16838" w:orient="portrait"/>
          <w:cols w:equalWidth="0" w:num="1">
            <w:col w:w="11240"/>
          </w:cols>
          <w:pgMar w:left="320" w:top="562" w:right="3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562" w:right="339" w:bottom="1440" w:gutter="0" w:footer="0" w:header="0"/>
          <w:type w:val="continuous"/>
        </w:sectPr>
      </w:pPr>
    </w:p>
    <w:bookmarkStart w:id="17" w:name="page18"/>
    <w:bookmarkEnd w:id="17"/>
    <w:p>
      <w:pPr>
        <w:jc w:val="both"/>
        <w:spacing w:after="0" w:line="258" w:lineRule="auto"/>
        <w:rPr>
          <w:sz w:val="20"/>
          <w:szCs w:val="20"/>
          <w:color w:val="auto"/>
        </w:rPr>
      </w:pPr>
      <w:r>
        <w:rPr>
          <w:rFonts w:ascii="Arial" w:cs="Arial" w:eastAsia="Arial" w:hAnsi="Arial"/>
          <w:sz w:val="16"/>
          <w:szCs w:val="16"/>
          <w:color w:val="auto"/>
        </w:rPr>
        <w:t>The effect of significant discrete items is separately recognized in the quarter(s) in which they occur. For the three month periods ended March 31, 2020 and 2019, the Company’s consolidated effective tax rates were 1.2% and 21.8%, respectively. The Company’s effective tax rate for the three month period ended March 31, 2020 included a benefit of approximately $9.6 million related to the release of certain valuation allowances on Canadian deferred tax assets that were no longer necessary. For the three month period ended March 31, 2019, the Company’s effective tax rate was favorably affected by the recognition of $2.3 million of excess tax benefits from the vesting of share-based awards and reduced foreign earnings.</w:t>
      </w:r>
    </w:p>
    <w:p>
      <w:pPr>
        <w:spacing w:after="0" w:line="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response to the COVID-19 pandemic, the Coronavirus Aid, Relief and Economic Security Act (“CARES Act”) was signed into law on March 27, 2020. The CARES Act, among other things, includes tax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(QIP). At this time, management does not believe that the CARES Act will have a material impact on the Company’s income tax provision for 2020. The Company will continue to evaluate the impact of the CARES Act on its financial position,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Segments and Related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Segment Discussion</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The Company manages its operations under five operating segments, which represent its five reportable segments: (1) Communications; (2) Oil and Gas; (3) Electrical Transmission; (4) Power Generation and Industrial and (5) Other. This structure is generally focused on broad end-user markets for the Company’s labor-based construction services. All five reportable segments derive their revenue from the engineering, installation and maintenance of infrastructure, primarily in North America.</w:t>
      </w:r>
    </w:p>
    <w:p>
      <w:pPr>
        <w:spacing w:after="0" w:line="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Communications segment performs engineering, construction, maintenance and customer fulfillment activities related to communications infrastructure, primarily for wireless and wireline/fiber communications and install-to-the-home customers, and, to a lesser extent, infrastructure for utilities, among others. The Company performs engineering, construction and maintenance services for oil and natural gas pipelines and processing facilities for the energy and utilities industries through its Oil and Gas segment. The Electrical Transmission segment primarily serves the energy and utility industries through the engineering, construction and maintenance of electrical transmission lines and substations. The Power Generation and Industrial segment primarily serves energy, utility and other end-markets through the installation and construction of power facilities, including from renewable sources, related electrical transmission infrastructure, ethanol/biofuel facilities and various types of heavy civil and industrial infrastructure. The Other segment includes equity investees, the services of which vary from those provided by the Company’s primary segments, as well as other small business units that perform construction and other services for a variety of international end-markets.</w:t>
      </w:r>
    </w:p>
    <w:p>
      <w:pPr>
        <w:spacing w:after="0" w:line="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calculated in a manner consistent with consolidated EBITDA.</w:t>
      </w:r>
    </w:p>
    <w:p>
      <w:pPr>
        <w:spacing w:after="0" w:line="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3"/>
              </w:rPr>
              <w:t>For the Three Months Ended March 31,</w:t>
            </w:r>
          </w:p>
        </w:tc>
      </w:tr>
      <w:tr>
        <w:trPr>
          <w:trHeight w:val="33"/>
        </w:trPr>
        <w:tc>
          <w:tcPr>
            <w:tcW w:w="8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20"/>
                <w:szCs w:val="20"/>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Communications </w:t>
            </w:r>
            <w:r>
              <w:rPr>
                <w:rFonts w:ascii="Arial" w:cs="Arial" w:eastAsia="Arial" w:hAnsi="Arial"/>
                <w:sz w:val="21"/>
                <w:szCs w:val="21"/>
                <w:color w:val="auto"/>
                <w:vertAlign w:val="superscript"/>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644.1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612.8</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359.1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621.3</w:t>
            </w: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94.9</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286.3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189.4</w:t>
            </w:r>
          </w:p>
        </w:tc>
      </w:tr>
      <w:tr>
        <w:trPr>
          <w:trHeight w:val="33"/>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1,416.6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1,518.3</w:t>
            </w:r>
          </w:p>
        </w:tc>
      </w:tr>
      <w:tr>
        <w:trPr>
          <w:trHeight w:val="20"/>
        </w:trPr>
        <w:tc>
          <w:tcPr>
            <w:tcW w:w="8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49" w:lineRule="exact"/>
        <w:rPr>
          <w:sz w:val="20"/>
          <w:szCs w:val="20"/>
          <w:color w:val="auto"/>
        </w:rPr>
      </w:pPr>
    </w:p>
    <w:p>
      <w:pPr>
        <w:ind w:left="340" w:right="20" w:hanging="332"/>
        <w:spacing w:after="0" w:line="27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Revenue generated primarily by utilities customers represented 15.2% and 15.6% of Communications segment revenue for the three month periods ended March 31, 2020 and 2019,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616" w:right="339" w:bottom="1440" w:gutter="0" w:footer="0" w:header="0"/>
        </w:sectPr>
      </w:pPr>
    </w:p>
    <w:bookmarkStart w:id="18" w:name="page19"/>
    <w:bookmarkEnd w:id="18"/>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EBITDA:</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Communications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Oil and Gas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Electrical Transmission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Power Generation and Industrial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Corporate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Consolidated EBITDA</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Depreciation and Amortization: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Communications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Oil and Gas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Electrical Transmission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Power Generation and Industrial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Corporate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Consolidated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EBITDA Reconciliation: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before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Plus: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Depreciation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intangible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Consolidated EBITDA</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5"/>
          <w:szCs w:val="15"/>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1920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45.3</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107.4</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6.2</w:t>
            </w:r>
          </w:p>
        </w:tc>
      </w:tr>
      <w:tr>
        <w:trPr>
          <w:trHeight w:val="270"/>
        </w:trPr>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114.0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136.4</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-1207770</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-864870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-521970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-179070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31"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1920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14.7</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34.6</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0.0</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59.0</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-1207770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-864870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-521970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-179070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19202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55.1</w:t>
            </w:r>
          </w:p>
        </w:tc>
      </w:tr>
      <w:tr>
        <w:trPr>
          <w:trHeight w:val="540"/>
        </w:trPr>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22.3</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54.2</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114.0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136.4</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-1036320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-694055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-351155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00" w:space="720"/>
            <w:col w:w="3020"/>
          </w:cols>
          <w:pgMar w:left="320" w:top="841" w:right="339" w:bottom="1440" w:gutter="0" w:footer="0" w:header="0"/>
        </w:sectPr>
      </w:pP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b w:val="1"/>
          <w:bCs w:val="1"/>
          <w:color w:val="auto"/>
        </w:rPr>
        <w:t xml:space="preserve">Foreign Operations and Other. </w:t>
      </w:r>
      <w:r>
        <w:rPr>
          <w:rFonts w:ascii="Arial" w:cs="Arial" w:eastAsia="Arial" w:hAnsi="Arial"/>
          <w:sz w:val="15"/>
          <w:szCs w:val="15"/>
          <w:color w:val="auto"/>
        </w:rPr>
        <w:t>MasTec operates in North America, primarily in the United States and Canada, and, to a lesser extent, in Mexico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Caribbean. For both the three month periods ended March 31, 2020 and 2019, revenue of $1.4 billion was derived from U.S. operations. For the three month periods ended March 31, 2020 and 2019, revenue of $45.7 million and $78.9 million, respectively, was derived from foreign operations, the majority of which was from the Company’s Canadian operations in its Oil and Gas segment, and, to a lesser extent, from the Company’s wireless operations in Mexico. Long-lived assets held in the U.S. included property and equipment, net, of $911.5 million and $874.7 million as of March 31, 2020 and December 31, 2019, respectively, and, for the Company’s businesses in foreign countries, totaled $25.8 million and $31.1 million, respectively. Intangible assets and goodwill, net, related to the Company’s U.S. operations totaled approximately $1.4 billion as of both March 31, 2020 and December 31, 2019, respectively, and for the Company’s businesses in foreign countries, totaled approximately $51.4 million and $56.4 million as of March 31, 2020 and December 31, 2019, respectively. The majority of the Company’s long-lived and intangible assets and goodwill in foreign countries relate to its Canadian operations. As of March 31, 2020 and December 31, 2019, amounts due from customers from which foreign revenue was derived accounted for approximately 4% and 5%, respectively, of the Company’s consolidated net accounts receivable position, which represents accounts receivable, net, less deferred revenue. For the three month periods ended March 31, 2020 and 2019, revenue from governmental entities was approximately 2% and 1%, respectively, of total revenue, substantially all of which was derived from the Company’s U.S. operations.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Significant Customers</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For the three month periods ended March 31, 2020 and 2019, AT&amp;T represented 24% and 23%, respectively, of the Company’s total consolidated revenue. The Company’s relationship with AT&amp;T is based upon multiple separate master service and other service agreements, including for installation and maintenance services as well as construction/installation contracts for wireless, wireline/fiber and various install-to-the-home services. Revenue from AT&amp;T is included within the Communications segment.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Commitments and Contingencies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MasTec is subject to a variety of legal cases, claims and other disputes that arise from time to time in the ordinary course of its business, including project contract price and acquisition purchase price disputes. MasTec cannot provide assurance that it will be successful in recovering all or</w:t>
      </w:r>
    </w:p>
    <w:p>
      <w:pPr>
        <w:sectPr>
          <w:pgSz w:w="11900" w:h="16838" w:orient="portrait"/>
          <w:cols w:equalWidth="0" w:num="1">
            <w:col w:w="11240"/>
          </w:cols>
          <w:pgMar w:left="320" w:top="841" w:right="339" w:bottom="1440" w:gutter="0" w:footer="0" w:header="0"/>
          <w:type w:val="continuous"/>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841" w:right="339" w:bottom="1440" w:gutter="0" w:footer="0" w:header="0"/>
          <w:type w:val="continuous"/>
        </w:sectPr>
      </w:pPr>
    </w:p>
    <w:bookmarkStart w:id="19" w:name="page20"/>
    <w:bookmarkEnd w:id="19"/>
    <w:p>
      <w:pPr>
        <w:jc w:val="both"/>
        <w:spacing w:after="0" w:line="261" w:lineRule="auto"/>
        <w:rPr>
          <w:sz w:val="20"/>
          <w:szCs w:val="20"/>
          <w:color w:val="auto"/>
        </w:rPr>
      </w:pPr>
      <w:r>
        <w:rPr>
          <w:rFonts w:ascii="Arial" w:cs="Arial" w:eastAsia="Arial" w:hAnsi="Arial"/>
          <w:sz w:val="16"/>
          <w:szCs w:val="16"/>
          <w:color w:val="auto"/>
        </w:rPr>
        <w:t>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During March 2020, the World Health Organization declared a global pandemic related to the rapidly growing outbreak of a novel strain of coronavirus (COVID-19). The COVID-19 pandemic has significantly affected economic conditions in the United States and internationally as national, state and local governments reacted to the public health crisis by requiring mitigation measures that have disrupted business activities for an uncertain period of time. The effects of the COVID-19 pandemic could affect the Company’s future business activities and financial results, including from governmental permitting approval delays, reduced crew productivity, higher operating costs and lower levels of overhead cost absorption and/or delayed project start dates or project shutdowns that may be requested or mandated by governmental authorities or others.</w:t>
      </w:r>
    </w:p>
    <w:p>
      <w:pPr>
        <w:spacing w:after="0" w:line="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The effects of the COVID-19 pandemic on the Company’s financial results for the three month period ended March 31, 2020 were limited. Most of the Company’s construction services are currently deemed essential under governmental mitigation orders and substantially all of its business segments continue to operate. Management’s top priority has been to take appropriate actions to protect the health and safety of its employees, customers and business partners, including adjusting its standard operating procedures to respond to evolving health guidelines. Management believes that it is taking appropriate steps to mitigate any potential impact to the Company; however, given the uncertainty regarding the potential effects of the COVID-19 pandemic, any future impacts cannot be quantified or predicted with specificity.</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Commitments and Contingencies</w:t>
      </w:r>
    </w:p>
    <w:p>
      <w:pPr>
        <w:spacing w:after="0" w:line="11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In the ordinary course of business, the Company enters into non-cancelable operating leases for certain of its facility, vehicle and equipment needs,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related party leases. See Note 8 - Lease Obligations and Note 15 - Related Party Transactions.</w:t>
      </w:r>
    </w:p>
    <w:p>
      <w:pPr>
        <w:spacing w:after="0" w:line="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color w:val="auto"/>
        </w:rPr>
        <w:t xml:space="preserve">Letters of Credit. </w:t>
      </w:r>
      <w:r>
        <w:rPr>
          <w:rFonts w:ascii="Arial" w:cs="Arial" w:eastAsia="Arial" w:hAnsi="Arial"/>
          <w:sz w:val="16"/>
          <w:szCs w:val="16"/>
          <w:color w:val="auto"/>
        </w:rPr>
        <w:t>In the ordinary course of business, the Company is required to post letters of credit for its insurance carriers and surety bond providers and in</w:t>
      </w:r>
      <w:r>
        <w:rPr>
          <w:rFonts w:ascii="Arial" w:cs="Arial" w:eastAsia="Arial" w:hAnsi="Arial"/>
          <w:sz w:val="16"/>
          <w:szCs w:val="16"/>
          <w:b w:val="1"/>
          <w:bCs w:val="1"/>
          <w:color w:val="auto"/>
        </w:rPr>
        <w:t xml:space="preserve"> </w:t>
      </w:r>
      <w:r>
        <w:rPr>
          <w:rFonts w:ascii="Arial" w:cs="Arial" w:eastAsia="Arial" w:hAnsi="Arial"/>
          <w:sz w:val="16"/>
          <w:szCs w:val="16"/>
          <w:color w:val="auto"/>
        </w:rPr>
        <w:t>support of performance under certain contracts as well as certain obligations associated 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March 31, 2020 and December 31, 2019, there were $161.2 million and $115.1 million, respectively, of letters of credit issued under the Company’s credit facilities. The Company is not aware of any material claims relating to its outstanding letters of credit as of March 31, 2020 or December 31, 2019.</w:t>
      </w:r>
    </w:p>
    <w:p>
      <w:pPr>
        <w:spacing w:after="0" w:line="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Performance and Payment Bonds. </w:t>
      </w:r>
      <w:r>
        <w:rPr>
          <w:rFonts w:ascii="Arial" w:cs="Arial" w:eastAsia="Arial" w:hAnsi="Arial"/>
          <w:sz w:val="15"/>
          <w:szCs w:val="15"/>
          <w:color w:val="auto"/>
        </w:rPr>
        <w:t>In the ordinary course of business, MasTec is required by certain customers to provide performance and payment bonds for</w:t>
      </w:r>
      <w:r>
        <w:rPr>
          <w:rFonts w:ascii="Arial" w:cs="Arial" w:eastAsia="Arial" w:hAnsi="Arial"/>
          <w:sz w:val="15"/>
          <w:szCs w:val="15"/>
          <w:b w:val="1"/>
          <w:bCs w:val="1"/>
          <w:color w:val="auto"/>
        </w:rPr>
        <w:t xml:space="preserve"> </w:t>
      </w:r>
      <w:r>
        <w:rPr>
          <w:rFonts w:ascii="Arial" w:cs="Arial" w:eastAsia="Arial" w:hAnsi="Arial"/>
          <w:sz w:val="15"/>
          <w:szCs w:val="15"/>
          <w:color w:val="auto"/>
        </w:rPr>
        <w:t>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March 31, 2020 and December 31, 2019, outstanding performance and payment bonds approximated $577.5 million and $551.4 million, respectively, and estimated costs to complete projects secured by these bonds totaled $162.8 million and $194.7 million as of March 31, 2020 and December 31, 2019, respectively.</w:t>
      </w:r>
    </w:p>
    <w:p>
      <w:pPr>
        <w:spacing w:after="0" w:line="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b w:val="1"/>
          <w:bCs w:val="1"/>
          <w:color w:val="auto"/>
        </w:rPr>
        <w:t xml:space="preserve">Investment Arrangements. </w:t>
      </w:r>
      <w:r>
        <w:rPr>
          <w:rFonts w:ascii="Arial" w:cs="Arial" w:eastAsia="Arial" w:hAnsi="Arial"/>
          <w:sz w:val="15"/>
          <w:szCs w:val="15"/>
          <w:color w:val="auto"/>
        </w:rPr>
        <w:t>The Company holds undivided interests, ranging from 85% to 90%, in multiple proportionately consolidated non-controlled</w:t>
      </w:r>
      <w:r>
        <w:rPr>
          <w:rFonts w:ascii="Arial" w:cs="Arial" w:eastAsia="Arial" w:hAnsi="Arial"/>
          <w:sz w:val="15"/>
          <w:szCs w:val="15"/>
          <w:b w:val="1"/>
          <w:bCs w:val="1"/>
          <w:color w:val="auto"/>
        </w:rPr>
        <w:t xml:space="preserve"> </w:t>
      </w:r>
      <w:r>
        <w:rPr>
          <w:rFonts w:ascii="Arial" w:cs="Arial" w:eastAsia="Arial" w:hAnsi="Arial"/>
          <w:sz w:val="15"/>
          <w:szCs w:val="15"/>
          <w:color w:val="auto"/>
        </w:rPr>
        <w:t>contractual joint ventures that provide infrastructure construction services for electrical transmission projects.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March 31, 2020, the Company was not aware of circumstances that would reasonably lead to material future claims against it in connection with these arrangements. Included in the Company’s cash balances as of March 31, 2020 and December 31, 2019 are amounts held by entities that are proportionately consolidated totaling $9.1 million and $13.1 million, respectively. These amounts are available to support the operations of those entities, but are not available for the Company’s other operations.</w:t>
      </w:r>
    </w:p>
    <w:p>
      <w:pPr>
        <w:spacing w:after="0" w:line="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other investment arrangements, under which it may incur costs or provide financing, performance, financial and/or other guarantees. See Note 4 - Fair Value of Financial Instruments regarding the Company’s other investment arrangements.</w:t>
      </w:r>
    </w:p>
    <w:p>
      <w:pPr>
        <w:spacing w:after="0" w:line="6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Self-Insurance. </w:t>
      </w:r>
      <w:r>
        <w:rPr>
          <w:rFonts w:ascii="Arial" w:cs="Arial" w:eastAsia="Arial" w:hAnsi="Arial"/>
          <w:sz w:val="15"/>
          <w:szCs w:val="15"/>
          <w:color w:val="auto"/>
        </w:rPr>
        <w:t>MasTec maintains insurance policies for workers’ compensation, general liability and automobile liability, which are subject to per claim</w:t>
      </w:r>
      <w:r>
        <w:rPr>
          <w:rFonts w:ascii="Arial" w:cs="Arial" w:eastAsia="Arial" w:hAnsi="Arial"/>
          <w:sz w:val="15"/>
          <w:szCs w:val="15"/>
          <w:b w:val="1"/>
          <w:bCs w:val="1"/>
          <w:color w:val="auto"/>
        </w:rPr>
        <w:t xml:space="preserve"> </w:t>
      </w:r>
      <w:r>
        <w:rPr>
          <w:rFonts w:ascii="Arial" w:cs="Arial" w:eastAsia="Arial" w:hAnsi="Arial"/>
          <w:sz w:val="15"/>
          <w:szCs w:val="15"/>
          <w:color w:val="auto"/>
        </w:rPr>
        <w:t>deductibles. The Company is self-insured up to the amount of the deductible. The Company also maintains excess umbrella coverage. As of March 31, 2020 and December 31, 2019, MasTec’s estimated liability for unpaid claims and associated expenses, including incurred but not reported losses related to these policies, totaled $125.3 million and $123.4 million, respectively, of which $85.8 million and $87.3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$4.7 million and $4.2 million as of March 31, 2020 and December 31, 2019, respectively.</w:t>
      </w:r>
    </w:p>
    <w:p>
      <w:pPr>
        <w:spacing w:after="0" w:line="6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5"/>
          <w:szCs w:val="15"/>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$64.0 million as of both March 31, 2020 and December 31, 2019. Outstanding surety bonds related to self-insurance programs amounted to $38.5 million as of both March 31, 2020 and December 31, 2019.</w:t>
      </w:r>
    </w:p>
    <w:p>
      <w:pPr>
        <w:spacing w:after="0" w:line="5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b w:val="1"/>
          <w:bCs w:val="1"/>
          <w:color w:val="auto"/>
        </w:rPr>
        <w:t xml:space="preserve">Collective Bargaining Agreements and Multiemployer Plans. </w:t>
      </w:r>
      <w:r>
        <w:rPr>
          <w:rFonts w:ascii="Arial" w:cs="Arial" w:eastAsia="Arial" w:hAnsi="Arial"/>
          <w:sz w:val="16"/>
          <w:szCs w:val="16"/>
          <w:color w:val="auto"/>
        </w:rPr>
        <w:t>As discussed in Note 10 - Other Retirement Plans, certain of MasTec’s subsidiaries are party to</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collective bargaining agreements with unions representing certain of their employees, which require the Company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508" w:right="339" w:bottom="1440" w:gutter="0" w:footer="0" w:header="0"/>
        </w:sectPr>
      </w:pPr>
    </w:p>
    <w:bookmarkStart w:id="20" w:name="page21"/>
    <w:bookmarkEnd w:id="20"/>
    <w:p>
      <w:pPr>
        <w:jc w:val="both"/>
        <w:spacing w:after="0" w:line="261" w:lineRule="auto"/>
        <w:rPr>
          <w:sz w:val="20"/>
          <w:szCs w:val="20"/>
          <w:color w:val="auto"/>
        </w:rPr>
      </w:pPr>
      <w:r>
        <w:rPr>
          <w:rFonts w:ascii="Arial" w:cs="Arial" w:eastAsia="Arial" w:hAnsi="Arial"/>
          <w:sz w:val="16"/>
          <w:szCs w:val="16"/>
          <w:color w:val="auto"/>
        </w:rPr>
        <w:t>pay specified wages, provide certain benefits and contribute certain amounts to MEPPs. The Employee Retirement Income Security Act of 1974, as amended by the Multiemployer Pension Plan Amendments Act of 1980 (collectively, “ERISA”), which governs U.S.-registered MEPPs, subjects employers to substantial liabilities in the event of an employer’s complete or partial withdrawal from, or upon termination of, such plans.</w:t>
      </w:r>
    </w:p>
    <w:p>
      <w:pPr>
        <w:spacing w:after="0" w:line="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The Company currently contributes, and in the past, has contributed to, plans that are underfunded, and, therefore, could have potential liability associated with a voluntary or involuntary withdrawal from, or termination of, these plans. As of March 31, 2020,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and the level of underfunding of such plans.</w:t>
      </w:r>
    </w:p>
    <w:p>
      <w:pPr>
        <w:spacing w:after="0" w:line="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color w:val="auto"/>
        </w:rPr>
        <w:t xml:space="preserve">Indemnities. </w:t>
      </w:r>
      <w:r>
        <w:rPr>
          <w:rFonts w:ascii="Arial" w:cs="Arial" w:eastAsia="Arial" w:hAnsi="Arial"/>
          <w:sz w:val="16"/>
          <w:szCs w:val="16"/>
          <w:color w:val="auto"/>
        </w:rPr>
        <w:t>The Company generally indemnifies its customers for the services it provides under its contracts, as well as other specified liabilities, which may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the Company to indemnity claims, liabilities and related litigation. As of March 31, 2020 and December 31, 2019, the Company was not aware of any material asserted or unasserted claims in connection with these indemnity obligations.</w:t>
      </w:r>
    </w:p>
    <w:p>
      <w:pPr>
        <w:spacing w:after="0" w:line="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Other Guarantees. </w:t>
      </w:r>
      <w:r>
        <w:rPr>
          <w:rFonts w:ascii="Arial" w:cs="Arial" w:eastAsia="Arial" w:hAnsi="Arial"/>
          <w:sz w:val="15"/>
          <w:szCs w:val="15"/>
          <w:color w:val="auto"/>
        </w:rPr>
        <w:t>In the ordinary course of its business, from time to time, MasTec guarantees the obligations of its subsidiaries, including obligations under</w:t>
      </w:r>
      <w:r>
        <w:rPr>
          <w:rFonts w:ascii="Arial" w:cs="Arial" w:eastAsia="Arial" w:hAnsi="Arial"/>
          <w:sz w:val="15"/>
          <w:szCs w:val="15"/>
          <w:b w:val="1"/>
          <w:bCs w:val="1"/>
          <w:color w:val="auto"/>
        </w:rPr>
        <w:t xml:space="preserve"> </w:t>
      </w:r>
      <w:r>
        <w:rPr>
          <w:rFonts w:ascii="Arial" w:cs="Arial" w:eastAsia="Arial" w:hAnsi="Arial"/>
          <w:sz w:val="15"/>
          <w:szCs w:val="15"/>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for a one to two year period following substantial completion of a project. Much of the work performed by the Company is evaluated for defects shortly after the work is completed. Warranty claims have historically not been material. However, if warranty claims occur, the Company could be required to repair or replace warrantied items, or, if customers elect to repair or replace the warrantied item using the services of another provider, the Company could be required to pay for the cost of the repair or replacement.</w:t>
      </w:r>
    </w:p>
    <w:p>
      <w:pPr>
        <w:spacing w:after="0" w:line="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color w:val="auto"/>
        </w:rPr>
        <w:t xml:space="preserve">Concentrations of Risk. </w:t>
      </w:r>
      <w:r>
        <w:rPr>
          <w:rFonts w:ascii="Arial" w:cs="Arial" w:eastAsia="Arial" w:hAnsi="Arial"/>
          <w:sz w:val="16"/>
          <w:szCs w:val="16"/>
          <w:color w:val="auto"/>
        </w:rPr>
        <w:t>The Company had approximately 295 customers for the three month period ended March 31, 2020. As of March 31, 2020, two</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each accounted for approximately 16% and 15%, respectively, of the Company’s consolidated net accounts receivable position, which represents accounts receivable, net, less deferred revenue. As of December 31, 2019, three customers each accounted for approximately 17%, 13% and 11%, respectively, of the Company’s consolidated net accounts receivable position. In addition, the Company derived 62% of its revenue from its top ten customers for both the three month periods ended March 31, 2020 and 2019.</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Related Party Transactions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MasTec purchases, rents and leases equipment and purchases various types of supplies and services used in its business, including ancillary construction services, project-related site restoration and marketing and business development activities from a number of different vendors on a non-exclusive basis, and from time to time, rents equipment to, or performs construction services on behalf of, entities in which members of subsidiary management have ownership or commercial interests. For the three month periods ended March 31, 2020 and 2019, such payments to related party entities totaled approximately $25.3 million and $28.5 million, respectively, and the related payables totaled approximately $6.4 million and $14.7 million as of March 31, 2020 and December 31, 2019, respectively. Revenue from such related party arrangements totaled approximately $1.0 million and $0.3 million for the three month periods ended March 31, 2020 and 2019, respectively. As of March 31, 2020, related amounts receivable, net, totaled approximately $0.1 million, and as of December 31, 2019 were de minimis.</w:t>
      </w:r>
    </w:p>
    <w:p>
      <w:pPr>
        <w:spacing w:after="0" w:line="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2018, MasTec acquired a construction management firm specializing in steel building systems, of which Juan Carlos Mas, who is the brother of Jorge Mas, Chairman of MasTec’s Board of Directors, and José R. Mas, MasTec’s Chief Executive Officer, was a minority owner, for approximately $6.1 million in cash and an estimated earn-out liability of approximately $1.4 million, net, as adjusted. Amounts outstanding for advances made by the Company on behalf of this entity totaled approximately $0.7 million and $0.5 million, net as of March 31, 2020 and December 31, 2019, respectively, which are expected to be settled under customary terms associated with the related purchase agreement.</w:t>
      </w:r>
    </w:p>
    <w:p>
      <w:pPr>
        <w:spacing w:after="0" w:line="8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Company rents and leases equipment and purchases equipment supplies and servicing from CCI, in which it has a 15% equity investment. Juan Carlos Mas serves as the chairman of CCI, and a member of management of a MasTec subsidiary and an entity that is owned by the Mas family are minority owners. For the three month periods ended March 31, 2020 and 2019, MasTec paid CCI approximately $0.3 million and $6.0 million, net of rebates, respectively, related to this activity. As of March 31, 2020 and December 31, 2019, amounts payable to CCI, net of rebates receivable, totaled approximately $1.4 million and $0.2 million, respectively.</w:t>
      </w:r>
    </w:p>
    <w:p>
      <w:pPr>
        <w:spacing w:after="0" w:line="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For the three month periods ended March 31, 2020 and 2019, MasTec incurred subcontracting expenses of approximately $0.7 million and $1.6 million, respectively. As of March 31, 2020 and December 31, 2019, related amounts payable totaled approximately $0.6 million and $0.2 million, respectively.</w:t>
      </w:r>
    </w:p>
    <w:p>
      <w:pPr>
        <w:spacing w:after="0" w:line="79"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MasTec has a leasing arrangement for an aircraft that is owned by an entity that Jorge Mas owns. For the three month periods ended March 31, 2020 and 2019, MasTec paid approximately $0.6 million and $0.7 million, respectively, related to this leasing arrangement.</w:t>
      </w:r>
    </w:p>
    <w:p>
      <w:pPr>
        <w:spacing w:after="0" w:line="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MasTec performs construction services on behalf of a professional Miami soccer franchise (the “Franchise”) in which Jorge Mas and José R. Mas are minority owners. Services provided by MasTec include the construction of a soccer facility and stadium, including wireless infrastructure services. For the three month period ended March 31, 2020, MasTec charged approximately $4.0 million under these arrangements, of which $3.6 million was outstanding as of March 31, 2020. Payments for other expenses related to the Franchise totaled $0.2 million for the three month period ended March 31, 2020.</w:t>
      </w:r>
    </w:p>
    <w:p>
      <w:pPr>
        <w:spacing w:after="0" w:line="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MasTec leases employees and provides satellite communications services to a customer in which Jorge Mas and José R. Mas own a majority interest. For the three month periods ended March 31, 2020 and 2019, MasTec charged approximately $0.3 million and $0.4 million, respectively,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616" w:right="339" w:bottom="1440" w:gutter="0" w:footer="0" w:header="0"/>
        </w:sectPr>
      </w:pPr>
    </w:p>
    <w:bookmarkStart w:id="21" w:name="page22"/>
    <w:bookmarkEnd w:id="21"/>
    <w:p>
      <w:pPr>
        <w:jc w:val="both"/>
        <w:spacing w:after="0" w:line="275" w:lineRule="auto"/>
        <w:rPr>
          <w:sz w:val="20"/>
          <w:szCs w:val="20"/>
          <w:color w:val="auto"/>
        </w:rPr>
      </w:pPr>
      <w:r>
        <w:rPr>
          <w:rFonts w:ascii="Arial" w:cs="Arial" w:eastAsia="Arial" w:hAnsi="Arial"/>
          <w:sz w:val="16"/>
          <w:szCs w:val="16"/>
          <w:color w:val="auto"/>
        </w:rPr>
        <w:t>this customer. As of March 31, 2020 and December 31, 2019, outstanding receivables related to these arrangements totaled approximately $0.9 million and $0.8 million, respectively.</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Split Dollar Agreements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MasTec has split dollar life insurance agreements with trusts, of which Jorge Mas or José R. Mas is a trustee. There were no payments made in connection with these agreements in either of the three month periods ended March 31, 2020 or 2019. As of both March 31, 2020 and December 31, 2019, life insurance assets associated with these agreements totaled approximately $20.3 million.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 Supplemental Guarantor Condensed Consolidating Financial Information</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4.875% Senior Notes are fully and unconditionally guaranteed on an unsecured, unsubordinated, joint and several basis by certain of the Company’s existing and future 100%-owned direct and indirect domestic subsidiaries that are, as of March 31, 2020, each guarantors of the Credit Facility or other outstanding indebtedness (the “Guarantor Subsidiaries”). The Company’s subsidiaries organized outside of the United States and certain domestic subsidiaries (collectively, the “Non-Guarantor Subsidiaries”) do not guarantee these notes. A Guarantor Subsidiary’s guarantee is subject to release in certain customary circumstances, including upon the sale of a majority of the capital stock or substantially all of the assets of such Guarantor Subsidiary; if the Guarantor Subsidiary’s guarantee under the Company’s Credit Facility and other indebtedness is released or discharged (other than due to payment under such guarantee); or when the requirements for legal defeasance are satisfied or the obligations are discharged in accordance with the related indentures.</w:t>
      </w:r>
    </w:p>
    <w:p>
      <w:pPr>
        <w:spacing w:after="0" w:line="19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The following supplemental financial information sets forth the condensed consolidating balance sheets and the condensed consolidating statements of operations and comprehensive income (loss) and cash flows for MasTec, Inc., the Guarantor Subsidiaries on a combined basis, the Non-Guarantor Subsidiaries on a combined basis and the eliminations necessary to arrive at the information for the Company as reported on a consolidated basis. Eliminations represent adjustments to eliminate investments in subsidiaries and intercompany balances and transactions between or among MasTec, Inc., the Guarantor Subsidiaries and the Non-Guarantor Subsidiaries. Investments in subsidiaries are accounted for using the equity method for this presentation. The tables below may contain slight summation differences due to rounding.</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CONSOLIDATING STATEMENTS OF OPERATIONS AND COMPREHENSIVE INCOME (LOSS) (unaudited -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5"/>
                <w:szCs w:val="15"/>
                <w:b w:val="1"/>
                <w:bCs w:val="1"/>
                <w:color w:val="auto"/>
              </w:rPr>
              <w:t>Guarantor</w:t>
            </w:r>
          </w:p>
        </w:tc>
        <w:tc>
          <w:tcPr>
            <w:tcW w:w="1220" w:type="dxa"/>
            <w:vAlign w:val="bottom"/>
            <w:gridSpan w:val="3"/>
          </w:tcPr>
          <w:p>
            <w:pPr>
              <w:ind w:left="4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r>
      <w:tr>
        <w:trPr>
          <w:trHeight w:val="202"/>
        </w:trPr>
        <w:tc>
          <w:tcPr>
            <w:tcW w:w="518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Three Months Ended March 31, 2020</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1"/>
              </w:rPr>
              <w:t>Subsidiaries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1"/>
              </w:rPr>
              <w:t>Eliminations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1,312.3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111.8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1,416.6</w:t>
            </w:r>
          </w:p>
        </w:tc>
      </w:tr>
      <w:tr>
        <w:trPr>
          <w:trHeight w:val="266"/>
        </w:trPr>
        <w:tc>
          <w:tcPr>
            <w:tcW w:w="518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1,138.8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95.0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1,226.3</w:t>
            </w:r>
          </w:p>
        </w:tc>
      </w:tr>
      <w:tr>
        <w:trPr>
          <w:trHeight w:val="274"/>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54.2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60.5</w:t>
            </w:r>
          </w:p>
        </w:tc>
      </w:tr>
      <w:tr>
        <w:trPr>
          <w:trHeight w:val="266"/>
        </w:trPr>
        <w:tc>
          <w:tcPr>
            <w:tcW w:w="518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2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73.9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85.5</w:t>
            </w:r>
          </w:p>
        </w:tc>
      </w:tr>
      <w:tr>
        <w:trPr>
          <w:trHeight w:val="274"/>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net</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17.0</w:t>
            </w:r>
          </w:p>
        </w:tc>
      </w:tr>
      <w:tr>
        <w:trPr>
          <w:trHeight w:val="266"/>
        </w:trPr>
        <w:tc>
          <w:tcPr>
            <w:tcW w:w="518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270"/>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net</w:t>
            </w: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250"/>
        </w:trPr>
        <w:tc>
          <w:tcPr>
            <w:tcW w:w="518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30.9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6.5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36.5</w:t>
            </w:r>
          </w:p>
        </w:tc>
      </w:tr>
      <w:tr>
        <w:trPr>
          <w:trHeight w:val="270"/>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w:t>
            </w:r>
          </w:p>
        </w:tc>
      </w:tr>
      <w:tr>
        <w:trPr>
          <w:trHeight w:val="250"/>
        </w:trPr>
        <w:tc>
          <w:tcPr>
            <w:tcW w:w="518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20.9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15.8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36.1</w:t>
            </w:r>
          </w:p>
        </w:tc>
      </w:tr>
      <w:tr>
        <w:trPr>
          <w:trHeight w:val="270"/>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36.9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50"/>
        </w:trPr>
        <w:tc>
          <w:tcPr>
            <w:tcW w:w="518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36.2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20.9</w:t>
            </w:r>
          </w:p>
        </w:tc>
        <w:tc>
          <w:tcPr>
            <w:tcW w:w="100" w:type="dxa"/>
            <w:vAlign w:val="bottom"/>
          </w:tcPr>
          <w:p>
            <w:pPr>
              <w:spacing w:after="0"/>
              <w:rPr>
                <w:sz w:val="21"/>
                <w:szCs w:val="21"/>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15.8</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(36.9)</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36.1</w:t>
            </w:r>
          </w:p>
        </w:tc>
      </w:tr>
      <w:tr>
        <w:trPr>
          <w:trHeight w:val="270"/>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loss attributable to non-controlling interests</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r>
      <w:tr>
        <w:trPr>
          <w:trHeight w:val="250"/>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36.2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20.9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16.0</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(36.9)</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36.2</w:t>
            </w:r>
          </w:p>
        </w:tc>
      </w:tr>
      <w:tr>
        <w:trPr>
          <w:trHeight w:val="250"/>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13.0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17.5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12.8</w:t>
            </w: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61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2"/>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5"/>
                <w:szCs w:val="15"/>
                <w:b w:val="1"/>
                <w:bCs w:val="1"/>
                <w:color w:val="auto"/>
              </w:rPr>
              <w:t>Guarantor</w:t>
            </w:r>
          </w:p>
        </w:tc>
        <w:tc>
          <w:tcPr>
            <w:tcW w:w="1220" w:type="dxa"/>
            <w:vAlign w:val="bottom"/>
            <w:gridSpan w:val="3"/>
          </w:tcPr>
          <w:p>
            <w:pPr>
              <w:ind w:left="4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r>
      <w:tr>
        <w:trPr>
          <w:trHeight w:val="202"/>
        </w:trPr>
        <w:tc>
          <w:tcPr>
            <w:tcW w:w="518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Three Months Ended March 31, 2019</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1"/>
              </w:rPr>
              <w:t>Subsidiaries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1"/>
              </w:rPr>
              <w:t>Eliminations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1,402.4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1,518.3</w:t>
            </w:r>
          </w:p>
        </w:tc>
      </w:tr>
      <w:tr>
        <w:trPr>
          <w:trHeight w:val="266"/>
        </w:trPr>
        <w:tc>
          <w:tcPr>
            <w:tcW w:w="518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1,200.7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134.5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1,312.0</w:t>
            </w:r>
          </w:p>
        </w:tc>
      </w:tr>
      <w:tr>
        <w:trPr>
          <w:trHeight w:val="274"/>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54.7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59.0</w:t>
            </w:r>
          </w:p>
        </w:tc>
      </w:tr>
      <w:tr>
        <w:trPr>
          <w:trHeight w:val="266"/>
        </w:trPr>
        <w:tc>
          <w:tcPr>
            <w:tcW w:w="518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2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67.3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72.6</w:t>
            </w:r>
          </w:p>
        </w:tc>
      </w:tr>
      <w:tr>
        <w:trPr>
          <w:trHeight w:val="274"/>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37.7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22.3</w:t>
            </w:r>
          </w:p>
        </w:tc>
      </w:tr>
      <w:tr>
        <w:trPr>
          <w:trHeight w:val="266"/>
        </w:trPr>
        <w:tc>
          <w:tcPr>
            <w:tcW w:w="5180" w:type="dxa"/>
            <w:vAlign w:val="bottom"/>
          </w:tcPr>
          <w:p>
            <w:pPr>
              <w:ind w:left="40"/>
              <w:spacing w:after="0"/>
              <w:rPr>
                <w:sz w:val="20"/>
                <w:szCs w:val="20"/>
                <w:color w:val="auto"/>
              </w:rPr>
            </w:pPr>
            <w:r>
              <w:rPr>
                <w:rFonts w:ascii="Arial" w:cs="Arial" w:eastAsia="Arial" w:hAnsi="Arial"/>
                <w:sz w:val="15"/>
                <w:szCs w:val="15"/>
                <w:color w:val="auto"/>
              </w:rPr>
              <w:t>Equity in losses (earnings) of unconsolidated affiliates</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70"/>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expense (income), net</w:t>
            </w: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3.5</w:t>
            </w:r>
          </w:p>
        </w:tc>
      </w:tr>
      <w:tr>
        <w:trPr>
          <w:trHeight w:val="250"/>
        </w:trPr>
        <w:tc>
          <w:tcPr>
            <w:tcW w:w="518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36.9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19.0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55.1</w:t>
            </w:r>
          </w:p>
        </w:tc>
      </w:tr>
      <w:tr>
        <w:trPr>
          <w:trHeight w:val="270"/>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w:t>
            </w:r>
          </w:p>
        </w:tc>
      </w:tr>
      <w:tr>
        <w:trPr>
          <w:trHeight w:val="250"/>
        </w:trPr>
        <w:tc>
          <w:tcPr>
            <w:tcW w:w="518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24.9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18.7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43.1</w:t>
            </w:r>
          </w:p>
        </w:tc>
      </w:tr>
      <w:tr>
        <w:trPr>
          <w:trHeight w:val="270"/>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50"/>
        </w:trPr>
        <w:tc>
          <w:tcPr>
            <w:tcW w:w="518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43.2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24.9</w:t>
            </w:r>
          </w:p>
        </w:tc>
        <w:tc>
          <w:tcPr>
            <w:tcW w:w="100" w:type="dxa"/>
            <w:vAlign w:val="bottom"/>
          </w:tcPr>
          <w:p>
            <w:pPr>
              <w:spacing w:after="0"/>
              <w:rPr>
                <w:sz w:val="21"/>
                <w:szCs w:val="21"/>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18.7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(43.7)</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43.1</w:t>
            </w:r>
          </w:p>
        </w:tc>
      </w:tr>
      <w:tr>
        <w:trPr>
          <w:trHeight w:val="270"/>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loss attributable to non-controlling interests</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w:t>
            </w:r>
          </w:p>
        </w:tc>
      </w:tr>
      <w:tr>
        <w:trPr>
          <w:trHeight w:val="250"/>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43.2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24.9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18.7</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(43.7)</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43.1</w:t>
            </w:r>
          </w:p>
        </w:tc>
      </w:tr>
      <w:tr>
        <w:trPr>
          <w:trHeight w:val="250"/>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37.5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24.9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13.2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37.5</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652" w:right="33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color w:val="auto"/>
        </w:rPr>
        <w:t>CONDENSED CONSOLIDATING BALANCE SHEETS (unaudited -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9"/>
              </w:rPr>
              <w:t>Guarantor</w:t>
            </w:r>
          </w:p>
        </w:tc>
        <w:tc>
          <w:tcPr>
            <w:tcW w:w="1220" w:type="dxa"/>
            <w:vAlign w:val="bottom"/>
            <w:gridSpan w:val="3"/>
          </w:tcPr>
          <w:p>
            <w:pPr>
              <w:ind w:left="4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r>
      <w:tr>
        <w:trPr>
          <w:trHeight w:val="202"/>
        </w:trPr>
        <w:tc>
          <w:tcPr>
            <w:tcW w:w="5180" w:type="dxa"/>
            <w:vAlign w:val="bottom"/>
          </w:tcPr>
          <w:p>
            <w:pPr>
              <w:ind w:left="40"/>
              <w:spacing w:after="0"/>
              <w:rPr>
                <w:sz w:val="20"/>
                <w:szCs w:val="20"/>
                <w:color w:val="auto"/>
              </w:rPr>
            </w:pPr>
            <w:r>
              <w:rPr>
                <w:rFonts w:ascii="Arial" w:cs="Arial" w:eastAsia="Arial" w:hAnsi="Arial"/>
                <w:sz w:val="15"/>
                <w:szCs w:val="15"/>
                <w:b w:val="1"/>
                <w:bCs w:val="1"/>
                <w:color w:val="auto"/>
              </w:rPr>
              <w:t>As of March 31, 2020</w:t>
            </w:r>
          </w:p>
        </w:tc>
        <w:tc>
          <w:tcPr>
            <w:tcW w:w="12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b w:val="1"/>
                <w:bCs w:val="1"/>
                <w:color w:val="auto"/>
              </w:rPr>
              <w:t>MasTec, Inc.</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4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5"/>
                <w:szCs w:val="15"/>
                <w:b w:val="1"/>
                <w:bCs w:val="1"/>
                <w:color w:val="auto"/>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Pr>
          <w:p>
            <w:pPr>
              <w:spacing w:after="0"/>
              <w:rPr>
                <w:sz w:val="17"/>
                <w:szCs w:val="17"/>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b w:val="1"/>
                <w:bCs w:val="1"/>
                <w:color w:val="auto"/>
                <w:w w:val="94"/>
              </w:rPr>
              <w:t>MasTec, Inc.</w:t>
            </w:r>
          </w:p>
        </w:tc>
      </w:tr>
      <w:tr>
        <w:trPr>
          <w:trHeight w:val="268"/>
        </w:trPr>
        <w:tc>
          <w:tcPr>
            <w:tcW w:w="5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18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1,871.6</w:t>
            </w:r>
          </w:p>
        </w:tc>
        <w:tc>
          <w:tcPr>
            <w:tcW w:w="10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236.5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(28.3)</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2,079.8</w:t>
            </w:r>
          </w:p>
        </w:tc>
      </w:tr>
      <w:tr>
        <w:trPr>
          <w:trHeight w:val="274"/>
        </w:trPr>
        <w:tc>
          <w:tcPr>
            <w:tcW w:w="51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898.8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937.3</w:t>
            </w:r>
          </w:p>
        </w:tc>
      </w:tr>
      <w:tr>
        <w:trPr>
          <w:trHeight w:val="266"/>
        </w:trPr>
        <w:tc>
          <w:tcPr>
            <w:tcW w:w="5180" w:type="dxa"/>
            <w:vAlign w:val="bottom"/>
          </w:tcPr>
          <w:p>
            <w:pPr>
              <w:ind w:left="180"/>
              <w:spacing w:after="0"/>
              <w:rPr>
                <w:sz w:val="20"/>
                <w:szCs w:val="20"/>
                <w:color w:val="auto"/>
              </w:rPr>
            </w:pPr>
            <w:r>
              <w:rPr>
                <w:rFonts w:ascii="Arial" w:cs="Arial" w:eastAsia="Arial" w:hAnsi="Arial"/>
                <w:sz w:val="15"/>
                <w:szCs w:val="15"/>
                <w:color w:val="auto"/>
              </w:rPr>
              <w:t>Operating lease assets</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201.3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210.6</w:t>
            </w:r>
          </w:p>
        </w:tc>
      </w:tr>
      <w:tr>
        <w:trPr>
          <w:trHeight w:val="274"/>
        </w:trPr>
        <w:tc>
          <w:tcPr>
            <w:tcW w:w="51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Goodwill and other intangible assets, net</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1,260.4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1,421.9</w:t>
            </w:r>
          </w:p>
        </w:tc>
      </w:tr>
      <w:tr>
        <w:trPr>
          <w:trHeight w:val="266"/>
        </w:trPr>
        <w:tc>
          <w:tcPr>
            <w:tcW w:w="5180" w:type="dxa"/>
            <w:vAlign w:val="bottom"/>
          </w:tcPr>
          <w:p>
            <w:pPr>
              <w:ind w:left="180"/>
              <w:spacing w:after="0"/>
              <w:rPr>
                <w:sz w:val="20"/>
                <w:szCs w:val="20"/>
                <w:color w:val="auto"/>
              </w:rPr>
            </w:pPr>
            <w:r>
              <w:rPr>
                <w:rFonts w:ascii="Arial" w:cs="Arial" w:eastAsia="Arial" w:hAnsi="Arial"/>
                <w:sz w:val="15"/>
                <w:szCs w:val="15"/>
                <w:color w:val="auto"/>
              </w:rPr>
              <w:t>Investments in and advances to consolidated affiliates, net</w:t>
            </w:r>
          </w:p>
        </w:tc>
        <w:tc>
          <w:tcPr>
            <w:tcW w:w="12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1,667.2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1,382.7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(3,049.9)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0"/>
        </w:trPr>
        <w:tc>
          <w:tcPr>
            <w:tcW w:w="51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long-term assets</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39.6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243.9</w:t>
            </w:r>
          </w:p>
        </w:tc>
      </w:tr>
      <w:tr>
        <w:trPr>
          <w:trHeight w:val="250"/>
        </w:trPr>
        <w:tc>
          <w:tcPr>
            <w:tcW w:w="518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1,685.5</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5,654.4</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631.8</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(3,078.2)</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4,893.5</w:t>
            </w:r>
          </w:p>
        </w:tc>
      </w:tr>
      <w:tr>
        <w:trPr>
          <w:trHeight w:val="268"/>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Liabilities and equity</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6"/>
        </w:trPr>
        <w:tc>
          <w:tcPr>
            <w:tcW w:w="5180" w:type="dxa"/>
            <w:vAlign w:val="bottom"/>
          </w:tcPr>
          <w:p>
            <w:pPr>
              <w:ind w:left="180"/>
              <w:spacing w:after="0"/>
              <w:rPr>
                <w:sz w:val="20"/>
                <w:szCs w:val="20"/>
                <w:color w:val="auto"/>
              </w:rPr>
            </w:pPr>
            <w:r>
              <w:rPr>
                <w:rFonts w:ascii="Arial" w:cs="Arial" w:eastAsia="Arial" w:hAnsi="Arial"/>
                <w:sz w:val="15"/>
                <w:szCs w:val="15"/>
                <w:color w:val="auto"/>
              </w:rPr>
              <w:t>Total current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1,205.6</w:t>
            </w:r>
          </w:p>
        </w:tc>
        <w:tc>
          <w:tcPr>
            <w:tcW w:w="10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82.7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(28.3)</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1,260.0</w:t>
            </w:r>
          </w:p>
        </w:tc>
      </w:tr>
      <w:tr>
        <w:trPr>
          <w:trHeight w:val="274"/>
        </w:trPr>
        <w:tc>
          <w:tcPr>
            <w:tcW w:w="51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Long-term debt, including finance leases</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1,294.9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1,297.3</w:t>
            </w:r>
          </w:p>
        </w:tc>
      </w:tr>
      <w:tr>
        <w:trPr>
          <w:trHeight w:val="266"/>
        </w:trPr>
        <w:tc>
          <w:tcPr>
            <w:tcW w:w="5180" w:type="dxa"/>
            <w:vAlign w:val="bottom"/>
          </w:tcPr>
          <w:p>
            <w:pPr>
              <w:ind w:left="180"/>
              <w:spacing w:after="0"/>
              <w:rPr>
                <w:sz w:val="20"/>
                <w:szCs w:val="20"/>
                <w:color w:val="auto"/>
              </w:rPr>
            </w:pPr>
            <w:r>
              <w:rPr>
                <w:rFonts w:ascii="Arial" w:cs="Arial" w:eastAsia="Arial" w:hAnsi="Arial"/>
                <w:sz w:val="15"/>
                <w:szCs w:val="15"/>
                <w:color w:val="auto"/>
              </w:rPr>
              <w:t>Advances from consolidated affiliates, net</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199.3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(199.3)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4"/>
        </w:trPr>
        <w:tc>
          <w:tcPr>
            <w:tcW w:w="51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Long-term operating lease liabilities</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131.7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143.4</w:t>
            </w:r>
          </w:p>
        </w:tc>
      </w:tr>
      <w:tr>
        <w:trPr>
          <w:trHeight w:val="266"/>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long-term liabilities</w:t>
            </w: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482.4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502.9</w:t>
            </w:r>
          </w:p>
        </w:tc>
      </w:tr>
      <w:tr>
        <w:trPr>
          <w:trHeight w:val="250"/>
        </w:trPr>
        <w:tc>
          <w:tcPr>
            <w:tcW w:w="51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3,114.6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316.6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3,203.7</w:t>
            </w:r>
          </w:p>
        </w:tc>
      </w:tr>
      <w:tr>
        <w:trPr>
          <w:trHeight w:val="250"/>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Total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1,685.5</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2,539.8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315.2</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(2,850.6)</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1,689.8</w:t>
            </w:r>
          </w:p>
        </w:tc>
      </w:tr>
      <w:tr>
        <w:trPr>
          <w:trHeight w:val="250"/>
        </w:trPr>
        <w:tc>
          <w:tcPr>
            <w:tcW w:w="51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1,685.5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5,654.4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631.8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(3,078.2)</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4,893.5</w:t>
            </w: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9"/>
              </w:rPr>
              <w:t>Guarantor</w:t>
            </w:r>
          </w:p>
        </w:tc>
        <w:tc>
          <w:tcPr>
            <w:tcW w:w="1220" w:type="dxa"/>
            <w:vAlign w:val="bottom"/>
            <w:gridSpan w:val="3"/>
          </w:tcPr>
          <w:p>
            <w:pPr>
              <w:ind w:left="4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r>
      <w:tr>
        <w:trPr>
          <w:trHeight w:val="202"/>
        </w:trPr>
        <w:tc>
          <w:tcPr>
            <w:tcW w:w="5180" w:type="dxa"/>
            <w:vAlign w:val="bottom"/>
          </w:tcPr>
          <w:p>
            <w:pPr>
              <w:ind w:left="40"/>
              <w:spacing w:after="0"/>
              <w:rPr>
                <w:sz w:val="20"/>
                <w:szCs w:val="20"/>
                <w:color w:val="auto"/>
              </w:rPr>
            </w:pPr>
            <w:r>
              <w:rPr>
                <w:rFonts w:ascii="Arial" w:cs="Arial" w:eastAsia="Arial" w:hAnsi="Arial"/>
                <w:sz w:val="15"/>
                <w:szCs w:val="15"/>
                <w:b w:val="1"/>
                <w:bCs w:val="1"/>
                <w:color w:val="auto"/>
              </w:rPr>
              <w:t>As of December 31, 2019</w:t>
            </w:r>
          </w:p>
        </w:tc>
        <w:tc>
          <w:tcPr>
            <w:tcW w:w="12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b w:val="1"/>
                <w:bCs w:val="1"/>
                <w:color w:val="auto"/>
              </w:rPr>
              <w:t>MasTec, Inc.</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4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5"/>
                <w:szCs w:val="15"/>
                <w:b w:val="1"/>
                <w:bCs w:val="1"/>
                <w:color w:val="auto"/>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Pr>
          <w:p>
            <w:pPr>
              <w:spacing w:after="0"/>
              <w:rPr>
                <w:sz w:val="17"/>
                <w:szCs w:val="17"/>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b w:val="1"/>
                <w:bCs w:val="1"/>
                <w:color w:val="auto"/>
                <w:w w:val="94"/>
              </w:rPr>
              <w:t>MasTec, Inc.</w:t>
            </w:r>
          </w:p>
        </w:tc>
      </w:tr>
      <w:tr>
        <w:trPr>
          <w:trHeight w:val="268"/>
        </w:trPr>
        <w:tc>
          <w:tcPr>
            <w:tcW w:w="5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18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1,987.8</w:t>
            </w:r>
          </w:p>
        </w:tc>
        <w:tc>
          <w:tcPr>
            <w:tcW w:w="10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248.1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(62.4)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2,173.6</w:t>
            </w:r>
          </w:p>
        </w:tc>
      </w:tr>
      <w:tr>
        <w:trPr>
          <w:trHeight w:val="274"/>
        </w:trPr>
        <w:tc>
          <w:tcPr>
            <w:tcW w:w="51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862.0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905.8</w:t>
            </w:r>
          </w:p>
        </w:tc>
      </w:tr>
      <w:tr>
        <w:trPr>
          <w:trHeight w:val="266"/>
        </w:trPr>
        <w:tc>
          <w:tcPr>
            <w:tcW w:w="5180" w:type="dxa"/>
            <w:vAlign w:val="bottom"/>
          </w:tcPr>
          <w:p>
            <w:pPr>
              <w:ind w:left="180"/>
              <w:spacing w:after="0"/>
              <w:rPr>
                <w:sz w:val="20"/>
                <w:szCs w:val="20"/>
                <w:color w:val="auto"/>
              </w:rPr>
            </w:pPr>
            <w:r>
              <w:rPr>
                <w:rFonts w:ascii="Arial" w:cs="Arial" w:eastAsia="Arial" w:hAnsi="Arial"/>
                <w:sz w:val="15"/>
                <w:szCs w:val="15"/>
                <w:color w:val="auto"/>
              </w:rPr>
              <w:t>Operating lease assets</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214.7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229.9</w:t>
            </w:r>
          </w:p>
        </w:tc>
      </w:tr>
      <w:tr>
        <w:trPr>
          <w:trHeight w:val="274"/>
        </w:trPr>
        <w:tc>
          <w:tcPr>
            <w:tcW w:w="51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Goodwill and other intangible assets, net</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1,265.6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167.3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1,433.0</w:t>
            </w:r>
          </w:p>
        </w:tc>
      </w:tr>
      <w:tr>
        <w:trPr>
          <w:trHeight w:val="266"/>
        </w:trPr>
        <w:tc>
          <w:tcPr>
            <w:tcW w:w="5180" w:type="dxa"/>
            <w:vAlign w:val="bottom"/>
          </w:tcPr>
          <w:p>
            <w:pPr>
              <w:ind w:left="180"/>
              <w:spacing w:after="0"/>
              <w:rPr>
                <w:sz w:val="20"/>
                <w:szCs w:val="20"/>
                <w:color w:val="auto"/>
              </w:rPr>
            </w:pPr>
            <w:r>
              <w:rPr>
                <w:rFonts w:ascii="Arial" w:cs="Arial" w:eastAsia="Arial" w:hAnsi="Arial"/>
                <w:sz w:val="15"/>
                <w:szCs w:val="15"/>
                <w:color w:val="auto"/>
              </w:rPr>
              <w:t>Investments in and advances to consolidated affiliates, net</w:t>
            </w:r>
          </w:p>
        </w:tc>
        <w:tc>
          <w:tcPr>
            <w:tcW w:w="12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1,768.9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1,233.5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(3,002.4)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0"/>
        </w:trPr>
        <w:tc>
          <w:tcPr>
            <w:tcW w:w="51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long-term assets</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193.8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254.7</w:t>
            </w:r>
          </w:p>
        </w:tc>
      </w:tr>
      <w:tr>
        <w:trPr>
          <w:trHeight w:val="250"/>
        </w:trPr>
        <w:tc>
          <w:tcPr>
            <w:tcW w:w="518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1,787.3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5,606.2</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668.3</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(3,064.8)</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4,997.0</w:t>
            </w:r>
          </w:p>
        </w:tc>
      </w:tr>
      <w:tr>
        <w:trPr>
          <w:trHeight w:val="268"/>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Liabilities and equity</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6"/>
        </w:trPr>
        <w:tc>
          <w:tcPr>
            <w:tcW w:w="5180" w:type="dxa"/>
            <w:vAlign w:val="bottom"/>
          </w:tcPr>
          <w:p>
            <w:pPr>
              <w:ind w:left="180"/>
              <w:spacing w:after="0"/>
              <w:rPr>
                <w:sz w:val="20"/>
                <w:szCs w:val="20"/>
                <w:color w:val="auto"/>
              </w:rPr>
            </w:pPr>
            <w:r>
              <w:rPr>
                <w:rFonts w:ascii="Arial" w:cs="Arial" w:eastAsia="Arial" w:hAnsi="Arial"/>
                <w:sz w:val="15"/>
                <w:szCs w:val="15"/>
                <w:color w:val="auto"/>
              </w:rPr>
              <w:t>Total current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1,141.6</w:t>
            </w:r>
          </w:p>
        </w:tc>
        <w:tc>
          <w:tcPr>
            <w:tcW w:w="10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139.8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(62.4)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1,219.1</w:t>
            </w:r>
          </w:p>
        </w:tc>
      </w:tr>
      <w:tr>
        <w:trPr>
          <w:trHeight w:val="274"/>
        </w:trPr>
        <w:tc>
          <w:tcPr>
            <w:tcW w:w="51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Long-term debt, including finance leases</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1,310.9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1,314.0</w:t>
            </w:r>
          </w:p>
        </w:tc>
      </w:tr>
      <w:tr>
        <w:trPr>
          <w:trHeight w:val="266"/>
        </w:trPr>
        <w:tc>
          <w:tcPr>
            <w:tcW w:w="5180" w:type="dxa"/>
            <w:vAlign w:val="bottom"/>
          </w:tcPr>
          <w:p>
            <w:pPr>
              <w:ind w:left="180"/>
              <w:spacing w:after="0"/>
              <w:rPr>
                <w:sz w:val="20"/>
                <w:szCs w:val="20"/>
                <w:color w:val="auto"/>
              </w:rPr>
            </w:pPr>
            <w:r>
              <w:rPr>
                <w:rFonts w:ascii="Arial" w:cs="Arial" w:eastAsia="Arial" w:hAnsi="Arial"/>
                <w:sz w:val="15"/>
                <w:szCs w:val="15"/>
                <w:color w:val="auto"/>
              </w:rPr>
              <w:t>Advances from consolidated affiliates, net</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167.5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(167.5)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4"/>
        </w:trPr>
        <w:tc>
          <w:tcPr>
            <w:tcW w:w="51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Long-term operating lease liabilities</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154.6</w:t>
            </w:r>
          </w:p>
        </w:tc>
      </w:tr>
      <w:tr>
        <w:trPr>
          <w:trHeight w:val="266"/>
        </w:trPr>
        <w:tc>
          <w:tcPr>
            <w:tcW w:w="5180" w:type="dxa"/>
            <w:vAlign w:val="bottom"/>
          </w:tcPr>
          <w:p>
            <w:pPr>
              <w:ind w:left="180"/>
              <w:spacing w:after="0"/>
              <w:rPr>
                <w:sz w:val="20"/>
                <w:szCs w:val="20"/>
                <w:color w:val="auto"/>
              </w:rPr>
            </w:pPr>
            <w:r>
              <w:rPr>
                <w:rFonts w:ascii="Arial" w:cs="Arial" w:eastAsia="Arial" w:hAnsi="Arial"/>
                <w:sz w:val="15"/>
                <w:szCs w:val="15"/>
                <w:color w:val="auto"/>
              </w:rPr>
              <w:t>Other long-term liabilities</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493.1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24.5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517.6</w:t>
            </w:r>
          </w:p>
        </w:tc>
      </w:tr>
      <w:tr>
        <w:trPr>
          <w:trHeight w:val="250"/>
        </w:trPr>
        <w:tc>
          <w:tcPr>
            <w:tcW w:w="51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0.1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3,088.6</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346.5</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(229.9)</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3,205.3</w:t>
            </w:r>
          </w:p>
        </w:tc>
      </w:tr>
      <w:tr>
        <w:trPr>
          <w:trHeight w:val="250"/>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Total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1,787.2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2,517.6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321.8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(2,834.9)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1,791.7</w:t>
            </w:r>
          </w:p>
        </w:tc>
      </w:tr>
      <w:tr>
        <w:trPr>
          <w:trHeight w:val="250"/>
        </w:trPr>
        <w:tc>
          <w:tcPr>
            <w:tcW w:w="51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1,787.3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5,606.2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668.3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(3,064.8)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4,997.0</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662" w:right="33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color w:val="auto"/>
        </w:rPr>
        <w:t>CONDENSED CONSOLIDATING STATEMENTS OF CASH FLOWS (unaudited -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5"/>
                <w:szCs w:val="15"/>
                <w:b w:val="1"/>
                <w:bCs w:val="1"/>
                <w:color w:val="auto"/>
              </w:rPr>
              <w:t>Guarantor</w:t>
            </w:r>
          </w:p>
        </w:tc>
        <w:tc>
          <w:tcPr>
            <w:tcW w:w="1220" w:type="dxa"/>
            <w:vAlign w:val="bottom"/>
            <w:gridSpan w:val="3"/>
          </w:tcPr>
          <w:p>
            <w:pPr>
              <w:ind w:left="4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Three Months Ended March 31, 2020</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189.6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203.3</w:t>
            </w:r>
          </w:p>
        </w:tc>
      </w:tr>
      <w:tr>
        <w:trPr>
          <w:trHeight w:val="259"/>
        </w:trPr>
        <w:tc>
          <w:tcPr>
            <w:tcW w:w="516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74"/>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Capital expenditures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w:t>
            </w:r>
          </w:p>
        </w:tc>
      </w:tr>
      <w:tr>
        <w:trPr>
          <w:trHeight w:val="266"/>
        </w:trPr>
        <w:tc>
          <w:tcPr>
            <w:tcW w:w="5160" w:type="dxa"/>
            <w:vAlign w:val="bottom"/>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8.4</w:t>
            </w:r>
          </w:p>
        </w:tc>
      </w:tr>
      <w:tr>
        <w:trPr>
          <w:trHeight w:val="274"/>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for other investments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w:t>
            </w:r>
          </w:p>
        </w:tc>
      </w:tr>
      <w:tr>
        <w:trPr>
          <w:trHeight w:val="266"/>
        </w:trPr>
        <w:tc>
          <w:tcPr>
            <w:tcW w:w="5160" w:type="dxa"/>
            <w:vAlign w:val="bottom"/>
          </w:tcPr>
          <w:p>
            <w:pPr>
              <w:ind w:left="180"/>
              <w:spacing w:after="0"/>
              <w:rPr>
                <w:sz w:val="20"/>
                <w:szCs w:val="20"/>
                <w:color w:val="auto"/>
              </w:rPr>
            </w:pPr>
            <w:r>
              <w:rPr>
                <w:rFonts w:ascii="Arial" w:cs="Arial" w:eastAsia="Arial" w:hAnsi="Arial"/>
                <w:sz w:val="15"/>
                <w:szCs w:val="15"/>
                <w:color w:val="auto"/>
              </w:rPr>
              <w:t>Proceeds from other investments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8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0.6</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investing activities,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4.8</w:t>
            </w:r>
          </w:p>
        </w:tc>
      </w:tr>
      <w:tr>
        <w:trPr>
          <w:trHeight w:val="250"/>
        </w:trPr>
        <w:tc>
          <w:tcPr>
            <w:tcW w:w="5160" w:type="dxa"/>
            <w:vAlign w:val="bottom"/>
          </w:tcPr>
          <w:p>
            <w:pPr>
              <w:ind w:left="40"/>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(46.1)</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(12.6)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(58.7)</w:t>
            </w:r>
          </w:p>
        </w:tc>
      </w:tr>
      <w:tr>
        <w:trPr>
          <w:trHeight w:val="268"/>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16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673.0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675.9</w:t>
            </w:r>
          </w:p>
        </w:tc>
      </w:tr>
      <w:tr>
        <w:trPr>
          <w:trHeight w:val="274"/>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(668.8)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(671.8)</w:t>
            </w:r>
          </w:p>
        </w:tc>
      </w:tr>
      <w:tr>
        <w:trPr>
          <w:trHeight w:val="266"/>
        </w:trPr>
        <w:tc>
          <w:tcPr>
            <w:tcW w:w="5160" w:type="dxa"/>
            <w:vAlign w:val="bottom"/>
          </w:tcPr>
          <w:p>
            <w:pPr>
              <w:ind w:left="180"/>
              <w:spacing w:after="0"/>
              <w:rPr>
                <w:sz w:val="20"/>
                <w:szCs w:val="20"/>
                <w:color w:val="auto"/>
              </w:rPr>
            </w:pPr>
            <w:r>
              <w:rPr>
                <w:rFonts w:ascii="Arial" w:cs="Arial" w:eastAsia="Arial" w:hAnsi="Arial"/>
                <w:sz w:val="15"/>
                <w:szCs w:val="15"/>
                <w:color w:val="auto"/>
              </w:rPr>
              <w:t>Payments of finance lease obligations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(30.9)</w:t>
            </w:r>
          </w:p>
        </w:tc>
      </w:tr>
      <w:tr>
        <w:trPr>
          <w:trHeight w:val="274"/>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Repurchases of common stock</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(119.4)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(119.4)</w:t>
            </w:r>
          </w:p>
        </w:tc>
      </w:tr>
      <w:tr>
        <w:trPr>
          <w:trHeight w:val="266"/>
        </w:trPr>
        <w:tc>
          <w:tcPr>
            <w:tcW w:w="5160" w:type="dxa"/>
            <w:vAlign w:val="bottom"/>
          </w:tcPr>
          <w:p>
            <w:pPr>
              <w:ind w:left="180"/>
              <w:spacing w:after="0"/>
              <w:rPr>
                <w:sz w:val="20"/>
                <w:szCs w:val="20"/>
                <w:color w:val="auto"/>
              </w:rPr>
            </w:pPr>
            <w:r>
              <w:rPr>
                <w:rFonts w:ascii="Arial" w:cs="Arial" w:eastAsia="Arial" w:hAnsi="Arial"/>
                <w:sz w:val="15"/>
                <w:szCs w:val="15"/>
                <w:color w:val="auto"/>
              </w:rPr>
              <w:t>Proceeds from stock-based awards</w:t>
            </w:r>
          </w:p>
        </w:tc>
        <w:tc>
          <w:tcPr>
            <w:tcW w:w="14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8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1.5</w:t>
            </w:r>
          </w:p>
        </w:tc>
      </w:tr>
      <w:tr>
        <w:trPr>
          <w:trHeight w:val="274"/>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for stock-based awards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r>
      <w:tr>
        <w:trPr>
          <w:trHeight w:val="266"/>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financing activities and advances from (to) consolidated affiliates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118.5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0.6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(used in) provided by financing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(145.2)</w:t>
            </w:r>
          </w:p>
        </w:tc>
      </w:tr>
      <w:tr>
        <w:trPr>
          <w:trHeight w:val="250"/>
        </w:trPr>
        <w:tc>
          <w:tcPr>
            <w:tcW w:w="5160" w:type="dxa"/>
            <w:vAlign w:val="bottom"/>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0.9</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(decrease) increase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0.2</w:t>
            </w: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36.4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35.0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71.4</w:t>
            </w: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34.5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37.2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71.7</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20"/>
          </w:cols>
          <w:pgMar w:left="320" w:top="500" w:right="35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color w:val="auto"/>
        </w:rPr>
        <w:t>CONDENSED CONSOLIDATING STATEMENTS OF CASH FLOWS (unaudited -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5"/>
                <w:szCs w:val="15"/>
                <w:b w:val="1"/>
                <w:bCs w:val="1"/>
                <w:color w:val="auto"/>
              </w:rPr>
              <w:t>Guarantor</w:t>
            </w:r>
          </w:p>
        </w:tc>
        <w:tc>
          <w:tcPr>
            <w:tcW w:w="1220" w:type="dxa"/>
            <w:vAlign w:val="bottom"/>
            <w:gridSpan w:val="3"/>
          </w:tcPr>
          <w:p>
            <w:pPr>
              <w:ind w:left="4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Three Months Ended March 31, 2019</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w:t>
            </w:r>
          </w:p>
        </w:tc>
      </w:tr>
      <w:tr>
        <w:trPr>
          <w:trHeight w:val="259"/>
        </w:trPr>
        <w:tc>
          <w:tcPr>
            <w:tcW w:w="516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74"/>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(93.7)</w:t>
            </w:r>
          </w:p>
        </w:tc>
      </w:tr>
      <w:tr>
        <w:trPr>
          <w:trHeight w:val="266"/>
        </w:trPr>
        <w:tc>
          <w:tcPr>
            <w:tcW w:w="516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(34.4)</w:t>
            </w:r>
          </w:p>
        </w:tc>
      </w:tr>
      <w:tr>
        <w:trPr>
          <w:trHeight w:val="274"/>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8.7</w:t>
            </w:r>
          </w:p>
        </w:tc>
      </w:tr>
      <w:tr>
        <w:trPr>
          <w:trHeight w:val="266"/>
        </w:trPr>
        <w:tc>
          <w:tcPr>
            <w:tcW w:w="5160" w:type="dxa"/>
            <w:vAlign w:val="bottom"/>
          </w:tcPr>
          <w:p>
            <w:pPr>
              <w:ind w:left="180"/>
              <w:spacing w:after="0"/>
              <w:rPr>
                <w:sz w:val="20"/>
                <w:szCs w:val="20"/>
                <w:color w:val="auto"/>
              </w:rPr>
            </w:pPr>
            <w:r>
              <w:rPr>
                <w:rFonts w:ascii="Arial" w:cs="Arial" w:eastAsia="Arial" w:hAnsi="Arial"/>
                <w:sz w:val="15"/>
                <w:szCs w:val="15"/>
                <w:color w:val="auto"/>
              </w:rPr>
              <w:t>Payments for other investments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10.4</w:t>
            </w:r>
          </w:p>
        </w:tc>
      </w:tr>
      <w:tr>
        <w:trPr>
          <w:trHeight w:val="250"/>
        </w:trPr>
        <w:tc>
          <w:tcPr>
            <w:tcW w:w="5160" w:type="dxa"/>
            <w:vAlign w:val="bottom"/>
          </w:tcPr>
          <w:p>
            <w:pPr>
              <w:ind w:left="40"/>
              <w:spacing w:after="0"/>
              <w:rPr>
                <w:sz w:val="20"/>
                <w:szCs w:val="20"/>
                <w:color w:val="auto"/>
              </w:rPr>
            </w:pPr>
            <w:r>
              <w:rPr>
                <w:rFonts w:ascii="Arial" w:cs="Arial" w:eastAsia="Arial" w:hAnsi="Arial"/>
                <w:sz w:val="15"/>
                <w:szCs w:val="15"/>
                <w:color w:val="auto"/>
              </w:rPr>
              <w:t>Net cash (used in) provided by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(112.8)</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(111.2)</w:t>
            </w:r>
          </w:p>
        </w:tc>
      </w:tr>
      <w:tr>
        <w:trPr>
          <w:trHeight w:val="268"/>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16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862.7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866.4</w:t>
            </w:r>
          </w:p>
        </w:tc>
      </w:tr>
      <w:tr>
        <w:trPr>
          <w:trHeight w:val="274"/>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(667.2)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(670.8)</w:t>
            </w:r>
          </w:p>
        </w:tc>
      </w:tr>
      <w:tr>
        <w:trPr>
          <w:trHeight w:val="266"/>
        </w:trPr>
        <w:tc>
          <w:tcPr>
            <w:tcW w:w="5160" w:type="dxa"/>
            <w:vAlign w:val="bottom"/>
          </w:tcPr>
          <w:p>
            <w:pPr>
              <w:ind w:left="180"/>
              <w:spacing w:after="0"/>
              <w:rPr>
                <w:sz w:val="20"/>
                <w:szCs w:val="20"/>
                <w:color w:val="auto"/>
              </w:rPr>
            </w:pPr>
            <w:r>
              <w:rPr>
                <w:rFonts w:ascii="Arial" w:cs="Arial" w:eastAsia="Arial" w:hAnsi="Arial"/>
                <w:sz w:val="15"/>
                <w:szCs w:val="15"/>
                <w:color w:val="auto"/>
              </w:rPr>
              <w:t>Payments of finance lease obligations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(17.2)</w:t>
            </w:r>
          </w:p>
        </w:tc>
      </w:tr>
      <w:tr>
        <w:trPr>
          <w:trHeight w:val="274"/>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Repurchases of common stock</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r>
      <w:tr>
        <w:trPr>
          <w:trHeight w:val="266"/>
        </w:trPr>
        <w:tc>
          <w:tcPr>
            <w:tcW w:w="5160" w:type="dxa"/>
            <w:vAlign w:val="bottom"/>
          </w:tcPr>
          <w:p>
            <w:pPr>
              <w:ind w:left="180"/>
              <w:spacing w:after="0"/>
              <w:rPr>
                <w:sz w:val="20"/>
                <w:szCs w:val="20"/>
                <w:color w:val="auto"/>
              </w:rPr>
            </w:pPr>
            <w:r>
              <w:rPr>
                <w:rFonts w:ascii="Arial" w:cs="Arial" w:eastAsia="Arial" w:hAnsi="Arial"/>
                <w:sz w:val="15"/>
                <w:szCs w:val="15"/>
                <w:color w:val="auto"/>
              </w:rPr>
              <w:t>Proceeds from stock-based awards</w:t>
            </w:r>
          </w:p>
        </w:tc>
        <w:tc>
          <w:tcPr>
            <w:tcW w:w="14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8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1.1</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financing activities and advances from (to) consolidated affiliates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22.7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cash provided by financing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151.5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22.3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173.8</w:t>
            </w:r>
          </w:p>
        </w:tc>
      </w:tr>
      <w:tr>
        <w:trPr>
          <w:trHeight w:val="254"/>
        </w:trPr>
        <w:tc>
          <w:tcPr>
            <w:tcW w:w="5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r>
      <w:tr>
        <w:trPr>
          <w:trHeight w:val="26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(decrease) increase in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15.8</w:t>
            </w: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11.9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15.6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27.4</w:t>
            </w:r>
          </w:p>
        </w:tc>
      </w:tr>
      <w:tr>
        <w:trPr>
          <w:trHeight w:val="250"/>
        </w:trPr>
        <w:tc>
          <w:tcPr>
            <w:tcW w:w="5160" w:type="dxa"/>
            <w:vAlign w:val="bottom"/>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7.1</w:t>
            </w:r>
          </w:p>
        </w:tc>
        <w:tc>
          <w:tcPr>
            <w:tcW w:w="12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36.2</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43.2</w:t>
            </w:r>
          </w:p>
        </w:tc>
      </w:tr>
    </w:tbl>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20"/>
          </w:cols>
          <w:pgMar w:left="320" w:top="500" w:right="35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or dispositions.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w:t>
      </w:r>
    </w:p>
    <w:p>
      <w:pPr>
        <w:spacing w:after="0" w:line="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These risks and uncertainties include those described in “Management’s Discussion and Analysis of Financial Condition and Results of Operations,” and elsewhere in this report and in our 2019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following is a discussion of our business, financial condition and results of operations as of and for the three month periods ended March 31, 2020 and 2019. This discussion and analysis should be read in conjunction with our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2019 Form 10-K. In this MD&amp;A, “$” means U.S. dollars unless specified otherwise.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the COVID-19 Pandemic</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March 2020, a global pandemic was declared by the World Health Organization related to the rapidly growing outbreak of a novel strain of coronavirus (COVID-19). The pandemic has significantly affected economic conditions in the United States and internationally, accelerating during the first half of March and continuing into April, as federal, state and local governments reacted to the public health crisis with mitigation measures, creating significant uncertainties in the U.S. economy. The extent to which the COVID-19 pandemic could affect our business, operations and financial results will depend upon numerous evolving factors that we may not be able to accurately predict.</w:t>
      </w:r>
    </w:p>
    <w:p>
      <w:pPr>
        <w:spacing w:after="0" w:line="8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The effects of the pandemic on our financial results for the three month period ended March 31, 2020 were limited. To date, most of our construction services are currently deemed essential under state and local pandemic mitigation orders and all of our business segments continue to operate. Our top priority has been to take appropriate actions to protect the health and safety of our employees, customers and business partners. We have adjusted our standard operating procedures within our business operations to ensure continued employee and customer safety and are continually monitoring evolving health guidelines and responding to changes as appropriate. These procedures include implementation of appropriate distancing programs and required use of certain personal protective equipment for our crew operations, as well as appropriate sanitation measures for key equipment and facilities. We have also incorporated work at home programs where necessary for our administrative offices.</w:t>
      </w:r>
    </w:p>
    <w:p>
      <w:pPr>
        <w:spacing w:after="0" w:line="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impact of the COVID-19 pandemic may continue to affect our future business activities for an indefinite period of time. These impacts may include lost productivity from governmental permitting approval delays, reduced crew productivity due to social distancing, other mitigation measures or other factors, higher operating costs and lower levels of overhead cost absorption, and/or delayed project start dates or project shutdowns that may be requested or mandated by governmental authorities or others. To the extent that future business activities are adversely affected by the pandemic, we intend to take appropriate actions designed to mitigate these impacts; however, there can be no assurance that we will be successful in these efforts.</w:t>
      </w:r>
    </w:p>
    <w:p>
      <w:pPr>
        <w:spacing w:after="0" w:line="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Additionally, potential disruptions in future economic activity as a result of the COVID-19 pandemic may have adverse effects across our end markets, but given the uncertainty regarding the magnitude and duration of the pandemic’s effects, we are unable to predict with specificity or quantify any potential future impact on our business, financial condition and/or results of operations.</w:t>
      </w:r>
    </w:p>
    <w:p>
      <w:pPr>
        <w:spacing w:after="0" w:line="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As of March 31, 2020, we maintain a strong balance sheet, have strong relationships with our banking partners and have ample liquidity totaling approximately $946 million, comprising $874 million of availability under our credit facility and $72 million of cash. Our business operations typically generate significant cash flow, affording us the flexibility to invest strategically in our efforts to maximize shareholder value through mergers and acquisitions, share repurchases and capital expenditures. We are carefully managing liquidity and monitoring any potential effects from the pandemic on our financial results, cash flows and/or working capital and intend to take appropriate actions in efforts to mitigate any impacts; however, there can be no assurance that we will be successful in these efforts.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petroleum and natural gas pipeline infrastructure; electrical utility transmission and distribution; power generation, including from renewable sources; heavy civil; and industrial infrastructure. Our customers are primarily in these industries. Including our predecessor companies, we have been in business for over 90 years. For the twelve month period ended March 31, 2020, we had an average of approximately 20,000 employees and 380 locations. We offer our services primarily under the MasTec service mark. We have been consistently ranked among the top specialty contractors by Engineering News-Record for the past several years.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558" w:right="339" w:bottom="1440" w:gutter="0" w:footer="0" w:header="0"/>
        </w:sectPr>
      </w:pPr>
    </w:p>
    <w:bookmarkStart w:id="27" w:name="page28"/>
    <w:bookmarkEnd w:id="27"/>
    <w:p>
      <w:pPr>
        <w:jc w:val="both"/>
        <w:ind w:firstLine="648"/>
        <w:spacing w:after="0" w:line="261" w:lineRule="auto"/>
        <w:rPr>
          <w:sz w:val="20"/>
          <w:szCs w:val="20"/>
          <w:color w:val="auto"/>
        </w:rPr>
      </w:pPr>
      <w:r>
        <w:rPr>
          <w:rFonts w:ascii="Arial" w:cs="Arial" w:eastAsia="Arial" w:hAnsi="Arial"/>
          <w:sz w:val="16"/>
          <w:szCs w:val="16"/>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manage our operations under five operating segments, which represent our five reportable segments: (1) Communications; (2) Oil and Gas; (3) Electrical Transmission; (4) Power Generation and Industrial and (5) Other. This structure is generally focused on broad end-user markets for our labor-based construction services. See Note 13 - Segments and Related Information and Note 14 - Commitments and Contingencies in the notes to the consolidated financial statements, which are incorporated by reference, for segment related information and significant customer concentrations.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7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expect to realize approximately 70% of our estimated March 31, 2020 backlog in 2020. The following table presents 18-month estimated backlog by reportable segment, as of the dates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6640" w:type="dxa"/>
            <w:vAlign w:val="bottom"/>
          </w:tcPr>
          <w:p>
            <w:pPr>
              <w:ind w:left="40"/>
              <w:spacing w:after="0"/>
              <w:rPr>
                <w:sz w:val="20"/>
                <w:szCs w:val="20"/>
                <w:color w:val="auto"/>
              </w:rPr>
            </w:pPr>
            <w:r>
              <w:rPr>
                <w:rFonts w:ascii="Arial" w:cs="Arial" w:eastAsia="Arial" w:hAnsi="Arial"/>
                <w:sz w:val="16"/>
                <w:szCs w:val="16"/>
                <w:b w:val="1"/>
                <w:bCs w:val="1"/>
                <w:color w:val="auto"/>
              </w:rPr>
              <w:t>Reportable Segment (in millions):</w:t>
            </w:r>
          </w:p>
        </w:tc>
        <w:tc>
          <w:tcPr>
            <w:tcW w:w="240" w:type="dxa"/>
            <w:vAlign w:val="bottom"/>
          </w:tcPr>
          <w:p>
            <w:pPr>
              <w:spacing w:after="0"/>
              <w:rPr>
                <w:sz w:val="18"/>
                <w:szCs w:val="18"/>
                <w:color w:val="auto"/>
              </w:rPr>
            </w:pPr>
          </w:p>
        </w:tc>
        <w:tc>
          <w:tcPr>
            <w:tcW w:w="12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4,337</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2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2,537</w:t>
            </w:r>
          </w:p>
        </w:tc>
      </w:tr>
      <w:tr>
        <w:trPr>
          <w:trHeight w:val="33"/>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2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716</w:t>
            </w:r>
          </w:p>
        </w:tc>
      </w:tr>
      <w:tr>
        <w:trPr>
          <w:trHeight w:val="33"/>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17"/>
        </w:trPr>
        <w:tc>
          <w:tcPr>
            <w:tcW w:w="6640" w:type="dxa"/>
            <w:vAlign w:val="bottom"/>
          </w:tcPr>
          <w:p>
            <w:pPr>
              <w:ind w:left="280"/>
              <w:spacing w:after="0"/>
              <w:rPr>
                <w:sz w:val="20"/>
                <w:szCs w:val="20"/>
                <w:color w:val="auto"/>
              </w:rPr>
            </w:pPr>
            <w:r>
              <w:rPr>
                <w:rFonts w:ascii="Arial" w:cs="Arial" w:eastAsia="Arial" w:hAnsi="Arial"/>
                <w:sz w:val="16"/>
                <w:szCs w:val="16"/>
                <w:color w:val="auto"/>
              </w:rPr>
              <w:t>Estimated 18-month backlog</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8,326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7,959</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8,000</w:t>
            </w:r>
          </w:p>
        </w:tc>
      </w:tr>
      <w:tr>
        <w:trPr>
          <w:trHeight w:val="33"/>
        </w:trPr>
        <w:tc>
          <w:tcPr>
            <w:tcW w:w="6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Approximately 40% of our backlog as of March 31, 2020 is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delays or cancellations, regulatory or other delays, including from the potential adverse effects of the COVID-19 pandemic on economic activity, and/or other project-related factors. These changes could cause estimated revenue to be realized in periods later than originally expected, or not at all. We occasionally experience postponements, cancellations and reductions in expected future work from master service agreements and/or construction projects due to changes in our customers’ spending plans, market volatility and regulatory delays and/or other factors. There can be no assurance as to our customers’ requirements or the accuracy of our estimates. As a result, our backlog as of any particular date is an uncertain indicator of future revenue and earnings.</w:t>
      </w:r>
    </w:p>
    <w:p>
      <w:pPr>
        <w:spacing w:after="0" w:line="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March 31, 2020, total 18-month backlog differed from the amount of our remaining performance obligations due primarily to the inclusion of $3.4 billion of estimated future revenue under master service and other service agreements within our backlog estimates, as described above, and the exclusion of approximately $0.8 billion of remaining performance obligations and estimated future revenue under master service and other service agreements in excess of 18 months, which amount is not included in the backlog estimates above. Backlog expected to be realized in 2020 differed from the amount of remaining performance obligations expected to be recognized for the same period due primarily to the inclusion of approximately $1.1 billion of estimated future revenue under master service and other service agreements that is included within the related backlog estimate.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Industry and Market Factors</w:t>
      </w:r>
    </w:p>
    <w:p>
      <w:pPr>
        <w:spacing w:after="0" w:line="11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4"/>
          <w:szCs w:val="14"/>
          <w:color w:val="auto"/>
        </w:rPr>
        <w:t>In addition to the effects of the pandemic noted above, we closely monitor the effects of changes in economic and market conditions on our customers. General economic and market conditions can negatively affect demand for our customers’ products and services, which can affect our customers’ planned capital and maintenance budgets in certain end-markets. Market, regulatory and industry factors could affect demand for our services, including (i) changes to our customers’ capital spending plans, including any potential effects from public health issues, such as the recent COVID-19 pandemic; (ii) economic or market developments, including access to capital for customers in the industries we serve; (iii) new or changing regulatory requirements or other governmental policy changes or political developments or uncertainty; (iv) changes in technology, tax and other incentives; and (v) mergers and acquisitions among the customers we serve. Fluctuations in market prices for oil, gas and other fuel sources and availability of transportation and transmission capacity can also affect demand for our services, in particular, on pipeline and power generation construction projects. These fluctuations, as well as the highly competitive nature of our industry, can result in lower levels of activity and profit on the services we provide. In the face of increased pricing pressure or other market developments, we strive to maintain our profit margins through productivity improvements, cost reduction programs and/or business streamlining efforts. While we actively monitor economic, industry and market factors that could affect our business, we cannot predict the effect that changes in such factors may have on our future results of operations, liquidity and cash flows, and we may be unable to fully mitigate, or benefit from, such changes.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Seasonality and Cyclical Nature of Business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revenue and results of operations can be subject to seasonal and other variations. These variations are influenced by weather, customer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616" w:right="339" w:bottom="1440" w:gutter="0" w:footer="0" w:header="0"/>
        </w:sectPr>
      </w:pPr>
    </w:p>
    <w:bookmarkStart w:id="28" w:name="page29"/>
    <w:bookmarkEnd w:id="28"/>
    <w:p>
      <w:pPr>
        <w:jc w:val="both"/>
        <w:spacing w:after="0" w:line="293" w:lineRule="auto"/>
        <w:rPr>
          <w:sz w:val="20"/>
          <w:szCs w:val="20"/>
          <w:color w:val="auto"/>
        </w:rPr>
      </w:pPr>
      <w:r>
        <w:rPr>
          <w:rFonts w:ascii="Arial" w:cs="Arial" w:eastAsia="Arial" w:hAnsi="Arial"/>
          <w:sz w:val="14"/>
          <w:szCs w:val="14"/>
          <w:color w:val="auto"/>
        </w:rPr>
        <w:t>spending patterns, bidding seasons, project schedules, public health matters, holidays and/or timing, in particular, for large non-recurring projects. Typically, our revenue is lowest at the beginning of the year and during the winter months because cold, snowy or wet conditions cause project delays. Revenue is generally higher during the summer and fall months due to increased demand for our services when favorable weather conditions exist in many of the regions in which we operate, but continued cold and wet weather can often affect second quarter productivity. In the fourth quarter, many projects tend to be completed by customers seeking to spend their capital budgets before the end of the year, which generally has a positive effect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flooding or natural catastrophes such as hurricanes or other severe weather, making it difficult to predict quarterly revenue and margin variations.</w:t>
      </w:r>
    </w:p>
    <w:p>
      <w:pPr>
        <w:spacing w:after="0" w:line="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Additionally, our industry can be highly cyclical. Fluctuations in end-user demand within the industries we serve, or in the supply of services within those industries, can affect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and acquisitions, dispositions or strategic investments/other arrangements can also materially affect quarterly results in a given period. Accordingly, our operating results in any particular period may not be indicative of the results that can be expected for any other period. The effects of the COVID-19 pandemic could also result in greater seasonal and cyclical volatility than would otherwise exist under normal conditions.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7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5"/>
          <w:szCs w:val="15"/>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the accompanying notes. We base our estimates on historical experience and on various other assumptions that we believe to be reasonable under the circumstances, the results of which form the basis of making judgments about our operating results, including the results of construction contracts accounted for under the cost-to-cost method, and the carrying values of assets and liabilities that are not readily apparent from other sources. Given that management estimates, by their nature, involve judgments regarding future uncertainties, actual results may differ from these estimates if conditions change or if certain key assumptions used in making these estimates ultimately prove to be inaccurate. Our accounting policies and critical accounting estimates are reviewed periodically by the Audit Committee of the Board of Directors. During the first quarter of 2020, we performed quantitative assessments of the goodwill associated with certain of our reporting units and of two indefinite-lived pre-qualification intangible assets in conjunction with our quarterly review for indicators of impairment. Based on the results of these assessments, we determined that the estimated fair value of one of the reporting units in our Oil and Gas segment, for which the related goodwill has a carrying value of approximately $14 million, exceeded its carrying value by approximately 10%, and that the fair value of a separate reporting unit, for which the related goodwill has a carrying value of approximately $15 million, exceeded its carrying value by approximately 10%. In addition, we reassessed the indefinite life classification of a pre-qualification intangible asset within our Oil and Gas operating segment and a pre-qualification intangible asset within our Electrical Transmission segment with a combined carrying value of $70 million, and determined that based on changes in the assets’ characteristics, including current and expected changes in the customer mix of the associated reporting units, a finite life classification for these assets was more appropriate. As a result, we changed the classification of these pre-qualification intangible assets from indefinite-lived to finite-lived, and began amortizing them on an accelerated basis, with an estimated remaining weighted average useful life of approximately 12 years as of March 31, 2020.</w:t>
      </w:r>
    </w:p>
    <w:p>
      <w:pPr>
        <w:spacing w:after="0" w:line="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Significant changes in the assumptions or estimates used in management’s assessment, such as a reduction in profitability and/or cash flows, could result in non-cash goodwill and indefinite-lived intangible asset impairment charges in the future.</w:t>
      </w:r>
    </w:p>
    <w:p>
      <w:pPr>
        <w:spacing w:after="0" w:line="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indefinite-lived intangible assets and acquisition-related contingent consideration;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 Refer to Note 1 - Business, Basis of Presentation and Significant Accounting Policies in the notes to the consolidated financial statements, which is incorporated by reference, and to our 2019 Form 10-K for discussion of our significant accounting policies.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Comparison of Quarterly Results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616"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w w:val="93"/>
              </w:rPr>
              <w:t>For the Three Months Ended March 31,</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
        </w:trPr>
        <w:tc>
          <w:tcPr>
            <w:tcW w:w="49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r>
      <w:tr>
        <w:trPr>
          <w:trHeight w:val="231"/>
        </w:trPr>
        <w:tc>
          <w:tcPr>
            <w:tcW w:w="4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40" w:type="dxa"/>
            <w:vAlign w:val="bottom"/>
            <w:gridSpan w:val="2"/>
          </w:tcPr>
          <w:p>
            <w:pPr>
              <w:jc w:val="right"/>
              <w:ind w:right="1360"/>
              <w:spacing w:after="0"/>
              <w:rPr>
                <w:sz w:val="20"/>
                <w:szCs w:val="20"/>
                <w:color w:val="auto"/>
              </w:rPr>
            </w:pPr>
            <w:r>
              <w:rPr>
                <w:rFonts w:ascii="Arial" w:cs="Arial" w:eastAsia="Arial" w:hAnsi="Arial"/>
                <w:sz w:val="16"/>
                <w:szCs w:val="16"/>
                <w:b w:val="1"/>
                <w:bCs w:val="1"/>
                <w:color w:val="auto"/>
                <w:w w:val="72"/>
              </w:rPr>
              <w:t>2019</w:t>
            </w:r>
          </w:p>
        </w:tc>
      </w:tr>
      <w:tr>
        <w:trPr>
          <w:trHeight w:val="33"/>
        </w:trPr>
        <w:tc>
          <w:tcPr>
            <w:tcW w:w="4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460" w:type="dxa"/>
            <w:vAlign w:val="bottom"/>
            <w:tcBorders>
              <w:bottom w:val="single" w:sz="8" w:color="CCEEFF"/>
            </w:tcBorders>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1,518.3</w:t>
            </w:r>
          </w:p>
        </w:tc>
        <w:tc>
          <w:tcPr>
            <w:tcW w:w="1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100.0 %</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Costs of revenue, excluding depreciation and amortization</w:t>
            </w:r>
          </w:p>
        </w:tc>
        <w:tc>
          <w:tcPr>
            <w:tcW w:w="4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1,226.3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86.6 %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1,312.0</w:t>
            </w:r>
          </w:p>
        </w:tc>
        <w:tc>
          <w:tcPr>
            <w:tcW w:w="1640" w:type="dxa"/>
            <w:vAlign w:val="bottom"/>
            <w:gridSpan w:val="2"/>
          </w:tcPr>
          <w:p>
            <w:pPr>
              <w:jc w:val="right"/>
              <w:ind w:right="40"/>
              <w:spacing w:after="0"/>
              <w:rPr>
                <w:sz w:val="20"/>
                <w:szCs w:val="20"/>
                <w:color w:val="auto"/>
              </w:rPr>
            </w:pPr>
            <w:r>
              <w:rPr>
                <w:rFonts w:ascii="Arial" w:cs="Arial" w:eastAsia="Arial" w:hAnsi="Arial"/>
                <w:sz w:val="16"/>
                <w:szCs w:val="16"/>
                <w:color w:val="auto"/>
              </w:rPr>
              <w:t>86.4 %</w:t>
            </w:r>
          </w:p>
        </w:tc>
      </w:tr>
      <w:tr>
        <w:trPr>
          <w:trHeight w:val="33"/>
        </w:trPr>
        <w:tc>
          <w:tcPr>
            <w:tcW w:w="4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w:t>
            </w:r>
          </w:p>
        </w:tc>
        <w:tc>
          <w:tcPr>
            <w:tcW w:w="1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3.6 %</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4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640" w:type="dxa"/>
            <w:vAlign w:val="bottom"/>
            <w:gridSpan w:val="2"/>
          </w:tcPr>
          <w:p>
            <w:pPr>
              <w:jc w:val="right"/>
              <w:ind w:right="40"/>
              <w:spacing w:after="0"/>
              <w:rPr>
                <w:sz w:val="20"/>
                <w:szCs w:val="20"/>
                <w:color w:val="auto"/>
              </w:rPr>
            </w:pPr>
            <w:r>
              <w:rPr>
                <w:rFonts w:ascii="Arial" w:cs="Arial" w:eastAsia="Arial" w:hAnsi="Arial"/>
                <w:sz w:val="16"/>
                <w:szCs w:val="16"/>
                <w:color w:val="auto"/>
              </w:rPr>
              <w:t>0.3 %</w:t>
            </w:r>
          </w:p>
        </w:tc>
      </w:tr>
      <w:tr>
        <w:trPr>
          <w:trHeight w:val="33"/>
        </w:trPr>
        <w:tc>
          <w:tcPr>
            <w:tcW w:w="4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72.6</w:t>
            </w:r>
          </w:p>
        </w:tc>
        <w:tc>
          <w:tcPr>
            <w:tcW w:w="1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4.8 %</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4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640" w:type="dxa"/>
            <w:vAlign w:val="bottom"/>
            <w:gridSpan w:val="2"/>
          </w:tcPr>
          <w:p>
            <w:pPr>
              <w:jc w:val="right"/>
              <w:ind w:right="40"/>
              <w:spacing w:after="0"/>
              <w:rPr>
                <w:sz w:val="20"/>
                <w:szCs w:val="20"/>
                <w:color w:val="auto"/>
              </w:rPr>
            </w:pPr>
            <w:r>
              <w:rPr>
                <w:rFonts w:ascii="Arial" w:cs="Arial" w:eastAsia="Arial" w:hAnsi="Arial"/>
                <w:sz w:val="16"/>
                <w:szCs w:val="16"/>
                <w:color w:val="auto"/>
              </w:rPr>
              <w:t>1.5 %</w:t>
            </w:r>
          </w:p>
        </w:tc>
      </w:tr>
      <w:tr>
        <w:trPr>
          <w:trHeight w:val="33"/>
        </w:trPr>
        <w:tc>
          <w:tcPr>
            <w:tcW w:w="4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640" w:type="dxa"/>
            <w:vAlign w:val="bottom"/>
            <w:gridSpan w:val="2"/>
          </w:tcPr>
          <w:p>
            <w:pPr>
              <w:jc w:val="right"/>
              <w:ind w:right="40"/>
              <w:spacing w:after="0"/>
              <w:rPr>
                <w:sz w:val="20"/>
                <w:szCs w:val="20"/>
                <w:color w:val="auto"/>
              </w:rPr>
            </w:pPr>
            <w:r>
              <w:rPr>
                <w:rFonts w:ascii="Arial" w:cs="Arial" w:eastAsia="Arial" w:hAnsi="Arial"/>
                <w:sz w:val="16"/>
                <w:szCs w:val="16"/>
                <w:color w:val="auto"/>
              </w:rPr>
              <w:t>0.2 %</w:t>
            </w:r>
          </w:p>
        </w:tc>
      </w:tr>
      <w:tr>
        <w:trPr>
          <w:trHeight w:val="33"/>
        </w:trPr>
        <w:tc>
          <w:tcPr>
            <w:tcW w:w="4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before income taxes</w:t>
            </w:r>
          </w:p>
        </w:tc>
        <w:tc>
          <w:tcPr>
            <w:tcW w:w="460" w:type="dxa"/>
            <w:vAlign w:val="bottom"/>
            <w:tcBorders>
              <w:bottom w:val="single" w:sz="8" w:color="CCEEFF"/>
            </w:tcBorders>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1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3.6 %</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w:t>
            </w:r>
          </w:p>
        </w:tc>
        <w:tc>
          <w:tcPr>
            <w:tcW w:w="1640" w:type="dxa"/>
            <w:vAlign w:val="bottom"/>
            <w:gridSpan w:val="2"/>
          </w:tcPr>
          <w:p>
            <w:pPr>
              <w:jc w:val="right"/>
              <w:ind w:right="20"/>
              <w:spacing w:after="0"/>
              <w:rPr>
                <w:sz w:val="20"/>
                <w:szCs w:val="20"/>
                <w:color w:val="auto"/>
              </w:rPr>
            </w:pPr>
            <w:r>
              <w:rPr>
                <w:rFonts w:ascii="Arial" w:cs="Arial" w:eastAsia="Arial" w:hAnsi="Arial"/>
                <w:sz w:val="16"/>
                <w:szCs w:val="16"/>
                <w:color w:val="auto"/>
              </w:rPr>
              <w:t>(0.8)%</w:t>
            </w:r>
          </w:p>
        </w:tc>
      </w:tr>
      <w:tr>
        <w:trPr>
          <w:trHeight w:val="33"/>
        </w:trPr>
        <w:tc>
          <w:tcPr>
            <w:tcW w:w="4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460" w:type="dxa"/>
            <w:vAlign w:val="bottom"/>
            <w:tcBorders>
              <w:bottom w:val="single" w:sz="8" w:color="CCEEFF"/>
            </w:tcBorders>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w:t>
            </w:r>
          </w:p>
        </w:tc>
        <w:tc>
          <w:tcPr>
            <w:tcW w:w="1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2.8 %</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Net loss attributable to non-controlling interests</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w:t>
            </w:r>
          </w:p>
        </w:tc>
        <w:tc>
          <w:tcPr>
            <w:tcW w:w="164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33"/>
        </w:trPr>
        <w:tc>
          <w:tcPr>
            <w:tcW w:w="4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 attributable to MasTec, Inc.</w:t>
            </w:r>
          </w:p>
        </w:tc>
        <w:tc>
          <w:tcPr>
            <w:tcW w:w="460" w:type="dxa"/>
            <w:vAlign w:val="bottom"/>
            <w:tcBorders>
              <w:bottom w:val="single" w:sz="8" w:color="CCEEFF"/>
            </w:tcBorders>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w:t>
            </w:r>
          </w:p>
        </w:tc>
        <w:tc>
          <w:tcPr>
            <w:tcW w:w="1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2.8 %</w:t>
            </w:r>
          </w:p>
        </w:tc>
      </w:tr>
      <w:tr>
        <w:trPr>
          <w:trHeight w:val="20"/>
        </w:trPr>
        <w:tc>
          <w:tcPr>
            <w:tcW w:w="4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3362960</wp:posOffset>
            </wp:positionH>
            <wp:positionV relativeFrom="page">
              <wp:posOffset>311785</wp:posOffset>
            </wp:positionV>
            <wp:extent cx="3977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jc w:val="both"/>
        <w:ind w:firstLine="648"/>
        <w:spacing w:after="0" w:line="292" w:lineRule="auto"/>
        <w:rPr>
          <w:sz w:val="20"/>
          <w:szCs w:val="20"/>
          <w:color w:val="auto"/>
        </w:rPr>
      </w:pPr>
      <w:r>
        <w:rPr>
          <w:rFonts w:ascii="Arial" w:cs="Arial" w:eastAsia="Arial" w:hAnsi="Arial"/>
          <w:sz w:val="14"/>
          <w:szCs w:val="14"/>
          <w:color w:val="auto"/>
        </w:rPr>
        <w:t>We review our operating results by reportable segment. See Note 13 - Segments and Related Information in the notes to the consolidated financial statements, which is incorporated by reference. Our reportable segments are: (1) Communications; (2) Oil and Gas; (3) Electrical Transmission; (4) Power Generation and Industrial and</w:t>
      </w:r>
    </w:p>
    <w:p>
      <w:pPr>
        <w:jc w:val="both"/>
        <w:ind w:firstLine="8"/>
        <w:spacing w:after="0" w:line="250" w:lineRule="auto"/>
        <w:tabs>
          <w:tab w:leader="none" w:pos="250"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ind w:left="559"/>
              <w:spacing w:after="0"/>
              <w:rPr>
                <w:sz w:val="20"/>
                <w:szCs w:val="20"/>
                <w:color w:val="auto"/>
              </w:rPr>
            </w:pPr>
            <w:r>
              <w:rPr>
                <w:rFonts w:ascii="Arial" w:cs="Arial" w:eastAsia="Arial" w:hAnsi="Arial"/>
                <w:sz w:val="16"/>
                <w:szCs w:val="16"/>
                <w:b w:val="1"/>
                <w:bCs w:val="1"/>
                <w:color w:val="auto"/>
                <w:w w:val="89"/>
              </w:rPr>
              <w:t>Revenue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6"/>
          </w:tcPr>
          <w:p>
            <w:pPr>
              <w:jc w:val="right"/>
              <w:ind w:right="620"/>
              <w:spacing w:after="0"/>
              <w:rPr>
                <w:sz w:val="20"/>
                <w:szCs w:val="20"/>
                <w:color w:val="auto"/>
              </w:rPr>
            </w:pPr>
            <w:r>
              <w:rPr>
                <w:rFonts w:ascii="Arial" w:cs="Arial" w:eastAsia="Arial" w:hAnsi="Arial"/>
                <w:sz w:val="16"/>
                <w:szCs w:val="16"/>
                <w:b w:val="1"/>
                <w:bCs w:val="1"/>
                <w:color w:val="auto"/>
              </w:rPr>
              <w:t>EBITDA and EBITDA Margin</w:t>
            </w:r>
          </w:p>
        </w:tc>
        <w:tc>
          <w:tcPr>
            <w:tcW w:w="72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3"/>
              </w:rPr>
              <w:t>For the Three Months Ended</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0"/>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w w:val="94"/>
              </w:rPr>
              <w:t>March 31,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60" w:type="dxa"/>
            <w:vAlign w:val="bottom"/>
            <w:gridSpan w:val="9"/>
          </w:tcPr>
          <w:p>
            <w:pPr>
              <w:ind w:left="680"/>
              <w:spacing w:after="0"/>
              <w:rPr>
                <w:sz w:val="20"/>
                <w:szCs w:val="20"/>
                <w:color w:val="auto"/>
              </w:rPr>
            </w:pPr>
            <w:r>
              <w:rPr>
                <w:rFonts w:ascii="Arial" w:cs="Arial" w:eastAsia="Arial" w:hAnsi="Arial"/>
                <w:sz w:val="16"/>
                <w:szCs w:val="16"/>
                <w:b w:val="1"/>
                <w:bCs w:val="1"/>
                <w:color w:val="auto"/>
              </w:rPr>
              <w:t>For the Three Months Ended March 31,</w:t>
            </w:r>
          </w:p>
        </w:tc>
        <w:tc>
          <w:tcPr>
            <w:tcW w:w="72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Reportable Segment:</w:t>
            </w:r>
          </w:p>
        </w:tc>
        <w:tc>
          <w:tcPr>
            <w:tcW w:w="140" w:type="dxa"/>
            <w:vAlign w:val="bottom"/>
          </w:tcPr>
          <w:p>
            <w:pPr>
              <w:spacing w:after="0"/>
              <w:rPr>
                <w:sz w:val="20"/>
                <w:szCs w:val="20"/>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3"/>
          </w:tcPr>
          <w:p>
            <w:pPr>
              <w:ind w:left="660"/>
              <w:spacing w:after="0"/>
              <w:rPr>
                <w:sz w:val="20"/>
                <w:szCs w:val="20"/>
                <w:color w:val="auto"/>
              </w:rPr>
            </w:pPr>
            <w:r>
              <w:rPr>
                <w:rFonts w:ascii="Arial" w:cs="Arial" w:eastAsia="Arial" w:hAnsi="Arial"/>
                <w:sz w:val="16"/>
                <w:szCs w:val="16"/>
                <w:b w:val="1"/>
                <w:bCs w:val="1"/>
                <w:color w:val="auto"/>
                <w:w w:val="84"/>
              </w:rPr>
              <w:t>2020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2019</w:t>
            </w:r>
          </w:p>
        </w:tc>
        <w:tc>
          <w:tcPr>
            <w:tcW w:w="720" w:type="dxa"/>
            <w:vAlign w:val="bottom"/>
          </w:tcPr>
          <w:p>
            <w:pPr>
              <w:spacing w:after="0"/>
              <w:rPr>
                <w:sz w:val="20"/>
                <w:szCs w:val="20"/>
                <w:color w:val="auto"/>
              </w:rPr>
            </w:pPr>
          </w:p>
        </w:tc>
      </w:tr>
      <w:tr>
        <w:trPr>
          <w:trHeight w:val="33"/>
        </w:trPr>
        <w:tc>
          <w:tcPr>
            <w:tcW w:w="3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359.1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621.3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33"/>
        </w:trPr>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NM</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NM</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17"/>
        </w:trPr>
        <w:tc>
          <w:tcPr>
            <w:tcW w:w="3940" w:type="dxa"/>
            <w:vAlign w:val="bottom"/>
          </w:tcPr>
          <w:p>
            <w:pPr>
              <w:ind w:left="180"/>
              <w:spacing w:after="0"/>
              <w:rPr>
                <w:sz w:val="20"/>
                <w:szCs w:val="20"/>
                <w:color w:val="auto"/>
              </w:rPr>
            </w:pPr>
            <w:r>
              <w:rPr>
                <w:rFonts w:ascii="Arial" w:cs="Arial" w:eastAsia="Arial" w:hAnsi="Arial"/>
                <w:sz w:val="16"/>
                <w:szCs w:val="16"/>
                <w:color w:val="auto"/>
              </w:rPr>
              <w:t>Consolidated Results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1,416.6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1,518.3</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136.4</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3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NM - Percentage is not meaningful</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 2020 Compared to Three Months Ended March 31, 2019</w:t>
      </w:r>
    </w:p>
    <w:p>
      <w:pPr>
        <w:spacing w:after="0" w:line="11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 period ended March 31, 2020, consolidated revenue totaled $1,417 million as compared with $1,518 million for the same period in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decrease of $102 million, or 7%. Revenue decreased in our Oil and Gas segment by $262 million, or 42%, offset, in part by revenue increases in our Power Generation and Industrial segment of $97 million, or 51%, our Electrical Transmission segment of $33 million, or 35%, and in our Communications segment of $31 million, or 5%. Acquisitions contributed $50 million in revenue for the three month period ended March 31, 2020, and organic revenue decreased by approximately $151 million, or 10%, as compared with the same period in 2019.</w:t>
      </w:r>
    </w:p>
    <w:p>
      <w:pPr>
        <w:spacing w:after="0" w:line="7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b w:val="1"/>
          <w:bCs w:val="1"/>
          <w:i w:val="1"/>
          <w:iCs w:val="1"/>
          <w:color w:val="auto"/>
        </w:rPr>
        <w:t>Communications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Communications revenue was $644 million for the three month period ended March 31, 2020, as compared with $613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same period in 2019, an increase of $31 million, or 5%. Acquisitions contributed $31 million of revenue for the three month period ended March 31, 2020, and organic revenue increased by approximately $1 million as compared with the same period in 2019. The increase in organic revenue was primarily driven by higher levels of wireless and wireline/fiber revenue, offset, in large part, by a continued decrease in install-to-the-home revenue as compared with the same period in the prior year.</w:t>
      </w:r>
    </w:p>
    <w:p>
      <w:pPr>
        <w:spacing w:after="0" w:line="5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revenue was $359 million for three month period ended March 31, 2020, as compared with $621 million for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a decrease of $262 million, or 42%, as expected, primarily due to project timing and mix, including the effects of regulatory disruptions on selected pipeline construction activity.</w:t>
      </w:r>
    </w:p>
    <w:p>
      <w:pPr>
        <w:spacing w:after="0" w:line="7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b w:val="1"/>
          <w:bCs w:val="1"/>
          <w:i w:val="1"/>
          <w:iCs w:val="1"/>
          <w:color w:val="auto"/>
        </w:rPr>
        <w:t>Electrical Transmission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Electrical Transmission revenue was $128 million for the three month period ended March 31, 2020 as compared with $95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2019, an increase of $33 million, or 35%, due primarily to higher levels of project activity.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517" w:right="339" w:bottom="1440" w:gutter="0" w:footer="0" w:header="0"/>
        </w:sectPr>
      </w:pPr>
    </w:p>
    <w:bookmarkStart w:id="30" w:name="page31"/>
    <w:bookmarkEnd w:id="30"/>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Power Generation and Industrial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Generation and Industrial revenue was $286 million for the three month period ended March 31, 2020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$189 million for the same period in 2019, an increase of $97 million, or 51%. Organic revenue increased by $78 million, or 41%, for the three month period ended March 31, 2020 as compared with the same period in 2019, due primarily to higher levels of renewable power project activity. Acquisitions contributed $19 million for the three month period ended March 31, 2020.</w:t>
      </w:r>
    </w:p>
    <w:p>
      <w:pPr>
        <w:spacing w:after="0" w:line="7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b w:val="1"/>
          <w:bCs w:val="1"/>
          <w:i w:val="1"/>
          <w:iCs w:val="1"/>
          <w:color w:val="auto"/>
        </w:rPr>
        <w:t xml:space="preserve">Costs of revenue, excluding depreciation and amortization. </w:t>
      </w:r>
      <w:r>
        <w:rPr>
          <w:rFonts w:ascii="Arial" w:cs="Arial" w:eastAsia="Arial" w:hAnsi="Arial"/>
          <w:sz w:val="15"/>
          <w:szCs w:val="15"/>
          <w:color w:val="auto"/>
        </w:rPr>
        <w:t>Costs of revenue, excluding depreciation and amortization, decreased by approximately $86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7%, from $1,312 million for the three month period ended March 31, 2019 to $1,226 million for the same period in 2020. Lower levels of revenue contributed a decrease of $88 million in costs of revenue, excluding depreciation and amortization, whereas reduced productivity contributed an increase of approximately $2 million. Costs of revenue, excluding depreciation and amortization, as a percentage of revenue increased by approximately 20 basis points, from 86.4% of revenue for the three month period ended March 31, 2019 to 86.6% of revenue for the same period in 2020, due primarily to lower levels of revenue.</w:t>
      </w:r>
    </w:p>
    <w:p>
      <w:pPr>
        <w:spacing w:after="0" w:line="68" w:lineRule="exact"/>
        <w:rPr>
          <w:sz w:val="20"/>
          <w:szCs w:val="20"/>
          <w:color w:val="auto"/>
        </w:rPr>
      </w:pPr>
    </w:p>
    <w:p>
      <w:pPr>
        <w:jc w:val="both"/>
        <w:ind w:firstLine="324"/>
        <w:spacing w:after="0" w:line="315" w:lineRule="auto"/>
        <w:rPr>
          <w:sz w:val="20"/>
          <w:szCs w:val="20"/>
          <w:color w:val="auto"/>
        </w:rPr>
      </w:pPr>
      <w:r>
        <w:rPr>
          <w:rFonts w:ascii="Arial" w:cs="Arial" w:eastAsia="Arial" w:hAnsi="Arial"/>
          <w:sz w:val="14"/>
          <w:szCs w:val="14"/>
          <w:b w:val="1"/>
          <w:bCs w:val="1"/>
          <w:i w:val="1"/>
          <w:iCs w:val="1"/>
          <w:color w:val="auto"/>
        </w:rPr>
        <w:t xml:space="preserve">Depreciation. </w:t>
      </w:r>
      <w:r>
        <w:rPr>
          <w:rFonts w:ascii="Arial" w:cs="Arial" w:eastAsia="Arial" w:hAnsi="Arial"/>
          <w:sz w:val="14"/>
          <w:szCs w:val="14"/>
          <w:color w:val="auto"/>
        </w:rPr>
        <w:t>Depreciation was $53 million, or 3.7% of revenue, for the three month period ended March 31, 2020, as compared with $54 million, or 3.6% of revenue,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the same period in 2019, a decrease of $1 million, or 2%. Acquisitions contributed $2 million of depreciation for the three month period ended March 31, 2020, whereas organic depreciation decreased by $3 million. As a percentage of revenue, depreciation increased by approximately 20 basis points due primarily to lower levels of revenue.</w:t>
      </w:r>
    </w:p>
    <w:p>
      <w:pPr>
        <w:spacing w:after="0" w:line="4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Amortization of intangible assets. </w:t>
      </w:r>
      <w:r>
        <w:rPr>
          <w:rFonts w:ascii="Arial" w:cs="Arial" w:eastAsia="Arial" w:hAnsi="Arial"/>
          <w:sz w:val="16"/>
          <w:szCs w:val="16"/>
          <w:color w:val="auto"/>
        </w:rPr>
        <w:t>Amortization of intangible assets was $7 million, or 0.5% of revenue, for the three month period ended March 31, 2020,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$5 million, or 0.3% of revenue, for the same period in 2019, an increase of approximately $3 million, or 54%. Acquisitions contributed $3 million of amortization of intangible assets for the three month period ended March 31, 2020. As a percentage of revenue, amortization of intangible assets increased by 20 basis points due to the effects of acquisitions, as well as lower levels of revenue.</w:t>
      </w:r>
    </w:p>
    <w:p>
      <w:pPr>
        <w:spacing w:after="0" w:line="7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b w:val="1"/>
          <w:bCs w:val="1"/>
          <w:i w:val="1"/>
          <w:iCs w:val="1"/>
          <w:color w:val="auto"/>
        </w:rPr>
        <w:t>General and administrative expenses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were $86 million, or 6.0% of revenue, for the three month period ended March 31, 2020,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$73 million, or 4.8% of revenue, for the same period in 2019, an increase of $13 million, or 18%. Acquisitions contributed $4 million of general and administrative expenses for the three month period ended March 31, 2020. Excluding the effects of acquisitions, general and administrative expenses for the three month period ended March 31, 2020 included an increase in various administrative costs, including incentive and compensation and information technology expenses, as well as the effect of timing of legal and settlement matters as compared with the same period in the prior year. Overall, general and administrative expenses as a percentage of revenue increased by approximately 130 basis points for the three month period ended March 31, 2020 as compared with the same period in 2019, due, in part, to lower levels of revenue.</w:t>
      </w:r>
    </w:p>
    <w:p>
      <w:pPr>
        <w:spacing w:after="0" w:line="8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of interest income, was $17 million, or approximately 1.2% of revenue, for the three month period ended March 31, 2020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$22 million, or 1.5% of revenue, for the same period in 2019. The decrease related primarily to a reduction in interest expense from credit facility activity as well as a decrease in discount charges on financing arrangements for trade receivables. Interest expense from credit facility activity decreased by approximately $5 million due to a combination of lower average balances and a decrease in interest rates.</w:t>
      </w:r>
    </w:p>
    <w:p>
      <w:pPr>
        <w:spacing w:after="0" w:line="7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6"/>
          <w:szCs w:val="16"/>
          <w:b w:val="1"/>
          <w:bCs w:val="1"/>
          <w:i w:val="1"/>
          <w:iCs w:val="1"/>
          <w:color w:val="auto"/>
        </w:rPr>
        <w:t xml:space="preserve">Equity in earnings of unconsolidated affiliates. </w:t>
      </w:r>
      <w:r>
        <w:rPr>
          <w:rFonts w:ascii="Arial" w:cs="Arial" w:eastAsia="Arial" w:hAnsi="Arial"/>
          <w:sz w:val="16"/>
          <w:szCs w:val="16"/>
          <w:color w:val="auto"/>
        </w:rPr>
        <w:t>Equity in earnings or losses of unconsolidated affiliates includes our share of income or losses from equity investees.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 periods ended March 31, 2020 and 2019, equity in earnings from unconsolidated affiliates totaled approximately $8 million and $6 million, respectively, and related primarily to our investments in the Waha JVs.</w:t>
      </w:r>
    </w:p>
    <w:p>
      <w:pPr>
        <w:spacing w:after="0" w:line="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(income) expense, net, consists primarily of gains or losses from sales of, or changes in estimated recoveries from, assets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certain legal/other settlements and gains or losses from changes to estimated earn-out accruals. Other income, net, was $1 million for the three month period ended March 31, 2020, as compared with approximately $4 million of expense for the same period in 2019. For the three month period ended March 31, 2020, other income, net, included approximately $2 million of gains on sales of equipment, net, offset, in part, by approximately $2 million of expense from changes to estimated earn-out accruals, net. For the three month period ended March 31, 2019, other expense, net, included approximately $7 million of expense from changes to estimated earn-out accruals, net, offset, in part, by $2 million of gains on sales of equipment, net.</w:t>
      </w:r>
    </w:p>
    <w:p>
      <w:pPr>
        <w:spacing w:after="0" w:line="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Income tax expense was de minimis for the three month period ended March 31, 2020 as compared with $12 million for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prior year. In the first quarter of 2020, pre-tax income decreased to $36 million as compared with $55 million for the same period in the prior year. Our effective tax rate decreased to 1.2% for the three month period ended March 31, 2020 from 21.8% for the same period in 2019. Our effective tax rate for the three month period ended March 31, 2020 included a benefit of approximately $10 million related to the release of certain valuation allowances on Canadian deferred tax assets that were no longer necessary. For the three month period ended March 31, 2019, our effective tax rate was favorably affected by the recognition of approximately $2 million of excess tax benefits from the vesting of share-based awards and reduced foreign earnings.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b w:val="1"/>
          <w:bCs w:val="1"/>
          <w:i w:val="1"/>
          <w:iCs w:val="1"/>
          <w:color w:val="auto"/>
        </w:rPr>
        <w:t xml:space="preserve">Communications Segment. </w:t>
      </w:r>
      <w:r>
        <w:rPr>
          <w:rFonts w:ascii="Arial" w:cs="Arial" w:eastAsia="Arial" w:hAnsi="Arial"/>
          <w:sz w:val="15"/>
          <w:szCs w:val="15"/>
          <w:color w:val="auto"/>
        </w:rPr>
        <w:t>EBITDA for our Communications segment was $51 million, or 7.9% of revenue, for the three month period ended March 31, 2020,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with $45 million, or 7.4% of revenue, for the same period in 2019, an increase of approximately $5 million, or 12%. As a percentage of revenue, EBITDA increased by approximately 50 basis points, or $3 million, due to project mix and efficiencies. Higher levels of revenue contributed an increase in EBITDA of $2 million.</w:t>
      </w:r>
    </w:p>
    <w:p>
      <w:pPr>
        <w:spacing w:after="0" w:line="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$74 million, or 20.7% of revenue, for the three month period ended March 31, 2020,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$107 million, or 17.3% of revenue, for the same period in 2019, a decrease of $33 million, or 31%. Lower levels of revenue contributed a decrease in EBITDA of $45 million, whereas improved productivity contributed an increase in EBITDA of approximately $12 million. EBITDA margins increased by approximately 340 basis points due primarily to improved project efficiencies, closeouts and mix.</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Electrical Transmission Segment. </w:t>
      </w:r>
      <w:r>
        <w:rPr>
          <w:rFonts w:ascii="Arial" w:cs="Arial" w:eastAsia="Arial" w:hAnsi="Arial"/>
          <w:sz w:val="16"/>
          <w:szCs w:val="16"/>
          <w:color w:val="auto"/>
        </w:rPr>
        <w:t>EBITDA for our Electrical Transmission segment was $8 million, or 6.5% of revenue, for the three 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2020, as compared with EBITDA of $4 million, or 4.0% of revenue, for the same period in 2019, an increase in EBITDA of approximately $5 million, or 120%. As a percentage of revenue, EBITDA increased by approximately 250 basis points, due primarily to improved project efficiencies, closeouts and mix. Higher levels of revenue contributed an increase in EBITDA of approximately $1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450" w:right="339" w:bottom="1440" w:gutter="0" w:footer="0" w:header="0"/>
        </w:sectPr>
      </w:pPr>
    </w:p>
    <w:bookmarkStart w:id="31" w:name="page32"/>
    <w:bookmarkEnd w:id="31"/>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Power Generation and Industrial Segment. </w:t>
      </w:r>
      <w:r>
        <w:rPr>
          <w:rFonts w:ascii="Arial" w:cs="Arial" w:eastAsia="Arial" w:hAnsi="Arial"/>
          <w:sz w:val="16"/>
          <w:szCs w:val="16"/>
          <w:color w:val="auto"/>
        </w:rPr>
        <w:t>EBITDA for our Power Generation and Industrial segment was $5 million, or 1.7% of revenue, for the three 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ended March 31, 2020, as compared with EBITDA of $3 million, or 1.7% of revenue, for the same period in 2019, an increase in EBITDA of approximately $2 million, or 54% due to higher levels of revenue. As a percentage of revenue, EBITDA was generally flat.</w:t>
      </w:r>
    </w:p>
    <w:p>
      <w:pPr>
        <w:spacing w:after="0" w:line="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Other Segment. </w:t>
      </w:r>
      <w:r>
        <w:rPr>
          <w:rFonts w:ascii="Arial" w:cs="Arial" w:eastAsia="Arial" w:hAnsi="Arial"/>
          <w:sz w:val="16"/>
          <w:szCs w:val="16"/>
          <w:color w:val="auto"/>
        </w:rPr>
        <w:t>EBITDA from Other businesses was $7 million for the three month period ended March 31, 2020 as compared with $6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2019, and included approximately $8 million and $6 million, respectively, of equity in earnings from unconsolidated affiliates, related primarily to our investments in the Waha JVs.</w:t>
      </w:r>
    </w:p>
    <w:p>
      <w:pPr>
        <w:spacing w:after="0" w:line="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Corporate. </w:t>
      </w:r>
      <w:r>
        <w:rPr>
          <w:rFonts w:ascii="Arial" w:cs="Arial" w:eastAsia="Arial" w:hAnsi="Arial"/>
          <w:sz w:val="16"/>
          <w:szCs w:val="16"/>
          <w:color w:val="auto"/>
        </w:rPr>
        <w:t>Corporate EBITDA was negative $32 million for the three month period ended March 31, 2020, as compared with EBITDA of negative $30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2019, for a decrease in EBITDA of approximately $2 million. Corporate EBITDA for the three month period ended March 31, 2020 included approximately $2 million of expense related to changes in estimated earn-out accruals, net, as compared with approximately $7 million for the same period in the prior year. Excluding the effect of changes in estimated earn-out accruals, other corporate expenses for the three month period ended March 31, 2020 increased by approximately $8 million as compared with the same period in the prior year. Corporate expenses for the three month period ended March 31, 2020 included increases in various administrative costs, including from the effects of timing of legal and settlement matters, as well as increases in incentive, compensation and information technology expense as compared with the same period in the prior year.</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Operations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foreign operations are primarily in Canada and, to a lesser extent, in Mexico and the Caribbean. See Note 13 - Segments and Related Information in the notes to the consolidated financial statements, which is incorporated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GAAP Financial Measures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amortization of intangible assets; and, for Adjusted Net Income and Adjusted Diluted Earnings Per Share, the tax effects of the adjusted items, including non-cash stock-based compensation expense, and the effects of changes in statutory tax rates.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 We believe these adjusted measures provide a baseline for analyzing trends in our underlying business.</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following table presents a reconciliation of net income to EBITDA and Adjusted EBITDA in dollar and percentage of revenue terms, for the periods indicated. The tables below (dollar amounts in millions) may contain slight summation differences due to rounding.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4"/>
          </w:tcPr>
          <w:p>
            <w:pPr>
              <w:jc w:val="right"/>
              <w:spacing w:after="0"/>
              <w:rPr>
                <w:sz w:val="20"/>
                <w:szCs w:val="20"/>
                <w:color w:val="auto"/>
              </w:rPr>
            </w:pPr>
            <w:r>
              <w:rPr>
                <w:rFonts w:ascii="Arial" w:cs="Arial" w:eastAsia="Arial" w:hAnsi="Arial"/>
                <w:sz w:val="16"/>
                <w:szCs w:val="16"/>
                <w:b w:val="1"/>
                <w:bCs w:val="1"/>
                <w:color w:val="auto"/>
                <w:w w:val="94"/>
              </w:rPr>
              <w:t>For the Three Months Ended 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r>
      <w:tr>
        <w:trPr>
          <w:trHeight w:val="230"/>
        </w:trPr>
        <w:tc>
          <w:tcPr>
            <w:tcW w:w="5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gridSpan w:val="3"/>
          </w:tcPr>
          <w:p>
            <w:pPr>
              <w:jc w:val="right"/>
              <w:ind w:right="1259"/>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50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502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5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22.3</w:t>
            </w:r>
          </w:p>
        </w:tc>
        <w:tc>
          <w:tcPr>
            <w:tcW w:w="1700" w:type="dxa"/>
            <w:vAlign w:val="bottom"/>
            <w:gridSpan w:val="3"/>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37"/>
        </w:trPr>
        <w:tc>
          <w:tcPr>
            <w:tcW w:w="502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5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54.2</w:t>
            </w:r>
          </w:p>
        </w:tc>
        <w:tc>
          <w:tcPr>
            <w:tcW w:w="1700" w:type="dxa"/>
            <w:vAlign w:val="bottom"/>
            <w:gridSpan w:val="3"/>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7"/>
        </w:trPr>
        <w:tc>
          <w:tcPr>
            <w:tcW w:w="5020" w:type="dxa"/>
            <w:vAlign w:val="bottom"/>
          </w:tcPr>
          <w:p>
            <w:pPr>
              <w:ind w:left="40"/>
              <w:spacing w:after="0"/>
              <w:rPr>
                <w:sz w:val="20"/>
                <w:szCs w:val="20"/>
                <w:color w:val="auto"/>
              </w:rPr>
            </w:pPr>
            <w:r>
              <w:rPr>
                <w:rFonts w:ascii="Arial" w:cs="Arial" w:eastAsia="Arial" w:hAnsi="Arial"/>
                <w:sz w:val="16"/>
                <w:szCs w:val="16"/>
                <w:color w:val="auto"/>
              </w:rPr>
              <w:t>EBITDA</w:t>
            </w: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136.4</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50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7"/>
        </w:trPr>
        <w:tc>
          <w:tcPr>
            <w:tcW w:w="502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140.1</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50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3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EBITDA to Adjusted EBITDA and Adjusted EBITDA margin by reportable segment, for the periods indicated is as follows:</w:t>
      </w:r>
    </w:p>
    <w:p>
      <w:pPr>
        <w:spacing w:after="0" w:line="2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454"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6"/>
          </w:tcPr>
          <w:p>
            <w:pPr>
              <w:jc w:val="right"/>
              <w:ind w:right="800"/>
              <w:spacing w:after="0"/>
              <w:rPr>
                <w:sz w:val="20"/>
                <w:szCs w:val="20"/>
                <w:color w:val="auto"/>
              </w:rPr>
            </w:pPr>
            <w:r>
              <w:rPr>
                <w:rFonts w:ascii="Arial" w:cs="Arial" w:eastAsia="Arial" w:hAnsi="Arial"/>
                <w:sz w:val="16"/>
                <w:szCs w:val="16"/>
                <w:b w:val="1"/>
                <w:bCs w:val="1"/>
                <w:color w:val="auto"/>
                <w:w w:val="94"/>
              </w:rPr>
              <w:t>For the Three Months Ended March 31,</w:t>
            </w:r>
          </w:p>
        </w:tc>
        <w:tc>
          <w:tcPr>
            <w:tcW w:w="90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2019</w:t>
            </w:r>
          </w:p>
        </w:tc>
        <w:tc>
          <w:tcPr>
            <w:tcW w:w="900" w:type="dxa"/>
            <w:vAlign w:val="bottom"/>
          </w:tcPr>
          <w:p>
            <w:pPr>
              <w:spacing w:after="0"/>
              <w:rPr>
                <w:sz w:val="18"/>
                <w:szCs w:val="18"/>
                <w:color w:val="auto"/>
              </w:rPr>
            </w:pPr>
          </w:p>
        </w:tc>
      </w:tr>
      <w:tr>
        <w:trPr>
          <w:trHeight w:val="33"/>
        </w:trPr>
        <w:tc>
          <w:tcPr>
            <w:tcW w:w="50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5020" w:type="dxa"/>
            <w:vAlign w:val="bottom"/>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5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50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31"/>
        </w:trPr>
        <w:tc>
          <w:tcPr>
            <w:tcW w:w="5020" w:type="dxa"/>
            <w:vAlign w:val="bottom"/>
          </w:tcPr>
          <w:p>
            <w:pPr>
              <w:ind w:left="40"/>
              <w:spacing w:after="0"/>
              <w:rPr>
                <w:sz w:val="20"/>
                <w:szCs w:val="20"/>
                <w:color w:val="auto"/>
              </w:rPr>
            </w:pPr>
            <w:r>
              <w:rPr>
                <w:rFonts w:ascii="Arial" w:cs="Arial" w:eastAsia="Arial" w:hAnsi="Arial"/>
                <w:sz w:val="16"/>
                <w:szCs w:val="16"/>
                <w:color w:val="auto"/>
              </w:rPr>
              <w:t>Reportable Segment:</w:t>
            </w: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Communications</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37"/>
        </w:trPr>
        <w:tc>
          <w:tcPr>
            <w:tcW w:w="5020" w:type="dxa"/>
            <w:vAlign w:val="bottom"/>
          </w:tcPr>
          <w:p>
            <w:pPr>
              <w:ind w:left="180"/>
              <w:spacing w:after="0"/>
              <w:rPr>
                <w:sz w:val="20"/>
                <w:szCs w:val="20"/>
                <w:color w:val="auto"/>
              </w:rPr>
            </w:pPr>
            <w:r>
              <w:rPr>
                <w:rFonts w:ascii="Arial" w:cs="Arial" w:eastAsia="Arial" w:hAnsi="Arial"/>
                <w:sz w:val="16"/>
                <w:szCs w:val="16"/>
                <w:color w:val="auto"/>
              </w:rPr>
              <w:t>Oil and Gas</w:t>
            </w:r>
          </w:p>
        </w:tc>
        <w:tc>
          <w:tcPr>
            <w:tcW w:w="5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Electrical Transmission</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37"/>
        </w:trPr>
        <w:tc>
          <w:tcPr>
            <w:tcW w:w="5020" w:type="dxa"/>
            <w:vAlign w:val="bottom"/>
          </w:tcPr>
          <w:p>
            <w:pPr>
              <w:ind w:left="180"/>
              <w:spacing w:after="0"/>
              <w:rPr>
                <w:sz w:val="20"/>
                <w:szCs w:val="20"/>
                <w:color w:val="auto"/>
              </w:rPr>
            </w:pPr>
            <w:r>
              <w:rPr>
                <w:rFonts w:ascii="Arial" w:cs="Arial" w:eastAsia="Arial" w:hAnsi="Arial"/>
                <w:sz w:val="16"/>
                <w:szCs w:val="16"/>
                <w:color w:val="auto"/>
              </w:rPr>
              <w:t>Power Generation and Industrial</w:t>
            </w:r>
          </w:p>
        </w:tc>
        <w:tc>
          <w:tcPr>
            <w:tcW w:w="5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NM</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NM</w:t>
            </w:r>
          </w:p>
        </w:tc>
      </w:tr>
      <w:tr>
        <w:trPr>
          <w:trHeight w:val="237"/>
        </w:trPr>
        <w:tc>
          <w:tcPr>
            <w:tcW w:w="5020" w:type="dxa"/>
            <w:vAlign w:val="bottom"/>
          </w:tcPr>
          <w:p>
            <w:pPr>
              <w:ind w:left="180"/>
              <w:spacing w:after="0"/>
              <w:rPr>
                <w:sz w:val="20"/>
                <w:szCs w:val="20"/>
                <w:color w:val="auto"/>
              </w:rPr>
            </w:pPr>
            <w:r>
              <w:rPr>
                <w:rFonts w:ascii="Arial" w:cs="Arial" w:eastAsia="Arial" w:hAnsi="Arial"/>
                <w:sz w:val="16"/>
                <w:szCs w:val="16"/>
                <w:color w:val="auto"/>
              </w:rPr>
              <w:t>Corporate</w:t>
            </w: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0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0"/>
        </w:trPr>
        <w:tc>
          <w:tcPr>
            <w:tcW w:w="50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NM - Percentage is not meaningful</w:t>
      </w:r>
    </w:p>
    <w:p>
      <w:pPr>
        <w:spacing w:after="0" w:line="1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table below, which may contain slight summation differences due to rounding, reconciles reported net income and reported diluted earnings per share, the most directly comparable U.S. GAAP financial measures, to Adjusted Net Income and Adjusted Diluted Earnings Per Share. Beginning in 2020, our computation of Adjusted Net Income includes the effect of intangible asset amortization, as discussed above. Accordingly, all prior year periods have been updated to conform with the current period presentation.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4"/>
          </w:tcPr>
          <w:p>
            <w:pPr>
              <w:jc w:val="right"/>
              <w:spacing w:after="0"/>
              <w:rPr>
                <w:sz w:val="20"/>
                <w:szCs w:val="20"/>
                <w:color w:val="auto"/>
              </w:rPr>
            </w:pPr>
            <w:r>
              <w:rPr>
                <w:rFonts w:ascii="Arial" w:cs="Arial" w:eastAsia="Arial" w:hAnsi="Arial"/>
                <w:sz w:val="16"/>
                <w:szCs w:val="16"/>
                <w:b w:val="1"/>
                <w:bCs w:val="1"/>
                <w:color w:val="auto"/>
                <w:w w:val="93"/>
              </w:rPr>
              <w:t>For the Three Months Ended March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2020</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2019</w:t>
            </w:r>
          </w:p>
        </w:tc>
        <w:tc>
          <w:tcPr>
            <w:tcW w:w="1320" w:type="dxa"/>
            <w:vAlign w:val="bottom"/>
          </w:tcPr>
          <w:p>
            <w:pPr>
              <w:spacing w:after="0"/>
              <w:rPr>
                <w:sz w:val="20"/>
                <w:szCs w:val="20"/>
                <w:color w:val="auto"/>
              </w:rPr>
            </w:pPr>
          </w:p>
        </w:tc>
      </w:tr>
      <w:tr>
        <w:trPr>
          <w:trHeight w:val="33"/>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w w:val="96"/>
              </w:rPr>
              <w:t>Net Income (in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Diluted Earnings</w:t>
            </w:r>
          </w:p>
        </w:tc>
        <w:tc>
          <w:tcPr>
            <w:tcW w:w="1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w w:val="96"/>
              </w:rPr>
              <w:t>Net Income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Diluted Earnings</w:t>
            </w:r>
          </w:p>
        </w:tc>
      </w:tr>
      <w:tr>
        <w:trPr>
          <w:trHeight w:val="210"/>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39"/>
              <w:spacing w:after="0"/>
              <w:rPr>
                <w:sz w:val="20"/>
                <w:szCs w:val="20"/>
                <w:color w:val="auto"/>
              </w:rPr>
            </w:pPr>
            <w:r>
              <w:rPr>
                <w:rFonts w:ascii="Arial" w:cs="Arial" w:eastAsia="Arial" w:hAnsi="Arial"/>
                <w:sz w:val="16"/>
                <w:szCs w:val="16"/>
                <w:b w:val="1"/>
                <w:bCs w:val="1"/>
                <w:color w:val="auto"/>
              </w:rPr>
              <w:t>millions)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Per Share</w:t>
            </w:r>
          </w:p>
        </w:tc>
        <w:tc>
          <w:tcPr>
            <w:tcW w:w="160" w:type="dxa"/>
            <w:vAlign w:val="bottom"/>
          </w:tcPr>
          <w:p>
            <w:pPr>
              <w:spacing w:after="0"/>
              <w:rPr>
                <w:sz w:val="18"/>
                <w:szCs w:val="18"/>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b w:val="1"/>
                <w:bCs w:val="1"/>
                <w:color w:val="auto"/>
              </w:rPr>
              <w:t>millions)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Per Share</w:t>
            </w:r>
          </w:p>
        </w:tc>
      </w:tr>
      <w:tr>
        <w:trPr>
          <w:trHeight w:val="33"/>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U.S. GAAP measure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0.06</w:t>
            </w:r>
          </w:p>
        </w:tc>
      </w:tr>
      <w:tr>
        <w:trPr>
          <w:trHeight w:val="33"/>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adjustments, pre-tax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r>
      <w:tr>
        <w:trPr>
          <w:trHeight w:val="283"/>
        </w:trPr>
        <w:tc>
          <w:tcPr>
            <w:tcW w:w="50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non-U.S. GAAP measure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0.62</w:t>
            </w:r>
          </w:p>
        </w:tc>
      </w:tr>
      <w:tr>
        <w:trPr>
          <w:trHeight w:val="20"/>
        </w:trPr>
        <w:tc>
          <w:tcPr>
            <w:tcW w:w="5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35" w:lineRule="exact"/>
        <w:rPr>
          <w:sz w:val="20"/>
          <w:szCs w:val="20"/>
          <w:color w:val="auto"/>
        </w:rPr>
      </w:pPr>
    </w:p>
    <w:p>
      <w:pPr>
        <w:jc w:val="both"/>
        <w:ind w:left="420" w:hanging="412"/>
        <w:spacing w:after="0" w:line="277" w:lineRule="auto"/>
        <w:tabs>
          <w:tab w:leader="none" w:pos="42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the tax effect of the adjusted items that are subject to tax, including the tax effects of non-cash stock-based compensation expense, which for the three month period ended March 31, 2019 included excess tax benefits of approximately $2.3 million from the vesting of share-based payment awards. Tax effects are determined based on the tax treatment of the related item, the incremental statutory tax rate of the jurisdictions pertaining to the adjustment, and their effect on pre-tax income. For the three month periods ended March 31, 2020 and 2019, our consolidated effective tax rates, as reported, were 1.2% and 21.8%, respectively, and as adjusted, were 6.4% and 25.9%,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 Liquidity and Capital Resources</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 and investments from time to time, and we may consider opportunities to borrow additional funds, or to repurchase additional shares of our outstanding common stock in the future under share repurchase authorizations, or to repurchase, refinance or retire outstanding debt, any of which may require our use of cash.</w:t>
      </w:r>
    </w:p>
    <w:p>
      <w:pPr>
        <w:spacing w:after="0" w:line="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Capital Expenditures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 period ended March 31, 2020, we spent $61 million on capital expenditures, or $52 million, net of asset disposals,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incurred approximately $27 million of equipment purchases under finance leases. We estimate that we will spend approximately $180 million on capital expenditures, or approximately $150 million, net of asset disposals, in 2020, and expect to incur approximately $140 million to $160 million of equipment purchases under finance leases. Actual capital expenditures may increase or decrease in the future depending upon business activity levels, as well as ongoing assessments of equipment lease versus buy decisions based on short and long-term equipment requirements.</w:t>
      </w:r>
    </w:p>
    <w:p>
      <w:pPr>
        <w:spacing w:after="0" w:line="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i w:val="1"/>
          <w:iCs w:val="1"/>
          <w:color w:val="auto"/>
        </w:rPr>
        <w:t>Acquisitions and Earn-Out Liabilities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typically utilize cash for business acquisitions and other strategic arrangements. In addition, in most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acquisition-related contingent consideration and other liabilities as of March 31, 2020 was approximately $176 million. Of this amount, $60 million represents the liability for earned amounts. The remainder is management’s estimate of acquisition-related contingent consideration and other liabilities that are contingent upon future performance. For the three month periods ended March 31, 2020 and 2019, we made no earn-out payments.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679" w:right="339" w:bottom="1440" w:gutter="0" w:footer="0" w:header="0"/>
        </w:sectPr>
      </w:pPr>
    </w:p>
    <w:bookmarkStart w:id="33" w:name="page34"/>
    <w:bookmarkEnd w:id="33"/>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For the three month period ended March 31, 2020, tax refunds, net of tax payments were de minimis, whereas for the three 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2019, tax payments, net of tax refunds, totaled approximately $3 million. Our tax payments vary with changes in taxable income and earnings based on estimates of full year taxable income activity and estimated tax rates.</w:t>
      </w:r>
    </w:p>
    <w:p>
      <w:pPr>
        <w:spacing w:after="0" w:line="7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b w:val="1"/>
          <w:bCs w:val="1"/>
          <w:i w:val="1"/>
          <w:iCs w:val="1"/>
          <w:color w:val="auto"/>
        </w:rPr>
        <w:t xml:space="preserve">Working Capital. </w:t>
      </w:r>
      <w:r>
        <w:rPr>
          <w:rFonts w:ascii="Arial" w:cs="Arial" w:eastAsia="Arial" w:hAnsi="Arial"/>
          <w:sz w:val="14"/>
          <w:szCs w:val="14"/>
          <w:color w:val="auto"/>
        </w:rPr>
        <w:t>We need working capital to support seasonal variations in our business, primarily due to the effect of weather conditions on external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construction and 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Working capital requirements also tend to increase when we commence multiple projects or particularly large projects because labor, including subcontractor costs, and certain other costs, including inventory, become payable before the receivables resulting from work performed are collected. The timing of billings and project close-outs can contribute to changes in unbilled revenue. As of March 31, 2020, we expect that substantially all of our unbilled receivables will be billed to customers in the normal course of business within the next twelve months. Total accounts receivable, which consists of contract billings, unbilled receivables and retainage, net of allowance, decreased to $1.8 billion as of March 31, 2020 from $1.9 billion as of December 31, 2019, due primarily to lower levels of quarterly revenue, offset, in part, by higher DSOs, as described further below.</w:t>
      </w:r>
    </w:p>
    <w:p>
      <w:pPr>
        <w:spacing w:after="0" w:line="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Financial Condition, Liquidity and Capital Resources</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Including our current assessment of the potential effects of the COVID-19 pandemic on our results of operations, we anticipate that funds generated from operations, borrowings under our Credit Facility and our cash balances will be sufficient to meet our working capital requirements, anticipated capital expenditures, debt service obligations, insurance and performance collateral requirements, letter of credit needs, earn-out obligations, required income tax payments, acquisition and other investment funding requirements, share repurchase activity and other liquidity needs for at least the next twelve months.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Sources and Uses of Cash</w:t>
      </w:r>
    </w:p>
    <w:p>
      <w:pPr>
        <w:spacing w:after="0" w:line="11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March 31, 2020, we had approximately $820 million in working capital, defined as current assets less current liabilities, as compared with $954 million as of December 31, 2019, a decrease of approximately $135 million. Cash and cash equivalents totaled approximately $72 million and $71 million as of March 31, 2020 and December 31, 2019, respectively.</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Sources and uses of cash are summarized below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020" w:type="dxa"/>
            <w:vAlign w:val="bottom"/>
            <w:gridSpan w:val="5"/>
          </w:tcPr>
          <w:p>
            <w:pPr>
              <w:jc w:val="right"/>
              <w:ind w:right="39"/>
              <w:spacing w:after="0"/>
              <w:rPr>
                <w:sz w:val="20"/>
                <w:szCs w:val="20"/>
                <w:color w:val="auto"/>
              </w:rPr>
            </w:pPr>
            <w:r>
              <w:rPr>
                <w:rFonts w:ascii="Arial" w:cs="Arial" w:eastAsia="Arial" w:hAnsi="Arial"/>
                <w:sz w:val="16"/>
                <w:szCs w:val="16"/>
                <w:b w:val="1"/>
                <w:bCs w:val="1"/>
                <w:color w:val="auto"/>
                <w:w w:val="97"/>
              </w:rPr>
              <w:t>For the Three Months Ended March 31,</w:t>
            </w:r>
          </w:p>
        </w:tc>
      </w:tr>
      <w:tr>
        <w:trPr>
          <w:trHeight w:val="33"/>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(111.2)</w:t>
            </w:r>
          </w:p>
        </w:tc>
      </w:tr>
      <w:tr>
        <w:trPr>
          <w:trHeight w:val="3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(145.2)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173.8</w:t>
            </w:r>
          </w:p>
        </w:tc>
      </w:tr>
      <w:tr>
        <w:trPr>
          <w:trHeight w:val="33"/>
        </w:trPr>
        <w:tc>
          <w:tcPr>
            <w:tcW w:w="8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b w:val="1"/>
          <w:bCs w:val="1"/>
          <w:i w:val="1"/>
          <w:iCs w:val="1"/>
          <w:color w:val="auto"/>
        </w:rPr>
        <w:t xml:space="preserve">Operating Activities. </w:t>
      </w:r>
      <w:r>
        <w:rPr>
          <w:rFonts w:ascii="Arial" w:cs="Arial" w:eastAsia="Arial" w:hAnsi="Arial"/>
          <w:sz w:val="15"/>
          <w:szCs w:val="15"/>
          <w:color w:val="auto"/>
        </w:rPr>
        <w:t>Cash flow from operations is primarily influenced by changes in the timing of demand for our services and operating margins, but is also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affected by working capital needs associated with the various types of services we provide. Working capital is affected by changes in total accounts receivable, prepaid expenses and other current assets, accounts payable, accrued expenses and deferred revenue,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three month period ended March 31, 2020 was $203 million, as compared with $47 million of net cash used in operating activities for the same period in 2019, for an increase in cash provided by operating activities of approximately $250 million. The increase in cash flow from operating activities was primarily due to the effect of working capital-related changes in assets and liabilities, net.</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Our days sales outstanding, net of deferred revenue (“DSO”) was 104 as of March 31, 2020 and 91 as of December 31, 2019. The increase in DSO for the three month period ended March 31, 2020 was primarily due to timing of project activity and mix, as well as delays in ordinary course quarter-end collections as a result of administrative and operational disruptions to our customers resulting from voluntary and government-mandated responses to the COVID-19 pandemic. DSO is calculated as total accounts receivable, net of allowance, less deferred revenue, divided by average daily revenue for the most recently completed quarter as of the balance sheet date. DSOs can fluctuate from period to period due to timing of billings, collections and settlements, timing of project close-outs and retainage collections, changes in project and customer mix and the effect of working capital initiatives. Other than matters subject to litigation, we do not anticipate material collection issues related to our outstanding accounts receivable balances, nor do we believe that we have material amounts due from customers experiencing financial difficulties. Based on current expectations, we expect to collect substantially all of our outstanding accounts receivable balances within the next twelve months.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decreased by $52 million to $59 million for the three month period ended March 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616" w:right="339" w:bottom="1440" w:gutter="0" w:footer="0" w:header="0"/>
        </w:sectPr>
      </w:pPr>
    </w:p>
    <w:bookmarkStart w:id="34" w:name="page35"/>
    <w:bookmarkEnd w:id="34"/>
    <w:p>
      <w:pPr>
        <w:jc w:val="both"/>
        <w:spacing w:after="0" w:line="272" w:lineRule="auto"/>
        <w:rPr>
          <w:sz w:val="20"/>
          <w:szCs w:val="20"/>
          <w:color w:val="auto"/>
        </w:rPr>
      </w:pPr>
      <w:r>
        <w:rPr>
          <w:rFonts w:ascii="Arial" w:cs="Arial" w:eastAsia="Arial" w:hAnsi="Arial"/>
          <w:sz w:val="15"/>
          <w:szCs w:val="15"/>
          <w:color w:val="auto"/>
        </w:rPr>
        <w:t>2020 from $111 million for the three month period ended March 31, 2019. Cash paid for acquisitions, net, decreased by approximately $94 million. For the three month period ended March 31, 2020, we spent $61 million on capital expenditures, or $52 million, net of asset disposals, as compared with $34 million, or $26 million, net of asset disposals, for the same period in the prior year, for an increase in cash used in investing activities of $26 million. For the three month period ended March 31, 2020, payments for other investments totaled $12 million and related primarily to equity investments in certain telecommunications entities, whereas for the three month period ended March 31, 2019, payments for other investments totaled $2 million, for an increase of $10 million in cash used in investing activities. For the three month period ended March 31, 2020 and 2019, proceeds from other investments and other investing activities totaled $5 million and $10 million, respectively.</w:t>
      </w:r>
    </w:p>
    <w:p>
      <w:pPr>
        <w:spacing w:after="0" w:line="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b w:val="1"/>
          <w:bCs w:val="1"/>
          <w:i w:val="1"/>
          <w:iCs w:val="1"/>
          <w:color w:val="auto"/>
        </w:rPr>
        <w:t xml:space="preserve">Financing Activities. </w:t>
      </w:r>
      <w:r>
        <w:rPr>
          <w:rFonts w:ascii="Arial" w:cs="Arial" w:eastAsia="Arial" w:hAnsi="Arial"/>
          <w:sz w:val="15"/>
          <w:szCs w:val="15"/>
          <w:color w:val="auto"/>
        </w:rPr>
        <w:t>Net cash used in financing activities for the three month period ended March 31, 2020 was $145 million, as compared with net cash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provided by financing activities of $174 million for the three month period ended March 31, 2019, for an increase in cash used in financing activities of $319 million. Credit facility and other borrowing-related activity, net, for the three month period ended March 31, 2020, totaled $4 million of borrowings, net of repayments, as compared with $196 million for the three month period ended March 31, 2019, for a decrease in cash provided by financing activities of approximately $191 million. Additionally, for the three month period ended March 31, 2020, payments for repurchases of common stock totaled $119 million, whereas for the three month period ended March 31, 2019, share repurchases totaled $6 million, for an increase in cash used in financing activities of approximately $114 million.</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have a senior secured credit facility, which was amended and restated in September 2019 (the “Credit Facility”). Aggregate borrowing commitments under the Credit Facility total $1.75 billion, composed of $1.35 billion of revolving commitments and a term loan totaling $400 million in original principal amount. Borrowings under the Credit Facility are used for working capital requirements, capital expenditures and other corporate purposes, including share repurchases, equity investments, potential acquisitions or other strategic arrangements and the repurchase or prepayment of indebtedness.</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are dependent upon borrowings and letters of credit under the Credit Facility to fund our operations. Should we be unable to comply with the terms and conditions of the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audited consolidated financial statements included in our 2019 Form 10-K.</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4.875% Senior Notes</w:t>
      </w:r>
    </w:p>
    <w:p>
      <w:pPr>
        <w:spacing w:after="0" w:line="11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4"/>
          <w:szCs w:val="14"/>
          <w:color w:val="auto"/>
        </w:rPr>
        <w:t>We have $400 million of 4.875% senior notes due March 15, 2023 (our “4.875% Senior Notes”) outstanding. The 4.875% Senior Notes are guaranteed by certain of our subsidiaries and are subject to certain provisions and covenants, as more fully described in Note 7 - Debt and Note 17 - Supplemental Guarantor Condensed Consolidating Financial Information in the notes to the audited consolidated financial statements included in our 2019 Form 10-K. Also, see Note 16 - Supplemental Guarantor Condensed Consolidating Financial Information in the notes to the consolidated financial statements in this Form 10-Q, which is incorporated by reference.</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Covenants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in compliance with the provisions and covenants contained in our outstanding debt instruments as of March 31, 2020.</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detailed discussion and additional information pertaining to our debt instruments, see Note 7 - Debt in the notes to the audited consolidated financial statements included in our 2019 Form 10-K. Also see Note 7 - Debt in the notes to the consolidated financial statements in this Form 10-Q for current period balances and discussion, which is incorporated by reference.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As is common in our industry, we have entered into certain off-balance sheet arrangements in the ordinary course of business. Our significant off-balance sheet transactions include liabilities associated with non-cancelable operating leases </w:t>
      </w:r>
      <w:r>
        <w:rPr>
          <w:rFonts w:ascii="Arial" w:cs="Arial" w:eastAsia="Arial" w:hAnsi="Arial"/>
          <w:sz w:val="16"/>
          <w:szCs w:val="16"/>
          <w:color w:val="252525"/>
        </w:rPr>
        <w:t>with durations of less than twelve months</w:t>
      </w:r>
      <w:r>
        <w:rPr>
          <w:rFonts w:ascii="Arial" w:cs="Arial" w:eastAsia="Arial" w:hAnsi="Arial"/>
          <w:sz w:val="16"/>
          <w:szCs w:val="16"/>
          <w:color w:val="auto"/>
        </w:rPr>
        <w:t>, letter of credit obligations, surety and performance and payment bonds entered into in the normal course of business, self-insurance liabilities, liabilities associated with multiemployer pension plans, liabilities associated with certain indemnification and guarantee arrangements and obligations relating to our equity and other investment arrangements, including our variable interest entities. Refer to Note 14 - Commitments and Contingencies, Note 4 - Fair Value of Financial Instruments and Note 15 - Related Party Transactions in the notes to the consolidated financial statements, which are incorporated by reference.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primary inflationary factors affecting our operations are labor and fuel costs, and to a lesser extent, material costs. In times of low unemployment, our labor costs may increase due to shortages in the supply of skilled labor. Additionally, the prices of oil and gas are subject to unexpected fluctuations due to events outside of our control, including geopolitical events and fluctuations in global supply and demand. We closely monitor inflationary factors and any impact they may have on our operating results or financial condition.</w:t>
      </w:r>
    </w:p>
    <w:p>
      <w:pPr>
        <w:spacing w:after="0" w:line="399" w:lineRule="exact"/>
        <w:rPr>
          <w:sz w:val="20"/>
          <w:szCs w:val="20"/>
          <w:color w:val="auto"/>
        </w:rPr>
      </w:pPr>
    </w:p>
    <w:p>
      <w:pPr>
        <w:ind w:right="4660"/>
        <w:spacing w:after="0" w:line="390" w:lineRule="auto"/>
        <w:rPr>
          <w:sz w:val="20"/>
          <w:szCs w:val="20"/>
          <w:color w:val="auto"/>
        </w:rPr>
      </w:pPr>
      <w:r>
        <w:rPr>
          <w:rFonts w:ascii="Arial" w:cs="Arial" w:eastAsia="Arial" w:hAnsi="Arial"/>
          <w:sz w:val="16"/>
          <w:szCs w:val="16"/>
          <w:b w:val="1"/>
          <w:bCs w:val="1"/>
          <w:color w:val="auto"/>
        </w:rPr>
        <w:t>ITEM 3. QUANTITATIVE AND QUALITATIVE DISCLOSURES ABOUT MARKET RISK Interest Rate Risk</w:t>
      </w:r>
    </w:p>
    <w:p>
      <w:pPr>
        <w:jc w:val="both"/>
        <w:ind w:firstLine="648"/>
        <w:spacing w:after="0" w:line="261" w:lineRule="auto"/>
        <w:rPr>
          <w:sz w:val="20"/>
          <w:szCs w:val="20"/>
          <w:color w:val="auto"/>
        </w:rPr>
      </w:pPr>
      <w:r>
        <w:rPr>
          <w:rFonts w:ascii="Arial" w:cs="Arial" w:eastAsia="Arial" w:hAnsi="Arial"/>
          <w:sz w:val="16"/>
          <w:szCs w:val="16"/>
          <w:color w:val="auto"/>
        </w:rPr>
        <w:t>As of March 31, 2020,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March 31, 2020, we had $333 million aggregate principal amount 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616" w:right="339" w:bottom="1440" w:gutter="0" w:footer="0" w:header="0"/>
        </w:sectPr>
      </w:pPr>
    </w:p>
    <w:bookmarkStart w:id="35" w:name="page36"/>
    <w:bookmarkEnd w:id="35"/>
    <w:p>
      <w:pPr>
        <w:jc w:val="both"/>
        <w:spacing w:after="0" w:line="261" w:lineRule="auto"/>
        <w:rPr>
          <w:sz w:val="20"/>
          <w:szCs w:val="20"/>
          <w:color w:val="auto"/>
        </w:rPr>
      </w:pPr>
      <w:r>
        <w:rPr>
          <w:rFonts w:ascii="Arial" w:cs="Arial" w:eastAsia="Arial" w:hAnsi="Arial"/>
          <w:sz w:val="16"/>
          <w:szCs w:val="16"/>
          <w:color w:val="auto"/>
        </w:rPr>
        <w:t>outstanding revolving loans under our Credit Facility with a weighted average interest rate of 2.47% and a term loan with a balance of $400 million with an interest rate of 2.24%. A 100 basis point increase in the applicable interest rates under our credit facilities would have increased our interest expense by approximately $2 million for the three month period ended March 31, 2020.</w:t>
      </w:r>
    </w:p>
    <w:p>
      <w:pPr>
        <w:spacing w:after="0" w:line="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March 31, 2020, our fixed interest rate debt primarily included $400 million aggregate principal amount of 4.875% Senior Notes and $298 million of finance lease obligations, which accrued interest at a weighted average interest rate of approximately 4.1%. None of this debt subjects us to interest rate risk, but we may be subject to changes in interest rates if and when we refinance this debt at maturity or otherwise.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Certain of our consolidated revenue and operating expenses are in foreign currencies. Our foreign operations are primarily in Canada. Revenue generated from foreign operations represented 3% of our total revenue for the three month period ended March 31, 2020.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Such transactions were not material to our operations for the three month period ended March 31, 2020. Translation gains or losses, which are recorded in other comprehensive income or loss, result from translation of the assets and liabilities of our foreign subsidiaries into U.S. dollars.</w:t>
      </w:r>
    </w:p>
    <w:p>
      <w:pPr>
        <w:spacing w:after="0" w:line="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March 31, 2020. We may enter into foreign currency derivative contracts in the future to manage such exposure.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Market Risk</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pacing w:after="0" w:line="222"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March 31, 2020.</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Although the adoption of ASU 2016-13, </w:t>
      </w:r>
      <w:r>
        <w:rPr>
          <w:rFonts w:ascii="Arial" w:cs="Arial" w:eastAsia="Arial" w:hAnsi="Arial"/>
          <w:sz w:val="16"/>
          <w:szCs w:val="16"/>
          <w:i w:val="1"/>
          <w:iCs w:val="1"/>
          <w:color w:val="auto"/>
        </w:rPr>
        <w:t>Financial Instruments - Credit Losses (Topic 326), Measurement of Credit Losses on Financial Instruments</w:t>
      </w:r>
      <w:r>
        <w:rPr>
          <w:rFonts w:ascii="Arial" w:cs="Arial" w:eastAsia="Arial" w:hAnsi="Arial"/>
          <w:sz w:val="16"/>
          <w:szCs w:val="16"/>
          <w:color w:val="auto"/>
        </w:rPr>
        <w:t xml:space="preserve"> had no significant effect on our results of operations, cash flows or financial position, certain updates to our internal controls were implemented in connection with its adoption. We have not experienced any material impact to our internal controls over financial reporting due to the COVID-19 pandemic. There have been no changes in the Company’s internal control over financial reporting during the quarter ended March 31, 2020 that have materially affected, or are reasonably likely to materially affect, the Company’s internal control over financial reporting.</w:t>
      </w:r>
    </w:p>
    <w:p>
      <w:pPr>
        <w:spacing w:after="0" w:line="200" w:lineRule="exact"/>
        <w:rPr>
          <w:sz w:val="20"/>
          <w:szCs w:val="20"/>
          <w:color w:val="auto"/>
        </w:rPr>
      </w:pPr>
    </w:p>
    <w:p>
      <w:pPr>
        <w:spacing w:after="0" w:line="230"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PART II.</w:t>
        <w:tab/>
        <w:t>OTHER INFORMATION</w:t>
      </w:r>
    </w:p>
    <w:p>
      <w:pPr>
        <w:spacing w:after="0" w:line="275"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17" w:lineRule="exact"/>
        <w:rPr>
          <w:sz w:val="20"/>
          <w:szCs w:val="20"/>
          <w:color w:val="auto"/>
        </w:rPr>
      </w:pPr>
    </w:p>
    <w:p>
      <w:pPr>
        <w:ind w:right="20" w:firstLine="648"/>
        <w:spacing w:after="0" w:line="310" w:lineRule="auto"/>
        <w:rPr>
          <w:sz w:val="20"/>
          <w:szCs w:val="20"/>
          <w:color w:val="auto"/>
        </w:rPr>
      </w:pPr>
      <w:r>
        <w:rPr>
          <w:rFonts w:ascii="Arial" w:cs="Arial" w:eastAsia="Arial" w:hAnsi="Arial"/>
          <w:sz w:val="15"/>
          <w:szCs w:val="15"/>
          <w:color w:val="auto"/>
        </w:rPr>
        <w:t>Refer to Note 14 - Commitments and Contingencies in the notes to our consolidated financial statements included in this Quarterly Report on Form 10-Q, which is incorporated by reference in this Item 1, for a discussion of any recent material developments related to our legal proceedings since the filing of our 2019 Form 10-K.</w:t>
      </w:r>
    </w:p>
    <w:p>
      <w:pPr>
        <w:spacing w:after="0" w:line="198"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7"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Except as set forth below, there have been no material changes to either the cautionary statement regarding forward-looking statements or to any of the risk factors disclosed in our 2019 Form 10-K, as updated by our Quarterly Report on Form 10-Q and other filings we make with the SEC.</w:t>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and operations, and the operations of our customers, may be adversely affected by epidemics or pandemics such as the COVID-19 pandemic.</w:t>
      </w:r>
    </w:p>
    <w:p>
      <w:pPr>
        <w:spacing w:after="0" w:line="125"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We may face risks related to health epidemics and pandemics or other outbreaks of communicable diseases. The global spread of COVID-19 has created significant volatility, uncertainty and economic disruption, including significant volatility in the U.S. economy and financial markets.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616" w:right="339" w:bottom="1440" w:gutter="0" w:footer="0" w:header="0"/>
        </w:sectPr>
      </w:pPr>
    </w:p>
    <w:bookmarkStart w:id="36" w:name="page37"/>
    <w:bookmarkEnd w:id="36"/>
    <w:p>
      <w:pPr>
        <w:jc w:val="both"/>
        <w:spacing w:after="0" w:line="253" w:lineRule="auto"/>
        <w:rPr>
          <w:sz w:val="20"/>
          <w:szCs w:val="20"/>
          <w:color w:val="auto"/>
        </w:rPr>
      </w:pPr>
      <w:r>
        <w:rPr>
          <w:rFonts w:ascii="Arial" w:cs="Arial" w:eastAsia="Arial" w:hAnsi="Arial"/>
          <w:sz w:val="16"/>
          <w:szCs w:val="16"/>
          <w:color w:val="auto"/>
        </w:rPr>
        <w:t>extent to which the COVID-19 pandemic could affect our business, operations, financial results and the trading price of our common stock will depend on numerous evolving factors that we may not be able to accurately predict, including the duration and scope of the pandemic, governmental and business actions that have been and continue to be taken in response to the pandemic, including mitigation efforts such as stay at home and other social distancing orders, as well as the impact of the pandemic on the U.S. economy, economic activity and actions taken in response, including from stimulus efforts such as the Families First Coronavirus Act and the Coronavirus Aid, Relief and Economic Security (“CARES”) Act.</w:t>
      </w:r>
    </w:p>
    <w:p>
      <w:pPr>
        <w:spacing w:after="0" w:line="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4"/>
          <w:szCs w:val="14"/>
          <w:color w:val="auto"/>
        </w:rPr>
        <w:t>A public health epidemic or pandemic, such as the COVID-19 pandemic, poses the risk that we or our employees, customers and/or business partners may be prevented from conducting ordinary course business activities for an indefinite period of time, including due to shutdowns that may be requested or mandated by governmental authorities or others, or that the pandemic may otherwise interrupt or affect business activities. The effects of the pandemic on our business, operations and financial results for the first quarter of 2020 were limited. We have adjusted standard operating procedures within our business operations to ensure continued employee and customer safety and are continually monitoring evolving health guidelines as well as market conditions and responding to changes as appropriate. We cannot be certain, however, that these efforts will prevent further disruption due to effects of the pandemic on business and market conditions. In addition, in light of the federal and state mandates implemented to control the spread of COVID-19, we have taken steps that allow administrative personnel to work remotely. Many of these measures are being deployed for the first time and, despite our implementation of security measures, there is no guarantee that the data security and privacy safeguards we have put in place will be completely effective or that we will not encounter some of the common risks associated with employees accessing Company data and systems remotely.</w:t>
      </w:r>
    </w:p>
    <w:p>
      <w:pPr>
        <w:spacing w:after="0" w:line="5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If overall global economic conditions weaken as a result of efforts to contain the spread of COVID-19, this may result in a reduction in demand across our end markets, including in the oil and gas sector, which has recently experienced a significant decline in demand and volatility in oil prices. Unfavorable market conditions, market uncertainty and/or economic downturns could have a negative effect on demand for our customers’ services and/or the profitability of services. Our customers may not have the ability to fund capital expenditures for infrastructure, or may have difficulty obtaining financing for planned projects, which could reduce their capital spending and/or result in reduced demand for our services and/or delays or cancellations of current or planned future projects. We could also incur incremental costs to operate in the current environment or experience lower levels of overhead absorption from a reduction in revenue, both of which could negatively affect our margins and profitability. Additionally, the economic and market disruptions resulting from COVID-19 could also lead to greater than normal uncertainty with respect to the realization of estimated amounts, including our backlog estimates and our provisions for credit losses. Additionally, our customers could seek to delay payments to us as a result of the pandemic’s financial effects on them. The ultimate extent, duration and impact of the COVID-19 pandemic is uncertain, the effects of which could be significant, and we cannot predict or quantify with any certainty the extent to which it could adversely affect our future financial condition, results of operations, liquidity, cash flows or the market price of our common stock.</w:t>
      </w:r>
    </w:p>
    <w:p>
      <w:pPr>
        <w:spacing w:after="0" w:line="245"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2.</w:t>
        <w:tab/>
        <w:t>UNREGISTERED SALES OF EQUITY SECURITIES AND USE OF PROCEEDS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Issuer Purchases of Equity Securities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repurchases of our common stock during the quarter ended March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jc w:val="right"/>
              <w:ind w:right="44"/>
              <w:spacing w:after="0"/>
              <w:rPr>
                <w:sz w:val="20"/>
                <w:szCs w:val="20"/>
                <w:color w:val="auto"/>
              </w:rPr>
            </w:pPr>
            <w:r>
              <w:rPr>
                <w:rFonts w:ascii="Arial" w:cs="Arial" w:eastAsia="Arial" w:hAnsi="Arial"/>
                <w:sz w:val="16"/>
                <w:szCs w:val="16"/>
                <w:b w:val="1"/>
                <w:bCs w:val="1"/>
                <w:color w:val="auto"/>
                <w:w w:val="92"/>
              </w:rPr>
              <w:t>Approximate Dollar Value of</w:t>
            </w:r>
          </w:p>
        </w:tc>
        <w:tc>
          <w:tcPr>
            <w:tcW w:w="0" w:type="dxa"/>
            <w:vAlign w:val="bottom"/>
          </w:tcPr>
          <w:p>
            <w:pPr>
              <w:spacing w:after="0"/>
              <w:rPr>
                <w:sz w:val="1"/>
                <w:szCs w:val="1"/>
                <w:color w:val="auto"/>
              </w:rPr>
            </w:pPr>
          </w:p>
        </w:tc>
      </w:tr>
      <w:tr>
        <w:trPr>
          <w:trHeight w:val="121"/>
        </w:trPr>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vMerge w:val="restart"/>
          </w:tcPr>
          <w:p>
            <w:pPr>
              <w:jc w:val="center"/>
              <w:ind w:right="24"/>
              <w:spacing w:after="0"/>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Average Price</w:t>
            </w: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Purchased as Part of Publicly</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Shares Purchased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Purchased under the Program</w:t>
            </w:r>
          </w:p>
        </w:tc>
        <w:tc>
          <w:tcPr>
            <w:tcW w:w="0" w:type="dxa"/>
            <w:vAlign w:val="bottom"/>
          </w:tcPr>
          <w:p>
            <w:pPr>
              <w:spacing w:after="0"/>
              <w:rPr>
                <w:sz w:val="1"/>
                <w:szCs w:val="1"/>
                <w:color w:val="auto"/>
              </w:rPr>
            </w:pPr>
          </w:p>
        </w:tc>
      </w:tr>
      <w:tr>
        <w:trPr>
          <w:trHeight w:val="81"/>
        </w:trPr>
        <w:tc>
          <w:tcPr>
            <w:tcW w:w="38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2"/>
              </w:rPr>
              <w:t>Paid per Share</w:t>
            </w:r>
          </w:p>
        </w:tc>
        <w:tc>
          <w:tcPr>
            <w:tcW w:w="100" w:type="dxa"/>
            <w:vAlign w:val="bottom"/>
            <w:vMerge w:val="restart"/>
          </w:tcPr>
          <w:p>
            <w:pPr>
              <w:spacing w:after="0"/>
              <w:rPr>
                <w:sz w:val="7"/>
                <w:szCs w:val="7"/>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 xml:space="preserve">Announced Program </w:t>
            </w:r>
            <w:r>
              <w:rPr>
                <w:rFonts w:ascii="Arial" w:cs="Arial" w:eastAsia="Arial" w:hAnsi="Arial"/>
                <w:sz w:val="21"/>
                <w:szCs w:val="21"/>
                <w:b w:val="1"/>
                <w:bCs w:val="1"/>
                <w:color w:val="auto"/>
                <w:w w:val="90"/>
                <w:vertAlign w:val="superscript"/>
              </w:rPr>
              <w:t>(c)</w:t>
            </w:r>
          </w:p>
        </w:tc>
        <w:tc>
          <w:tcPr>
            <w:tcW w:w="120" w:type="dxa"/>
            <w:vAlign w:val="bottom"/>
          </w:tcPr>
          <w:p>
            <w:pPr>
              <w:spacing w:after="0"/>
              <w:rPr>
                <w:sz w:val="7"/>
                <w:szCs w:val="7"/>
                <w:color w:val="auto"/>
              </w:rPr>
            </w:pPr>
          </w:p>
        </w:tc>
        <w:tc>
          <w:tcPr>
            <w:tcW w:w="22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(a) (b)</w:t>
            </w:r>
          </w:p>
        </w:tc>
        <w:tc>
          <w:tcPr>
            <w:tcW w:w="1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center"/>
              <w:ind w:right="24"/>
              <w:spacing w:after="0"/>
              <w:rPr>
                <w:sz w:val="20"/>
                <w:szCs w:val="20"/>
                <w:color w:val="auto"/>
              </w:rPr>
            </w:pPr>
            <w:r>
              <w:rPr>
                <w:rFonts w:ascii="Arial" w:cs="Arial" w:eastAsia="Arial" w:hAnsi="Arial"/>
                <w:sz w:val="11"/>
                <w:szCs w:val="11"/>
                <w:b w:val="1"/>
                <w:bCs w:val="1"/>
                <w:color w:val="auto"/>
                <w:w w:val="99"/>
              </w:rPr>
              <w:t>(d)</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January 1 through January 31</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128,846,586</w:t>
            </w:r>
          </w:p>
        </w:tc>
        <w:tc>
          <w:tcPr>
            <w:tcW w:w="0" w:type="dxa"/>
            <w:vAlign w:val="bottom"/>
          </w:tcPr>
          <w:p>
            <w:pPr>
              <w:spacing w:after="0"/>
              <w:rPr>
                <w:sz w:val="1"/>
                <w:szCs w:val="1"/>
                <w:color w:val="auto"/>
              </w:rPr>
            </w:pPr>
          </w:p>
        </w:tc>
      </w:tr>
      <w:tr>
        <w:trPr>
          <w:trHeight w:val="237"/>
        </w:trPr>
        <w:tc>
          <w:tcPr>
            <w:tcW w:w="3940" w:type="dxa"/>
            <w:vAlign w:val="bottom"/>
            <w:gridSpan w:val="2"/>
          </w:tcPr>
          <w:p>
            <w:pPr>
              <w:ind w:left="40"/>
              <w:spacing w:after="0"/>
              <w:rPr>
                <w:sz w:val="20"/>
                <w:szCs w:val="20"/>
                <w:color w:val="auto"/>
              </w:rPr>
            </w:pPr>
            <w:r>
              <w:rPr>
                <w:rFonts w:ascii="Arial" w:cs="Arial" w:eastAsia="Arial" w:hAnsi="Arial"/>
                <w:sz w:val="16"/>
                <w:szCs w:val="16"/>
                <w:color w:val="auto"/>
              </w:rPr>
              <w:t>February 1 through February 29</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183,737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49.41</w:t>
            </w:r>
          </w:p>
        </w:tc>
        <w:tc>
          <w:tcPr>
            <w:tcW w:w="100" w:type="dxa"/>
            <w:vAlign w:val="bottom"/>
          </w:tcPr>
          <w:p>
            <w:pPr>
              <w:spacing w:after="0"/>
              <w:rPr>
                <w:sz w:val="20"/>
                <w:szCs w:val="20"/>
                <w:color w:val="auto"/>
              </w:rPr>
            </w:pPr>
          </w:p>
        </w:tc>
        <w:tc>
          <w:tcPr>
            <w:tcW w:w="2120" w:type="dxa"/>
            <w:vAlign w:val="bottom"/>
          </w:tcPr>
          <w:p>
            <w:pPr>
              <w:jc w:val="right"/>
              <w:ind w:right="19"/>
              <w:spacing w:after="0"/>
              <w:rPr>
                <w:sz w:val="20"/>
                <w:szCs w:val="20"/>
                <w:color w:val="auto"/>
              </w:rPr>
            </w:pPr>
            <w:r>
              <w:rPr>
                <w:rFonts w:ascii="Arial" w:cs="Arial" w:eastAsia="Arial" w:hAnsi="Arial"/>
                <w:sz w:val="16"/>
                <w:szCs w:val="16"/>
                <w:color w:val="auto"/>
              </w:rPr>
              <w:t>173,558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24"/>
              <w:spacing w:after="0"/>
              <w:rPr>
                <w:sz w:val="20"/>
                <w:szCs w:val="20"/>
                <w:color w:val="auto"/>
              </w:rPr>
            </w:pPr>
            <w:r>
              <w:rPr>
                <w:rFonts w:ascii="Arial" w:cs="Arial" w:eastAsia="Arial" w:hAnsi="Arial"/>
                <w:sz w:val="16"/>
                <w:szCs w:val="16"/>
                <w:color w:val="auto"/>
              </w:rPr>
              <w:t>120,340,405</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1 through March 31</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3,396,366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32.66</w:t>
            </w:r>
          </w:p>
        </w:tc>
        <w:tc>
          <w:tcPr>
            <w:tcW w:w="10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3,396,366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159,419,290</w:t>
            </w:r>
          </w:p>
        </w:tc>
        <w:tc>
          <w:tcPr>
            <w:tcW w:w="0" w:type="dxa"/>
            <w:vAlign w:val="bottom"/>
          </w:tcPr>
          <w:p>
            <w:pPr>
              <w:spacing w:after="0"/>
              <w:rPr>
                <w:sz w:val="1"/>
                <w:szCs w:val="1"/>
                <w:color w:val="auto"/>
              </w:rPr>
            </w:pPr>
          </w:p>
        </w:tc>
      </w:tr>
      <w:tr>
        <w:trPr>
          <w:trHeight w:val="217"/>
        </w:trPr>
        <w:tc>
          <w:tcPr>
            <w:tcW w:w="394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3,580,103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3,569,924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20955</wp:posOffset>
            </wp:positionV>
            <wp:extent cx="13455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20955</wp:posOffset>
            </wp:positionV>
            <wp:extent cx="8655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35" w:lineRule="exact"/>
        <w:rPr>
          <w:sz w:val="20"/>
          <w:szCs w:val="20"/>
          <w:color w:val="auto"/>
        </w:rPr>
      </w:pPr>
    </w:p>
    <w:p>
      <w:pPr>
        <w:ind w:left="420" w:right="20" w:hanging="412"/>
        <w:spacing w:after="0" w:line="261"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3,569,924 of repurchases under share repurchase programs and 10,179 of shares withheld for income tax purposes in connection with shares issued under compensation and benefit programs.</w:t>
      </w:r>
    </w:p>
    <w:p>
      <w:pPr>
        <w:ind w:left="420" w:hanging="412"/>
        <w:spacing w:after="0"/>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Except to the extent described in (a) above with respect to share repurchases associated with compensation and benefit programs, all shares were acquired in open-market transactions.</w:t>
      </w:r>
    </w:p>
    <w:p>
      <w:pPr>
        <w:spacing w:after="0" w:line="39" w:lineRule="exact"/>
        <w:rPr>
          <w:rFonts w:ascii="Arial" w:cs="Arial" w:eastAsia="Arial" w:hAnsi="Arial"/>
          <w:sz w:val="13"/>
          <w:szCs w:val="13"/>
          <w:color w:val="auto"/>
        </w:rPr>
      </w:pPr>
    </w:p>
    <w:p>
      <w:pPr>
        <w:ind w:left="420" w:right="20" w:hanging="412"/>
        <w:spacing w:after="0" w:line="281" w:lineRule="auto"/>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repurchases of 0.6 million shares under our $150 million September 2018 share repurchase program, which was publicly announced on September 11, 2018 and completed during the quarter ended March 31, 2020, and 3.0 million shares under our $100 million December 2018 share repurchase program, which was publicly announced on December 21, 2018.</w:t>
      </w:r>
    </w:p>
    <w:p>
      <w:pPr>
        <w:ind w:left="420" w:hanging="412"/>
        <w:spacing w:after="0" w:line="273"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$9.4 million available for repurchase under our December 2018 share repurchase program and $150.0 million available for repurchase under our March 2020 share repurchase program, which was publicly announced on March 19, 2020.</w:t>
      </w:r>
    </w:p>
    <w:p>
      <w:pPr>
        <w:spacing w:after="0" w:line="233"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4.</w:t>
        <w:tab/>
        <w:t>MINE SAFETY DISCLOSURES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616" w:right="339" w:bottom="1440" w:gutter="0" w:footer="0" w:header="0"/>
        </w:sectPr>
      </w:pPr>
    </w:p>
    <w:bookmarkStart w:id="37" w:name="page38"/>
    <w:bookmarkEnd w:id="37"/>
    <w:p>
      <w:pPr>
        <w:spacing w:after="0"/>
        <w:tabs>
          <w:tab w:leader="none" w:pos="740" w:val="left"/>
        </w:tabs>
        <w:rPr>
          <w:sz w:val="20"/>
          <w:szCs w:val="20"/>
          <w:color w:val="auto"/>
        </w:rPr>
      </w:pPr>
      <w:r>
        <w:rPr>
          <w:rFonts w:ascii="Arial" w:cs="Arial" w:eastAsia="Arial" w:hAnsi="Arial"/>
          <w:sz w:val="16"/>
          <w:szCs w:val="16"/>
          <w:b w:val="1"/>
          <w:bCs w:val="1"/>
          <w:color w:val="auto"/>
        </w:rPr>
        <w:t>ITEM 6.</w:t>
        <w:tab/>
        <w:t>EXHIBITS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Exhibit Index below contains a list of exhibits filed or furnished with this Form 10-Q.</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95"/>
              </w:rPr>
              <w:t>Exhibit No.</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40" w:type="dxa"/>
            <w:vAlign w:val="bottom"/>
            <w:gridSpan w:val="2"/>
          </w:tcPr>
          <w:p>
            <w:pPr>
              <w:spacing w:after="0"/>
              <w:rPr>
                <w:sz w:val="20"/>
                <w:szCs w:val="20"/>
                <w:color w:val="auto"/>
              </w:rPr>
            </w:pPr>
            <w:r>
              <w:rPr>
                <w:rFonts w:ascii="Arial" w:cs="Arial" w:eastAsia="Arial" w:hAnsi="Arial"/>
                <w:sz w:val="16"/>
                <w:szCs w:val="16"/>
                <w:color w:val="auto"/>
              </w:rPr>
              <w:t>Description</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rPr>
              <w:t>31.1*</w:t>
            </w:r>
          </w:p>
        </w:tc>
        <w:tc>
          <w:tcPr>
            <w:tcW w:w="220" w:type="dxa"/>
            <w:vAlign w:val="bottom"/>
          </w:tcPr>
          <w:p>
            <w:pPr>
              <w:spacing w:after="0"/>
              <w:rPr>
                <w:sz w:val="24"/>
                <w:szCs w:val="24"/>
                <w:color w:val="auto"/>
              </w:rPr>
            </w:pPr>
          </w:p>
        </w:tc>
        <w:tc>
          <w:tcPr>
            <w:tcW w:w="9940" w:type="dxa"/>
            <w:vAlign w:val="bottom"/>
            <w:gridSpan w:val="3"/>
          </w:tcPr>
          <w:p>
            <w:pPr>
              <w:ind w:left="240"/>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Certifications required by Section 302(a) of the Sarbanes-Oxley Act of 2002.</w:t>
              </w:r>
            </w:hyperlink>
          </w:p>
        </w:tc>
      </w:tr>
      <w:tr>
        <w:trPr>
          <w:trHeight w:val="270"/>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31.2*</w:t>
            </w:r>
          </w:p>
        </w:tc>
        <w:tc>
          <w:tcPr>
            <w:tcW w:w="220" w:type="dxa"/>
            <w:vAlign w:val="bottom"/>
          </w:tcPr>
          <w:p>
            <w:pPr>
              <w:spacing w:after="0"/>
              <w:rPr>
                <w:sz w:val="23"/>
                <w:szCs w:val="23"/>
                <w:color w:val="auto"/>
              </w:rPr>
            </w:pPr>
          </w:p>
        </w:tc>
        <w:tc>
          <w:tcPr>
            <w:tcW w:w="9940" w:type="dxa"/>
            <w:vAlign w:val="bottom"/>
            <w:gridSpan w:val="3"/>
          </w:tcPr>
          <w:p>
            <w:pPr>
              <w:ind w:left="240"/>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Certifications required by Section 302(a) of the Sarbanes-Oxley Act of 2002.</w:t>
              </w:r>
            </w:hyperlink>
          </w:p>
        </w:tc>
      </w:tr>
      <w:tr>
        <w:trPr>
          <w:trHeight w:val="270"/>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32.1**</w:t>
            </w:r>
          </w:p>
        </w:tc>
        <w:tc>
          <w:tcPr>
            <w:tcW w:w="220" w:type="dxa"/>
            <w:vAlign w:val="bottom"/>
          </w:tcPr>
          <w:p>
            <w:pPr>
              <w:spacing w:after="0"/>
              <w:rPr>
                <w:sz w:val="23"/>
                <w:szCs w:val="23"/>
                <w:color w:val="auto"/>
              </w:rPr>
            </w:pPr>
          </w:p>
        </w:tc>
        <w:tc>
          <w:tcPr>
            <w:tcW w:w="9940" w:type="dxa"/>
            <w:vAlign w:val="bottom"/>
            <w:gridSpan w:val="3"/>
          </w:tcPr>
          <w:p>
            <w:pPr>
              <w:ind w:left="240"/>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Certifications required by Section 906 of the Sarbanes-Oxley Act of 2002.</w:t>
              </w:r>
            </w:hyperlink>
          </w:p>
        </w:tc>
      </w:tr>
      <w:tr>
        <w:trPr>
          <w:trHeight w:val="270"/>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32.2**</w:t>
            </w:r>
          </w:p>
        </w:tc>
        <w:tc>
          <w:tcPr>
            <w:tcW w:w="220" w:type="dxa"/>
            <w:vAlign w:val="bottom"/>
          </w:tcPr>
          <w:p>
            <w:pPr>
              <w:spacing w:after="0"/>
              <w:rPr>
                <w:sz w:val="23"/>
                <w:szCs w:val="23"/>
                <w:color w:val="auto"/>
              </w:rPr>
            </w:pPr>
          </w:p>
        </w:tc>
        <w:tc>
          <w:tcPr>
            <w:tcW w:w="9940" w:type="dxa"/>
            <w:vAlign w:val="bottom"/>
            <w:gridSpan w:val="3"/>
          </w:tcPr>
          <w:p>
            <w:pPr>
              <w:ind w:left="240"/>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Certifications required by Section 906 of the Sarbanes-Oxley Act of 2002.</w:t>
              </w:r>
            </w:hyperlink>
          </w:p>
        </w:tc>
      </w:tr>
      <w:tr>
        <w:trPr>
          <w:trHeight w:val="266"/>
        </w:trPr>
        <w:tc>
          <w:tcPr>
            <w:tcW w:w="1000" w:type="dxa"/>
            <w:vAlign w:val="bottom"/>
            <w:gridSpan w:val="3"/>
          </w:tcPr>
          <w:p>
            <w:pPr>
              <w:spacing w:after="0"/>
              <w:rPr>
                <w:sz w:val="20"/>
                <w:szCs w:val="20"/>
                <w:color w:val="auto"/>
              </w:rPr>
            </w:pPr>
            <w:r>
              <w:rPr>
                <w:rFonts w:ascii="Arial" w:cs="Arial" w:eastAsia="Arial" w:hAnsi="Arial"/>
                <w:sz w:val="16"/>
                <w:szCs w:val="16"/>
                <w:color w:val="auto"/>
              </w:rPr>
              <w:t>101.INS</w:t>
            </w:r>
          </w:p>
        </w:tc>
        <w:tc>
          <w:tcPr>
            <w:tcW w:w="9940" w:type="dxa"/>
            <w:vAlign w:val="bottom"/>
            <w:gridSpan w:val="3"/>
          </w:tcPr>
          <w:p>
            <w:pPr>
              <w:ind w:left="240"/>
              <w:spacing w:after="0"/>
              <w:rPr>
                <w:sz w:val="20"/>
                <w:szCs w:val="20"/>
                <w:color w:val="auto"/>
              </w:rPr>
            </w:pPr>
            <w:r>
              <w:rPr>
                <w:rFonts w:ascii="Arial" w:cs="Arial" w:eastAsia="Arial" w:hAnsi="Arial"/>
                <w:sz w:val="16"/>
                <w:szCs w:val="16"/>
                <w:color w:val="auto"/>
                <w:w w:val="91"/>
              </w:rPr>
              <w:t>Inline XBRL Instance Document - The instance document does not appear in the interactive data file because its XBRL tags are embedded within the</w:t>
            </w:r>
          </w:p>
        </w:tc>
      </w:tr>
      <w:tr>
        <w:trPr>
          <w:trHeight w:val="20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gridSpan w:val="3"/>
          </w:tcPr>
          <w:p>
            <w:pPr>
              <w:ind w:left="240"/>
              <w:spacing w:after="0"/>
              <w:rPr>
                <w:sz w:val="20"/>
                <w:szCs w:val="20"/>
                <w:color w:val="auto"/>
              </w:rPr>
            </w:pPr>
            <w:r>
              <w:rPr>
                <w:rFonts w:ascii="Arial" w:cs="Arial" w:eastAsia="Arial" w:hAnsi="Arial"/>
                <w:sz w:val="16"/>
                <w:szCs w:val="16"/>
                <w:color w:val="auto"/>
              </w:rPr>
              <w:t>Inline XBRL document.</w:t>
            </w:r>
          </w:p>
        </w:tc>
      </w:tr>
      <w:tr>
        <w:trPr>
          <w:trHeight w:val="257"/>
        </w:trPr>
        <w:tc>
          <w:tcPr>
            <w:tcW w:w="1000" w:type="dxa"/>
            <w:vAlign w:val="bottom"/>
            <w:gridSpan w:val="3"/>
          </w:tcPr>
          <w:p>
            <w:pPr>
              <w:spacing w:after="0"/>
              <w:rPr>
                <w:sz w:val="20"/>
                <w:szCs w:val="20"/>
                <w:color w:val="auto"/>
              </w:rPr>
            </w:pPr>
            <w:r>
              <w:rPr>
                <w:rFonts w:ascii="Arial" w:cs="Arial" w:eastAsia="Arial" w:hAnsi="Arial"/>
                <w:sz w:val="16"/>
                <w:szCs w:val="16"/>
                <w:color w:val="auto"/>
              </w:rPr>
              <w:t>101.SCH</w:t>
            </w:r>
          </w:p>
        </w:tc>
        <w:tc>
          <w:tcPr>
            <w:tcW w:w="9940" w:type="dxa"/>
            <w:vAlign w:val="bottom"/>
            <w:gridSpan w:val="3"/>
          </w:tcPr>
          <w:p>
            <w:pPr>
              <w:ind w:left="240"/>
              <w:spacing w:after="0"/>
              <w:rPr>
                <w:sz w:val="20"/>
                <w:szCs w:val="20"/>
                <w:color w:val="auto"/>
              </w:rPr>
            </w:pPr>
            <w:r>
              <w:rPr>
                <w:rFonts w:ascii="Arial" w:cs="Arial" w:eastAsia="Arial" w:hAnsi="Arial"/>
                <w:sz w:val="16"/>
                <w:szCs w:val="16"/>
                <w:color w:val="auto"/>
              </w:rPr>
              <w:t>Inline XBRL Taxonomy Extension Schema</w:t>
            </w:r>
          </w:p>
        </w:tc>
      </w:tr>
      <w:tr>
        <w:trPr>
          <w:trHeight w:val="270"/>
        </w:trPr>
        <w:tc>
          <w:tcPr>
            <w:tcW w:w="1000" w:type="dxa"/>
            <w:vAlign w:val="bottom"/>
            <w:gridSpan w:val="3"/>
          </w:tcPr>
          <w:p>
            <w:pPr>
              <w:spacing w:after="0"/>
              <w:rPr>
                <w:sz w:val="20"/>
                <w:szCs w:val="20"/>
                <w:color w:val="auto"/>
              </w:rPr>
            </w:pPr>
            <w:r>
              <w:rPr>
                <w:rFonts w:ascii="Arial" w:cs="Arial" w:eastAsia="Arial" w:hAnsi="Arial"/>
                <w:sz w:val="16"/>
                <w:szCs w:val="16"/>
                <w:color w:val="auto"/>
              </w:rPr>
              <w:t>101.CAL</w:t>
            </w:r>
          </w:p>
        </w:tc>
        <w:tc>
          <w:tcPr>
            <w:tcW w:w="9940" w:type="dxa"/>
            <w:vAlign w:val="bottom"/>
            <w:gridSpan w:val="3"/>
          </w:tcPr>
          <w:p>
            <w:pPr>
              <w:ind w:left="240"/>
              <w:spacing w:after="0"/>
              <w:rPr>
                <w:sz w:val="20"/>
                <w:szCs w:val="20"/>
                <w:color w:val="auto"/>
              </w:rPr>
            </w:pPr>
            <w:r>
              <w:rPr>
                <w:rFonts w:ascii="Arial" w:cs="Arial" w:eastAsia="Arial" w:hAnsi="Arial"/>
                <w:sz w:val="16"/>
                <w:szCs w:val="16"/>
                <w:color w:val="auto"/>
              </w:rPr>
              <w:t>Inline XBRL Taxonomy Extension Calculation Linkbase</w:t>
            </w:r>
          </w:p>
        </w:tc>
      </w:tr>
      <w:tr>
        <w:trPr>
          <w:trHeight w:val="297"/>
        </w:trPr>
        <w:tc>
          <w:tcPr>
            <w:tcW w:w="1000" w:type="dxa"/>
            <w:vAlign w:val="bottom"/>
            <w:gridSpan w:val="3"/>
          </w:tcPr>
          <w:p>
            <w:pPr>
              <w:spacing w:after="0"/>
              <w:rPr>
                <w:sz w:val="20"/>
                <w:szCs w:val="20"/>
                <w:color w:val="auto"/>
              </w:rPr>
            </w:pPr>
            <w:r>
              <w:rPr>
                <w:rFonts w:ascii="Arial" w:cs="Arial" w:eastAsia="Arial" w:hAnsi="Arial"/>
                <w:sz w:val="16"/>
                <w:szCs w:val="16"/>
                <w:color w:val="auto"/>
              </w:rPr>
              <w:t>101.DEF</w:t>
            </w:r>
          </w:p>
        </w:tc>
        <w:tc>
          <w:tcPr>
            <w:tcW w:w="9940" w:type="dxa"/>
            <w:vAlign w:val="bottom"/>
            <w:gridSpan w:val="3"/>
          </w:tcPr>
          <w:p>
            <w:pPr>
              <w:ind w:left="240"/>
              <w:spacing w:after="0"/>
              <w:rPr>
                <w:sz w:val="20"/>
                <w:szCs w:val="20"/>
                <w:color w:val="auto"/>
              </w:rPr>
            </w:pPr>
            <w:r>
              <w:rPr>
                <w:rFonts w:ascii="Arial" w:cs="Arial" w:eastAsia="Arial" w:hAnsi="Arial"/>
                <w:sz w:val="16"/>
                <w:szCs w:val="16"/>
                <w:color w:val="auto"/>
              </w:rPr>
              <w:t>Inline XBRL Taxonomy Extension Definition Linkbase</w:t>
            </w:r>
          </w:p>
        </w:tc>
      </w:tr>
      <w:tr>
        <w:trPr>
          <w:trHeight w:val="257"/>
        </w:trPr>
        <w:tc>
          <w:tcPr>
            <w:tcW w:w="1000" w:type="dxa"/>
            <w:vAlign w:val="bottom"/>
            <w:gridSpan w:val="3"/>
          </w:tcPr>
          <w:p>
            <w:pPr>
              <w:spacing w:after="0"/>
              <w:rPr>
                <w:sz w:val="20"/>
                <w:szCs w:val="20"/>
                <w:color w:val="auto"/>
              </w:rPr>
            </w:pPr>
            <w:r>
              <w:rPr>
                <w:rFonts w:ascii="Arial" w:cs="Arial" w:eastAsia="Arial" w:hAnsi="Arial"/>
                <w:sz w:val="16"/>
                <w:szCs w:val="16"/>
                <w:color w:val="auto"/>
              </w:rPr>
              <w:t>101.LAB</w:t>
            </w:r>
          </w:p>
        </w:tc>
        <w:tc>
          <w:tcPr>
            <w:tcW w:w="9940" w:type="dxa"/>
            <w:vAlign w:val="bottom"/>
            <w:gridSpan w:val="3"/>
          </w:tcPr>
          <w:p>
            <w:pPr>
              <w:ind w:left="240"/>
              <w:spacing w:after="0"/>
              <w:rPr>
                <w:sz w:val="20"/>
                <w:szCs w:val="20"/>
                <w:color w:val="auto"/>
              </w:rPr>
            </w:pPr>
            <w:r>
              <w:rPr>
                <w:rFonts w:ascii="Arial" w:cs="Arial" w:eastAsia="Arial" w:hAnsi="Arial"/>
                <w:sz w:val="16"/>
                <w:szCs w:val="16"/>
                <w:color w:val="auto"/>
              </w:rPr>
              <w:t>Inline XBRL Taxonomy Extension Label Linkbase</w:t>
            </w:r>
          </w:p>
        </w:tc>
      </w:tr>
      <w:tr>
        <w:trPr>
          <w:trHeight w:val="270"/>
        </w:trPr>
        <w:tc>
          <w:tcPr>
            <w:tcW w:w="1000" w:type="dxa"/>
            <w:vAlign w:val="bottom"/>
            <w:gridSpan w:val="3"/>
          </w:tcPr>
          <w:p>
            <w:pPr>
              <w:spacing w:after="0"/>
              <w:rPr>
                <w:sz w:val="20"/>
                <w:szCs w:val="20"/>
                <w:color w:val="auto"/>
              </w:rPr>
            </w:pPr>
            <w:r>
              <w:rPr>
                <w:rFonts w:ascii="Arial" w:cs="Arial" w:eastAsia="Arial" w:hAnsi="Arial"/>
                <w:sz w:val="16"/>
                <w:szCs w:val="16"/>
                <w:color w:val="auto"/>
              </w:rPr>
              <w:t>101.PRE</w:t>
            </w:r>
          </w:p>
        </w:tc>
        <w:tc>
          <w:tcPr>
            <w:tcW w:w="9940" w:type="dxa"/>
            <w:vAlign w:val="bottom"/>
            <w:gridSpan w:val="3"/>
          </w:tcPr>
          <w:p>
            <w:pPr>
              <w:ind w:left="240"/>
              <w:spacing w:after="0"/>
              <w:rPr>
                <w:sz w:val="20"/>
                <w:szCs w:val="20"/>
                <w:color w:val="auto"/>
              </w:rPr>
            </w:pPr>
            <w:r>
              <w:rPr>
                <w:rFonts w:ascii="Arial" w:cs="Arial" w:eastAsia="Arial" w:hAnsi="Arial"/>
                <w:sz w:val="16"/>
                <w:szCs w:val="16"/>
                <w:color w:val="auto"/>
              </w:rPr>
              <w:t>Inline XBRL Taxonomy Extension Presentation Linkbase</w:t>
            </w:r>
          </w:p>
        </w:tc>
      </w:tr>
    </w:tbl>
    <w:p>
      <w:pPr>
        <w:spacing w:after="0" w:line="64" w:lineRule="exact"/>
        <w:rPr>
          <w:sz w:val="20"/>
          <w:szCs w:val="20"/>
          <w:color w:val="auto"/>
        </w:rPr>
      </w:pPr>
    </w:p>
    <w:p>
      <w:pPr>
        <w:ind w:left="1280" w:hanging="1245"/>
        <w:spacing w:after="0" w:line="281" w:lineRule="auto"/>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cover page of MasTec, Inc.’s Quarterly Report on Form 10-Q for the quarter ended March 31, 2020, formatted in Inline XBRL (included with the Exhibit 101 attachments).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0"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000"/>
          </w:cols>
          <w:pgMar w:left="320" w:top="774" w:right="579" w:bottom="1440" w:gutter="0" w:footer="0" w:header="0"/>
        </w:sectPr>
      </w:pPr>
    </w:p>
    <w:bookmarkStart w:id="38" w:name="page39"/>
    <w:bookmarkEnd w:id="38"/>
    <w:p>
      <w:pPr>
        <w:jc w:val="center"/>
        <w:ind w:right="-339"/>
        <w:spacing w:after="0"/>
        <w:rPr>
          <w:sz w:val="20"/>
          <w:szCs w:val="20"/>
          <w:color w:val="auto"/>
        </w:rPr>
      </w:pPr>
      <w:r>
        <w:rPr>
          <w:rFonts w:ascii="Arial" w:cs="Arial" w:eastAsia="Arial" w:hAnsi="Arial"/>
          <w:sz w:val="16"/>
          <w:szCs w:val="16"/>
          <w:b w:val="1"/>
          <w:bCs w:val="1"/>
          <w:color w:val="auto"/>
        </w:rPr>
        <w:t>SIGNATURES</w:t>
      </w:r>
    </w:p>
    <w:p>
      <w:pPr>
        <w:spacing w:after="0" w:line="198"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21"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MASTEC, INC.</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Date: April 30, 2020</w:t>
      </w:r>
    </w:p>
    <w:p>
      <w:pPr>
        <w:spacing w:after="0" w:line="8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34925</wp:posOffset>
            </wp:positionV>
            <wp:extent cx="24085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6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José R. Mas</w:t>
      </w:r>
    </w:p>
    <w:p>
      <w:pPr>
        <w:spacing w:after="0" w:line="8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34925</wp:posOffset>
            </wp:positionV>
            <wp:extent cx="24085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6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George L. Pita</w:t>
      </w:r>
    </w:p>
    <w:p>
      <w:pPr>
        <w:spacing w:after="0" w:line="8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(Principal Financial and Accounting Officer)</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693"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José R. Mas, certify that: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194"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5"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jc w:val="both"/>
        <w:ind w:left="980" w:right="20" w:hanging="486"/>
        <w:spacing w:after="0" w:line="261"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5" w:lineRule="exact"/>
        <w:rPr>
          <w:rFonts w:ascii="Arial" w:cs="Arial" w:eastAsia="Arial" w:hAnsi="Arial"/>
          <w:sz w:val="16"/>
          <w:szCs w:val="16"/>
          <w:color w:val="auto"/>
        </w:rPr>
      </w:pPr>
    </w:p>
    <w:p>
      <w:pPr>
        <w:jc w:val="both"/>
        <w:ind w:left="980" w:hanging="486"/>
        <w:spacing w:after="0" w:line="261"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hanging="486"/>
        <w:spacing w:after="0" w:line="310" w:lineRule="auto"/>
        <w:tabs>
          <w:tab w:leader="none" w:pos="9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980" w:right="20" w:hanging="486"/>
        <w:spacing w:after="0" w:line="275"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6"/>
          <w:szCs w:val="16"/>
          <w:color w:val="auto"/>
        </w:rPr>
        <w:t>Date:</w:t>
        <w:tab/>
        <w:t>April 30, 2020</w:t>
      </w:r>
    </w:p>
    <w:p>
      <w:pPr>
        <w:spacing w:after="0" w:line="200" w:lineRule="exact"/>
        <w:rPr>
          <w:sz w:val="20"/>
          <w:szCs w:val="20"/>
          <w:color w:val="auto"/>
        </w:rPr>
      </w:pPr>
    </w:p>
    <w:p>
      <w:pPr>
        <w:spacing w:after="0" w:line="210"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w:t>
      </w:r>
      <w:r>
        <w:rPr>
          <w:rFonts w:ascii="Arial" w:cs="Arial" w:eastAsia="Arial" w:hAnsi="Arial"/>
          <w:sz w:val="16"/>
          <w:szCs w:val="16"/>
          <w:i w:val="1"/>
          <w:iCs w:val="1"/>
          <w:color w:val="auto"/>
        </w:rPr>
        <w:t>/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34925</wp:posOffset>
            </wp:positionV>
            <wp:extent cx="26746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6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José R. Mas</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55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George L. Pita, certify that: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19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5"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jc w:val="both"/>
        <w:ind w:left="980" w:right="20" w:hanging="486"/>
        <w:spacing w:after="0" w:line="261"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5" w:lineRule="exact"/>
        <w:rPr>
          <w:rFonts w:ascii="Arial" w:cs="Arial" w:eastAsia="Arial" w:hAnsi="Arial"/>
          <w:sz w:val="16"/>
          <w:szCs w:val="16"/>
          <w:color w:val="auto"/>
        </w:rPr>
      </w:pPr>
    </w:p>
    <w:p>
      <w:pPr>
        <w:jc w:val="both"/>
        <w:ind w:left="980" w:hanging="486"/>
        <w:spacing w:after="0" w:line="261"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hanging="486"/>
        <w:spacing w:after="0" w:line="310" w:lineRule="auto"/>
        <w:tabs>
          <w:tab w:leader="none" w:pos="9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980" w:right="20" w:hanging="486"/>
        <w:spacing w:after="0" w:line="275"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6"/>
          <w:szCs w:val="16"/>
          <w:color w:val="auto"/>
        </w:rPr>
        <w:t>Date:</w:t>
        <w:tab/>
        <w:t>April 30, 2020</w:t>
      </w:r>
    </w:p>
    <w:p>
      <w:pPr>
        <w:spacing w:after="0" w:line="200" w:lineRule="exact"/>
        <w:rPr>
          <w:sz w:val="20"/>
          <w:szCs w:val="20"/>
          <w:color w:val="auto"/>
        </w:rPr>
      </w:pPr>
    </w:p>
    <w:p>
      <w:pPr>
        <w:spacing w:after="0" w:line="210" w:lineRule="exact"/>
        <w:rPr>
          <w:sz w:val="20"/>
          <w:szCs w:val="20"/>
          <w:color w:val="auto"/>
        </w:rPr>
      </w:pPr>
    </w:p>
    <w:p>
      <w:pPr>
        <w:ind w:left="500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34925</wp:posOffset>
            </wp:positionV>
            <wp:extent cx="26746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6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George L. Pita</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55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March 31, 2020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156"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6"/>
          <w:szCs w:val="16"/>
          <w:color w:val="auto"/>
        </w:rPr>
        <w:t>Date:</w:t>
        <w:tab/>
        <w:t>April 30, 2020</w:t>
      </w:r>
    </w:p>
    <w:p>
      <w:pPr>
        <w:spacing w:after="0" w:line="200" w:lineRule="exact"/>
        <w:rPr>
          <w:sz w:val="20"/>
          <w:szCs w:val="20"/>
          <w:color w:val="auto"/>
        </w:rPr>
      </w:pPr>
    </w:p>
    <w:p>
      <w:pPr>
        <w:spacing w:after="0" w:line="210" w:lineRule="exact"/>
        <w:rPr>
          <w:sz w:val="20"/>
          <w:szCs w:val="20"/>
          <w:color w:val="auto"/>
        </w:rPr>
      </w:pPr>
    </w:p>
    <w:p>
      <w:pPr>
        <w:ind w:left="5000"/>
        <w:spacing w:after="0"/>
        <w:rPr>
          <w:sz w:val="20"/>
          <w:szCs w:val="20"/>
          <w:color w:val="auto"/>
        </w:rPr>
      </w:pPr>
      <w:r>
        <w:rPr>
          <w:rFonts w:ascii="Arial" w:cs="Arial" w:eastAsia="Arial" w:hAnsi="Arial"/>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34925</wp:posOffset>
            </wp:positionV>
            <wp:extent cx="26746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6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José R. Mas</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(Principal Executive Officer)</w:t>
      </w:r>
    </w:p>
    <w:p>
      <w:pPr>
        <w:spacing w:after="0" w:line="23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March 31, 2020, or as a separate disclosure document of the Company or the certifying officers.</w:t>
      </w:r>
    </w:p>
    <w:p>
      <w:pPr>
        <w:sectPr>
          <w:pgSz w:w="11900" w:h="16838" w:orient="portrait"/>
          <w:cols w:equalWidth="0" w:num="1">
            <w:col w:w="11240"/>
          </w:cols>
          <w:pgMar w:left="320" w:top="55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March 31, 2020 as filed with the Securities and Exchange Commission on the date hereof (the “Report”), I, George L. Pita, Chief Financial Officer of MasTec, Inc., certify, pursuant to 18 U.S.C. Section 1350, as adopted pursuant to Section 906 of the Sarbanes-Oxley Act of 2002, that, to the best of my knowledge:</w:t>
      </w:r>
    </w:p>
    <w:p>
      <w:pPr>
        <w:spacing w:after="0" w:line="156"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6"/>
          <w:szCs w:val="16"/>
          <w:color w:val="auto"/>
        </w:rPr>
        <w:t>Date:</w:t>
        <w:tab/>
        <w:t>April 30, 2020</w:t>
      </w:r>
    </w:p>
    <w:p>
      <w:pPr>
        <w:spacing w:after="0" w:line="200" w:lineRule="exact"/>
        <w:rPr>
          <w:sz w:val="20"/>
          <w:szCs w:val="20"/>
          <w:color w:val="auto"/>
        </w:rPr>
      </w:pPr>
    </w:p>
    <w:p>
      <w:pPr>
        <w:spacing w:after="0" w:line="210" w:lineRule="exact"/>
        <w:rPr>
          <w:sz w:val="20"/>
          <w:szCs w:val="20"/>
          <w:color w:val="auto"/>
        </w:rPr>
      </w:pPr>
    </w:p>
    <w:p>
      <w:pPr>
        <w:ind w:left="500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34925</wp:posOffset>
            </wp:positionV>
            <wp:extent cx="26746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6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George L. Pita</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(Principal Financial and Accounting Officer)</w:t>
      </w:r>
    </w:p>
    <w:p>
      <w:pPr>
        <w:spacing w:after="0" w:line="23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March 31, 2020, or as a separate disclosure document of the Company or the certifying officers.</w:t>
      </w:r>
    </w:p>
    <w:sectPr>
      <w:pgSz w:w="11900" w:h="16838" w:orient="portrait"/>
      <w:cols w:equalWidth="0" w:num="1">
        <w:col w:w="11240"/>
      </w:cols>
      <w:pgMar w:left="320" w:top="5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decimal"/>
      <w:start w:val="104"/>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2020-04-30T16:23:45Z</dcterms:created>
  <dcterms:modified xsi:type="dcterms:W3CDTF">2020-04-30T16:23:45Z</dcterms:modified>
</cp:coreProperties>
</file>