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40" w:lineRule="exact"/>
        <w:rPr>
          <w:sz w:val="24"/>
          <w:szCs w:val="24"/>
          <w:color w:val="auto"/>
        </w:rPr>
      </w:pPr>
    </w:p>
    <w:p>
      <w:pPr>
        <w:ind w:firstLine="8"/>
        <w:spacing w:after="0" w:line="298" w:lineRule="auto"/>
        <w:tabs>
          <w:tab w:leader="none" w:pos="51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ANNUAL REPORT PURSUANT TO SECTION 13 OR 15(d) OF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fiscal year ended December 31, 2024</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97" w:lineRule="exact"/>
        <w:rPr>
          <w:sz w:val="24"/>
          <w:szCs w:val="24"/>
          <w:color w:val="auto"/>
        </w:rPr>
      </w:pPr>
    </w:p>
    <w:p>
      <w:pPr>
        <w:ind w:firstLine="8"/>
        <w:spacing w:after="0" w:line="298" w:lineRule="auto"/>
        <w:tabs>
          <w:tab w:leader="none" w:pos="32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8" w:lineRule="exact"/>
        <w:rPr>
          <w:sz w:val="24"/>
          <w:szCs w:val="24"/>
          <w:color w:val="auto"/>
        </w:rPr>
      </w:pPr>
    </w:p>
    <w:tbl>
      <w:tblPr>
        <w:tblLayout w:type="fixed"/>
        <w:tblInd w:w="1120" w:type="dxa"/>
        <w:tblCellMar>
          <w:top w:w="0" w:type="dxa"/>
          <w:left w:w="0" w:type="dxa"/>
          <w:bottom w:w="0" w:type="dxa"/>
          <w:right w:w="0" w:type="dxa"/>
        </w:tblCellMar>
      </w:tblPr>
      <w:tr>
        <w:trPr>
          <w:trHeight w:val="28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7"/>
              </w:rPr>
              <w:t>For the transition period from __ to __</w:t>
            </w:r>
          </w:p>
        </w:tc>
        <w:tc>
          <w:tcPr>
            <w:tcW w:w="250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3"/>
          </w:tcPr>
          <w:p>
            <w:pPr>
              <w:jc w:val="center"/>
              <w:ind w:right="20"/>
              <w:spacing w:after="0"/>
              <w:rPr>
                <w:sz w:val="20"/>
                <w:szCs w:val="20"/>
                <w:color w:val="auto"/>
              </w:rPr>
            </w:pPr>
            <w:r>
              <w:rPr>
                <w:rFonts w:ascii="Times New Roman" w:cs="Times New Roman" w:eastAsia="Times New Roman" w:hAnsi="Times New Roman"/>
                <w:sz w:val="22"/>
                <w:szCs w:val="22"/>
                <w:b w:val="1"/>
                <w:bCs w:val="1"/>
                <w:color w:val="auto"/>
                <w:w w:val="98"/>
              </w:rPr>
              <w:t>Commission File Number 001-08106</w:t>
            </w:r>
          </w:p>
        </w:tc>
        <w:tc>
          <w:tcPr>
            <w:tcW w:w="2500" w:type="dxa"/>
            <w:vAlign w:val="bottom"/>
          </w:tcPr>
          <w:p>
            <w:pPr>
              <w:spacing w:after="0"/>
              <w:rPr>
                <w:sz w:val="24"/>
                <w:szCs w:val="24"/>
                <w:color w:val="auto"/>
              </w:rPr>
            </w:pPr>
          </w:p>
        </w:tc>
      </w:tr>
      <w:tr>
        <w:trPr>
          <w:trHeight w:val="210"/>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_____________________________________________</w:t>
            </w:r>
          </w:p>
        </w:tc>
        <w:tc>
          <w:tcPr>
            <w:tcW w:w="2500" w:type="dxa"/>
            <w:vAlign w:val="bottom"/>
          </w:tcPr>
          <w:p>
            <w:pPr>
              <w:spacing w:after="0"/>
              <w:rPr>
                <w:sz w:val="18"/>
                <w:szCs w:val="18"/>
                <w:color w:val="auto"/>
              </w:rPr>
            </w:pPr>
          </w:p>
        </w:tc>
      </w:tr>
      <w:tr>
        <w:trPr>
          <w:trHeight w:val="125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8"/>
              </w:rPr>
              <w:t>MasTec, Inc.</w:t>
            </w:r>
          </w:p>
        </w:tc>
        <w:tc>
          <w:tcPr>
            <w:tcW w:w="2500" w:type="dxa"/>
            <w:vAlign w:val="bottom"/>
          </w:tcPr>
          <w:p>
            <w:pPr>
              <w:spacing w:after="0"/>
              <w:rPr>
                <w:sz w:val="24"/>
                <w:szCs w:val="24"/>
                <w:color w:val="auto"/>
              </w:rPr>
            </w:pPr>
          </w:p>
        </w:tc>
      </w:tr>
      <w:tr>
        <w:trPr>
          <w:trHeight w:val="226"/>
        </w:trPr>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9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i w:val="1"/>
                <w:iCs w:val="1"/>
                <w:color w:val="auto"/>
              </w:rPr>
              <w:t>(Exact name of registrant as specified in its charter)</w:t>
            </w:r>
          </w:p>
        </w:tc>
        <w:tc>
          <w:tcPr>
            <w:tcW w:w="2500" w:type="dxa"/>
            <w:vAlign w:val="bottom"/>
          </w:tcPr>
          <w:p>
            <w:pPr>
              <w:spacing w:after="0"/>
              <w:rPr>
                <w:sz w:val="19"/>
                <w:szCs w:val="19"/>
                <w:color w:val="auto"/>
              </w:rPr>
            </w:pPr>
          </w:p>
        </w:tc>
      </w:tr>
      <w:tr>
        <w:trPr>
          <w:trHeight w:val="338"/>
        </w:trPr>
        <w:tc>
          <w:tcPr>
            <w:tcW w:w="740" w:type="dxa"/>
            <w:vAlign w:val="bottom"/>
          </w:tcPr>
          <w:p>
            <w:pPr>
              <w:spacing w:after="0"/>
              <w:rPr>
                <w:sz w:val="24"/>
                <w:szCs w:val="24"/>
                <w:color w:val="auto"/>
              </w:rPr>
            </w:pPr>
          </w:p>
        </w:tc>
        <w:tc>
          <w:tcPr>
            <w:tcW w:w="1780" w:type="dxa"/>
            <w:vAlign w:val="bottom"/>
            <w:gridSpan w:val="2"/>
          </w:tcPr>
          <w:p>
            <w:pPr>
              <w:jc w:val="center"/>
              <w:ind w:left="66"/>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00" w:type="dxa"/>
            <w:vAlign w:val="bottom"/>
          </w:tcPr>
          <w:p>
            <w:pPr>
              <w:jc w:val="right"/>
              <w:ind w:right="1225"/>
              <w:spacing w:after="0"/>
              <w:rPr>
                <w:sz w:val="20"/>
                <w:szCs w:val="20"/>
                <w:color w:val="auto"/>
              </w:rPr>
            </w:pPr>
            <w:r>
              <w:rPr>
                <w:rFonts w:ascii="Times New Roman" w:cs="Times New Roman" w:eastAsia="Times New Roman" w:hAnsi="Times New Roman"/>
                <w:sz w:val="16"/>
                <w:szCs w:val="16"/>
                <w:b w:val="1"/>
                <w:bCs w:val="1"/>
                <w:color w:val="auto"/>
              </w:rPr>
              <w:t>65-0829355</w:t>
            </w:r>
          </w:p>
        </w:tc>
      </w:tr>
      <w:tr>
        <w:trPr>
          <w:trHeight w:val="181"/>
        </w:trPr>
        <w:tc>
          <w:tcPr>
            <w:tcW w:w="740" w:type="dxa"/>
            <w:vAlign w:val="bottom"/>
          </w:tcPr>
          <w:p>
            <w:pPr>
              <w:spacing w:after="0"/>
              <w:rPr>
                <w:sz w:val="15"/>
                <w:szCs w:val="15"/>
                <w:color w:val="auto"/>
              </w:rPr>
            </w:pPr>
          </w:p>
        </w:tc>
        <w:tc>
          <w:tcPr>
            <w:tcW w:w="1780" w:type="dxa"/>
            <w:vAlign w:val="bottom"/>
            <w:gridSpan w:val="2"/>
          </w:tcPr>
          <w:p>
            <w:pPr>
              <w:jc w:val="center"/>
              <w:ind w:left="46"/>
              <w:spacing w:after="0"/>
              <w:rPr>
                <w:sz w:val="20"/>
                <w:szCs w:val="20"/>
                <w:color w:val="auto"/>
              </w:rPr>
            </w:pPr>
            <w:r>
              <w:rPr>
                <w:rFonts w:ascii="Times New Roman" w:cs="Times New Roman" w:eastAsia="Times New Roman" w:hAnsi="Times New Roman"/>
                <w:sz w:val="13"/>
                <w:szCs w:val="13"/>
                <w:b w:val="1"/>
                <w:bCs w:val="1"/>
                <w:i w:val="1"/>
                <w:iCs w:val="1"/>
                <w:color w:val="auto"/>
              </w:rPr>
              <w:t>(State or other jurisdiction of</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00" w:type="dxa"/>
            <w:vAlign w:val="bottom"/>
          </w:tcPr>
          <w:p>
            <w:pPr>
              <w:jc w:val="center"/>
              <w:ind w:right="805"/>
              <w:spacing w:after="0"/>
              <w:rPr>
                <w:sz w:val="20"/>
                <w:szCs w:val="20"/>
                <w:color w:val="auto"/>
              </w:rPr>
            </w:pPr>
            <w:r>
              <w:rPr>
                <w:rFonts w:ascii="Times New Roman" w:cs="Times New Roman" w:eastAsia="Times New Roman" w:hAnsi="Times New Roman"/>
                <w:sz w:val="13"/>
                <w:szCs w:val="13"/>
                <w:b w:val="1"/>
                <w:bCs w:val="1"/>
                <w:i w:val="1"/>
                <w:iCs w:val="1"/>
                <w:color w:val="auto"/>
              </w:rPr>
              <w:t>(I.R.S. Employer</w:t>
            </w:r>
          </w:p>
        </w:tc>
      </w:tr>
      <w:tr>
        <w:trPr>
          <w:trHeight w:val="189"/>
        </w:trPr>
        <w:tc>
          <w:tcPr>
            <w:tcW w:w="740" w:type="dxa"/>
            <w:vAlign w:val="bottom"/>
          </w:tcPr>
          <w:p>
            <w:pPr>
              <w:spacing w:after="0"/>
              <w:rPr>
                <w:sz w:val="16"/>
                <w:szCs w:val="16"/>
                <w:color w:val="auto"/>
              </w:rPr>
            </w:pPr>
          </w:p>
        </w:tc>
        <w:tc>
          <w:tcPr>
            <w:tcW w:w="5760" w:type="dxa"/>
            <w:vAlign w:val="bottom"/>
            <w:gridSpan w:val="5"/>
          </w:tcPr>
          <w:p>
            <w:pPr>
              <w:jc w:val="center"/>
              <w:ind w:right="3860"/>
              <w:spacing w:after="0"/>
              <w:rPr>
                <w:sz w:val="20"/>
                <w:szCs w:val="20"/>
                <w:color w:val="auto"/>
              </w:rPr>
            </w:pPr>
            <w:r>
              <w:rPr>
                <w:rFonts w:ascii="Times New Roman" w:cs="Times New Roman" w:eastAsia="Times New Roman" w:hAnsi="Times New Roman"/>
                <w:sz w:val="13"/>
                <w:szCs w:val="13"/>
                <w:b w:val="1"/>
                <w:bCs w:val="1"/>
                <w:i w:val="1"/>
                <w:iCs w:val="1"/>
                <w:color w:val="auto"/>
              </w:rPr>
              <w:t>incorporation or organization)</w:t>
            </w:r>
          </w:p>
        </w:tc>
        <w:tc>
          <w:tcPr>
            <w:tcW w:w="2500" w:type="dxa"/>
            <w:vAlign w:val="bottom"/>
          </w:tcPr>
          <w:p>
            <w:pPr>
              <w:jc w:val="center"/>
              <w:ind w:right="805"/>
              <w:spacing w:after="0"/>
              <w:rPr>
                <w:sz w:val="20"/>
                <w:szCs w:val="20"/>
                <w:color w:val="auto"/>
              </w:rPr>
            </w:pPr>
            <w:r>
              <w:rPr>
                <w:rFonts w:ascii="Times New Roman" w:cs="Times New Roman" w:eastAsia="Times New Roman" w:hAnsi="Times New Roman"/>
                <w:sz w:val="13"/>
                <w:szCs w:val="13"/>
                <w:b w:val="1"/>
                <w:bCs w:val="1"/>
                <w:i w:val="1"/>
                <w:iCs w:val="1"/>
                <w:color w:val="auto"/>
              </w:rPr>
              <w:t>Identification No.)</w:t>
            </w:r>
          </w:p>
        </w:tc>
      </w:tr>
      <w:tr>
        <w:trPr>
          <w:trHeight w:val="386"/>
        </w:trPr>
        <w:tc>
          <w:tcPr>
            <w:tcW w:w="6500" w:type="dxa"/>
            <w:vAlign w:val="bottom"/>
            <w:gridSpan w:val="6"/>
          </w:tcPr>
          <w:p>
            <w:pPr>
              <w:jc w:val="center"/>
              <w:ind w:right="3120"/>
              <w:spacing w:after="0"/>
              <w:rPr>
                <w:sz w:val="20"/>
                <w:szCs w:val="20"/>
                <w:color w:val="auto"/>
              </w:rPr>
            </w:pPr>
            <w:r>
              <w:rPr>
                <w:rFonts w:ascii="Times New Roman" w:cs="Times New Roman" w:eastAsia="Times New Roman" w:hAnsi="Times New Roman"/>
                <w:sz w:val="16"/>
                <w:szCs w:val="16"/>
                <w:b w:val="1"/>
                <w:bCs w:val="1"/>
                <w:color w:val="auto"/>
              </w:rPr>
              <w:t>800 S. Douglas Road, 12th Floor</w:t>
            </w:r>
          </w:p>
        </w:tc>
        <w:tc>
          <w:tcPr>
            <w:tcW w:w="25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1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Coral Gables, Florida</w:t>
            </w: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00" w:type="dxa"/>
            <w:vAlign w:val="bottom"/>
          </w:tcPr>
          <w:p>
            <w:pPr>
              <w:jc w:val="right"/>
              <w:ind w:right="1405"/>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181"/>
        </w:trPr>
        <w:tc>
          <w:tcPr>
            <w:tcW w:w="6500" w:type="dxa"/>
            <w:vAlign w:val="bottom"/>
            <w:gridSpan w:val="6"/>
          </w:tcPr>
          <w:p>
            <w:pPr>
              <w:jc w:val="center"/>
              <w:ind w:right="3100"/>
              <w:spacing w:after="0"/>
              <w:rPr>
                <w:sz w:val="20"/>
                <w:szCs w:val="20"/>
                <w:color w:val="auto"/>
              </w:rPr>
            </w:pPr>
            <w:r>
              <w:rPr>
                <w:rFonts w:ascii="Times New Roman" w:cs="Times New Roman" w:eastAsia="Times New Roman" w:hAnsi="Times New Roman"/>
                <w:sz w:val="13"/>
                <w:szCs w:val="13"/>
                <w:b w:val="1"/>
                <w:bCs w:val="1"/>
                <w:i w:val="1"/>
                <w:iCs w:val="1"/>
                <w:color w:val="auto"/>
              </w:rPr>
              <w:t>(Address of principal executive offices)</w:t>
            </w:r>
          </w:p>
        </w:tc>
        <w:tc>
          <w:tcPr>
            <w:tcW w:w="2500" w:type="dxa"/>
            <w:vAlign w:val="bottom"/>
          </w:tcPr>
          <w:p>
            <w:pPr>
              <w:jc w:val="center"/>
              <w:ind w:right="785"/>
              <w:spacing w:after="0"/>
              <w:rPr>
                <w:sz w:val="20"/>
                <w:szCs w:val="20"/>
                <w:color w:val="auto"/>
              </w:rPr>
            </w:pPr>
            <w:r>
              <w:rPr>
                <w:rFonts w:ascii="Times New Roman" w:cs="Times New Roman" w:eastAsia="Times New Roman" w:hAnsi="Times New Roman"/>
                <w:sz w:val="13"/>
                <w:szCs w:val="13"/>
                <w:b w:val="1"/>
                <w:bCs w:val="1"/>
                <w:i w:val="1"/>
                <w:iCs w:val="1"/>
                <w:color w:val="auto"/>
              </w:rPr>
              <w:t>(Zip Code)</w:t>
            </w:r>
          </w:p>
        </w:tc>
      </w:tr>
      <w:tr>
        <w:trPr>
          <w:trHeight w:val="413"/>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3"/>
          </w:tcPr>
          <w:p>
            <w:pPr>
              <w:jc w:val="right"/>
              <w:ind w:right="1480"/>
              <w:spacing w:after="0"/>
              <w:rPr>
                <w:sz w:val="20"/>
                <w:szCs w:val="20"/>
                <w:color w:val="auto"/>
              </w:rPr>
            </w:pPr>
            <w:r>
              <w:rPr>
                <w:rFonts w:ascii="Times New Roman" w:cs="Times New Roman" w:eastAsia="Times New Roman" w:hAnsi="Times New Roman"/>
                <w:sz w:val="16"/>
                <w:szCs w:val="16"/>
                <w:b w:val="1"/>
                <w:bCs w:val="1"/>
                <w:color w:val="auto"/>
              </w:rPr>
              <w:t>(305) 599-1800</w:t>
            </w:r>
          </w:p>
        </w:tc>
        <w:tc>
          <w:tcPr>
            <w:tcW w:w="2500" w:type="dxa"/>
            <w:vAlign w:val="bottom"/>
          </w:tcPr>
          <w:p>
            <w:pPr>
              <w:spacing w:after="0"/>
              <w:rPr>
                <w:sz w:val="24"/>
                <w:szCs w:val="24"/>
                <w:color w:val="auto"/>
              </w:rPr>
            </w:pPr>
          </w:p>
        </w:tc>
      </w:tr>
      <w:tr>
        <w:trPr>
          <w:trHeight w:val="208"/>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98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i w:val="1"/>
                <w:iCs w:val="1"/>
                <w:color w:val="auto"/>
              </w:rPr>
              <w:t>(Registrant’s telephone number, including area code)</w:t>
            </w:r>
          </w:p>
        </w:tc>
        <w:tc>
          <w:tcPr>
            <w:tcW w:w="2500" w:type="dxa"/>
            <w:vAlign w:val="bottom"/>
          </w:tcPr>
          <w:p>
            <w:pPr>
              <w:spacing w:after="0"/>
              <w:rPr>
                <w:sz w:val="18"/>
                <w:szCs w:val="18"/>
                <w:color w:val="auto"/>
              </w:rPr>
            </w:pPr>
          </w:p>
        </w:tc>
      </w:tr>
      <w:tr>
        <w:trPr>
          <w:trHeight w:val="305"/>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8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00" w:type="dxa"/>
            <w:vAlign w:val="bottom"/>
          </w:tcPr>
          <w:p>
            <w:pPr>
              <w:spacing w:after="0"/>
              <w:rPr>
                <w:sz w:val="24"/>
                <w:szCs w:val="24"/>
                <w:color w:val="auto"/>
              </w:rPr>
            </w:pPr>
          </w:p>
        </w:tc>
      </w:tr>
      <w:tr>
        <w:trPr>
          <w:trHeight w:val="290"/>
        </w:trPr>
        <w:tc>
          <w:tcPr>
            <w:tcW w:w="252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23"/>
        </w:trPr>
        <w:tc>
          <w:tcPr>
            <w:tcW w:w="7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398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2500" w:type="dxa"/>
            <w:vAlign w:val="bottom"/>
            <w:tcBorders>
              <w:top w:val="single" w:sz="8" w:color="auto"/>
            </w:tcBorders>
          </w:tcPr>
          <w:p>
            <w:pPr>
              <w:spacing w:after="0"/>
              <w:rPr>
                <w:sz w:val="19"/>
                <w:szCs w:val="19"/>
                <w:color w:val="auto"/>
              </w:rPr>
            </w:pPr>
          </w:p>
        </w:tc>
      </w:tr>
      <w:tr>
        <w:trPr>
          <w:trHeight w:val="250"/>
        </w:trPr>
        <w:tc>
          <w:tcPr>
            <w:tcW w:w="25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Common Stock, $0.10 Par Value</w:t>
            </w:r>
          </w:p>
        </w:tc>
        <w:tc>
          <w:tcPr>
            <w:tcW w:w="1440" w:type="dxa"/>
            <w:vAlign w:val="bottom"/>
          </w:tcPr>
          <w:p>
            <w:pPr>
              <w:spacing w:after="0"/>
              <w:rPr>
                <w:sz w:val="21"/>
                <w:szCs w:val="21"/>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MTZ</w:t>
            </w:r>
          </w:p>
        </w:tc>
        <w:tc>
          <w:tcPr>
            <w:tcW w:w="1500" w:type="dxa"/>
            <w:vAlign w:val="bottom"/>
          </w:tcPr>
          <w:p>
            <w:pPr>
              <w:spacing w:after="0"/>
              <w:rPr>
                <w:sz w:val="21"/>
                <w:szCs w:val="21"/>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3082290</wp:posOffset>
            </wp:positionH>
            <wp:positionV relativeFrom="paragraph">
              <wp:posOffset>-2845435</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93" w:lineRule="exact"/>
        <w:rPr>
          <w:sz w:val="24"/>
          <w:szCs w:val="24"/>
          <w:color w:val="auto"/>
        </w:rPr>
      </w:pPr>
    </w:p>
    <w:p>
      <w:pPr>
        <w:ind w:left="180"/>
        <w:spacing w:after="0" w:line="184" w:lineRule="exact"/>
        <w:tabs>
          <w:tab w:leader="none" w:pos="8000" w:val="left"/>
        </w:tabs>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left="180"/>
        <w:spacing w:after="0" w:line="184" w:lineRule="exact"/>
        <w:tabs>
          <w:tab w:leader="none" w:pos="8100" w:val="left"/>
        </w:tabs>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jc w:val="both"/>
        <w:ind w:firstLine="224"/>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17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173"/>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100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4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52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5" w:lineRule="exact"/>
        <w:rPr>
          <w:sz w:val="24"/>
          <w:szCs w:val="24"/>
          <w:color w:val="auto"/>
        </w:rPr>
      </w:pPr>
    </w:p>
    <w:p>
      <w:pPr>
        <w:ind w:firstLine="216"/>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167"/>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4"/>
          <w:szCs w:val="24"/>
          <w:color w:val="auto"/>
        </w:rPr>
      </w:pPr>
    </w:p>
    <w:p>
      <w:pPr>
        <w:ind w:right="20" w:firstLine="179"/>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ectPr>
          <w:pgSz w:w="11900" w:h="16897" w:orient="portrait"/>
          <w:cols w:equalWidth="0" w:num="1">
            <w:col w:w="11240"/>
          </w:cols>
          <w:pgMar w:left="320" w:top="1087" w:right="339" w:bottom="0" w:gutter="0" w:footer="0" w:header="0"/>
        </w:sectPr>
      </w:pPr>
    </w:p>
    <w:bookmarkStart w:id="1" w:name="page2"/>
    <w:bookmarkEnd w:id="1"/>
    <w:p>
      <w:pPr>
        <w:jc w:val="both"/>
        <w:ind w:firstLine="183"/>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9" w:lineRule="exact"/>
        <w:rPr>
          <w:sz w:val="20"/>
          <w:szCs w:val="20"/>
          <w:color w:val="auto"/>
        </w:rPr>
      </w:pPr>
    </w:p>
    <w:p>
      <w:pPr>
        <w:ind w:left="180"/>
        <w:spacing w:after="0" w:line="184" w:lineRule="exact"/>
        <w:tabs>
          <w:tab w:leader="none" w:pos="69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outstanding common stock held by non-affiliates of the registrant computed by reference to the price at which the common stock was last sold as of the last business day of the registrant’s most recently completed second fiscal quarter was approximately $6.5 billion based on the closing price per share for the registrant’s common stock on the New York Stock Exchange on June 28, 2024.</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There were 79,291,828 shares of common stock outstanding as of February 24, 2025.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ind w:firstLine="259"/>
        <w:spacing w:after="0" w:line="298" w:lineRule="auto"/>
        <w:rPr>
          <w:sz w:val="20"/>
          <w:szCs w:val="20"/>
          <w:color w:val="auto"/>
        </w:rPr>
      </w:pPr>
      <w:r>
        <w:rPr>
          <w:rFonts w:ascii="Times New Roman" w:cs="Times New Roman" w:eastAsia="Times New Roman" w:hAnsi="Times New Roman"/>
          <w:sz w:val="16"/>
          <w:szCs w:val="16"/>
          <w:color w:val="auto"/>
        </w:rPr>
        <w:t>The registrant’s definitive proxy statement to be filed with the Securities and Exchange Commission pursuant to Regulation 14A for the 2025 annual meeting of shareholders is incorporated by reference in Part III of this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0" w:type="dxa"/>
            <w:vAlign w:val="bottom"/>
            <w:gridSpan w:val="9"/>
          </w:tcPr>
          <w:p>
            <w:pPr>
              <w:ind w:left="6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613"/>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6"/>
              </w:rPr>
              <w:t>Page</w:t>
            </w:r>
          </w:p>
        </w:tc>
      </w:tr>
      <w:tr>
        <w:trPr>
          <w:trHeight w:val="196"/>
        </w:trPr>
        <w:tc>
          <w:tcPr>
            <w:tcW w:w="1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Part 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1</w:t>
            </w:r>
          </w:p>
        </w:tc>
        <w:tc>
          <w:tcPr>
            <w:tcW w:w="420" w:type="dxa"/>
            <w:vAlign w:val="bottom"/>
            <w:gridSpan w:val="4"/>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Business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Item 1A</w:t>
            </w:r>
          </w:p>
        </w:tc>
        <w:tc>
          <w:tcPr>
            <w:tcW w:w="28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17</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Item 1B</w:t>
            </w:r>
          </w:p>
        </w:tc>
        <w:tc>
          <w:tcPr>
            <w:tcW w:w="28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196"/>
        </w:trPr>
        <w:tc>
          <w:tcPr>
            <w:tcW w:w="200" w:type="dxa"/>
            <w:vAlign w:val="bottom"/>
          </w:tcPr>
          <w:p>
            <w:pPr>
              <w:spacing w:after="0"/>
              <w:rPr>
                <w:sz w:val="17"/>
                <w:szCs w:val="17"/>
                <w:color w:val="auto"/>
              </w:rPr>
            </w:pPr>
          </w:p>
        </w:tc>
        <w:tc>
          <w:tcPr>
            <w:tcW w:w="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9"/>
              </w:rPr>
              <w:t>Item 1C</w:t>
            </w:r>
          </w:p>
        </w:tc>
        <w:tc>
          <w:tcPr>
            <w:tcW w:w="280" w:type="dxa"/>
            <w:vAlign w:val="bottom"/>
            <w:tcBorders>
              <w:bottom w:val="single" w:sz="8" w:color="0000FF"/>
            </w:tcBorders>
          </w:tcPr>
          <w:p>
            <w:pPr>
              <w:spacing w:after="0"/>
              <w:rPr>
                <w:sz w:val="17"/>
                <w:szCs w:val="17"/>
                <w:color w:val="auto"/>
              </w:rPr>
            </w:pP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920" w:type="dxa"/>
            <w:vAlign w:val="bottom"/>
            <w:tcBorders>
              <w:top w:val="single" w:sz="8" w:color="0000FF"/>
            </w:tcBorders>
            <w:gridSpan w:val="5"/>
          </w:tcPr>
          <w:p>
            <w:pPr>
              <w:spacing w:after="0"/>
              <w:rPr>
                <w:sz w:val="17"/>
                <w:szCs w:val="17"/>
                <w:color w:val="auto"/>
              </w:rPr>
            </w:pPr>
          </w:p>
        </w:tc>
        <w:tc>
          <w:tcPr>
            <w:tcW w:w="7960" w:type="dxa"/>
            <w:vAlign w:val="bottom"/>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30</w:t>
            </w: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2</w:t>
            </w:r>
          </w:p>
        </w:tc>
        <w:tc>
          <w:tcPr>
            <w:tcW w:w="420" w:type="dxa"/>
            <w:vAlign w:val="bottom"/>
            <w:gridSpan w:val="4"/>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3</w:t>
            </w:r>
          </w:p>
        </w:tc>
        <w:tc>
          <w:tcPr>
            <w:tcW w:w="8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Item 4</w:t>
            </w:r>
          </w:p>
        </w:tc>
        <w:tc>
          <w:tcPr>
            <w:tcW w:w="34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20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Part II</w:t>
            </w:r>
          </w:p>
        </w:tc>
        <w:tc>
          <w:tcPr>
            <w:tcW w:w="620" w:type="dxa"/>
            <w:vAlign w:val="bottom"/>
            <w:gridSpan w:val="7"/>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31</w:t>
            </w:r>
          </w:p>
        </w:tc>
      </w:tr>
      <w:tr>
        <w:trPr>
          <w:trHeight w:val="196"/>
        </w:trPr>
        <w:tc>
          <w:tcPr>
            <w:tcW w:w="200" w:type="dxa"/>
            <w:vAlign w:val="bottom"/>
          </w:tcPr>
          <w:p>
            <w:pPr>
              <w:spacing w:after="0"/>
              <w:rPr>
                <w:sz w:val="17"/>
                <w:szCs w:val="17"/>
                <w:color w:val="auto"/>
              </w:rPr>
            </w:pPr>
          </w:p>
        </w:tc>
        <w:tc>
          <w:tcPr>
            <w:tcW w:w="5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Item 5</w:t>
            </w:r>
          </w:p>
        </w:tc>
        <w:tc>
          <w:tcPr>
            <w:tcW w:w="340" w:type="dxa"/>
            <w:vAlign w:val="bottom"/>
            <w:gridSpan w:val="3"/>
          </w:tcPr>
          <w:p>
            <w:pPr>
              <w:spacing w:after="0"/>
              <w:rPr>
                <w:sz w:val="17"/>
                <w:szCs w:val="17"/>
                <w:color w:val="auto"/>
              </w:rPr>
            </w:pPr>
          </w:p>
        </w:tc>
        <w:tc>
          <w:tcPr>
            <w:tcW w:w="7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Market for the Registrant’s Common Equity, Related Shareholder Matters and Issuer Purchases of Equity Securities</w:t>
            </w: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196"/>
        </w:trPr>
        <w:tc>
          <w:tcPr>
            <w:tcW w:w="200" w:type="dxa"/>
            <w:vAlign w:val="bottom"/>
          </w:tcPr>
          <w:p>
            <w:pPr>
              <w:spacing w:after="0"/>
              <w:rPr>
                <w:sz w:val="17"/>
                <w:szCs w:val="17"/>
                <w:color w:val="auto"/>
              </w:rPr>
            </w:pPr>
          </w:p>
        </w:tc>
        <w:tc>
          <w:tcPr>
            <w:tcW w:w="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w w:val="91"/>
              </w:rPr>
              <w:t>Item 6</w:t>
            </w:r>
          </w:p>
        </w:tc>
        <w:tc>
          <w:tcPr>
            <w:tcW w:w="420" w:type="dxa"/>
            <w:vAlign w:val="bottom"/>
            <w:gridSpan w:val="4"/>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Reserved</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7</w:t>
            </w:r>
          </w:p>
        </w:tc>
        <w:tc>
          <w:tcPr>
            <w:tcW w:w="80" w:type="dxa"/>
            <w:vAlign w:val="bottom"/>
            <w:tcBorders>
              <w:bottom w:val="single" w:sz="8" w:color="0000FF"/>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5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3980" w:type="dxa"/>
            <w:vAlign w:val="bottom"/>
            <w:gridSpan w:val="4"/>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196"/>
        </w:trPr>
        <w:tc>
          <w:tcPr>
            <w:tcW w:w="200" w:type="dxa"/>
            <w:vAlign w:val="bottom"/>
          </w:tcPr>
          <w:p>
            <w:pPr>
              <w:spacing w:after="0"/>
              <w:rPr>
                <w:sz w:val="17"/>
                <w:szCs w:val="17"/>
                <w:color w:val="auto"/>
              </w:rPr>
            </w:pPr>
          </w:p>
        </w:tc>
        <w:tc>
          <w:tcPr>
            <w:tcW w:w="5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Item 7A</w:t>
            </w:r>
          </w:p>
        </w:tc>
        <w:tc>
          <w:tcPr>
            <w:tcW w:w="28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49</w:t>
            </w:r>
          </w:p>
        </w:tc>
      </w:tr>
      <w:tr>
        <w:trPr>
          <w:trHeight w:val="196"/>
        </w:trPr>
        <w:tc>
          <w:tcPr>
            <w:tcW w:w="200" w:type="dxa"/>
            <w:vAlign w:val="bottom"/>
          </w:tcPr>
          <w:p>
            <w:pPr>
              <w:spacing w:after="0"/>
              <w:rPr>
                <w:sz w:val="17"/>
                <w:szCs w:val="17"/>
                <w:color w:val="auto"/>
              </w:rPr>
            </w:pPr>
          </w:p>
        </w:tc>
        <w:tc>
          <w:tcPr>
            <w:tcW w:w="4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8</w:t>
            </w:r>
          </w:p>
        </w:tc>
        <w:tc>
          <w:tcPr>
            <w:tcW w:w="140" w:type="dxa"/>
            <w:vAlign w:val="bottom"/>
            <w:tcBorders>
              <w:top w:val="single" w:sz="8" w:color="0000FF"/>
            </w:tcBorders>
            <w:gridSpan w:val="3"/>
          </w:tcPr>
          <w:p>
            <w:pPr>
              <w:spacing w:after="0"/>
              <w:rPr>
                <w:sz w:val="17"/>
                <w:szCs w:val="17"/>
                <w:color w:val="auto"/>
              </w:rPr>
            </w:pPr>
          </w:p>
        </w:tc>
        <w:tc>
          <w:tcPr>
            <w:tcW w:w="280" w:type="dxa"/>
            <w:vAlign w:val="bottom"/>
          </w:tcPr>
          <w:p>
            <w:pPr>
              <w:spacing w:after="0"/>
              <w:rPr>
                <w:sz w:val="17"/>
                <w:szCs w:val="17"/>
                <w:color w:val="auto"/>
              </w:rPr>
            </w:pPr>
          </w:p>
        </w:tc>
        <w:tc>
          <w:tcPr>
            <w:tcW w:w="39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5880" w:type="dxa"/>
            <w:vAlign w:val="bottom"/>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51</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1"/>
              </w:rPr>
              <w:t>Item 9</w:t>
            </w:r>
          </w:p>
        </w:tc>
        <w:tc>
          <w:tcPr>
            <w:tcW w:w="80" w:type="dxa"/>
            <w:vAlign w:val="bottom"/>
            <w:tcBorders>
              <w:bottom w:val="single" w:sz="8" w:color="0000FF"/>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58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3960" w:type="dxa"/>
            <w:vAlign w:val="bottom"/>
            <w:gridSpan w:val="3"/>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96</w:t>
            </w:r>
          </w:p>
        </w:tc>
      </w:tr>
      <w:tr>
        <w:trPr>
          <w:trHeight w:val="196"/>
        </w:trPr>
        <w:tc>
          <w:tcPr>
            <w:tcW w:w="200" w:type="dxa"/>
            <w:vAlign w:val="bottom"/>
          </w:tcPr>
          <w:p>
            <w:pPr>
              <w:spacing w:after="0"/>
              <w:rPr>
                <w:sz w:val="17"/>
                <w:szCs w:val="17"/>
                <w:color w:val="auto"/>
              </w:rPr>
            </w:pPr>
          </w:p>
        </w:tc>
        <w:tc>
          <w:tcPr>
            <w:tcW w:w="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Item 9A</w:t>
            </w:r>
          </w:p>
        </w:tc>
        <w:tc>
          <w:tcPr>
            <w:tcW w:w="280" w:type="dxa"/>
            <w:vAlign w:val="bottom"/>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8200" w:type="dxa"/>
            <w:vAlign w:val="bottom"/>
            <w:gridSpan w:val="14"/>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96</w:t>
            </w:r>
          </w:p>
        </w:tc>
      </w:tr>
      <w:tr>
        <w:trPr>
          <w:trHeight w:val="196"/>
        </w:trPr>
        <w:tc>
          <w:tcPr>
            <w:tcW w:w="200" w:type="dxa"/>
            <w:vAlign w:val="bottom"/>
          </w:tcPr>
          <w:p>
            <w:pPr>
              <w:spacing w:after="0"/>
              <w:rPr>
                <w:sz w:val="17"/>
                <w:szCs w:val="17"/>
                <w:color w:val="auto"/>
              </w:rPr>
            </w:pPr>
          </w:p>
        </w:tc>
        <w:tc>
          <w:tcPr>
            <w:tcW w:w="5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Item 9B</w:t>
            </w:r>
          </w:p>
        </w:tc>
        <w:tc>
          <w:tcPr>
            <w:tcW w:w="280" w:type="dxa"/>
            <w:vAlign w:val="bottom"/>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r>
      <w:tr>
        <w:trPr>
          <w:trHeight w:val="20"/>
        </w:trPr>
        <w:tc>
          <w:tcPr>
            <w:tcW w:w="20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9"/>
              </w:rPr>
              <w:t>Item 9C</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538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97</w:t>
            </w:r>
          </w:p>
        </w:tc>
      </w:tr>
      <w:tr>
        <w:trPr>
          <w:trHeight w:val="196"/>
        </w:trPr>
        <w:tc>
          <w:tcPr>
            <w:tcW w:w="104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Part III</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r>
      <w:tr>
        <w:trPr>
          <w:trHeight w:val="20"/>
        </w:trPr>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Item 10</w:t>
            </w: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34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97</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12</w:t>
            </w:r>
          </w:p>
        </w:tc>
        <w:tc>
          <w:tcPr>
            <w:tcW w:w="34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Shareholder Matters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r>
      <w:tr>
        <w:trPr>
          <w:trHeight w:val="196"/>
        </w:trPr>
        <w:tc>
          <w:tcPr>
            <w:tcW w:w="200" w:type="dxa"/>
            <w:vAlign w:val="bottom"/>
          </w:tcPr>
          <w:p>
            <w:pPr>
              <w:spacing w:after="0"/>
              <w:rPr>
                <w:sz w:val="17"/>
                <w:szCs w:val="17"/>
                <w:color w:val="auto"/>
              </w:rPr>
            </w:pPr>
          </w:p>
        </w:tc>
        <w:tc>
          <w:tcPr>
            <w:tcW w:w="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3"/>
              </w:rPr>
              <w:t>Item 13</w:t>
            </w:r>
          </w:p>
        </w:tc>
        <w:tc>
          <w:tcPr>
            <w:tcW w:w="340" w:type="dxa"/>
            <w:vAlign w:val="bottom"/>
            <w:gridSpan w:val="3"/>
          </w:tcPr>
          <w:p>
            <w:pPr>
              <w:spacing w:after="0"/>
              <w:rPr>
                <w:sz w:val="17"/>
                <w:szCs w:val="17"/>
                <w:color w:val="auto"/>
              </w:rPr>
            </w:pPr>
          </w:p>
        </w:tc>
        <w:tc>
          <w:tcPr>
            <w:tcW w:w="49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640" w:type="dxa"/>
            <w:vAlign w:val="bottom"/>
            <w:tcBorders>
              <w:top w:val="single" w:sz="8" w:color="0000FF"/>
            </w:tcBorders>
            <w:gridSpan w:val="3"/>
          </w:tcPr>
          <w:p>
            <w:pPr>
              <w:spacing w:after="0"/>
              <w:rPr>
                <w:sz w:val="17"/>
                <w:szCs w:val="17"/>
                <w:color w:val="auto"/>
              </w:rPr>
            </w:pPr>
          </w:p>
        </w:tc>
        <w:tc>
          <w:tcPr>
            <w:tcW w:w="324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98</w:t>
            </w:r>
          </w:p>
        </w:tc>
      </w:tr>
      <w:tr>
        <w:trPr>
          <w:trHeight w:val="196"/>
        </w:trPr>
        <w:tc>
          <w:tcPr>
            <w:tcW w:w="200" w:type="dxa"/>
            <w:vAlign w:val="bottom"/>
          </w:tcPr>
          <w:p>
            <w:pPr>
              <w:spacing w:after="0"/>
              <w:rPr>
                <w:sz w:val="17"/>
                <w:szCs w:val="17"/>
                <w:color w:val="auto"/>
              </w:rPr>
            </w:pPr>
          </w:p>
        </w:tc>
        <w:tc>
          <w:tcPr>
            <w:tcW w:w="8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Item 14</w:t>
            </w: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r>
      <w:tr>
        <w:trPr>
          <w:trHeight w:val="20"/>
        </w:trPr>
        <w:tc>
          <w:tcPr>
            <w:tcW w:w="20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76"/>
        </w:trPr>
        <w:tc>
          <w:tcPr>
            <w:tcW w:w="480" w:type="dxa"/>
            <w:vAlign w:val="bottom"/>
            <w:tcBorders>
              <w:bottom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6"/>
                <w:szCs w:val="16"/>
                <w:color w:val="0000FF"/>
                <w:w w:val="98"/>
              </w:rPr>
              <w:t>Part IV</w:t>
            </w:r>
          </w:p>
        </w:tc>
        <w:tc>
          <w:tcPr>
            <w:tcW w:w="56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60" w:type="dxa"/>
            <w:vAlign w:val="bottom"/>
            <w:tcBorders>
              <w:bottom w:val="single" w:sz="8" w:color="0000FF"/>
            </w:tcBorders>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0000FF"/>
                <w:w w:val="87"/>
              </w:rPr>
              <w:t>98</w:t>
            </w: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15</w:t>
            </w:r>
          </w:p>
        </w:tc>
        <w:tc>
          <w:tcPr>
            <w:tcW w:w="340" w:type="dxa"/>
            <w:vAlign w:val="bottom"/>
            <w:gridSpan w:val="3"/>
          </w:tcPr>
          <w:p>
            <w:pPr>
              <w:spacing w:after="0"/>
              <w:rPr>
                <w:sz w:val="17"/>
                <w:szCs w:val="17"/>
                <w:color w:val="auto"/>
              </w:rPr>
            </w:pPr>
          </w:p>
        </w:tc>
        <w:tc>
          <w:tcPr>
            <w:tcW w:w="980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98</w:t>
            </w:r>
          </w:p>
        </w:tc>
      </w:tr>
      <w:tr>
        <w:trPr>
          <w:trHeight w:val="20"/>
        </w:trPr>
        <w:tc>
          <w:tcPr>
            <w:tcW w:w="20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w w:val="93"/>
              </w:rPr>
              <w:t>Item 16</w:t>
            </w:r>
          </w:p>
        </w:tc>
        <w:tc>
          <w:tcPr>
            <w:tcW w:w="340" w:type="dxa"/>
            <w:vAlign w:val="bottom"/>
            <w:gridSpan w:val="3"/>
          </w:tcPr>
          <w:p>
            <w:pPr>
              <w:spacing w:after="0"/>
              <w:rPr>
                <w:sz w:val="17"/>
                <w:szCs w:val="17"/>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6960" w:type="dxa"/>
            <w:vAlign w:val="bottom"/>
            <w:gridSpan w:val="10"/>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20"/>
        </w:trPr>
        <w:tc>
          <w:tcPr>
            <w:tcW w:w="200" w:type="dxa"/>
            <w:vAlign w:val="bottom"/>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r>
      <w:tr>
        <w:trPr>
          <w:trHeight w:val="196"/>
        </w:trPr>
        <w:tc>
          <w:tcPr>
            <w:tcW w:w="70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3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0000FF"/>
              </w:rPr>
              <w:t>102</w:t>
            </w:r>
          </w:p>
        </w:tc>
      </w:tr>
      <w:tr>
        <w:trPr>
          <w:trHeight w:val="20"/>
        </w:trPr>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144780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110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making this statement pursuant to the safe harbor provisions for forward-looking statements described in the Private Securities Litigation Reform Act of 1995. We make statements in this Annual Report on Form 10-K (“this Form 10-K” or this “Annual Report”) and in the documents that we incorporate by reference into this Annual Report that are forward-looking. When used in this Annual Report or in any other presentation, statements which are not historical in nature, including the words “anticipate,” “estimate,” “could,” “should,” “may,” “might,” “plan,” “seek,” “expect,” “believe,” “intend,” “target,” “will,” “project,” “forecast,” “continue” and variations of these words and negatives thereof and similar expressions are intended to identify forward-looking statements. They also include statements regarding:</w:t>
      </w:r>
    </w:p>
    <w:p>
      <w:pPr>
        <w:spacing w:after="0" w:line="72"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growth and profitability;</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competitive strengths; and</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strategy and the trends we anticipate in the industries and economies in which we operate.</w:t>
      </w:r>
    </w:p>
    <w:p>
      <w:pPr>
        <w:spacing w:after="0" w:line="1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These forward-looking statements are based on our current expectations.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Important factors that could cause actual results to differ materially from those in forward-looking statements include:</w:t>
      </w:r>
    </w:p>
    <w:p>
      <w:pPr>
        <w:spacing w:after="0" w:line="71" w:lineRule="exact"/>
        <w:rPr>
          <w:sz w:val="20"/>
          <w:szCs w:val="20"/>
          <w:color w:val="auto"/>
        </w:rPr>
      </w:pPr>
    </w:p>
    <w:p>
      <w:pPr>
        <w:ind w:left="900" w:right="20" w:hanging="244"/>
        <w:spacing w:after="0" w:line="280"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projects effectively and in accordance with our estimates, as well as our ability to accurately estimate the costs associated with our fixed price and other contracts, including any material changes in estimates for completion of projects and estimates of the recoverability of change orders;</w:t>
      </w:r>
    </w:p>
    <w:p>
      <w:pPr>
        <w:spacing w:after="0" w:line="70"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9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conditions, including rising or elevated levels of inflation or interest rates, regulatory or policy changes, including permitting processes, tax incentives and government funding programs that affect us or our customers’ industries, access to capital, material and labor costs, supply chain issues and technological developments, all of which may affect demand for our services;</w:t>
      </w:r>
    </w:p>
    <w:p>
      <w:pPr>
        <w:spacing w:after="0" w:line="62" w:lineRule="exact"/>
        <w:rPr>
          <w:rFonts w:ascii="Times New Roman" w:cs="Times New Roman" w:eastAsia="Times New Roman" w:hAnsi="Times New Roman"/>
          <w:sz w:val="16"/>
          <w:szCs w:val="16"/>
          <w:color w:val="auto"/>
        </w:rPr>
      </w:pPr>
    </w:p>
    <w:p>
      <w:pPr>
        <w:jc w:val="both"/>
        <w:ind w:left="900" w:hanging="244"/>
        <w:spacing w:after="0" w:line="260" w:lineRule="auto"/>
        <w:tabs>
          <w:tab w:leader="none" w:pos="878"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governmental programs and spending policies, including potential changes to the amounts provided for under the Infrastructure Investment and Jobs Act (“IIJA”) and/or Inflation Reduction Act (“IRA”), including the potential for reduced support for renewable energy projects, changes in U.S or foreign tax laws, statutes, rules, regulations or ordinances, including the impact of, and changes to, tariffs, including the effects of tariffs imposed on oil and gas imported from Canada, tariffs imposed on goods imported from China, including steel and solar panels, and tariffs on all steel and aluminum imports into the United States, or trade policies affecting macroeconomic conditions, including inflation, as well as, the industries we serve and related projects and expenditures that may adversely impact our future financial position or results of operations;</w:t>
      </w:r>
    </w:p>
    <w:p>
      <w:pPr>
        <w:spacing w:after="0" w:line="7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governmental regulation, including uncertainties from the change in the U.S. federal administration;</w:t>
      </w:r>
    </w:p>
    <w:p>
      <w:pPr>
        <w:spacing w:after="0" w:line="126" w:lineRule="exact"/>
        <w:rPr>
          <w:rFonts w:ascii="Times New Roman" w:cs="Times New Roman" w:eastAsia="Times New Roman" w:hAnsi="Times New Roman"/>
          <w:sz w:val="16"/>
          <w:szCs w:val="16"/>
          <w:color w:val="auto"/>
        </w:rPr>
      </w:pPr>
    </w:p>
    <w:p>
      <w:pPr>
        <w:ind w:left="900" w:hanging="244"/>
        <w:spacing w:after="0" w:line="280"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 delays due to permitting processes, compliance with environmental and other regulatory requirements and challenges to the granting of project permits, which could cause increased costs and delayed or reduced revenue;</w:t>
      </w:r>
    </w:p>
    <w:p>
      <w:pPr>
        <w:spacing w:after="0" w:line="70" w:lineRule="exact"/>
        <w:rPr>
          <w:rFonts w:ascii="Times New Roman" w:cs="Times New Roman" w:eastAsia="Times New Roman" w:hAnsi="Times New Roman"/>
          <w:sz w:val="16"/>
          <w:szCs w:val="16"/>
          <w:color w:val="auto"/>
        </w:rPr>
      </w:pPr>
    </w:p>
    <w:p>
      <w:pPr>
        <w:jc w:val="both"/>
        <w:ind w:left="900" w:hanging="244"/>
        <w:spacing w:after="0" w:line="263"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on demand for our services of changes in the amount of capital expenditures by our customers due to, among other things, economic conditions, including potential economic downturns, inflationary issues, tariff effects, the availability and cost of financing, supply chain disruptions, climate-related matters, customer consolidation in the industries we serve and/or the effects of public health matters;</w:t>
      </w:r>
    </w:p>
    <w:p>
      <w:pPr>
        <w:spacing w:after="0" w:line="83"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activity in the industries we serve and the impact on the expenditure levels of our customers of, among other items, fluctuations in commodity prices, including for fuel and energy sources, fluctuations in the cost of materials, labor, supplies or equipment, and/or supply-related issues that affect availability or cause delays for such items;</w:t>
      </w:r>
    </w:p>
    <w:p>
      <w:pPr>
        <w:spacing w:after="0" w:line="6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outcome of our plans for future operations, growth and services, including business development efforts, backlog, acquisitions and dispositions;</w:t>
      </w:r>
    </w:p>
    <w:p>
      <w:pPr>
        <w:spacing w:after="0" w:line="113"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completed or potential acquisitions, including our ability to integrate acquired businesses within expected timeframes, including their business operations, internal controls and/or systems, which may be found to have material weaknesses, and our ability to achieve the revenue, cost savings and earnings levels from such acquisitions at or above the levels projected, as well as the risk of potential asset impairment charges and write-downs of goodwill;</w:t>
      </w:r>
    </w:p>
    <w:p>
      <w:pPr>
        <w:spacing w:after="0" w:line="62" w:lineRule="exact"/>
        <w:rPr>
          <w:rFonts w:ascii="Times New Roman" w:cs="Times New Roman" w:eastAsia="Times New Roman" w:hAnsi="Times New Roman"/>
          <w:sz w:val="16"/>
          <w:szCs w:val="16"/>
          <w:color w:val="auto"/>
        </w:rPr>
      </w:pPr>
    </w:p>
    <w:p>
      <w:pPr>
        <w:ind w:left="900" w:hanging="244"/>
        <w:spacing w:after="0" w:line="298"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retain qualified personnel, key management and skilled employees, including from acquired businesses, our ability to enforce any noncompetition agreements, and our ability to maintain a workforce based upon current and anticipated workloads;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changes in estimates for legal costs or case settlements or adverse determinations on any claim, lawsuit or proceeding;</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insurance, legal and other reserves;</w:t>
      </w:r>
    </w:p>
    <w:p>
      <w:pPr>
        <w:spacing w:after="0" w:line="113" w:lineRule="exact"/>
        <w:rPr>
          <w:rFonts w:ascii="Times New Roman" w:cs="Times New Roman" w:eastAsia="Times New Roman" w:hAnsi="Times New Roman"/>
          <w:sz w:val="16"/>
          <w:szCs w:val="16"/>
          <w:color w:val="auto"/>
        </w:rPr>
      </w:pPr>
    </w:p>
    <w:p>
      <w:pPr>
        <w:ind w:left="900" w:hanging="244"/>
        <w:spacing w:after="0" w:line="280" w:lineRule="auto"/>
        <w:tabs>
          <w:tab w:leader="none" w:pos="883"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climate and weather events, such as the risk of wildfires, that increase operational and legal risks in certain locations where we perform services, could increase the potential liability and related costs associated with such operations;</w:t>
      </w:r>
    </w:p>
    <w:p>
      <w:pPr>
        <w:spacing w:after="0" w:line="70"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our industry and the ability of our customers, including our largest customers, to terminate or reduce the amount of work, or in some cases, the prices paid for services, on short or no notice under our contracts, and/or customer disputes related to our performance of services and the resolution of unapproved change orders;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4" w:name="page5"/>
    <w:bookmarkEnd w:id="4"/>
    <w:p>
      <w:pPr>
        <w:ind w:left="900" w:right="20" w:hanging="244"/>
        <w:spacing w:after="0" w:line="280"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state and federal regulatory initiatives, including risks related to and the costs of compliance with existing and potential future environmental, social and governance (“ESG”) requirements, including with respect to climate-related matters;</w:t>
      </w:r>
    </w:p>
    <w:p>
      <w:pPr>
        <w:spacing w:after="0" w:line="70" w:lineRule="exact"/>
        <w:rPr>
          <w:rFonts w:ascii="Times New Roman" w:cs="Times New Roman" w:eastAsia="Times New Roman" w:hAnsi="Times New Roman"/>
          <w:sz w:val="16"/>
          <w:szCs w:val="16"/>
          <w:color w:val="auto"/>
        </w:rPr>
      </w:pPr>
    </w:p>
    <w:p>
      <w:pPr>
        <w:ind w:left="900" w:right="20" w:hanging="244"/>
        <w:spacing w:after="0" w:line="280"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timing and extent of fluctuations in operational, geographic and weather factors, including from climate-related events, that affect our customers, projects and the industries in which we operate;</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requirements of and restrictions imposed by our credit facility, term loans, senior notes and any future loans or securities;</w:t>
      </w:r>
    </w:p>
    <w:p>
      <w:pPr>
        <w:spacing w:after="0" w:line="113" w:lineRule="exact"/>
        <w:rPr>
          <w:rFonts w:ascii="Times New Roman" w:cs="Times New Roman" w:eastAsia="Times New Roman" w:hAnsi="Times New Roman"/>
          <w:sz w:val="16"/>
          <w:szCs w:val="16"/>
          <w:color w:val="auto"/>
        </w:rPr>
      </w:pPr>
    </w:p>
    <w:p>
      <w:pPr>
        <w:ind w:left="900" w:right="20" w:hanging="244"/>
        <w:spacing w:after="0" w:line="280"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systems and information technology interruptions and/or data security breaches that could adversely affect our ability to operate, our operating results, our data security or our reputation, or other cybersecurity-related matters;</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a limited number of customers and our ability to replace non-recurring projects with new projects;</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potential environmental issues and other hazards from our operations;</w:t>
      </w:r>
    </w:p>
    <w:p>
      <w:pPr>
        <w:spacing w:after="0" w:line="126" w:lineRule="exact"/>
        <w:rPr>
          <w:rFonts w:ascii="Times New Roman" w:cs="Times New Roman" w:eastAsia="Times New Roman" w:hAnsi="Times New Roman"/>
          <w:sz w:val="16"/>
          <w:szCs w:val="16"/>
          <w:color w:val="auto"/>
        </w:rPr>
      </w:pPr>
    </w:p>
    <w:p>
      <w:pPr>
        <w:ind w:left="900" w:hanging="244"/>
        <w:spacing w:after="0" w:line="280" w:lineRule="auto"/>
        <w:tabs>
          <w:tab w:leader="none" w:pos="95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with, or failures of, our subcontractors to deliver agreed-upon supplies or services in a timely fashion, and the risk of being required to pay our subcontractors even if our customers do not pay us;</w:t>
      </w:r>
    </w:p>
    <w:p>
      <w:pPr>
        <w:spacing w:after="0" w:line="5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strategic arrangements, including our equity investments;</w:t>
      </w:r>
    </w:p>
    <w:p>
      <w:pPr>
        <w:spacing w:after="0" w:line="126" w:lineRule="exact"/>
        <w:rPr>
          <w:rFonts w:ascii="Times New Roman" w:cs="Times New Roman" w:eastAsia="Times New Roman" w:hAnsi="Times New Roman"/>
          <w:sz w:val="16"/>
          <w:szCs w:val="16"/>
          <w:color w:val="auto"/>
        </w:rPr>
      </w:pPr>
    </w:p>
    <w:p>
      <w:pPr>
        <w:ind w:left="900" w:hanging="244"/>
        <w:spacing w:after="0" w:line="280" w:lineRule="auto"/>
        <w:tabs>
          <w:tab w:leader="none" w:pos="9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volatility of our stock price or any dilution or stock price volatility that shareholders may experience, including as a result of shares we may issue as purchase consideration in connection with acquisitions, or as a result of other stock issuances;</w:t>
      </w:r>
    </w:p>
    <w:p>
      <w:pPr>
        <w:spacing w:after="0" w:line="5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performance and surety bonds;</w:t>
      </w:r>
    </w:p>
    <w:p>
      <w:pPr>
        <w:spacing w:after="0" w:line="126" w:lineRule="exact"/>
        <w:rPr>
          <w:rFonts w:ascii="Times New Roman" w:cs="Times New Roman" w:eastAsia="Times New Roman" w:hAnsi="Times New Roman"/>
          <w:sz w:val="16"/>
          <w:szCs w:val="16"/>
          <w:color w:val="auto"/>
        </w:rPr>
      </w:pPr>
    </w:p>
    <w:p>
      <w:pPr>
        <w:jc w:val="both"/>
        <w:ind w:left="900" w:hanging="244"/>
        <w:spacing w:after="0" w:line="272"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operating in or expanding into additional international markets, including risks from increased tariffs, fluctuations in foreign currencies, foreign labor and general business conditions and risks from failure to comply with laws applicable to our foreign activities and/or governmental policy uncertainty;</w:t>
      </w:r>
    </w:p>
    <w:p>
      <w:pPr>
        <w:spacing w:after="0" w:line="62" w:lineRule="exact"/>
        <w:rPr>
          <w:rFonts w:ascii="Times New Roman" w:cs="Times New Roman" w:eastAsia="Times New Roman" w:hAnsi="Times New Roman"/>
          <w:sz w:val="16"/>
          <w:szCs w:val="16"/>
          <w:color w:val="auto"/>
        </w:rPr>
      </w:pPr>
    </w:p>
    <w:p>
      <w:pPr>
        <w:ind w:left="900" w:right="20" w:hanging="244"/>
        <w:spacing w:after="0" w:line="280" w:lineRule="auto"/>
        <w:tabs>
          <w:tab w:leader="none" w:pos="88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our operations that employ a unionized workforce, including labor availability, productivity and relations, as well as risks associated with multiemployer union pension plans, including underfunding and withdrawal liabilities;</w:t>
      </w:r>
    </w:p>
    <w:p>
      <w:pPr>
        <w:spacing w:after="0" w:line="70"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our internal controls over financial reporting;</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 small number of our existing shareholders having the ability to influence major corporate decisions; and</w:t>
      </w:r>
    </w:p>
    <w:p>
      <w:pPr>
        <w:spacing w:after="0" w:line="126" w:lineRule="exact"/>
        <w:rPr>
          <w:rFonts w:ascii="Times New Roman" w:cs="Times New Roman" w:eastAsia="Times New Roman" w:hAnsi="Times New Roman"/>
          <w:sz w:val="16"/>
          <w:szCs w:val="16"/>
          <w:color w:val="auto"/>
        </w:rPr>
      </w:pPr>
    </w:p>
    <w:p>
      <w:pPr>
        <w:jc w:val="both"/>
        <w:ind w:left="900" w:hanging="244"/>
        <w:spacing w:after="0" w:line="263" w:lineRule="auto"/>
        <w:tabs>
          <w:tab w:leader="none" w:pos="95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factors referenced in this Annual Report, including, without limitation, under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xml:space="preserve"> “Risk Factors,”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and other factors detailed from time to time in the reports and other filings we make with the Securities and Exchange Commission (the “SEC”).</w:t>
      </w:r>
    </w:p>
    <w:p>
      <w:pPr>
        <w:spacing w:after="0" w:line="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our actual results may differ significantly from the results that we express in, or imply by, any of our forward-looking statements. These and other risks are detailed in this Form 10-K, in the documents that we incorporate by reference into this Form 10-K and in other documents that we file with the SEC. We do not undertake any obligation to publicly update or revise these forward-looking statements after the date of this Form 10-K to reflect future events or circumstances, except as required by applicable law. We qualify any and all of our forward-looking statements by these cautionary factors.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1.</w:t>
        <w:tab/>
        <w:t>BUSINESS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Our customers are primarily in these industries. Including our predecessor companies, we have been in business for 95 years. For the twelve month period ended December 31, 2024, we had an average of approximately 33,000 employees and 780 locations, and as of December 31, 2024, we had approximately 32,000 employees and 770 locations. We offer our services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and other service marks and we are ranked among the top five contractors within Engineering News-Record’s Top 400 Contractors.</w:t>
      </w:r>
    </w:p>
    <w:p>
      <w:pPr>
        <w:spacing w:after="0" w:line="1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provide integrated, solutions-based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We seek to grow and diversify our business both organically and through acquisitions and/or strategic arrangements in order to deepen our market presence and customer base, broaden our geographic reach and expand our service offerings. In 2021, we initiated a significant transformation of our end-market business operations to focus on the nation’s transition to low-carbon energy sources and position the Company for expected future opportunities. This transformation included significant business combination activity, including expansion of our scale and capacity in renewable energy, power delivery, heavy civil and telecommunications services. For discussion of our recent acquisitions, see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 Business,” which is incorporated by reference.</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manage our operations under five operating segments, which represent our five reportable segments: (1) Communications; (2) Clean Energy and Infrastructure; (3) Power Delivery; (4) Pipeline Infrastructure and (5) Other. This structure is generally focused on broad end-user markets for our labor-based construction services. During the fourth quarter of 2024, we renamed our Oil and Gas segment as the Pipeline Infrastructure segment to better represent the nature of the segment’s operations, end markets and customer characteristics. There was no change to the composition of the segment or its historical results.</w:t>
      </w:r>
    </w:p>
    <w:p>
      <w:pPr>
        <w:spacing w:after="0" w:line="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Our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Our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Our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Our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our primary segments, as well as other small business units with activities in certain international end-markets. See Note 13 - Segments and Related Information and Note 14 - Commitments and Contingencies in the notes to the audited consolidated financial statements, which are incorporated by reference, for additional information regarding our segment reporting and significant customer concentrations.</w:t>
      </w:r>
    </w:p>
    <w:p>
      <w:pPr>
        <w:spacing w:after="0" w:line="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this Form 10-K, “$” means U.S. dollars unless otherwise indicated.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Industry Trends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Our industry is composed of national, regional and local companies that provide services to customers in a range of industries. We believe the following industry trends affect demand for our services: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Communications Segment</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Demand for seamless access across wireless and wired devices, high-speed internet connectivity, broadband and data transmission continues to spur demand for fast and more reliable wireless and wireline/fiber communications network services. The use of mobile devices, mobile and remote technologies, video streaming usage, acceleration of business transacted online, increased demand of artificial intelligence driving data center growth and advancements in the “Internet of Things (IoT)” is expected to require new and upgraded networks to meet the data traffic and reliability demands of these technologies.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According to IBISWorld’s October 2024 publication, “Wireless Tower Construction in the US” (the “IBISWorld October 2024 publication”), revenue for telecommunications infrastructure is expected to grow to $11.8 billion over the five year period through 2029. The IBISWorld October 2024 publication also predicts that telecommunications service providers will invest substantially to improve network infrastructure and increase bandwidth to support video, Voice over Internet Protocol (VoIP) and other high-speed data services.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6" w:name="page7"/>
    <w:bookmarkEnd w:id="6"/>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Telecommunications providers have spent, and plan to continue spending, significant capital and other resources to deliver advanced telecommunications by deploying the latest infrastructure and are projected to play a significant role in shaping the future as next generation 5G wireless technology continues to gain traction among both industrial and consumer markets. 5G mobile networks are still in the early stages, but improvements to existing long term evolution and high-speed data networks are expected to continue over the coming years and are expected to provide a platform for the IoT, which can be harnessed to drive innovation and improvements in commerce, transportation, supply chain, research, healthcare, education, public safety, the development of “Smart Cities,” “Smart Homes” and “Smart Farming,” among many other applications. 5G is expected to provide businesses with significant real-time visibility, insight and control over assets, products and services, with the potential to transform how businesses operate and deliver new products and services.</w:t>
      </w:r>
    </w:p>
    <w:p>
      <w:pPr>
        <w:spacing w:after="0" w:line="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In response to these growing opportunities, communications service providers are expanding, densifying and optimizing current 5G wireless and wireline/fiber communications network capacity. To achieve nationwide coverage levels, changes to the structure of the network architecture for 5G wireless communications will require a longer period of installation when compared to past generation wireless infrastructure changes. Large scale multi-year 5G deployments will include additional and improved tower capacity, as well as deployment of numerous higher bandwidth small/micro cells, distributed antenna systems and fiber network expansion to densify network performance. We believe that continued nationwide 5G tower deployments, deployment of small/micro cells, fiber network expansion by major carriers in support of 5G and, according to IBIS World’s October 2024 publication, higher demand for retrofits and upgrades of current generation towers to transition towers to 5G, will lead to growing demand for 5G telecommunications infrastructure over multiple years. Additionally, there are several initiatives designed to drive development of telecommunications and 5G infrastructure in rural areas.</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believe that there will be significant fiber network expansion resulting from the combination of carrier spend and government programs that are expected to incentivize private investment in telecommunications infrastructure. Additionally, recently there have been announcements of significant investments being made by companies in data centers for artificial intelligence which, in turn, leads to opportunities to support data center connectivity with new facilities moving farther from traditional locations. According to UBS’s June 2024 U.S. Cable and Telecom Services report, it is believed that the United States will see record levels of fiber-to-the home deployment in 2025 and 2026. The IIJA provides approximately $65 billion of funding to improve and expand the nation’s broadband infrastructure and to make broadband more affordable for low-income Americans, including the Broadband Equity, Access and Deployment (“BEAD”) Program. BEAD will provide over $42 billion to expand high-speed internet access by funding planning, infrastructure deployment and adoption programs, with priority for unserved and underserved areas. Other government initiatives include the Rural Digital Opportunity Fund, which has committed to provide up to $20 billion in funding over ten years to build and connect high-speed broadband in rural homes and small businesses. Carriers are also investing in telecommunications infrastructure to expand their fiber footprint across the nation. One such example is the AT&amp;T and BlackRock Alternatives private equity fiber partnership, Gigapower LLC (“Gigapower”), which will operate a commercial fiber-optic platform in the Unites States. While still in the early process of scaling, carriers continue to stress the importance of these builds and are experiencing momentum in fiber performance in Gigapower geographies. Based on this performance, AT&amp;T and BlackRock plan to grow and are looking for opportunities to expand Gigapower’s network beyond the initial 1.5 million customer locations announced in 2022, including growth in both existing and new geographies.</w:t>
      </w:r>
    </w:p>
    <w:p>
      <w:pPr>
        <w:spacing w:after="0" w:line="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U.S. market for Smart City initiatives, in which cities use IoT technologies, artificial intelligence and cloud storage to collect and use insights gained from data to manage city assets, resources and services more efficiently, is a developing trend that is expected to accelerate due to the combination of increased data speeds and data capacity capabilities of wireless and wireline networks, developing IoT applications, cloud computing and artificial intelligence. Smart City initiatives include such technologies as Wi-Fi kiosks, smart lighting solutions, utility meters, smart traffic management systems, video sensors, weather sensors, drone sensors for public safety efforts and radio frequency identification sensors in the pavement. Grand View Research, in their 2024-2030 U.S. Smart Cities Market Size, Share &amp; Trends Analysis report, estimated that the Smart Cities market size was valued at approximately $179 billion in 2023, and is expected to grow at an estimated compound annual growth rate of approximately 23.1% from 2024 to 2030. Smart Home technologies represent a wide range of solutions for monitoring, controlling and automating functions in a home, including home intelligence and connected home technologies. These technologies are expected to benefit from the global rollout of 5G, which are revolutionizing the delivery of IoT services, and improvements in Wi-Fi technologies. Mordor Intelligence, in their Smart Homes Market in the US 2024-2029 report, predicts that the U.S. Smart Home market, which was estimated at approximately $40 billion in 2024, will grow at an estimated compound annual growth rate of approximately 9% from 2024 to 2029. We believe that opportunities for installation and maintenance of both Smart City and Smart Home technologies will provide future growth opportunities, including for our install-to-the-home services business.</w:t>
      </w:r>
    </w:p>
    <w:p>
      <w:pPr>
        <w:spacing w:after="0" w:line="88"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As one of the largest providers of communications infrastructure services, we believe that we are well-positioned to benefit from the expected multi-year significant and broad opportunities in the telecommunications market as previously described.</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Clean Energy and Infrastructure Segment</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need for expanded energy generation, together with climate change and carbon emission reduction initiatives, continue to drive trends in the mix of fuel sources used in energy generation toward cleaner and more sustainable energy sources. According to Deloitte’s 2025 Renewable Energy Industry Outlook, continued growth is expected in clean energy and renewables deployment, in part by, record public and private investment and the cleantech manufacturing, artificial intelligence and carbon industries. According to its 2024 Renewable Energy Industry Outlook, many businesses, states, cities and utilities have either mandatory or announced decarbonization plans, with many utilities having decarbonization targets, and an increasing number of major corporations that have joined the RE100, a global corporate initiative to procure electricity entirely from renewable sources. Additionally, according to the latest Department of Energy’s (“DOE”) Annual Energy Outlook 2023 (the “DOE’s 2023 Annual Energy Outlook”), the percentage of U.S. electricity generated by renewable sources is expected to triple to almost 60% by 2050.</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Growing corporate initiatives for smaller, standalone distributed generation facilities, together with regulatory and other policy initiatives at the federal, state and municipal levels, have spurred demand for clean energy production from sustainable power sources, including wind, solar, biomass and other sources. Many states have adopted renewable portfolio standards or renewable energy goals to diversify their energy resources, promote domestic energy production and encourage economic development. Rising state renewable portfolio standards, increasing levels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 w:name="page8"/>
    <w:bookmarkEnd w:id="7"/>
    <w:p>
      <w:pPr>
        <w:jc w:val="both"/>
        <w:spacing w:after="0" w:line="272" w:lineRule="auto"/>
        <w:rPr>
          <w:sz w:val="20"/>
          <w:szCs w:val="20"/>
          <w:color w:val="auto"/>
        </w:rPr>
      </w:pPr>
      <w:r>
        <w:rPr>
          <w:rFonts w:ascii="Times New Roman" w:cs="Times New Roman" w:eastAsia="Times New Roman" w:hAnsi="Times New Roman"/>
          <w:sz w:val="16"/>
          <w:szCs w:val="16"/>
          <w:color w:val="auto"/>
        </w:rPr>
        <w:t>corporate and residential demand, and improving economic competitiveness of renewable sources continue to be key drivers for their growth. In addition, growing efforts to address electric grid resiliency are expected to drive growth in renewables, as utilities and their customers are expected to increasingly consider renewable microgrids, including energy storage solutions, to support critical facilities.</w:t>
      </w:r>
    </w:p>
    <w:p>
      <w:pPr>
        <w:spacing w:after="0" w:line="6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transition toward cleaner and more sustainable energy sources is expected to require rapid transformation of, and significant investment in, the power sector. A November 2024 S&amp;P Global Community Insights article indicates that energy utilities are expected to invest in renewables at increasing levels over the next couple of years. According to a KPMG Energy Transition Investment Outlook of 2025 and Beyond report (the “2025 KPMG Energy Transition Investment Outlook”), investment in energy transition assets has accelerated significantly since 2020, rising from about $1.2 trillion in 2020 to over $2 trillion in 2024. Certain governmental and policy initiatives are expected to drive growth in renewable energy infrastructure, including the IIJA, which includes funding for renewable energy innovation and deployment. The IIJA allocates $65 billion to power infrastructure and energy programs, which includes funding for fuels and technology investment, including carbon initiatives, clean energy technology supply chains, including battery power initiatives, solar energy research and development, and the development and deployment of hydrogen from clean energy sources, among others. In addition, the IRA contains provisions that are designed to accelerate the deployment of clean energy technologies, reduce carbon emissions, lower energy prices and support the development of a reliable and affordable energy sector. The IRA provides almost $370 billion in clean energy funding to facilitate the clean energy transition, primarily in the form of tax incentives, grants and loan guarantees. Among the clean energy and climate provisions is approximately $70 billion of incentives, including extensions of the renewable energy production tax credit and the investment tax credit for solar and other energy technologies, as well as production tax credits and investment tax credits for the qualified production of clean hydrogen and other clean fuels.</w:t>
      </w:r>
    </w:p>
    <w:p>
      <w:pPr>
        <w:spacing w:after="0" w:line="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As a result of the above trends and factors, we expect continued demand for construction of renewable and other clean energy infrastructure in the coming years. In addition, we believe that wind infrastructure will also benefit from the replacement and repowering of existing wind turbines and foundations with next generation, higher efficiency turbines, as well as maintenance of aging wind farms. According to an October 2023 Wood MacKenzie article, repowering of aging wind assets is expected to see significant growth in the U.S. due to tax incentives provided for in the IRA that apply to wind assets over ten years old. Wind repowering is expected to be performed on over 20% of the existing U.S. onshore wind fleet by the end of 2028. These expected sources of growth may be adversely affected, however, by technological changes that could mitigate or slow the increase in demand for clean energy, changes in governmental policies that reduce tax or funding incentives and changes in governmental processes that delay or reduce investments in projects, such as a temporary pause on new and renewed federal permits and leasing for wind turbine projects announced by President Trump in January 2025, with no end date to such pause specified, as well as changes in climate and environmental policies that contribute to demand for clean energy infrastructure.</w:t>
      </w:r>
    </w:p>
    <w:p>
      <w:pPr>
        <w:spacing w:after="0" w:line="2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also provide heavy civil infrastructure construction services, including the construction and maintenance of buildings, roads, rail, bridges, water/sewer systems and other civil infrastructure. We believe that the incentives under the IIJA and other policies, as well as initiatives to upgrade and replace aging infrastructure, will lead to increased investment and future growth opportunities in this area. The IIJA includes approximately $110 billion of funding for roads and bridges, including $40 billion of funding for bridge repair, replacement and rehabilitation and $16 billion of funding for other major infrastructure projects, as well as approximately $50 billion of funding for water infrastructure, including for weatherization efforts to reduce the impact of climate change and to protect against droughts and floods.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that industrial plant construction opportunities exist in a wide variety of industries, including in the renewable energy industry, as power companies explore ways to reduce their carbon footprint. We expect that the need for baseload backup power generation, coupled with the relative low price and environmental advantage of cleaner burning natural gas will continue to drive demand for gas-fired electrical generating plants. In addition, the transition to clean energy is driving recent trends to convert coal-fired power plants to lower carbon fuel sources such as solar, wind, geothermal, biofuel, biomass, hydrogen or a combination thereof. Coal-fired power plants are also being converted into battery storage facilities for renewable energy. A wide variety of industries may seek to expand, convert or construct new plants to take advantage of more economical, cleaner, lower cost and lower carbon fuel sources.</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Converting existing power plants to renewable energy sources is an attractive option, given that existing power plants have the electric infrastructure, including the power lines, transformers and other equipment that is required to connect the power to the grid. Additionally, the IRA includes incentives that could help accelerate this trend by improving the economics of the coal-to-clean energy transition, in particular for communities with an existing coal power plant, as the IRA provides for an incremental tax credit for new renewable projects, as well as a new tax credit for battery storage projects. Industrial facilities and power plants in the biofuels/biomass, food processing, lithium recycling, natural gas and related industries present opportunities as additional domestic energy reserves are produced, transported and processed.</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are one of the leading renewable contractors in North America, with expertise in wind, solar and other renewables, as well as a leading contractor in the construction of industrial and other power plants and heavy civil infrastructure, and we expect to benefit from market trends in these industries.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Power Delivery Segment</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U.S. electrical transmission and distribution infrastructure, referred to as “the grid,” is composed of a network of electric generating facilities, high voltage transmission lines, substations and distribution lines that bring power to homes and businesses. Demand for the grid is fueled by the consistent need for more efficient power services as the U.S. economy is dependent upon the reliable delivery of adequate levels of electricity. The grid will continue to require significant ongoing maintenance, upgrade and expansion to continue delivery of reliable and affordable power. This will include strengthening aging infrastructure, addressing future grid resiliency and modernization efforts (“Smart Grid”) and adapting to changing energy supply, population movement and distribution requirements, including the acceleration of electrification across transportation, industrial processes, data center infrastructure, and buildings and homes, all of which could materially increase the demand for electricity. According to a January 2025 publication by the U.S. Energy Information Administration, after almost two decades of relatively little electricity consumption change, electricity consumption grew by 2% in 2024, and is forecasted to continue growing by 2% in both 2025 and 2026. We expect the projected energy load growth in the U.S. to drive meaningful investment in both power generation and grid expansion and modernization.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 w:name="page9"/>
    <w:bookmarkEnd w:id="8"/>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According to IBISWorld’s August 2024 publication, “Transmission Line Construction in the U.S.”, the growth in electricity demand will require an expansion of electricity generation and transmission capacity, and increased electrical infrastructure will elevate demand for transmission line construction services. U.S. industry revenue for construction and repair work on electric power transmission infrastructure was projected to approximate $55.8 billion in 2024. We expect future growth in electric transmission and distribution infrastructure from projects to digitize, modernize, harden and secure the grid against increasing levels of disruption from natural and man-made disasters, including extreme weather events, wildfires and potential cyber-attacks, as well as to address changing energy supply requirements and grid reliability. In addition, clean energy production trends are expected to lead to increased investment in electric infrastructure, with a changing fuel mix that is moving toward lower carbon and more sustainable energy sources, such as natural gas and renewables. As noted above, according to the DOE’s 2023 Annual Energy Outlook, the percentage of U.S. electricity generated by renewable sources is expected to triple to almost 60% by 2050. Power grid investment will be a key component of the low-carbon energy transition that is currently underway.</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According to a Deloitte analysis in its 2025 Power and Utilities Industry Outlook, the United States is experiencing a surge in electricity demand, driven in part by a confluence of unprecedented electrification, artificial intelligence driven data center expansion, and a resurgence in industrial reshoring or manufacturing. In its report, Deloitte indicates that electricity demand from data centers is projected to grow at a 15% to 17% compound annual growth rate. As data centers continue to demand reliable power to meet a share of their anticipated demand, some are seeking to power their operations with clean energy by supporting the building of renewable energy. A November 2024 S&amp;P Global Community Insights article indicates that energy utilities are expected to invest in renewables at increasing levels over the next couple of years.</w:t>
      </w:r>
    </w:p>
    <w:p>
      <w:pPr>
        <w:spacing w:after="0" w:line="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expected growth in electrical power generation from renewable energy sources is expected to require significant investment in transmission lines and substations, as wind, solar and other renewable power generation resources are typically located in remote areas of the country, far from industrial users and major population centers. Growth in electrical power generation from renewable sources in the U.S. will require grid updates to provide for storage of electricity from renewable energy sources and capabilities that can accommodate supply and demand for these new energy sources. A January 2025 BloombergNEF publication reported approximately $390 billion of global power grid investment in 2024. Future demand for electrical transmission and distribution infrastructure is also expected to result from ‘Smart Utility’ initiatives, which seek to address growing populations, environmental goals and the need to optimize resources, as well as the electrification of the U.S. including electrification across transportation, industrial processes, and buildings and homes. According to the 2025 KPMG Energy Transition Investment Outlook, global energy consumption hit an all-time high. In its report, KPMG indicates that investment in energy transition assets has accelerated significantly since 2020 with energy efficiency (including electrification), renewable and low-carbon and grid infrastructure representing the largest energy transition investment opportunities. These expected sources of growth may be adversely affected or delayed, however, by technological changes that could mitigate the increase in demand for electricity and changes in governmental policies that reduce tax or funding incentives, permitting as well as changes in climate and environmental policies that contribute to demand for power generation infrastructure.</w:t>
      </w:r>
    </w:p>
    <w:p>
      <w:pPr>
        <w:spacing w:after="0" w:line="2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These trends, along with governmental climate change policy initiatives toward net zero carbon emissions, as well as the IIJA and IRA programs, which are designed to incentivize investment in clean energy technologies for power generation, are expected to drive significant future investment in electric infrastructure. The IIJA includes approximately $65 billion for upgrades to power infrastructure, research and development of transmission and electricity distribution technologies and smart grid technologies. The funding is focused on grid reliability and security, renewable energy innovation and deployment, and ensuring supply chains critical for energy innovation. In addition, among the key provisions of the IRA is funding to address climate change, beginning with a rapid transition in the nation’s energy system to cleaner sources of electric power generation. The IRA includes billions of dollars in tax incentives, grants and loan programs to support the development, and accelerate deployment of, clean energy power projects, including for energy generation, energy manufacturing, clean fuels, clean vehicles and energy efficiency.</w:t>
      </w:r>
    </w:p>
    <w:p>
      <w:pPr>
        <w:spacing w:after="0" w:line="7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believe significant capital investment in the transmission and distribution system will be required to meet the above-mentioned infrastructure requirements, and that we are well-positioned to benefit from these developing trends.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Opportunities in our Pipeline Infrastructure Segment</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one of the largest pipeline contractors in North America, with a balanced portfolio of service offerings, including union and non-union services. Our pipeline offerings include construction and maintenance services for pipeline distribution, including for natural gas, water and carbon capture sequestration pipelines and pipeline integrity services for the energy and utilities industries. Our pipeline integrity services include replacement and repair of pipeline infrastructure, facilitating their safe use throughout their lifecycle.</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Notwithstanding efforts to reduce reliance on fossil fuel-related energy sources and transition to renewable sources, we expect that natural gas power generation will remain a fuel of choice, both for primary power generation, and for baseload backup power generation to support intermittent clean energy sources. According to the latest DOE’s Annual Energy Outlook 2023, natural gas is expected to approximate 20% of U.S. electricity generation in 2050, the second largest source behind renewable technologies. Further, according to an HFI Research April 2024 publication, natural gas power generation is expected to grow 14% per year through 2030 as a result of increasing load growth. A November 2024 S&amp;P Global Community Insights article indicates that natural gas is expected to remain a critical energy source for some time, especially with the need to fill capacity gaps, which cannot presently be met entirely by renewables. In addition, our pipeline infrastructure related services could see increased demand from policies adopted by the new federal administration that support or encourage exploration for and export of oil and gas products.</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 addition, demand for liquefied natural gas (“LNG”) exports has risen in recent years and North American export capacity is on track to more than double between 2024 and 2028, according to a December 2024 publication by the U.S. Energy Information Administration. The DOE announced in January 2024 a pause in the issuance of new LNG project permits in order to address certain environmental and other concerns, however, in January 2025, the new presidential administration issued an executive order to resume processing of export permit applications for LNG projects in an effort to raise U.S. energy output. As a result, we expect there will be continued demand for construction of pipeline infrastructure for the transport of LNG to coastal export facilities over the next few years. Additionally, we believe that gas utility distribution spending for replacement and rehabilitation of aging infrastructure will accelerate over the next several years due to regulatory, sustainability and safety concerns.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 w:name="page10"/>
    <w:bookmarkEnd w:id="9"/>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Similarly, we expect that aging pipeline infrastructure will increasingly require replacement lines and pipeline integrity services as our customers look to enhance the safety, productivity and lives of existing infrastructure.</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Recent developments in decarbonization and carbon emission reductions are expected to drive demand for carbon capture sequestration technologies as well as the use of hydrogen as a clean energy power source. Pipeline infrastructure is expected to play a key role in the transformation to low-carbon energy sources, including from carbon capture and hydrogen technologies, and we believe that we are well positioned to support these developing market trends in the energy transition. The IIJA includes funding for carbon initiatives and hydrogen hubs, including for carbon capture technologies, and the IRA also provides incentives and provisions for hydrogen, carbon capture, utilization and sequestration technologies.</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We believe that the above-mentioned trends will support continued levels of future project activity across multiple service offerings we provide and that we are well-positioned to benefit from these trends.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Strengths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competitive strengths include:</w:t>
      </w:r>
    </w:p>
    <w:p>
      <w:pPr>
        <w:spacing w:after="0" w:line="10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Diverse Customer Relationships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serve a diversified customer and industry base. Our customers include some of the largest providers of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utility, power (including from renewable and other energy generation sources), data center infrastructure, civil and transportation infrastructure in North America, among others. We have longstanding relationships and have developed strong alliances with many of our customers, and we strive to maintain these customer relationships and our status as a preferred vendor to our customers.</w:t>
      </w:r>
    </w:p>
    <w:p>
      <w:pPr>
        <w:spacing w:after="0" w:line="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Reputation for Reliable Customer Service and Technical Expertise</w:t>
      </w:r>
      <w:r>
        <w:rPr>
          <w:rFonts w:ascii="Times New Roman" w:cs="Times New Roman" w:eastAsia="Times New Roman" w:hAnsi="Times New Roman"/>
          <w:sz w:val="16"/>
          <w:szCs w:val="16"/>
          <w:color w:val="auto"/>
        </w:rPr>
        <w:t>. We have established a reputation for quality customer service and technical expertise.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reputation gives us an advantage when competing for new work, both from existing and potential customers. In addition, we have broad service offerings, together with capabilities and expertise in the construction and installation of a wide variety of infrastructure, including wireless, wireline/fiber, clean energy, power delivery, pipeline, heavy civil and industrial infrastructure.</w:t>
      </w:r>
    </w:p>
    <w:p>
      <w:pPr>
        <w:spacing w:after="0" w:line="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North American Footprint</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Including our predecessor companies, we have been in business for 95 years and are one of the largest infrastructure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services companies in North America operating primarily in the United States and Canada. For the twelve month period ended December 31, 2024, we had an average of approximately 33,000 employees and 780 locations, and as of December 31, 2024, we had approximately 32,000 employees and 770 locations. We offer comprehensive end-to-end infrastructure services to our customers and believe that our experience, technical expertise, geographic reach, financial resources and size are important to our customers.</w:t>
      </w:r>
    </w:p>
    <w:p>
      <w:pPr>
        <w:spacing w:after="0" w:line="6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Ability to Respond Quickly and Effectively</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skills required to serve our end-markets are similar, which allows us to utilize qualified personnel across multiple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end-markets and projects. We are able to respond quickly and effectively to industry, market and technological changes, demand and major weather and/or climate-related events by allocating our employees, fleet and other assets as and where they are needed, enabling us to provide cost-effective and timely services for our customers. We have demonstrated that we have the ability, resources and comprehensive service capabilities required to handle large and complex projects, and our geographic reach, diverse service offerings, deep market presence, operational scalability and financial stability enable us to meet our customers’ changing needs.</w:t>
      </w:r>
    </w:p>
    <w:p>
      <w:pPr>
        <w:spacing w:after="0" w:line="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Experienced Management Team</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management team plays a significant role in establishing and maintaining long-term relationships with our customers,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supporting the growth of our business, integrating acquired businesses and managing the financial aspects of our operations. Our executive management team, business unit presidents and project management teams have broad industry experience and a deep understanding of our customers and their requirements. Key management personnel of acquired businesses generally continue to work for us under employment or services agreements.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Sustainability</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a leading infrastructure construction services provider, we are committed to conducting our operations in a safe, fair and socially responsible manner that benefits our stakeholders, including our employees, customers, subcontractors, suppliers, investors and the communities in which we operate. Sustainability principles and practices are embedded within our strategy, risk management and day-to-day operations. We strive to be recognized as a company that achieves customer expectations safely, profitably and in a manner that is environmentally responsible, socially aware and rewarding for all our stakeholders. We strive to achieve these goals through an organizational structure that provides excellent service delivery; establishes a reputation of integrity within the communities in which we work; and provides our team members opportunity, fairness, respect and growth opportunities in a merit-based and injury-free environment.</w:t>
      </w:r>
    </w:p>
    <w:p>
      <w:pPr>
        <w:spacing w:after="0" w:line="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Sustainability Governance</w:t>
      </w:r>
      <w:r>
        <w:rPr>
          <w:rFonts w:ascii="Times New Roman" w:cs="Times New Roman" w:eastAsia="Times New Roman" w:hAnsi="Times New Roman"/>
          <w:sz w:val="16"/>
          <w:szCs w:val="16"/>
          <w:color w:val="auto"/>
        </w:rPr>
        <w:t>. We believe that sustainability is central to our mission and success. The Nominating, Sustainability and Corporate Governance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of our Board of Directors has oversight of sustainability matters for MasTec, including overseeing MasTec’s approach to considering, evaluating and integrating corporate responsibility and sustainability matters, including ESG principles and climate-related matters into our business strategy and decision-making processes.</w:t>
      </w:r>
    </w:p>
    <w:p>
      <w:pPr>
        <w:spacing w:after="0" w:line="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sustainability reporting is guided by the concepts and disclosures under the Sustainability Accounting Standards Board (“SASB”) for the Engineering and Construction Services Industry and the Task Force on Climate-Related Disclosures (“TCFD”). We are working to develop our processes and reporting for sustainability-related matters. Our Sustainability Report, including our SASB and TCFD reference tables, along with our Nominating, Sustainability and Corporate Governance Board Committee charter and our policies on Human and Labor Rights and Safety, Health and Environmental matters can be found on our website at https://investors.mastec.com. No reference to our website or our website address in this report constitutes incorporation by reference of the information contained on the website and such information is not part of this report.</w:t>
      </w:r>
    </w:p>
    <w:p>
      <w:pPr>
        <w:spacing w:after="0" w:line="6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Stakeholder Engagement</w:t>
      </w:r>
      <w:r>
        <w:rPr>
          <w:rFonts w:ascii="Times New Roman" w:cs="Times New Roman" w:eastAsia="Times New Roman" w:hAnsi="Times New Roman"/>
          <w:sz w:val="16"/>
          <w:szCs w:val="16"/>
          <w:color w:val="auto"/>
        </w:rPr>
        <w:t>. Stakeholder engagement is a key element of our sustainability efforts and communications. We regularly engage with our investors,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employees, customers, subcontractors, suppliers and communities to understand the priority sustainability issues for our business. MasTec also conducts assessments of ESG factors that may be material to its business. The feedback we receive from these engagement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jc w:val="both"/>
        <w:spacing w:after="0" w:line="280" w:lineRule="auto"/>
        <w:rPr>
          <w:sz w:val="20"/>
          <w:szCs w:val="20"/>
          <w:color w:val="auto"/>
        </w:rPr>
      </w:pPr>
      <w:r>
        <w:rPr>
          <w:rFonts w:ascii="Times New Roman" w:cs="Times New Roman" w:eastAsia="Times New Roman" w:hAnsi="Times New Roman"/>
          <w:sz w:val="16"/>
          <w:szCs w:val="16"/>
          <w:color w:val="auto"/>
        </w:rPr>
        <w:t>efforts informs our understanding of the issues that are most significant to our stakeholders. We seek to monitor these issues and effectively communicate with our stakeholders to strengthen these relationships.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Building for the Future</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are committed to working together with our customers to upgrade our nation’s infrastructure – to build better, stronger and more versatile infrastructure to meet the opportunities and challenges of our nation’s future. Investment in sustainable business opportunities is a key component of our business strategy for future growth. Through the construction services we provide, we help to modernize, connect and make our communities safer and more sustainable while helping to build our nation’s infrastructure, including the development and expansion of our nation’s clean energy footprint and the transformation of our power delivery and pipeline infrastructure. Our telecommunications and install-to-the home services are expected to play a key role in expanding connectivity to and within homes and communities, including in rural areas, and, together with the development of IoT technologies and improvements in WiFi technologies, assisting in the transformation of our nation’s telecommunications infrastructure to better serve and connect communities and businesses across the United States.</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Clean energy infrastructure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a leading North American clean energy contractor, we are committed to working with our customers to advance the energy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transition toward cleaner and more sustainable energy sources. Through our Clean Energy and Infrastructure segment, we provide engineering, procurement and construction services and project management solutions to the power market, with services across wind, solar, biofuels, waste-to-energy (WtE) and biogas, cogeneration or combined heat and power projects, gas and hydrogen-fired power projects, battery storage and other clean energy technologies. Our Clean Energy and Infrastructure segment has grown significantly from $300 million in revenue for 2017 to approximately $4.1 billion in revenue for the year ended December 31, 2024. Our renewable and other clean energy technologies business, which represented approximately 3%, or $170 million of our consolidated revenue in 2017, has grown to approximately 17%, or $2 billion of our consolidated revenue in 2024. As interest in sustainable energy sources and solutions to mitigate the effects of climate change continues to increase, including a national focus on the reduction of carbon emissions and the decarbonization of power generation toward cleaner energy sources, we anticipate expanding growth opportunities for clean energy infrastructure. Assuming these trends continue, we believe that great opportunity lies ahead as we help our customers address these changing market demands and the transition toward cleaner, lower carbon and more sustainable energy sources.</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Power delivery infrastructure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the nation’s electrical transmission and distribution grid infrastructure will require significant capital investment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support the transition toward cleaner and more sustainable renewable power sources, resulting, in part, from the surge in electrification, including from artificial intelligence-related data center demand and the acceleration of electrification across transportation, industrial processes and homes. We build the infrastructure that connects our nation’s power generation sources to consumers, including infrastructure solutions that link remotely located renewable electric generation capacity to energy consumers and provide access to new renewable and efficient natural gas and other power generation sources. We also work with our customers to design and build innovative, smart energy solutions, including modernization of overstressed sections of the electric grid with insufficient capacity, electric grid hardening, wildfire mitigation and restoration services and the upgrade of aging electric infrastructure. Our projects improve the performance, safety, resiliency and efficiency of the nation’s electrical grid and advance the goal of modern, smart energy solutions for our nation’s future that will contribute to the diversification of power generation sources as the nation continues to transition toward cleaner, lower-carbon and more sustainable energy sources.</w:t>
      </w:r>
    </w:p>
    <w:p>
      <w:pPr>
        <w:spacing w:after="0" w:line="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Telecommunications infrastructure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build wireless and wireline/fiber infrastructure that connects communities and improves communications infrastructure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across our nation. Demand for telecommunications infrastructure has accelerated in recent years, including from increased usage of mobile and remote technologies, video streaming, acceleration of business transacted online, artificial intelligence demands and from advancements in the IoT. Technological advances that improve speed, connectivity and bandwidth across our nation, including in dense urban areas and in rural communities, are expected to serve as the foundation for transformative technological innovations, including ‘Smart City’ and other urbanization projects, Smart Factory, Smart Farming and Smart Home technologies, as well as other advances in connected technologies. 5G, the next generation of wireless and fixed wireless access, is expected to provide a platform for the IoT, which can be harnessed to drive innovation and serve as the foundation for transformative technological innovations, such as connected cars, robotics, telematics, healthcare, industrial applications and entertainment, which innovations have the potential to improve living standards across all communities, transform how businesses operate and reduce our nation’s carbon footprint. We are participating in the buildout of our nation’s 5G and other telecommunications infrastructure, helping to revolutionize telecommunications technologies across the U.S. We are also proud to have participated in the buildout and expansion of FirstNet</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6"/>
          <w:szCs w:val="16"/>
          <w:color w:val="auto"/>
        </w:rPr>
        <w:t>, the nation’s first wireless official public safety network for first responders.</w:t>
      </w:r>
    </w:p>
    <w:p>
      <w:pPr>
        <w:spacing w:after="0" w:line="2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Pipeline infrastructure and carbon initiatives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pipeline integrity and line maintenance promote environmental and public safety,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methane reduction initiatives, while enhancing the safety, productivity and useful lives of our customers’ assets. Our natural gas construction services, which represented $1.8 billion, or 15% of our revenue in 2024, help our customers access and distribute cleaner burning, lower carbon emission natural gas throughout the United States, assisting in the transition to lower carbon energy power sources of the future. Additionally, pipeline infrastructure provides a lower carbon emission and environmentally safer transportation alternative for energy products versus truck and rail transport.</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Recent trends in decarbonization and carbon emission reductions, in connection with the low carbon energy transition, are driving demand for carbon capture sequestration technologies and biofuel energy generation, as well as the use of hydrogen as a clean energy power source. Pipeline infrastructure is expected to play a key role in this transformation and we believe that we are well positioned to support these developing market trends.</w:t>
      </w:r>
    </w:p>
    <w:p>
      <w:pPr>
        <w:spacing w:after="0" w:line="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Water pipelines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water pipeline services increase the efficiency of water used in energy field operations in an environmentally-focused manner. We build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expansive water pipeline gathering networks, which allow for the recycling of water, thereby reducing freshwater requirements as well as the amount of water disposed. Additionally, the use of water pipelines reduces the need for trucking, which saves time, money and reduces pollution and carbon emissions.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Emergency restoration services</w:t>
      </w:r>
      <w:r>
        <w:rPr>
          <w:rFonts w:ascii="Times New Roman" w:cs="Times New Roman" w:eastAsia="Times New Roman" w:hAnsi="Times New Roman"/>
          <w:sz w:val="16"/>
          <w:szCs w:val="16"/>
          <w:color w:val="auto"/>
        </w:rPr>
        <w:t>. The increased frequency and severity of recent weather and climate-related events, including hurricanes, wildfires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storms, exacerbated by changing climate conditions, have accelerated the need for power and telecommunications reliability and restoration services. Following the occurrence of storms and other natural disasters, our dedicated crews are quickly on-site, helping to restore power and telecommunications services in affected areas. Our power delivery crews are also involved in both preventative and restoration efforts for wildfire-related events. Our crews are among those that are called upon to maintain and patrol electrical lines during high-risk periods, such as in periods of drought, high wind and extreme temperatures, so that power lines can be proactively and safely managed, as well as to assist with restoration efforts following wildfire events. We also provide wildfire mitigation services, including grid hardening and power line undergrounding, whereby power lines are buried in areas considered to be at high risk for fires. We also provide electrical grid hardening services in several regions of the country to reduce the risk of storm outages caused by damage to overhead power lines during a storm. These efforts include the movement of overhead power lines and related infrastructure underground, as well as replacement of wood poles with concrete or steel poles capable of withstanding significant storm events. MasTec is proud to work with and support communities affected by natural disasters, including repair and modernization efforts for telecommunications and electric grid infrastructure.</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Environmental planning, compliance and remediation</w:t>
      </w:r>
      <w:r>
        <w:rPr>
          <w:rFonts w:ascii="Times New Roman" w:cs="Times New Roman" w:eastAsia="Times New Roman" w:hAnsi="Times New Roman"/>
          <w:sz w:val="16"/>
          <w:szCs w:val="16"/>
          <w:color w:val="auto"/>
        </w:rPr>
        <w:t>. Environmental planning and compliance are a top priority on all MasTec projects, and are a key element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construction projects across the nation. Our environmental services group specializes in all aspects of environmental planning, permitting and compliance within energy infrastructure. We have expertise in environmental inspection and compliance, environmental permitting, planning and pre-construction services, natural resources management, including wildlife and sensitive natural resource protection, siting and feasibility studies and community and government outreach designed to build lasting community relationships. We also have expertise in environmental remediation services, including site development, environmental site closure and coal combustion residuals management services.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Environmental Stewardship</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that we all play a role in environmental stewardship. We help our customers find solutions to their environmental goals and requirements and are likewise committed to responsibly managing the environmental impacts of our operations. Our customers rely on our expertise with governmental and regulatory agencies to meet increasingly stringent regulatory requirements. Environmental matters are an integral part of our business planning and decision-making processes. We believe in sustainable development and are committed to integrating biodiversity preservation principles into our operational practices. Our corporate policies and Code of Business Conduct and Ethics require that all applicable environmental regulations and compliance requirements are met in the course of our operations. Our planning processes incorporate procedures to ensure compliance with all such laws and regulations.</w:t>
      </w:r>
    </w:p>
    <w:p>
      <w:pPr>
        <w:spacing w:after="0" w:line="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Climate impact mitigation and environmental initiatives</w:t>
      </w:r>
      <w:r>
        <w:rPr>
          <w:rFonts w:ascii="Times New Roman" w:cs="Times New Roman" w:eastAsia="Times New Roman" w:hAnsi="Times New Roman"/>
          <w:sz w:val="16"/>
          <w:szCs w:val="16"/>
          <w:color w:val="auto"/>
        </w:rPr>
        <w:t>. We are committed to minimizing the effects of our operations on the climate and the environment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endeavor to reduce our carbon footprint, energy usage and greenhouse gas emissions. We seek to foster conservation and environmental awareness within our operations, and we endeavor to identify and incorporate energy, carbon and water efficiency considerations into our project planning and execution. We understand the importance of tracking and managing climate-related matters, including greenhouse gas emissions, and are in the process of implementing an enterprise-wide carbon emission tracking and reporting system. We are evaluating processes that will enable us to measure and manage our climate-related risks and opportunities on an enterprise-wide basis. We have implemented GPS, smart idling and other advanced technologies in approximately 90% of our vehicle fleet operations to improve fleet efficiency, fuel consumption and safety. Additionally, certain of our operations have invested in equipment containing advanced emissions reduction technologies, helping to reduce our carbon footprint.</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Community and Social Matters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At MasTec, we are proud to serve the communities in which we operate. Partnering with our communities and our customers is fundamental to our business operations. We plan and act for the future, for the long-term good of our company, our customers and our communities. We are active in our local communities and participate in charitable giving, community outreach and community building programs, including disaster relief efforts for communities affected by hurricanes, flooding and similar events. We also have an unwavering commitment to our team members in times of need. In addition to community outreach programs, we seek to develop strong relationships with our local communities, businesses, subcontractors and suppliers, and we have been recognized for our efforts in community and outreach programs by various organizations.</w:t>
      </w:r>
    </w:p>
    <w:p>
      <w:pPr>
        <w:spacing w:after="0" w:line="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place a significant priority on respectful collaboration with our local communities, including indigenous communities, and we utilize indigenous community subcontractors and suppliers within our operations. We support our local communities by utilizing local businesses for goods and services, including for project crews and office operations, and we are active members of our local chambers of commerce and economic development organizations. Our community outreach programs include programs tailored to military veterans, who represented approximately 3% of our workforce in 2024.</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Leadership and Governance</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Integrity, honesty and fairness are at the heart of our Company. Our leadership team and Board of Directors are committed to fostering a strong organizational culture built upon accountability, business and personal ethics, integrity and compliance. We believe that an ethical culture builds credibility and trust. We hold ourselves accountable to the highest standards of professionalism, and respect the opinions, ideas and perspectives of our team members, customers, subcontractors, suppliers and those in the communities we serve. Among the ethical matters addressed in our Code of Business Conduct and Ethics are our policies on discrimination and harassment, ethical and fair business practices and compliance with insider trading policies, anti-bribery and anti-corruption guidelines and the Foreign Corrupt Practices Act. Training programs related to governance matters are routinely provided at intervals based on an employee’s position and responsibilities. We also expect our subcontractors and suppliers to maintain proper business conduct and ethics protocols.</w:t>
      </w:r>
    </w:p>
    <w:p>
      <w:pPr>
        <w:spacing w:after="0" w:line="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Governance Principles and Shareholder Alignment</w:t>
      </w:r>
      <w:r>
        <w:rPr>
          <w:rFonts w:ascii="Times New Roman" w:cs="Times New Roman" w:eastAsia="Times New Roman" w:hAnsi="Times New Roman"/>
          <w:sz w:val="16"/>
          <w:szCs w:val="16"/>
          <w:color w:val="auto"/>
        </w:rPr>
        <w:t>. We seek to align the interests of our Board of Directors and management with those of our shareholders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stakeholders, and we believe that an independent, well-diversified Board is an essential attribute of effective Board governance. Diverse backgrounds are integral to effective governance, risk management and business opportunity assessments, which are key components of creating long-term value. Our Board has racial, ethnic and gender diversity, with approximately 63% of our Board representing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jc w:val="both"/>
        <w:spacing w:after="0" w:line="280" w:lineRule="auto"/>
        <w:rPr>
          <w:sz w:val="20"/>
          <w:szCs w:val="20"/>
          <w:color w:val="auto"/>
        </w:rPr>
      </w:pPr>
      <w:r>
        <w:rPr>
          <w:rFonts w:ascii="Times New Roman" w:cs="Times New Roman" w:eastAsia="Times New Roman" w:hAnsi="Times New Roman"/>
          <w:sz w:val="16"/>
          <w:szCs w:val="16"/>
          <w:color w:val="auto"/>
        </w:rPr>
        <w:t>women or minorities as of December 31, 2024. Our Board also has a comprehensive and varied skill set, including members with executive leadership, financial, risk management, health and safety and relevant industry expertise.</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Our management team and our Board of Directors have significant ownership in MasTec’s common stock, which further aligns their interests with those of our other shareholders. Our single class capital structure is grounded on the “one-share, one-vote” principle, which we believe is aligned with strong corporate governance standards. We have detailed governance procedures, including our Audit Committee Charter, Compensation Committee Charter and our Nominating, Sustainability and Corporate Governance Committee Charter. These charters, as well as our comprehensive Code of Business Conduct and Ethics and Board of Director Governance Principles, can be viewed on the “Investors” page of our website at MasTec.com.</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Risk Mitigation Practices</w:t>
      </w:r>
      <w:r>
        <w:rPr>
          <w:rFonts w:ascii="Times New Roman" w:cs="Times New Roman" w:eastAsia="Times New Roman" w:hAnsi="Times New Roman"/>
          <w:sz w:val="16"/>
          <w:szCs w:val="16"/>
          <w:color w:val="auto"/>
        </w:rPr>
        <w:t>. We believe that responsible corporate governance requires great attention to potential business and other risks. As part of our corporate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risk mitigation strategy, we regularly assess potential risks and hazards within our business and operations, including potential risks associated with climate-related matters. Risk assessments are performed on an ongoing basis at both the organizational and at the project level. We also apply a risk-based approach with respect to cybersecurity. We are committed to the privacy of employee, customer and company information and undertake significant efforts to protect this information, including personally identifiable information, which we maintain for our employees. We continually evaluate cyber risks to properly safeguard our systems and business operations. See </w:t>
      </w:r>
      <w:r>
        <w:rPr>
          <w:rFonts w:ascii="Times New Roman" w:cs="Times New Roman" w:eastAsia="Times New Roman" w:hAnsi="Times New Roman"/>
          <w:sz w:val="16"/>
          <w:szCs w:val="16"/>
          <w:u w:val="single" w:color="auto"/>
          <w:color w:val="0000FF"/>
        </w:rPr>
        <w:t>Item 1C.</w:t>
      </w:r>
      <w:r>
        <w:rPr>
          <w:rFonts w:ascii="Times New Roman" w:cs="Times New Roman" w:eastAsia="Times New Roman" w:hAnsi="Times New Roman"/>
          <w:sz w:val="16"/>
          <w:szCs w:val="16"/>
          <w:color w:val="auto"/>
        </w:rPr>
        <w:t xml:space="preserve"> “Cybersecurity,” for additional details.</w:t>
      </w:r>
    </w:p>
    <w:p>
      <w:pPr>
        <w:spacing w:after="0" w:line="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Sustainability and Climate-Related Governance</w:t>
      </w:r>
      <w:r>
        <w:rPr>
          <w:rFonts w:ascii="Times New Roman" w:cs="Times New Roman" w:eastAsia="Times New Roman" w:hAnsi="Times New Roman"/>
          <w:sz w:val="16"/>
          <w:szCs w:val="16"/>
          <w:color w:val="auto"/>
        </w:rPr>
        <w:t>. The Nominating, Sustainability and Corporate Governance Committee of the Board of Directors has oversight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sustainability-oriented matters for MasTec, including overseeing MasTec’s approach to considering, evaluating and integrating climate-related risks and opportunities into MasTec’s business strategy and decision-making processes. This Committee is also responsible for considering MasTec’s material sustainability issues, discussing associated risks with the full Board and management and reviewing and considering whether MasTec has appropriate policies, processes, strategies and initiatives in place to address such matters, including climate-related risks and opportunities. The potential implications and financial impact of climate-related risks and opportunities remains uncertain, but we recognize that these risks and opportunities could be significant to our business. We regularly assess our business risks and opportunities, and we are working to develop our processes to assess the potential effects and magnitude of climate-related risks and opportunities on our operations, financial results and key business strategies, as guided by the recommendations of the TCFD.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Strategy</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key elements of our business strategy are as follows:</w:t>
      </w:r>
    </w:p>
    <w:p>
      <w:pPr>
        <w:spacing w:after="0" w:line="10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Operational Excellence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seek to effectively manage our projects and services to maintain appropriate profit margins and cash flows. We also strive to identify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opportunities for leverage within our business, such as deploying resources across multiple customers and projects in order to enhance our operating effectiveness and utilization rates. We also seek to maintain strong working capital management practices. Our management team pursues actions and programs designed to achieve these goals, such as increasing accountability throughout our organization, effectively managing customer contract bidding procedures, prioritizing acquisition and operational integration, evaluating opportunities to improve our working capital cycle time, hiring and retaining experienced operating and financial professionals, and developing, expanding and integrating the use of financial systems and information technology capabilities, as well as implementing strong cybersecurity policies and practices, within our business.</w:t>
      </w:r>
    </w:p>
    <w:p>
      <w:pPr>
        <w:spacing w:after="0" w:line="2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Focus on Growth Opportunities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believe that our end-markets offer diverse and numerous growth opportunities, and we expect continued spending by key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customers in many of the industries we serve. We expect development of wireless and wireline/fiber infrastructure; development of data center infrastructure, including the installation and connectivity of electrical systems; development of clean energy infrastructure; expansion, maintenance and upgrades of power delivery infrastructure, including electrical and gas transmission lines and distribution networks; development of pipeline infrastructure, including for water and carbon capture sequestration, and pipeline integrity work; and heavy civil and industrial infrastructure construction projects to be areas of investment and opportunity in the coming years. We intend to use our broad geographic presence, technical expertise, financial and operational resources, customer relationships and full range of services to capitalize on these trends and grow our business.</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Effective Capital Structure Management</w:t>
      </w:r>
      <w:r>
        <w:rPr>
          <w:rFonts w:ascii="Times New Roman" w:cs="Times New Roman" w:eastAsia="Times New Roman" w:hAnsi="Times New Roman"/>
          <w:sz w:val="16"/>
          <w:szCs w:val="16"/>
          <w:color w:val="auto"/>
        </w:rPr>
        <w:t>. We have made significant investments in transformational acquisition activities over the past few years and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maintained investment grade rating since 2021 despite a post-acquisition increase in our leverage, primarily to finance the acquisition of Infrastructure and Energy Alternatives, Inc. (“IEA”) in 2022. We expect to manage our capital structure in the future to maintain this credit rating and we believe that we have sufficient capital resources to fund our planned operations. We have a $2.25 billion senior unsecured credit facility, under which we had approximately $1,792.6 million of revolving loan borrowing availability as of December 31, 2024. We may consider opportunities to borrow additional funds, refinance, repurchase or retire outstanding debt, or repurchase shares of our common stock as part of our ongoing capital structure evaluation. See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 Summary of Financial Condition, Liquidity and Capital Resources,” for discussion of our capital resources and recent activities.</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Leverage Core Performance and Expertise through Strategic Acquisitions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pursue selected acquisitions, investments and strategic arrangements that allow us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to expand our operations, service offerings, customer base or geographic reach. We have diversified our business and expanded our service offerings and geographic footprint in recent years, both organically and through acquisitions. For discussion of our recent acquisitions, see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 Business.” In our efforts to maximize the potential of the businesses we acquire, we work to integrate them into our operations and internal control environment in a timely and efficient manner. We evaluate our business and operations on a regular basis, and from time to time, we may divest certain businesses or assets or curtail selected business activities or operations that do not produce adequate revenue or margin or those that no longer fit within our long-term business strategy.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Services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core services are the engineering, building, installation, maintenance and upgrade of infrastructure, primarily for providers of communications, utility, power (including renewable and other energy generation sources), civil and transportation infrastructure. We also provide certain other services. The services we provide to our customers primarily encompass the following:</w:t>
      </w:r>
    </w:p>
    <w:p>
      <w:pPr>
        <w:spacing w:after="0" w:line="7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Build</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build infrastructure for customers across a range of industries. We specialize in building infrastructure for wireless and wireline/fiber communications;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clean energy infrastructure, including for renewable energy power generation; pipeline infrastructure, including for natural gas, water, carbon capture sequestration and other product transport; power delivery services, including electrical and gas transmission and distribution systems; industrial and heavy civil infrastructure, including roads, bridges and rail; and water infrastructure.</w:t>
      </w:r>
    </w:p>
    <w:p>
      <w:pPr>
        <w:spacing w:after="0" w:line="65"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Install</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install electrical and gas distribution and transmission systems, power generation, civil and industrial facilities, pipelines, fiber optic and other cables,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provide various install-to-the-home services in a variety of environments for our customers.</w:t>
      </w:r>
    </w:p>
    <w:p>
      <w:pPr>
        <w:spacing w:after="0" w:line="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Maintain, Upgrade and Other Services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offer 24 hour/365 days-a-year maintenance and upgrade support to our customers. Our comprehensive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offerings include the regular maintenance of our customers’ distribution facilities, networks and infrastructure, including communications, power generation, pipeline, electrical distribution and transmission and civil and industrial infrastructure. We also provide emergency services for service restoration following natural disasters and accidents, and we perform environmental planning, compliance and remediation. Our upgrade work ranges from routine replacements and upgrades to major overhauls.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longstanding relationships with many customers, and often provide services under master service and other service agreements, which are generally multi-year agreements. Our master service agreements are typically exclusive up to a specified dollar amount per work order for each defined geographic area, but do not obligate our customers to undertake any infrastructure projects or other work with us. Work performed under master service and other service agreements is usually generated through work orders, each of which is performed for a fixed fee. Services provided under these agreements range from construction, installation, maintenance and upgrade services to project management and engineering services. Master service and other service agreements are frequently awarded on a competitive bidding basis, although customers are sometimes willing to negotiate contract extensions beyond their original terms without re-bidding. Our master service and other service agreements have various terms, depending upon the nature of the services provided, and typically provide for termination on short or no advance notice. For the years ended December 31, 2024, 2023 and 2022, revenue derived from projects performed under master service and other service agreements totaled 41%, 40% and 51%, respectively, of consolidated revenue.</w:t>
      </w:r>
    </w:p>
    <w:p>
      <w:pPr>
        <w:spacing w:after="0" w:line="2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remainder of our work is generated pursuant to contracts for specific projects or jobs requiring the construction and installation of an entire infrastructure system or specified units within an entire infrastructure system. Customers are billed with varying frequency, the timing of which is generally dependent upon advance billing terms, milestone billings based on completion of certain phases of the work, or when services are provided. Under the typical payment terms of master and other service agreements and contracts for specific projects, the customer makes progress payments based on quantifiable measures of performance as defined in the agreements. Some of our contracts include retainage provisions, under which a portion of the contract amount (generally, from 5% to 10% of billings) can be retained by the customer until final contract settlement.</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our industry experience, technical expertise, broad service capabilities, operational scalability, geographic reach, financial stability and reputation for reliability, efficiency and customer service, as well as the relationships developed between our customers and our senior management and project management teams are important to our being selected and retained by our customers. See Note 13 - Segments and Related Information and Note 14 - Commitments and Contingencies in the notes to the audited consolidated financial statements, which are incorporated by reference, for customer concentration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Backlog</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75% of our estimated year-end 2024 backlog in 2025. The following table presents 18-month estimated backlog by reportable segment as of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Reportable Segment </w:t>
            </w:r>
            <w:r>
              <w:rPr>
                <w:rFonts w:ascii="Times New Roman" w:cs="Times New Roman" w:eastAsia="Times New Roman" w:hAnsi="Times New Roman"/>
                <w:sz w:val="14"/>
                <w:szCs w:val="14"/>
                <w:b w:val="1"/>
                <w:bCs w:val="1"/>
                <w:color w:val="auto"/>
              </w:rPr>
              <w:t>(in millions)</w:t>
            </w:r>
            <w:r>
              <w:rPr>
                <w:rFonts w:ascii="Times New Roman" w:cs="Times New Roman" w:eastAsia="Times New Roman" w:hAnsi="Times New Roman"/>
                <w:sz w:val="16"/>
                <w:szCs w:val="16"/>
                <w:b w:val="1"/>
                <w:bCs w:val="1"/>
                <w:color w:val="auto"/>
              </w:rPr>
              <w:t>:</w:t>
            </w: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4"/>
        </w:trPr>
        <w:tc>
          <w:tcPr>
            <w:tcW w:w="6940" w:type="dxa"/>
            <w:vAlign w:val="bottom"/>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Estimated 18-month backlog</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13,858</w:t>
            </w: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of December 31, 2024, 54% of our backlog is estimated to be attributable to amounts under master service or other service agreements, pursuant to which our customers are not contractually committed to purchase a minimum amount of services. Most of these agreements can be</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4" w:name="page15"/>
    <w:bookmarkEnd w:id="14"/>
    <w:p>
      <w:pPr>
        <w:jc w:val="both"/>
        <w:spacing w:after="0" w:line="260" w:lineRule="auto"/>
        <w:rPr>
          <w:sz w:val="20"/>
          <w:szCs w:val="20"/>
          <w:color w:val="auto"/>
        </w:rPr>
      </w:pPr>
      <w:r>
        <w:rPr>
          <w:rFonts w:ascii="Times New Roman" w:cs="Times New Roman" w:eastAsia="Times New Roman" w:hAnsi="Times New Roman"/>
          <w:sz w:val="16"/>
          <w:szCs w:val="16"/>
          <w:color w:val="auto"/>
        </w:rPr>
        <w:t xml:space="preserve">canceled on short or no advance notice. Timing of revenue for construction and installation projects included in our backlog can be subject to change as a result of customer, regulatory or other delays or cancellations, including from factors discussed in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under “General Economic, Market and Regulatory Conditions.” These effects, among others, could cause estimated revenue to be realized in periods later than originally expected, or not at all. We occasionally experience postponements, cancellations and reductions in expected future work due to these effects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audited consolidated financial statements, which is incorporated by reference. As of December 31, 2024, total 18-month backlog differed from the amount of our remaining performance obligations due primarily to the inclusion of $7.2 billion of estimated future revenue under master service and other service agreements within our backlog estimates, as described above, and the exclusion of approximately $3.0 billion of remaining performance obligations and estimated future revenue under master service and other service agreements in excess of 18 months, which amount is not included in the backlog estimates above. Backlog expected to be realized in 2025 differs from the amount of remaining performance obligations expected to be recognized for the same period due primarily to the inclusion of approximately $4.2 billion of estimated future revenue under master service and other service agreements included within our backlog estimate, which is not included within our remaining performance obligations for the same period.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1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6"/>
          <w:szCs w:val="16"/>
          <w:color w:val="auto"/>
        </w:rPr>
        <w:t>Our customers increasingly require resources from multiple disciplines. Therefore, our subsidiary services companies market their services not only individually, but also in combination with other companies, including other MasTec companies and independent companies, to provide what we believe are the most efficient and effective solutions to meet our customers’ demands. Through our unified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brand and an integrated organizational structure designed to permit rapid deployment of our services, we are able to quickly and efficiently allocate resources to meet customer needs. We offer services that are branded under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service mark and other service marks.</w:t>
      </w:r>
    </w:p>
    <w:p>
      <w:pPr>
        <w:spacing w:after="0" w:line="8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6"/>
          <w:szCs w:val="16"/>
          <w:color w:val="auto"/>
        </w:rPr>
        <w:t>We have a business development and marketing plan emphasizing the MasTec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registered service mark and trade names of certain acquired companies, as well as an integrated service offering to position ourselves as a provider of a full range of service solutions, providing services including installation as well as sophisticated engineering, design and integration. We believe that our longstanding relationships with our customers, industry expertise and our reputation for reliability, efficiency and customer service facilitate our potential and recurring business relationships. Our marketing efforts are principally carried out by the management of our business units and project groups in coordination with our corporate business development organization. Our management team has many years of industry experience, both at the service provider level, and in some cases, with the customers we serve. Our business unit and project group managers market directly to existing and potential customers for new contracts and also seek our inclusion on lists of vendors invited to submit proposals for service agreements and individual projects. We also market our services in conjunction with certain business partners, strategic investments and other arrangements. Our executive management team supplements these efforts at the national level.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Safety and Insurance/Risk Management</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a proactive safety culture and we strive to instill and enforce safe work habits in our employees. Our employees are required to participate in training programs relevant to their employment, including all those required by law. We actively train our workforce in everyday safety practices and provide detailed guidelines that are required to be followed as work tasks are contemplated and completed. Training programs are tailored to an employee’s job function, responsibilities and level of experience and are designed in accordance with industry best practices and standards. We evaluate employees in part based upon their safety records and the safety records of the employees they supervise. Team members are responsible for preventing incidents, injuries and occupational illnesses, and our project leadership team is tasked with ensuring that projects are accomplished in a safe, productive, environmentally and quality-focused manner. Our business units have established robust safety programs to monitor and improve compliance with safety procedures and regulations, and through our risk management programs, we educate our staff, subcontractors and suppliers on safety matters. We strive continuously to assess and improve our safety programs and performance. We also provide training for other workplace and risk management programs, including for cybersecurity, discrimination and harassment, human trafficking awareness, emergency preparedness and other workplace hazards, among others.</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business involves the use of heavy equipment and exposure to potentially dangerous workplace conditions. While we are committed to operating safely and prudently, we are subject to claims by employees, customers and third parties for property damage and personal injuries that occur in connection with our work. Our insurance policies are subject to high deductibles and we are self-insured up to the amount of the deductible. We maintain insurance policies for workers’ compensation, general liability and automobile liability that are subject to per claim deductibles. In addition, we maintain excess umbrella coverage and an insurance policy with respect to employee group medical claims, which is subject to annual per employee maximum losses. We also manage certain of our insurance liabilities indirectly through our wholly-owned captive insurance company, which reimburses claims up to the applicable insurance limits. We are required to post collateral to certain of our insurance carriers, generally in the form of letters of credit, surety bonds and cash. See Note 14 - Commitments and Contingencies in the notes to the audited consolidated financial statements, which is incorporated by reference.</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Adverse climate and weather events, including drought conditions and high winds, have increased operational and legal risks in certain locations for us and other contractors. In particular, wildfire risks associated with electrical power and other infrastructure have increased the potential for liabilities and related costs (particularly as these events can be started by electrical power and other infrastructure on which we have performed services), which could adversely affect our financial results and position. We procure insurance from the commercial insurance market to cover a portion of such risks; however, limited capacity and high costs in insurance markets have increased our reliance on self-insurance for these exposures with respect to certain geographic areas.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Suppliers, Materials and Working Capital</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Under many of our contracts, our customers provide the necessary materials and supplies for projects and we are responsible for the installation of, but not the cost or warranty of, those materials. Under certain other projects, we purchase the necessary materials and supplies on behalf of our customers from third-party providers. We are not dependent on any one vendor for project-related materials or supplies required for the projects we manage. We also depend on the availability of certain equipment to perform our services. We operate a diverse fleet of on-road and off-road equipment. Substantially all of our equipment is obtained from third-party vendors, and we are not dependent upon any single vendor for our equipment requirements. We also utilize independent contractors to assist on projects and to help us manage our work flow. Our independent contractors typically provide their own vehicles, tools and insurance coverage. We are not dependent on any single independent contractor. A number of factors that we may not be able to accurately predict or control could result in increased costs for, or delays in delivery of, materials and equipment, including supply chain disruptions.</w:t>
      </w:r>
    </w:p>
    <w:p>
      <w:pPr>
        <w:spacing w:after="0" w:line="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In 2022, certain market-related supply chain disruptions affected our industry, and as a result, we increased our level of purchasing activity to secure the necessary materials and equipment to meet our project requirements. While these supply chain disruptions moderated primarily in 2023, our operations could be negatively affected in the future if such disruptions were to recur. In addition, certain of our clean energy customers began experiencing regulatory-related supply chain issues in 2022 that resulted in delays, shortages of, and increased costs for, the materials necessary to construct certain solar renewable projects, which affected our ability to perform these projects. While the related supply chain issues eased primarily in 2023, our ability to perform these projects could be negatively affected in the future if such delays for certain materials were to recur or prices therefor increase. Further, the effects of tariffs and similar types of trade policies could lead to issues with global supply chains on a macroeconomic scale, including steel, solar panels and construction equipment which could have a material adverse effect on our business, financial condition and results of operations.</w:t>
      </w:r>
    </w:p>
    <w:p>
      <w:pPr>
        <w:spacing w:after="0" w:line="2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We need working capital to support seasonal variations in our business, including the effects of weather and other conditions on outdoor construction and maintenance work, the spending patterns of our customers and the effects of regulatory and market factors, all of which can influence the timing of spending to support related customer demand. See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 Financial Condition, Liquidity and Capital Resources - Working Capital,” which is incorporated by reference.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industry is highly competitive and highly fragmented. We compete with a number of companies in the markets in which we operate, primarily large national firms, as well as small local independent companies. Certain barriers to entry exist in the markets in which we operate, including adequate financial resources, technical expertise, high safety ratings, established customer relationships and a proven track record of operational success. Some of our customers employ their own personnel to perform infrastructure services of the type we provide. We compete based upon our industry experience, technical expertise, financial and operational resources, geographic presence, industry reputation, safety record and reputation for customer service. While we believe that our customers consider a number of factors when selecting a service provider, they award most of their work through a bid process, and price is often a principal factor in determining which service provider is selected.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and Environmental Matters</w:t>
      </w:r>
    </w:p>
    <w:p>
      <w:pPr>
        <w:spacing w:after="0" w:line="11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are subject to state and federal laws that apply to businesses generally, including laws and regulations related to labor relations, wages, worker safety and environmental protection. While many of our customers operate in regulated industries, for example, utilities regulated by the public service commission or communications companies regulated by the Federal Communications Commission (“FCC”), we are generally not subject to such regulation and oversight. Our operations are, however, subject to numerous laws and regulations, among them:</w:t>
      </w:r>
    </w:p>
    <w:p>
      <w:pPr>
        <w:spacing w:after="0" w:line="66" w:lineRule="exact"/>
        <w:rPr>
          <w:sz w:val="20"/>
          <w:szCs w:val="20"/>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environmental laws and regulations;</w:t>
      </w:r>
    </w:p>
    <w:p>
      <w:pPr>
        <w:spacing w:after="0" w:line="113" w:lineRule="exact"/>
        <w:rPr>
          <w:rFonts w:ascii="Times New Roman" w:cs="Times New Roman" w:eastAsia="Times New Roman" w:hAnsi="Times New Roman"/>
          <w:sz w:val="16"/>
          <w:szCs w:val="16"/>
          <w:color w:val="auto"/>
        </w:rPr>
      </w:pPr>
    </w:p>
    <w:p>
      <w:pPr>
        <w:ind w:left="900" w:hanging="244"/>
        <w:spacing w:after="0" w:line="298" w:lineRule="auto"/>
        <w:tabs>
          <w:tab w:leader="none" w:pos="88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worker safety and health, including those established by the Occupational Safety and Health Administration (“OSHA”) and state equivalents;</w:t>
      </w:r>
    </w:p>
    <w:p>
      <w:pPr>
        <w:spacing w:after="0" w:line="42"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wage and hour regulations (e.g., Fair Labor Standards Act) and regulations associated with our collective bargaining agreements and unionized workforce;</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related to vehicle registrations, including those of the states and the U.S. Department of Transportation (“DOT”);</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contractor licensing requirements;</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permitting and inspection requirements;</w:t>
      </w:r>
    </w:p>
    <w:p>
      <w:pPr>
        <w:spacing w:after="0" w:line="126"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building and electrical codes; and</w:t>
      </w:r>
    </w:p>
    <w:p>
      <w:pPr>
        <w:spacing w:after="0" w:line="113" w:lineRule="exact"/>
        <w:rPr>
          <w:rFonts w:ascii="Times New Roman" w:cs="Times New Roman" w:eastAsia="Times New Roman" w:hAnsi="Times New Roman"/>
          <w:sz w:val="16"/>
          <w:szCs w:val="16"/>
          <w:color w:val="auto"/>
        </w:rPr>
      </w:pPr>
    </w:p>
    <w:p>
      <w:pPr>
        <w:ind w:left="880" w:hanging="224"/>
        <w:spacing w:after="0"/>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and other data protection and security requirements.</w:t>
      </w:r>
    </w:p>
    <w:p>
      <w:pPr>
        <w:spacing w:after="0" w:line="11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subject to numerous environmental laws, regulations and programs, including with respect to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Our operations require careful adherence to environmental regulations because they could have impacts on groundwater, surface waters and other environmentally sensitive areas. Similarly, certain of our construction operations often require us to operate in remote areas involving environmentally sensitive habitats as well as areas that are subject to risk of wildfire.</w:t>
      </w:r>
    </w:p>
    <w:p>
      <w:pPr>
        <w:spacing w:after="0" w:line="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have a substantial investment in construction equipment that utilizes fuel. Any changes in laws requiring us to use equipment that runs on alternative power sources could require a significant investment, which could have a material adverse effect on our results of operations, cash flows and liquidity. We also are subject to laws and regulations that impose liability and cleanup responsibility for releases of hazardous substances into the environment. Under certain of these laws and regulations, liabilities can be imposed for cleanup of properties, regardless of whether we</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16" w:name="page17"/>
    <w:bookmarkEnd w:id="16"/>
    <w:p>
      <w:pPr>
        <w:jc w:val="both"/>
        <w:spacing w:after="0" w:line="280" w:lineRule="auto"/>
        <w:rPr>
          <w:sz w:val="20"/>
          <w:szCs w:val="20"/>
          <w:color w:val="auto"/>
        </w:rPr>
      </w:pPr>
      <w:r>
        <w:rPr>
          <w:rFonts w:ascii="Times New Roman" w:cs="Times New Roman" w:eastAsia="Times New Roman" w:hAnsi="Times New Roman"/>
          <w:sz w:val="16"/>
          <w:szCs w:val="16"/>
          <w:color w:val="auto"/>
        </w:rPr>
        <w:t>directly caused the contamination or violated any law at the time of discharge or disposal. The presence of contamination from such substances or wastes could interfere with ongoing operations or adversely affect our business.</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addition, we could be held liable for significant penalties and damages under certain environmental laws and regulations. Our contracts with customers may also impose liabilities on us regarding environmental issues that arise through the performance of our services. In addition, we could be subject to liability for legacy environmental matters arising from our recently acquired businesses. From time to time, we may incur unanticipated and substantial costs and obligations related to environmental compliance and/or remediation matters. We believe we have all material licenses and permits needed to conduct operations and that we are in material compliance with all applicable regulatory and environmental requirements. We could, however, incur significant liabilities if we fail to comply with such requirements.</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there are significant environmental regulations under consideration to address climate change, regulate and report on emissions of greenhouse gases and encourage the use of clean energy technologies. We regularly monitor proposed regulations and legislation and have processes in place to adapt our business and operations, as necessary, to meet any such new requirements.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Information About Geographic Areas</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We operate primarily in the United States and Canada. See Note 13 - Segments and Related Information in the notes to the audited consolidated financial statements, which is incorporated by reference.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Management</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At MasTec, our employees are an integral part of our growth and success. MasTec began as a family business, and every member of the MasTec team is considered part of the MasTec family. The safety, health and welfare of our employees is at the heart of our operations. We are committed to fairness and respect in the workplace and value the diverse and varied perspectives and experiences of our employees. We believe that our commitment to our employees, together with our team culture, fosters an environment of strong employee engagement. We are most productive when our employees are safe, healthy and engaged. We believe that our employees and our customers benefit from the collective and well-coordinated efforts that result from effective employee engagement, teamwork and collaboration, which, in turn, allows us to deliver the highest level of excellence to our stakeholders.</w:t>
      </w:r>
    </w:p>
    <w:p>
      <w:pPr>
        <w:spacing w:after="0" w:line="8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the twelve month period ended December 31, 2024, we had an average of approximately 33,000 employees, of which approximately 7,000 were represented by unions or subject to collective bargaining agreements, and as December 31, 2024, we had approximately 32,000 employees, of which approximately 7,000 were represented by unions or subject to collective bargaining agreements. Approximately 98% of our employees are located in the United States.</w:t>
      </w:r>
    </w:p>
    <w:p>
      <w:pPr>
        <w:spacing w:after="0" w:line="6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Safety. </w:t>
      </w:r>
      <w:r>
        <w:rPr>
          <w:rFonts w:ascii="Times New Roman" w:cs="Times New Roman" w:eastAsia="Times New Roman" w:hAnsi="Times New Roman"/>
          <w:sz w:val="16"/>
          <w:szCs w:val="16"/>
          <w:color w:val="auto"/>
        </w:rPr>
        <w:t>Safety is a core value at MasTec. It is a mindset that permeates all aspects of our operations, and an attitude that our employees exhibit, strongly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openly. We recognize the need of our workforce to have a safe workplace and are committed to maintaining a strong and sustainable safety culture within our organization. We continually evaluate our safety programs to protect our most important asset – our team members.</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have a proactive safety culture, and our safety leadership structure is designed to create accountability within each of our businesses and at the corporate level. Our safety management process includes continuously monitoring, reporting and addressing our key safety performance indicators. Our “Zero Harm” culture is fundamental to our goal of world class safety performance, and we work to instill safety values in every team member, such that safe behavior becomes instinctive and automatic. We are driven by our commitment to safety and our “Zero Harm” culture to develop and implement safety programs and processes with safety excellence as our goal. We strive continuously to improve our safety performance and provide regular safety training and skill-level improvement programs, including: safety orientation for new employees, safety leadership training for our front-line leaders, OSHA construction outreach training, defensive driving and DOT training, operator qualification and electric worker training, excavation and ground penetration safety training, among others. We have adopted numerous safety initiatives throughout our organization, including fleet telematics applications.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Through our risk management programs and other safety initiatives, we educate our staff, subcontractors and suppliers on safety matters. The high standards of safety, incident prevention and hazard control that we expect within our operations are also expected of our subcontractors and suppliers. We have memberships and participate in numerous safety and other organizations that promote industry safety. Our safety performance is periodically recognized by our customers as well as by safety organizations.</w:t>
      </w:r>
    </w:p>
    <w:p>
      <w:pPr>
        <w:spacing w:after="0" w:line="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Health and Wellness. </w:t>
      </w:r>
      <w:r>
        <w:rPr>
          <w:rFonts w:ascii="Times New Roman" w:cs="Times New Roman" w:eastAsia="Times New Roman" w:hAnsi="Times New Roman"/>
          <w:sz w:val="16"/>
          <w:szCs w:val="16"/>
          <w:color w:val="auto"/>
        </w:rPr>
        <w:t>Encouraging good health and following a healthy lifestyle is a MasTec philosophy. We encourage all our employees to take an active role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living a healthy lifestyle and offer wellness tools and resources to help achieve and maintain good health. We offer a comprehensive and flexible benefits program, including medical, dental, vision and prescription insurance, as well as access to telehealth services to assist employees with medical and mental health matters. In addition, to help our employees build a financially secure future, we offer a 401(k) plan with matching benefits, an employee stock purchase plan, life and disability insurance plans and a flexible spending account to help employees cover medical expenses. We also offer employees support for personal and work-life issues, including health, legal and financial matters.</w:t>
      </w:r>
    </w:p>
    <w:p>
      <w:pPr>
        <w:spacing w:after="0" w:line="2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Professional and Career Development. </w:t>
      </w:r>
      <w:r>
        <w:rPr>
          <w:rFonts w:ascii="Times New Roman" w:cs="Times New Roman" w:eastAsia="Times New Roman" w:hAnsi="Times New Roman"/>
          <w:sz w:val="16"/>
          <w:szCs w:val="16"/>
          <w:color w:val="auto"/>
        </w:rPr>
        <w:t>We believe that professional development is essential to the success of our business, as it drives employee engagement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ensures that our team members have the requisite skills and training to deliver the highest level of excellence to our customers. Our employees’ career development begins with the onboarding process and continues throughout their careers. Ongoing training is designed to develop our employees’ technical, professional and leadership skills and is customized to meet the qualifications and requirements necessary for them to succeed in their positions. We invest significant resources in education, certification, training programs and other professional development opportunities, including apprenticeship- and leadership-oriented training programs, tuition reimbursement for qualified training programs, sponsored attendance at industry conferences, departmental and divisional leadership conferences, employee training centers and advancement opportunities within and across businesses and divisions. We seek to develop and cultivate current and future leaders, and design our training programs to create high performing teams, improve productivity, positively affect employee motivation and retention and further enhance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7" w:name="page18"/>
    <w:bookmarkEnd w:id="17"/>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career development opportunities. We believe that our team culture, along with competitive salary and benefits packages and our focus on employee training and career development, including opportunities for promotion and mobility within our organization, helps us to attract and retain a diverse, qualified and experienced workforce.</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Team Culture. </w:t>
      </w:r>
      <w:r>
        <w:rPr>
          <w:rFonts w:ascii="Times New Roman" w:cs="Times New Roman" w:eastAsia="Times New Roman" w:hAnsi="Times New Roman"/>
          <w:sz w:val="16"/>
          <w:szCs w:val="16"/>
          <w:color w:val="auto"/>
        </w:rPr>
        <w:t>Our success depends upon the success of our team, which requires us to have exceptional team members, as well as an exceptional team.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Teamwork is part of our culture and is one of our core values. We believe that our employees and our customers benefit from the collective and well-coordinated efforts that result from effective employee engagement, teamwork and collaboration. We seek to foster an environment of strong employee engagement through our commitment to our employees and our team culture. Our strong team culture, together with effective processes and people, allows us to consistently meet the needs of our customers and stakeholders.</w:t>
      </w:r>
    </w:p>
    <w:p>
      <w:pPr>
        <w:spacing w:after="0" w:line="2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committed to fostering an environment that offers fairness, respect and merit-based growth opportunities, where our employees can freely bring individual and diverse perspectives and varied experiences to work. We seek to attract the best talent and foster a culture of inclusion, teamwork, support and empowerment where all talented individuals have access to opportunities and can achieve success. Our commitment to fostering such an environment, together with our culture of belonging allows us to recruit and retain highly talented employees so that we are able to deliver exceptional results to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A copy of this Form 10-K, as well as our Quarterly Reports on Form 10-Q, Current Reports on Form 8-K and any amendments to those reports filed or furnished pursuant to Section 13(a) or 15(d) of the Securities Exchange Act of 1934 are available free of charge on our website, www.mastec.com, as soon as reasonably practicable after we electronically file these reports with, or furnish these reports to, the Securities and Exchange Commission (the “SEC”). Copies of our Board of Directors Governance Principles and Code of Business Conduct and Ethics, which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and the charters for each of our Audit, Compensation, and Nominating, Sustainability and Corporate Governance Committees are also available on our website in the Investors section under the tab “Corporate Governance,” or may be obtained by contacting our Vice President of Investor Relations by phone at</w:t>
      </w:r>
    </w:p>
    <w:p>
      <w:pPr>
        <w:spacing w:after="0" w:line="5" w:lineRule="exact"/>
        <w:rPr>
          <w:sz w:val="20"/>
          <w:szCs w:val="20"/>
          <w:color w:val="auto"/>
        </w:rPr>
      </w:pPr>
    </w:p>
    <w:p>
      <w:pPr>
        <w:jc w:val="both"/>
        <w:ind w:firstLine="8"/>
        <w:spacing w:after="0" w:line="261" w:lineRule="auto"/>
        <w:tabs>
          <w:tab w:leader="none" w:pos="39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406-1815, or by email at investor.relations@mastec.com. We intend to provide any amendments or waivers to our Code of Business Conduct and Ethics for any of our directors and senior officers on our website within four business days of any such amendment or waiver. The reference to our website address does not constitute incorporation by reference of the information contained on the website and such information is not part of this report. Our reports filed with the SEC may be accessed at the SEC’s website at www.sec.gov.</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our Website to Distribute Material Company Information</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our website as a channel of distribution for important Company information. We routinely post on our website important information, including press releases, investor presentations and financial information, which may be accessed by clicking on the Investors section of www.mastec.com. We also use our website to expedite public access to time-critical information regarding our Company in advance of or in lieu of distributing a press release or a filing with the SEC disclosing the same information. Therefore, investors should look to the Investors section of our website for important and time-critical information. Visitors to our website can also register to receive automatic e-mail and other notifications alerting them when new information is made available on the Investors section of our website.</w:t>
      </w:r>
    </w:p>
    <w:p>
      <w:pPr>
        <w:spacing w:after="0" w:line="7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1A.</w:t>
        <w:tab/>
        <w:t>RISK FACTORS</w:t>
      </w:r>
    </w:p>
    <w:p>
      <w:pPr>
        <w:spacing w:after="0" w:line="12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i w:val="1"/>
          <w:iCs w:val="1"/>
          <w:color w:val="auto"/>
        </w:rPr>
        <w:t>Our business is subject to a variety of risks and uncertainties, including, but not limited to, the risks and uncertainties described below. Additional risks and uncertainties not known to us or not described below could also negatively affect our operations. If any of the risks described below or other risks that are unknown to us were to occur, our business, financial condition, results of operations and cash flows could suffer, and/or the trading price of our common stock could decline. We also may not be able to achieve our goals or expectations. You should carefully consider the risks described below, together with all of the other information in this Form 10-K, including our Cautionary Statement Regarding Forward-Looking Statements above.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Industries We Serve</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Changes to laws, governmental regulations and policies, including those pertaining to governmental permitting, tax incentives and government funding programs and spending policies, as well as advances in artificial intelligence and government policies, including spending policies, related to artificial intelligence, could affect demand for our services or cause delays in the timing of projects or cancellations of current or planned future projects. Additionally, demand for construction services depends on industry activity and expenditure levels, which can be affected by a variety of factors, including the effects of climate-related matters. Our inability or failure to adjust to such changes or activity could result in decreased demand for our services and adversely affect our results of operations, cash flows and liquidity.</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industries we serve are subject to effects of governmental regulation, climate change initiatives and political or social activism, any of which could result in reduced demand for our services, delays in the timing of projects, or cancellations of current or planned future projects. Many of our customers face stringent regulatory and environmental requirements and permitting processes, including governmental regulations and policies. Most of our communications customers are regulated by the FCC, and our energy customers are regulated by the Federal Energy Regulatory Commission (“FERC”), among others. In addition, our utility customers are regulated by state public utility commissions. These agencies or governments could change their interpretation of current regulations and/or may impose additional regulations, or change government funding programs or spending policies, including the potential for reduced support for renewable energy projects. In January 2025, President Trump announced a temporary pause on new and renewed federal permits and leasing for wind turbine projects, with no end date to such pause specified. These factors, as well as advances in artificial intelligence and government policies, including spending policies, related to artificial intelligence, could have an adverse effect on our customers, reduce demand for our services and adversely affect our results of operations, cash flows and liquidity. Our customers, particularly in the oil and gas industry, could be adversely affected by regulatory initiatives or additional requirements,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8" w:name="page19"/>
    <w:bookmarkEnd w:id="18"/>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restrictions or legislation imposed by federal, state, local, or foreign governments, including from climate-related matters and/or any related changes in end-customer demand.</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build renewable energy and other infrastructure for which the development may be partially dependent upon federal tax credits, including from the IIJA and IRA, and for renewable infrastructure, existing renewable portfolio standards and other tax or state incentives. The IIJA and IRA provide for funding in many of the markets in which we operate. Delays and uncertainty related to the implementation and pace of spending, or to project permitting or other matters under the IIJA, IRA and/or other programs, has caused, and could continue to cause, uncertainty related to the timing of our current and future project work expectations. Additionally, if our customers are not able to realize the expected benefits of the IIJA or IRA, it could reduce demand for our services. The new presidential administration has included as part of its agenda potential changes to U.S. tax laws. The details of these changes have not yet emerged, but may include reducing the corporate tax rate for domestic oil and gas production, repealing green energy tax credits and extending certain provisions of the Tax Cuts and Jobs Act of 2017 (“TCJA”). In early February 2025, President Trump announced 25% tariffs on imports from Canada (10% tariff in the case of oil) and Mexico, which tariffs were subsequently delayed until early March 2025, a 10% tariff on imports from China (which President Trump subsequently doubled), and a 25% tariff on all steel and aluminum imports into the United States. Many political and economic commentators believe that the impacts of extending certain tax benefits pursuant to the TCJA and new tariffs could potentially cause inflationary pressure that could, in turn, contribute to increases in market interest rates and a decrease in U.S. economic growth. We cannot predict, however, whether, when, or to what extent these potential changes in law or policy will become effective, nor can we predict the long-term impact of these potential changes on the industries in which we operate. Elimination of, reduction of, or changes to the IIJA, IRA, existing renewable portfolio standards, environmental policies, tax incentives and/or similar programs, including as a result of the change in administration in the United States, could negatively affect demand for our services.</w:t>
      </w:r>
    </w:p>
    <w:p>
      <w:pPr>
        <w:spacing w:after="0" w:line="77"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All of the above factors could result in fewer projects than anticipated or a delay in the timing of these projects, which could negatively affect demand for our services and have a material adverse effect on our results of operations, cash flows and liquidity.</w:t>
      </w:r>
    </w:p>
    <w:p>
      <w:pPr>
        <w:spacing w:after="0" w:line="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Unfavorable market conditions, including rising or elevated levels of inflation or interest rates, changes to tariffs and/or trade policies affecting macroeconomic conditions, including inflation, as well as the industries we serve and related projects and expenditures, access to capital, material and costs, supply chain disruptions or political, regulatory or market uncertainty, including economic downturns and heightened geopolitical tensions and conflicts, could reduce capital expenditures in the industries we serve or could adversely affect our customers and result in decreased demand for our services.</w:t>
      </w:r>
    </w:p>
    <w:p>
      <w:pPr>
        <w:spacing w:after="0" w:line="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Demand for our services has been, and will likely continue to be, cyclical in nature and vulnerable to unfavorable market conditions and/or downturns in the economy. Unfavorable market conditions, including rising or elevated levels of inflation and/or interest rates, supply chain disruptions, changes to tariffs or trade policies, affecting macroeconomic conditions, including inflation, as well as the industries we serve and related projects and expenditures, access to capital, material and costs, political, regulatory or market uncertainty or public health matters could have a negative effect on demand for, or the profitability of, our customers’ services, which could have a material adverse effect on our business, financial condition and results of operations. During past administrations, increased tariffs were implemented on goods imported into the United States, particularly from China, Canada, and Mexico. As China is a major global exporter of steel, solar panels, and aluminum, the tariffs on these specific imports led to price increases and supply chain issues for materials used in the construction of many of our customers projects. In early February 2025, the Trump administration announced 25% tariffs on imports from Canada (10% tariff in the case of energy exports) and Mexico, which tariffs were subsequently delayed until early March 2025, a 10% tariff on imports from China (which President Trump subsequently doubled), and a 25% tariff on all steel and aluminum imports into the United States. These and similar types of trade policies could lead to issues with global supply chains on a macroeconomic scale, including steel, solar panels and construction equipment, and also affect oil and gas production activity in Canada, which could have a material adverse effect on our business, financial condition and results of operations. In addition, although the Federal Reserve has periodically lowered short-term interest rates since September 2024, interest rates, particularly long-term rates, remain elevated along with levels of inflation, and we have been subject to, and may continue to be subject to, the general effect of such inflationary market pressures on our business, particularly with respect to interest expense and labor, materials and fuel costs.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Recent inflationary conditions and general labor shortages have resulted in wage inflation as well as increased competition for skilled labor. Even if inflationary pressures moderate, we expect our labor, materials and fuel costs, in particular, to remain elevated if we continue to expand our operations and volume of work. We have not been, and may not be able to, fully adjust our contract pricing to compensate for these cost increases, which has affected, and may continue to affect, our profitability and cash flows. Inflationary pressures and the related elevated levels of market interest rates have caused, and could continue to cause, uncertainty for our customers, which has negatively affected, and could continue to negatively affect, their capital expenditure and maintenance budgets.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Should inflation persist or increase, interest rates could remain at elevated levels or increase, which, together with inflation, could have a significant negative effect on the economy in general, and on the construction industry in particular, as well as create volatility in the capital markets, which could adversely affect demand for our services, as well as our profitability, liquidity, cash flows and/or financial condition. We continually monitor general economic conditions and the market conditions of the industries our customers serve and their relative health compared to the economy as a whole. Uncertain or adverse economic or political conditions, the lack of availability of debt or equity financing and/or higher interest rates could cause our customers to reduce their capital spending or seek more favorable pricing and other contract terms and/or cause project cancellations or deferrals.</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operations and/or our customers could be negatively affected by market-related supply chain disruptions caused by delays, shortages of, and increased costs for, the materials necessary to perform projects. Delays for certain materials, most notably for certain of our clean energy customers, have eased primarily starting in 2023; however, if such delays were to recur it could affect our ability to perform these projects.</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oil and gas markets have historically been and are likely to continue to be volatile. Demand for pipeline construction services is sensitive to levels of activity in the oil and gas industry, as well as industrial and utility customer demand and regulatory constraints. Oil and gas prices are subject to large fluctuations in response to changes in supply and demand, including from: climate change initiatives and demand for alternative energy sources; disruptions in global economic activity; legislative and regulatory changes; and a variety of other factors that are beyond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9" w:name="page20"/>
    <w:bookmarkEnd w:id="19"/>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our control. Such market volatility can affect our customers’ investment decisions and subject us to project cancellations, deferrals or unexpected changes in the timing of project work.</w:t>
      </w:r>
    </w:p>
    <w:p>
      <w:pPr>
        <w:spacing w:after="0" w:line="7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addition, our operations and/or our customers, particularly in the Pipeline Infrastructure segment, could be negatively affected by market and political uncertainty, including from unrest and/or military actions, such as heightened geopolitical tensions and conflicts, including the Russia-Ukraine conflicts and the escalated tensions in the Middle East, among others.</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may face risks related to health epidemics and pandemics or other outbreaks of communicable diseases. The COVID-19 pandemic created significant volatility, uncertainty and economic disruption, including significant volatility in the U.S. economy and financial markets for several years, and negatively affected our operations during the same period. A public health epidemic or pandemic poses the risk that we or our employees, customers and/or business partners may be prevented from conducting ordinary course business activities for an indefinite period of time, or that the health crises and their related impacts may otherwise interrupt or affect business activities, or cause us to incur incremental operational costs or experience lower levels of overhead absorption from a reduction in revenue, which could negatively affect our margins and profitability. Additionally, we could experience negative effects on our business and operations from possible longer-term changes in consumer and customer behavior.</w:t>
      </w: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industries we serve are highly competitive and subject to rapid technological and regulatory changes, as well as customer consolidation, any of which could result in decreased demand for our services and adversely affect our results of operations, cash flows and liquidity.</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Our industry is highly fragmented, and we compete with a number of companies in the markets in which we operate, including large national firms that service regional and national markets, as well as small independent companies that service local markets. We also face competition from existing and prospective customers that employ in-house personnel to perform some of the services we provide. There are relatively few barriers to entry into certain of the markets in which we operate and, as a result, any organization that has adequate financial resources and access to technical expertise and skilled personnel may become a competitor. Most of our customers’ work is awarded through bid processes, and our project bids may not be successful. Our results of operations, cash flows and liquidity could be materially and adversely affected if we are unsuccessful in bidding for projects or renewing our master service agreements, or if our ability to win such projects or agreements requires that we accept lower margins.</w:t>
      </w:r>
    </w:p>
    <w:p>
      <w:pPr>
        <w:spacing w:after="0" w:line="2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a substantial portion of our revenue from customers in industries that are subject to rapid changes in technology, governmental regulation, changing consumer demands and consolidation. Technological advances in the markets we serve, including from climate-related initiatives, could render existing projects or technologies uncompetitive or obsolete, and/or our cause longer-term changes in consumer behavior or alter our customers’ existing operating models. Our failure to rapidly adopt and master new technologies as they are developed or adapt to changing customer requirements could reduce demand for our services. Additionally, consolidation among our customers could result in the loss of customer revenue or could negatively affect customer demand and have a material adverse effect on our results of operations, cash flows and liquidity.</w:t>
      </w:r>
    </w:p>
    <w:p>
      <w:pPr>
        <w:spacing w:after="0" w:line="8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An impairment of the financial condition of one or more of our customers due to adverse market or other conditions could hinder their ability to pay us on a timely basis.</w:t>
      </w:r>
    </w:p>
    <w:p>
      <w:pPr>
        <w:spacing w:after="0" w:line="2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An impairment of the financial condition of one or more of our customers due to adverse market, industry or other conditions, as described above, could hinder our customers’ ability to pay us on a timely basis. In the past, we have incurred significant losses from customers who filed for bankruptcy or experienced financial difficulties, including from market or industry conditions, or following a general economic downturn, for which certain industry factors worsened the effect of the overall economic downturn on those customers. In difficult economic times, some of our clients may find it difficult to pay for our services on a timely basis, increasing the risk that our accounts receivable could become uncollectible and ultimately be written off. In certain cases, our clients are project-specific entities that do not have significant assets other than their interests in the project. From time to time, it may be difficult for us to collect payments owed to us by these clients. Delays in client payments may require us to make a working capital investment, which could negatively affect our cash flows and liquidity. Our results of operations, cash flows and liquidity could be materially and adversely affected if a client fails to pay us on a timely basis or defaults in making payments on a project for which we have devoted significant resources.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Operations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properly manage projects, or project delays, including those resulting from difficult work sites and environments, permitting issues and the availability of materials or equipment could result in additional costs or claims, which could have a material adverse effect on our operating results, cash flows and liquidity.</w:t>
      </w:r>
    </w:p>
    <w:p>
      <w:pPr>
        <w:spacing w:after="0" w:line="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Certain of our operations involve and are increasing their mix of large-scale, complex projects, which can occur over extended time periods. The quality of our performance on such projects depends in large part upon our ability to manage our client relationship and the project itself, such as the timely deployment of appropriate resources, including third-party contractors and our own personnel. Our results of operations, cash flows and liquidity could be adversely affected on a larger scale if we miscalculate the resources or time needed to complete large-scale projects, in particular for projects with capped or fixed fees, or the resources or time needed to meet contractual milestones.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perform work under a variety of conditions, including, but not limited to, challenging and hard to reach terrain and difficult site conditions. Performing work under such conditions can result in project delays or cancellations, potentially causing us to incur unanticipated costs, reductions in revenue or the payment of liquidated damages. In addition, some of our contracts require that we assume the risk should actual site conditions vary from those expected. Some of our projects involve challenging engineering, procurement and construction phases, which may occur over extended time periods.</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may encounter difficulties in engineering or delays in designs or in the availability or receipt of materials or equipment provided by the customer or a third-party, certain of which have long lead-times. We may also encounter delays related to permitting and environmental approval processes; schedule changes; delays from failure of our customers to obtain rights-of-way in a timely manner; weather-related delays; delays by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jc w:val="both"/>
        <w:spacing w:after="0" w:line="259" w:lineRule="auto"/>
        <w:rPr>
          <w:sz w:val="20"/>
          <w:szCs w:val="20"/>
          <w:color w:val="auto"/>
        </w:rPr>
      </w:pPr>
      <w:r>
        <w:rPr>
          <w:rFonts w:ascii="Times New Roman" w:cs="Times New Roman" w:eastAsia="Times New Roman" w:hAnsi="Times New Roman"/>
          <w:sz w:val="16"/>
          <w:szCs w:val="16"/>
          <w:color w:val="auto"/>
        </w:rPr>
        <w:t>subcontractors in completing their portion of projects; and delays due to governmental, regulatory, market, political or other factors, some of which are beyond our control and could affect our ability to complete a project as originally scheduled. We could also encounter project delays due to political and social activism or local opposition, which could include injunctive actions or public protests related to the siting of our projects, and such delays could adversely affect our project margins. In some cases, delays and additional costs may be substantial, including from the substantial cost of certain of the materials and equipment necessary to complete projects, and/or if we are required to cancel or defer a project and/or compensate the customer for the delay or cancellation. We may not be able to recover any of such costs. Any such delays, cancellations, errors or other failures to meet customer expectations could result in damage claims substantially in excess of the revenue associated with a project. Delays, cancellations and/or project disputes could also negatively affect our reputation or relationships with our customers, which could adversely affect our ability to secure new contracts.</w:t>
      </w:r>
    </w:p>
    <w:p>
      <w:pPr>
        <w:spacing w:after="0" w:line="2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some of our agreements require that we share in cost overages or pay liquidated damages if we do not meet project deadlines; therefore, any failure to properly estimate or manage costs, or delays in the completion of projects, could subject us to penalties, which could adversely affect our results of operations, cash flows and liquidity. Further, any defects or errors, or failures to meet our customers’ expectations, could result in large damage claims against us, which could substantially exceed the amount we can charge for our associated services.</w:t>
      </w:r>
    </w:p>
    <w:p>
      <w:pPr>
        <w:spacing w:after="0" w:line="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recover adequately on claims against project owners, subcontractors or suppliers for payment or performance could have a material adverse effect on our financial results.</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occasionally bring claims against project owners for additional costs that exceed the contract price or for amounts not included in the original contract price. Similarly, from time to time, we present change orders and claims to our subcontractors and suppliers. We could incur reduced profits, cost overruns or project losses if we fail to properly document the nature of change orders or claims or are otherwise unsuccessful in negotiating an expected settlement. These types of claims can occur due to owner-caused delays, changes from the initial project scope that result in additional costs, both direct and indirect, or from project or contract terminations, among other factors. From time to time, these claims can be the subject of lengthy and costly proceedings, and it is often difficult to accurately predict when these claims will be fully resolved. When these types of events occur and unresolved claims are pending, we may invest significant working capital pending the resolution of the relevant claims. A failure to recover, or to recover in a timely manner, on these types of claims could have a material adverse effect on our liquidity and financial results.</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we generally warrant the work we perform following substantial completion of a project. Warranty claims have historically not been material, but such claims could potentially increase. The costs associated with such warranties, including any warranty-related legal proceedings, could have a material adverse effect on our results of operations, cash flows and liquidity.</w:t>
      </w:r>
    </w:p>
    <w:p>
      <w:pPr>
        <w:spacing w:after="0" w:line="59"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not accurately estimate the costs associated with services provided under fixed price contracts, which could adversely affect our profitability, results of operations and cash flows.</w:t>
      </w:r>
    </w:p>
    <w:p>
      <w:pPr>
        <w:spacing w:after="0" w:line="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derive a significant portion of our revenue from fixed price master service and other service agreements. Under these contracts, we typically set the price of our services on a per unit or aggregate basis and assume the risk that costs associated with our performance may be greater than what we estimated. We also enter into contracts for specific projects or jobs that require the installation or construction of an entire infrastructure system or specified units within an infrastructure system, many of which are priced on a fixed price or per unit basis. Our profitability would be reduced if actual costs to complete a project exceed our original estimates. Our profitability is therefore dependent upon our ability to accurately estimate the costs associated with our services and our ability to execute in accordance with our plans. A variety of factors could negatively affect these estimates or our ability to execute according to our plans, including changes in expected productivity levels, conditions at work sites differing materially from those anticipated at the time we bid on the contract and higher than expected costs of labor and/or materials. These variations, along with other risks inherent in performing fixed price contracts, could cause actual project results to differ materially from our original estimates, which could result in lower margins than anticipated, or losses, which could reduce our profitability, cash flows and liquidity.</w:t>
      </w:r>
    </w:p>
    <w:p>
      <w:pPr>
        <w:spacing w:after="0" w:line="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In addition, we recognize revenue primarily over time under the “cost-to-cost” method of accounting, under which the percentage of revenue to be recognized in a given period is measured by the percentage of costs incurred to date on the contract to the total estimated costs for the contract. The cost-to-cost method, therefore, relies on estimates of total expected contract costs. Contract revenue and total contract cost estimates are reviewed and revised on an ongoing basis as the work progresses. Adjustments arising from changes in the estimates of contract revenue or costs are reflected in the fiscal period in which such estimates are revised, including the full amount of any expected project losses. Estimates are based on management’s reasonable assumptions, judgment and experience, but are subject to the risks inherent in estimates, including unanticipated delays or technical complications, changes in job performance, job conditions and management’s assessment of expected variable consideration. Variances in actual results from related estimates on a large project, or on several smaller projects, could be material. Any such adjustments could result in reduced profitability and negatively affect our results of operations.</w:t>
      </w:r>
    </w:p>
    <w:p>
      <w:pPr>
        <w:spacing w:after="0" w:line="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Amounts included in our backlog may not result in actual revenue or translate into profits. Our backlog is subject to cancellation and unexpected adjustments and, therefore, is not necessarily an accurate representation of future operating results.</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Our backlog consists of the estimated amount of revenue we expect to realize over the next 18 months from future work on uncompleted construction contracts, including new contracts under which work has not begun, as well as revenue from change orders and renewal options, amounts under master service and other service agreements and our proportionate share of estimated revenue from proportionately consolidated non-controlled contractual joint ventures. A significant portion of our 18-month backlog is attributable to master service agreements and other service agreements, none of which require our customers to purchase a minimum amount of services and are cancelable on short or no advance notice. The balance of our backlog is our estimate of work to be completed under contracts for specific projects. Estimated backlog for work under master service and other service agreements is determined based on historical trends, anticipated seasonal impacts, experience from similar projects and estimates of customer demand based on communications with our customers, which estimates may prove inaccurate. Timing of revenue for construction and installation projects included in our backlog can be subject to change as a result of customer, regulatory or other delays or cancellations, including from factors discussed in </w:t>
      </w:r>
      <w:r>
        <w:rPr>
          <w:rFonts w:ascii="Times New Roman" w:cs="Times New Roman" w:eastAsia="Times New Roman" w:hAnsi="Times New Roman"/>
          <w:sz w:val="16"/>
          <w:szCs w:val="16"/>
          <w:u w:val="single" w:color="auto"/>
          <w:color w:val="0000FF"/>
        </w:rPr>
        <w:t>Item 7.</w:t>
      </w:r>
      <w:r>
        <w:rPr>
          <w:rFonts w:ascii="Times New Roman" w:cs="Times New Roman" w:eastAsia="Times New Roman" w:hAnsi="Times New Roman"/>
          <w:sz w:val="16"/>
          <w:szCs w:val="16"/>
          <w:color w:val="auto"/>
        </w:rPr>
        <w:t xml:space="preserve"> “Management’s Discussion and Analysis of Financial Condition and Results of Operations” under “General Economic, Market and Regulatory Conditions.” These effects, among others, could cause estimated revenue to be realized in periods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1" w:name="page22"/>
    <w:bookmarkEnd w:id="21"/>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later than originally expected, or not at all. From time to time, we experience postponements, cancellations and reductions in expected future work due to changes in our customers’ spending plans, market volatility, changes in governmental permitting, regulatory delays and/or other factors.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There can be no assurance as to our customers’ requirements or that actual results will be consistent with the estimates included in our forecasts. As a result, our backlog as of any particular date is an uncertain indicator of future revenue and earnings. In addition, contracts included in our backlog may not be profitable. If our backlog fails to materialize, or if amounts in our backlog are unprofitable, our results of operations, cash flows, liquidity and financial condition could be materially and adversely affected.</w:t>
      </w:r>
    </w:p>
    <w:p>
      <w:pPr>
        <w:spacing w:after="0" w:line="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maintain a workforce based upon current and anticipated workloads, and could incur significant costs and reduced profitability from underutilization of our workforce if the level of services we provide is significantly reduced, or if contract awards are delayed or not received.</w:t>
      </w:r>
    </w:p>
    <w:p>
      <w:pPr>
        <w:spacing w:after="0" w:line="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estimates of future performance and results of operations depend, among other factors, on whether and when we receive new contract awards, which can affect the extent to which we are able to utilize our workforce. The rate at which we are able to utilize our workforce is affected by a variety of factors, including our ability to forecast the need for our services, which allows us to maintain an appropriately sized workforce, our ability to transition employees from completed projects to new projects, our ability to manage attrition, and our need to devote resources to non-chargeable activities such as training or business development. While our estimates are based upon our good faith judgment, professional knowledge and experience, these estimates may not be accurate and can frequently change based on newly available information. In the case of large-scale projects where timing is often uncertain, it is particularly difficult to predict whether and when we will receive a contract award, or when the project will begin. The uncertainty of contract award timing can present difficulties in matching the size of our workforce to our project needs, including due to uncertainty related to the implementation and pace of spending under governmental or other programs, and/or delays or uncertainty related to project permitting or other matters. If an expected contract award is delayed or not received, we could incur costs resulting from underutilization of our workforce, redundancy of facilities, or from efforts to right-size our workforce and/or operations, all of which could reduce our profitability and cash flows.</w:t>
      </w:r>
    </w:p>
    <w:p>
      <w:pPr>
        <w:spacing w:after="0" w:line="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derive a significant portion of our revenue from a few customers, and the loss of one or more of these customers, or a reduction in their demand for our services, could impair our financial performance. In addition, many of our contracts, including our service agreements, do not obligate our customers to undertake any infrastructure projects or other work with us, and most of our contracts may be canceled on short or no advance notice.</w:t>
      </w:r>
    </w:p>
    <w:p>
      <w:pPr>
        <w:spacing w:after="0" w:line="6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derive a significant portion of our revenue from a few customers. Additionally, a significant portion of our services are provided on a non-recurring, project-by-project basis. Our revenue could significantly decline if we were to lose one or more of our significant customers, or if one or more of our customers reduce the amount of business they provide to us. In addition, our results of operations, cash flows and liquidity could be negatively affected if we complete the required work on non-recurring projects and cannot replace them with similar projects. See Note 1 - Business, Basis of Presentation and Significant Accounting Policies, Note 13 - Segments and Related Information and Note 14 - Commitments and Contingencies in the notes to the audited consolidated financial statements, which are incorporated by reference, for revenue concentration information.</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also derive a significant portion of our revenue from multi-year master service and other service agreements. Under these agreements, our customers have no obligation to undertake any infrastructure projects or other work with us. In addition, most of our contracts are cancelable on short or no advance notice, ranging from immediate cancellation to cancellation upon 180 days’ notice, even if we are not in default under the contract. This makes it difficult to estimate our customers’ demand for our services. A significant decline in the volume of work our customers request us to perform under these service agreements could negatively affect our results of operations, cash flows and liquidity.</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Many of our contracts, including our service agreements, are periodically open to public bid. We may not be the successful bidder on existing contracts that are re-bid. We could experience a reduction in revenue, profitability and liquidity if we fail to win a significant number of existing contracts upon re-bid. Additionally, from time to time, we enter into contracts that contain financing or other conditions that must be satisfied before we can begin work. Certain of these contracts may not result in revenue or profits if our customers are unable to obtain financing or to satisfy other conditions associated with such projects.</w:t>
      </w:r>
    </w:p>
    <w:p>
      <w:pPr>
        <w:spacing w:after="0" w:line="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attract and retain qualified managers and skilled employees, we will be unable to operate efficiently, which could reduce our revenue, profitability and liquidity.</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business is labor intensive, and some of our operations experience a high rate of employee turnover. In addition, given the nature of the highly specialized work we perform, many of our employees are trained in, and possess, specialized technical skills that are necessary to efficiently operate our business and maintain productivity and profitability. In times of low unemployment, such as the recent market environment, it can be difficult for us to find appropriately skilled and qualified personnel at affordable rates. An increase in immigration actions as a result of changes to immigration policies may also affect the availability of labor. Our labor costs may increase due to shortages in the supply of skilled labor and increases in compensation rates generally. We may be unable to hire and retain a sufficiently skilled labor force to support our operating requirements and growth strategy. Our labor and training expenses could increase as a result of a shortage in the supply of skilled personnel, which could adversely affect our profitability. Additionally, our business is managed by a number of key executive and operational officers, many of whom have extensive industry experience, and we are dependent upon retaining and recruiting qualified management to execute our business strategy. Lack of skilled labor, the loss of key personnel, labor shortages and/or increased turnover rates could negatively affect our ability to operate efficiently, and could lead to increased wage rates and overall employee costs to attract and retain appropriately skilled and qualified personnel, all of which could materially adversely affect our results of operations, cash flows and liquidity.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results are based, in part, upon estimates and assumptions that may differ from actual results.</w:t>
      </w:r>
    </w:p>
    <w:p>
      <w:pPr>
        <w:spacing w:after="0" w:line="117"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In preparing our consolidated financial statements in conformity with generally accepted accounting principles in the United States (“U.S. GAAP”), management makes a number of estimates and assumptions that affect the amounts reported in our consolidated financial statements and accompanying notes. These estimates and assumptions must be made because certain information used in the preparation of our consolidated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6"/>
          <w:szCs w:val="16"/>
          <w:color w:val="auto"/>
        </w:rPr>
        <w:t>financial statements is either dependent on future events or cannot be calculated with a high degree of precision from data available. In some cases, these estimates are particularly uncertain and we must exercise significant judgment. See Note 1 - Business, Basis of Presentation and Significant Accounting Policies in the notes to the audited consolidated financial statements, which is incorporated by reference, for details of our key estimates. Actual results could differ materially from the estimates and assumptions that we use, which could have a material adverse effect on our results of operations, cash flows and liquidity.</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addition, accounting rules and regulations are subject to review and interpretation by the Financial Accounting Standards Board (the “FASB”), the SEC and various other governing bodies. A change in accounting rules and regulations pursuant to FASB or SEC guidance could materially affect our reported financial results in a given period, and the adoption of new or revised accounting principles could require that we make significant changes to our systems, processes and controls, which could have an adverse effect on our results of operations, cash flows and liquidity.</w:t>
      </w:r>
    </w:p>
    <w:p>
      <w:pPr>
        <w:spacing w:after="0" w:line="6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operational risk, including from occupational health and/or safety incidents due to operational, physical and/or environmental hazards, which could result in substantial liabilities and weaken our financial condition.</w:t>
      </w:r>
    </w:p>
    <w:p>
      <w:pPr>
        <w:spacing w:after="0" w:line="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Our business is subject to operational, physical and environmental hazards due to the nature of services we provide and the conditions in which we operate. These hazards could result in health and/or safety incidents from electricity, fires, explosions, mechanical failures and weather-related events, among others. In addition, certain of our customers operate in locations and environments that could increase the likelihood and/or severity of such operational hazards, including as a result of wildfires, climate-related or other factors. While we invest substantial resources in occupational health and safety programs, there can be no assurance that we will be able to mitigate all such hazards or avoid significant liability. The construction projects that we undertake expose our employees to electrical lines, pipelines carrying potentially explosive or toxic materials, heavy equipment, transportation accidents, adverse weather conditions and the risk of damage to equipment and property. We also perform services in locations that are densely populated and have higher property and asset values, including in certain metropolitan and other geographic areas, which could potentially increase the effect of such hazards.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These risks and hazards, among others, can cause personal injuries and loss of life, severe damage to or destruction of property and equipment, harm to the environment and/or other consequential damages and could lead to suspension of operations, large damage claims that could substantially exceed the amount we charge for the associated services, government enforcement actions or regulatory penalties, civil litigation or criminal prosecution. Claims and liabilities related to accidents and operational or other hazards can also arise through indemnification obligations to customers, our negligence, or otherwise, and such exposure could extend for years after we complete our services. Personal injury and other claims for damages, including for bodily injury or loss of life, could result in substantial costs and liabilities. Insurance coverage may not be available to us or may be insufficient to cover any of these liabilities and legal costs. Our insurance costs, including those related to our self-insurance programs, could increase if we incur liabilities associated with accidents and/or operational or other hazards. If we are not fully insured or indemnified against such liabilities and legal costs, or if a counterparty fails to meet its indemnification obligations to us in connection with such matters, it could materially and adversely affect our financial condition, results of operations or cash flows.</w:t>
      </w:r>
    </w:p>
    <w:p>
      <w:pPr>
        <w:spacing w:after="0" w:line="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addition, if serious accidents or fatalities were to occur, or if our safety records were to deteriorate, we could be restricted from bidding on certain work or from obtaining new contracts, and certain existing contracts could be terminated. Our safety processes and procedures are monitored by various agencies and ratings bureaus. The occurrence of accidents in the course of our business could result in significant liabilities, employee turnover or an increase the costs of our projects, or could harm our ability to perform under our contracts, and/or our reputation and ability to enter into new customer contracts, all of which could materially and adversely affect our revenue, profitability and liquidity.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self-insured against several potential liabilities.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maintain insurance policies with respect to automobile liability, general liability, employer’s liability, worker’s compensation and other type of coverages. We also manage certain of our insurance liabilities indirectly through our wholly-owned captive insurance company, which reimburses claims up to the applicable insurance limits. Our insurance policies are subject to high deductibles or self-insured retention amounts. We are effectively self-insured for substantially all claims because most claims against us do not exceed the deductibles under our insurance policies, and there can be no assurance that our insurance coverages will be sufficient or effective under all circumstances, or against all claims or liabilities to which we may be subject. In addition, insurance liabilities are difficult to assess and estimate due to many factors, the effects of which are often unknown or difficult to estimate, including the severity of an injury or an incident, the determination of our liability in proportion to other parties’ liability, the number of incidents not reported and the effectiveness of our safety programs. Any of these factors could expose us to significant liabilities and materially and adversely affect our business, financial condition, results of operations and cash flows.</w:t>
      </w:r>
    </w:p>
    <w:p>
      <w:pPr>
        <w:spacing w:after="0" w:line="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renew our insurance policies on an annual basis; therefore, the deductibles and levels of insurance coverage applicable to our policies may change in future periods. In addition, in the future, insurers could cancel or exclude certain items from our coverage, or we may elect not to obtain certain types of insurance coverage based on our assessment of the potential benefits of such coverage relative to its cost. Additionally, we cannot guarantee that future insurance coverage will be available to us at reasonable and competitive rates, or at all. For example, in recent years, due to the increased occurrence and potential future risk of wildfires in certain areas, insurers have reduced coverage availability and have increased the cost of insurance coverage for such events, which has resulted in a reduction of our level of coverage for wildfire events and has increased our reliance upon self-insurance. Any of these factors could increase our risk exposure and/or our cost of insurance coverage in the future, which could negatively affect our business, financial condition, results of operations and cash flows.</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If our insurance costs exceed our estimates of insurance liabilities or if our insurance claims or our cost of coverage increase, or if our insurance coverage proves to be inadequate or becomes unavailable, we could experience increased exposure to risk and/or a decline in profitability, liquidity and cash flows.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 the ordinary course of our business, we may become subject to lawsuits, indemnity or other claims, which could materially and adversely affect our business, results of operations and cash flows.</w:t>
      </w:r>
    </w:p>
    <w:p>
      <w:pPr>
        <w:spacing w:after="0" w:line="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From time to time, we are subject to various claims, lawsuits and other legal proceedings brought or threatened against us in the ordinary course of our business. These actions and proceedings may seek, among other things, compensation for alleged personal injury, workers’ compensation, employment discrimination and other employment-related damages, breach of contract, property damage, environmental liabilities, liquidated damages, consequential damages, punitive damages and civil penalties or other losses, or injunctive or declaratory relief. We could also be subject to litigation in the normal course of business from alleged violations of the Fair Labor Standards Act and state wage and hour laws. We may also become involved in customer disputes related to change orders and/or our entitlement to revenue in accordance with the terms of the applicable customer agreements. In addition, we generally indemnify our customers for claims related to the services we provide and actions we take under our contracts, and, in some instances, we may be allocated risk through our contract terms for actions by our joint venture partners, equity investments, customers or other third parties.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Claimants may seek large damage awards, and defending claims can involve significant costs. When appropriate, we establish accruals for litigation and contingencies that we believe to be adequate in light of current information, legal advice and our indemnity insurance coverages, and, when appropriate, we may recognize revenue in light of these factors. We reassess our potential liability for litigation and contingencies, as well as our expectations of the amount of revenue to be recognized, as additional information becomes available, and adjust these estimates as necessary. We could experience a reduction in our profitability, cash flows and liquidity if we do not properly estimate the amount of required accruals for litigation or contingencies, if we do not recognize the appropriate amount of revenue related to such matters, if our insurance coverage proves to be inadequate or becomes unavailable, or if our self-insurance liabilities are higher than expected. The outcome of litigation and other legal proceedings is difficult to assess or quantify, as such proceedings may involve very large or indeterminate amounts and the magnitude of the potential loss or recovery may remain unknown for substantial periods of time. Furthermore, because litigation and other legal proceedings are inherently uncertain, the ultimate resolution of any such claim, lawsuit or proceeding through settlement, mediation, or court judgment could have a material adverse effect on our business, financial condition or results of operations. In addition, claims, lawsuits and proceedings may harm our reputation, divert management’s attention, or divert resources away from operating our business and cause us to incur significant expenses, any of which could have a material adverse effect on our business, results of operations or financial condition.</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business is seasonal and affected by the spending patterns of our customers, project schedules, weather conditions, climate-related events, regulatory matters, including timing of governmental permitting, and market conditions, all of which exposes us to variations in quarterly results.</w:t>
      </w:r>
    </w:p>
    <w:p>
      <w:pPr>
        <w:spacing w:after="0" w:line="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Typically, our revenue is lowest at the beginning of the calendar year and during the winter months because harsher weather such as cold, snowy or wet conditions can affect our ability to perform outdoor services in certain regions and delay projects. Natural catastrophes or other climate events such as hurricanes or other severe weather, wildfires or flooding could also affect our ability to perform outdoor services or utilize equipment and crews in affected regions. Timing of governmental permitting could also result in greater seasonal and cyclical volatility than would otherwise exist under normal conditions. These events, as well as fluctuations in end-user and/or customer demand, regulatory, global, market, economic and/or geopolitical conditions, among others, could create increased volatility in our results and/or adversely affect demand for our services and our results of operations, cash flows and liquidity.</w:t>
      </w:r>
    </w:p>
    <w:p>
      <w:pPr>
        <w:spacing w:after="0" w:line="2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rely on information, communications and data systems in our operations. Systems and information technology interruptions and/or data security breaches could adversely affect our ability to operate, our operating results, our data security or our reputation.</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are heavily reliant on information and communications technology, computer and other related systems in order to operate. We also rely, in part, on third-party software and information technology to run certain of our critical accounting, project management and financial information systems. We maintain certain information about our customers, vendors, subcontractors, employees and other parties, all of which expect that we will adequately protect such information. Our operations could be interrupted or delayed, or our data security could be breached, if we are unable to deploy software and hardware, gain access to, or effectively maintain and upgrade our systems and network infrastructure and/or take other steps to improve and otherwise protect our systems. In addition, our information technology and communications systems, including those associated with acquired businesses, and our operations could be damaged or interrupted by cyber-attacks and/or physical security risks. These risks include natural disasters, power loss, telecommunications failures, intentional or inadvertent user misuse or error, failures of information technology solutions, computer viruses, phishing attacks, social engineering schemes, malicious code, ransomware attacks, data extortion, acts of terrorism and physical or electronic security breaches, including breaches by computer hackers, cyber-terrorists and/or unauthorized access to or disclosure of our and/or our employees’ or customers’ data. Furthermore, such unauthorized access or cyber-attacks could go unnoticed for some period of time.</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These events, among others, could cause system interruptions, delays and/or the loss or release of critical or sensitive data, including the unintentional disclosure of customer, employee or our information, and could delay or prevent operations, including the processing of transactions and reporting of financial results or cause processing inefficiency or downtime. While we have security, internal control and technology measures in place to protect our systems and network, if these measures fail as a result of a cyber-attack, other third-party action, employee error, malfeasance or other security failure, and someone obtains unauthorized access to our or our employees’ or customers’ information, our reputation could be damaged, our business may suffer and we could incur significant liability, or, in some cases, we may lose access to our business data, all of which could have a material adverse effect on our business, results of operations and financial condition and/or result in significant costs, fines or litigation. In addition, the rapid evolution and increased adoption of artificial intelligence technologies may intensify our cybersecurity risks. Similar risks could affect our customers, subcontractors or suppliers, indirectly affecting us.</w:t>
      </w:r>
    </w:p>
    <w:p>
      <w:pPr>
        <w:spacing w:after="0" w:line="9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ordinary course of business, we and third-parties on whose systems we rely have been targeted by malicious cyber-attacks, although our systems have been sufficiently resilient to prevent disruption of our operations. However, while we have not experienced a material cybersecurity incident nor incurred material breach related expenses during the reporting period, because the techniques used to obtain unauthorized access or sabotage systems change frequently and are generally not identified until they are launched against a target, our current or future defenses may not be adequate to protect against new or revised techniques.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addition, the U.S. federal government has continued to raise concerns about the potential for cyberattacks generally as a result of heightened geopolitical tensions and conflicts, including the Russia-Ukraine and Israel-Hamas conflicts and the escalated tensions in the Middle East, among others. As cyberattacks continue to evolve, we may be required to expend significant additional resources to continue to modify or enhance our protective measures to protect against the threat of system disruptions and security breaches, and to investigate and remediate any information security vulnerabilities and mitigate problems caused by any such disruptions and breaches. Any of these events could damage our reputation and have a material adverse effect on our business, results of operations, financial condition and cash flows. Furthermore, while we maintain insurance policies that we consider to be adequate, our coverage may not specifically cover all types of losses or claims that may arise.</w:t>
      </w:r>
    </w:p>
    <w:p>
      <w:pPr>
        <w:spacing w:after="0" w:line="7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regularly evaluate the need to upgrade, enhance and/or replace our systems and network infrastructure to protect our information technology environment, to stay current on vendor supported products and to improve the efficiency and scope of our systems and information technology capabilities, including due to the rapid evolution and increased adoption of artificial intelligence and machine learning technologies, as well as considerations related to hybrid work models, under which employees can work and access the Company’s technology infrastructure remotely. The implementation of new systems and information technology could adversely impact our operations by requiring substantial capital expenditures, diverting management’s attention, and/or causing delays or difficulties in transitioning to new systems. In addition, the implementation of new systems may not result in productivity improvements at the levels anticipated. System implementation and/or any other information technology disruptions, if not anticipated and appropriately mitigated, could have an adverse effect on our business and remediation of any such disruptions could result in significant costs.</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In addition, the unauthorized disclosure of confidential information and current and future laws and regulations governing data privacy may pose complex compliance challenges and/or result in additional costs. The continuing and evolving threat of cyber-attacks has also resulted in increased regulatory focus on risk management and prevention. New cyber-related regulations or other requirements, including regulations adopted by the SEC, could require significant additional resources and/or cause us to incur significant costs. In addition, these regulations could require us to disclose information about a cybersecurity incident before it has been completely investigated or remediated in full or even in part. Failure to comply with such laws and regulations could result in penalties, fines, regulatory actions and/or legal liabilities and/or harm our reputation, which could have an adverse effect on our results of operations, cash flows and financial condition.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incur goodwill and intangible asset impairment charges, which could harm our profitability.</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Because we have grown in part through acquisitions, we have a significant amount of goodwill and intangible assets. Under U.S. GAAP, we are required to test goodwill and intangible assets carried in our consolidated balance sheets for possible impairment on an annual basis based upon a fair value approach and whenever events occur that indicate impairment could exist. We examine relevant events and circumstances, such as: macroeconomic conditions, including levels of inflation, market interest rates and supply chain disruptions; any adverse effects of industry and/or market conditions, including the potential effects of regulatory and other uncertainty;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rates of success on new project awards; the potential effects of longer-term changes in consumer behavior from regulatory, climate-related or other factors; and other adverse changes in the key valuation assumptions contributing to the estimated fair value of our reporting units. These events and circumstances could adversely affect the estimated fair values of the related reporting units and result in an impairment of the recorded balances of goodwill or intangible assets, which could materially and adversely affect our business, results of operations and financial condition. See Note 1 - Business, Basis of Presentation and Significant Accounting Policies and Note 3 - Acquisitions, Goodwill and Other Intangible Assets, Net in the notes to the audited consolidated financial statements, which are incorporated by reference.</w:t>
      </w:r>
    </w:p>
    <w:p>
      <w:pPr>
        <w:spacing w:after="0" w:line="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subcontractors and suppliers may fail or be unable to satisfy their obligations to us or other parties, or we may be unable to maintain these relationships, either of which could have a material adverse effect on our results of operations, cash flows and liquidity.</w:t>
      </w:r>
    </w:p>
    <w:p>
      <w:pPr>
        <w:spacing w:after="0" w:line="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depend on subcontractors to perform work for some of our projects. There is a risk that we could have disputes with subcontractors arising from, among other things, the quality and timeliness of the work they perform, customer concerns, or our failure to issue work orders under a subcontracting arrangement. Our ability to fulfill our obligations as a prime contractor could be jeopardized if any of our subcontractors fail to perform the agreed-upon services on a timely basis and/or deliver the agreed-upon supplies. In addition, the absence of qualified subcontractors with whom we have satisfactory relationships could adversely affect our ability to perform under some of our contracts, or the quality of the services we provide. Additionally, in some cases, we pay our subcontractors before our customers pay us for the related services. We could experience a material decrease in profitability and liquidity if we pay our subcontractors for work performed for customers that fail to or delay paying us for the related work. Any of these factors could have a material adverse effect on our results of operations, cash flows and liquidity.</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also rely on suppliers, equipment manufacturers and lessors to obtain or provide the materials and equipment we require to conduct our operations. Any substantial limitation on the availability of suppliers or equipment, including from economic, regulatory or market conditions, including from supply chain disruptions or other factors, could negatively affect, and in the past have negatively affected, our operations and financial results. Additionally, in an environment of elevated levels of inflation, it can be difficult to find appropriately skilled and qualified subcontractors and suppliers at affordable rates, which has caused our costs to increase. Our costs may continue to increase due to such supply shortages and any related increases in subcontractor and supplier costs if we are unable to pass any such cost increases through to our customers. Any of these factors could have an adverse effect on our results of operations, cash flows and/or liquidity.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use of a unionized workforce and any related obligations could subject us to liabilities that could adversely affect our liquidity, cash flows and results of operations.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Certain of our employees are represented by labor unions and collective bargaining agreements. Although all such collective bargaining agreements prohibit strikes and work stoppages, we cannot be certain that strikes or work stoppages will not occur despite the terms of these agreements. Strikes or work stoppages could adversely affect our relationships with our customers and cause us to lose business. Additionally, as current agreements expire, the labor unions may not be able to negotiate extensions or replacements on terms favorable to their members, or at all, 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5" w:name="page26"/>
    <w:bookmarkEnd w:id="25"/>
    <w:p>
      <w:pPr>
        <w:jc w:val="both"/>
        <w:spacing w:after="0" w:line="272" w:lineRule="auto"/>
        <w:rPr>
          <w:sz w:val="20"/>
          <w:szCs w:val="20"/>
          <w:color w:val="auto"/>
        </w:rPr>
      </w:pPr>
      <w:r>
        <w:rPr>
          <w:rFonts w:ascii="Times New Roman" w:cs="Times New Roman" w:eastAsia="Times New Roman" w:hAnsi="Times New Roman"/>
          <w:sz w:val="16"/>
          <w:szCs w:val="16"/>
          <w:color w:val="auto"/>
        </w:rPr>
        <w:t>avoid strikes, lockouts or other labor actions that could affect their members. Therefore, we cannot assure you that new agreements will be reached with employee labor unions as existing contracts expire, or on desirable terms. Any action against us relating to the union workforce we employ could have a material adverse effect on our business operations, financial results, liquidity and cash flows.</w:t>
      </w:r>
    </w:p>
    <w:p>
      <w:pPr>
        <w:spacing w:after="0" w:line="6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Substantially all of our union and collective bargaining agreements require us to participate with other companies in multiemployer pension plans. We may be subject to substantial liabilities in the event of a complete or partial withdrawal from, or upon termination of, an underfunded U.S.-registered multiemployer pension plan, which are governed by the Employee Retirement Income Security Act ("ERISA"), as amended. Under such circumstances, the current laws pertaining to multiemployer plans would require participating employers to make payments to the plan for their proportionate share of the multiemployer plan’s unfunded vested liabilities, including an allocable share of the unfunded vested benefits of the plan for all plan participants. As a result, participating employers may bear a higher proportion of liability for unfunded vested benefits if the other participating employers cease to contribute to, or withdraw from, the plan. The allocable portion of liability of participating employers could be disproportionately greater if employers that have withdrawn from the plan are insolvent, or if they otherwise fail to pay their proportionate share of the withdrawal liability. In addition, the Pension Protection Act of 2006, as amended, requires underfunded pension plans to improve their funding ratios within prescribed intervals, under which benefit reductions may apply and/or participating employers could be required to make additional contributions. In addition, if a multiemployer defined benefit plan fails to satisfy certain minimum funding requirements, the Internal Revenue Service can impose on the employers contributing to such plans a non-deductible excise tax of 5% of the amount of the accumulated funding deficiency.</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Based upon the information available to us from plan administrators as of December 31, 2024, several of the multiemployer pension plans in which we participate are underfunded and, as a result, we could have potential liability associated with a voluntary or involuntary withdrawal from, or termination of, these plans, or we could be required to increase our contributions. The amount we may be obligated to pay or contribute in the future cannot be estimated, as these amounts are based on future levels of work of the union employees covered by these plans, investment returns and the level of underfunding of such plans. Although we do not have current plans to withdraw from any of the multiemployer pension plans in which we participate and are not aware of circumstances that would reasonably lead to material claims against us in connection with these plans, we could be assessed withdrawal liabilities, or we could be required to pay increased contributions and/or excise taxes in the future, any of which could adversely affect our cash flows, liquidity and results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additional tax liabilities associated with our operations.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subject to income taxes in the United States and certain foreign jurisdictions. Management must exercise significant judgment in determining our provision for income taxes due to lack of clear and concise tax laws and regulations in certain jurisdictions. Tax laws are dynamic and subject to change as new laws are passed and new interpretations of laws are issued or applied, and such changes could materially affect our tax provisions. Other future changes in tax laws, including as a result of the change in administration in the United States, could have a material adverse effect on our business, results of operations, cash flows and liquidity.</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addition, we are audited by various U.S. and foreign tax authorities, and in the ordinary course of our business, there are many transactions and calculations for which the ultimate tax determination may be uncertain. The final outcome of income tax examinations could be materially different from our expectations and the estimates that are reflected in our consolidated financial statements, which could have a material adverse effect on our results of operations, cash flows and liquidity.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failure of our internal control over financial reporting could materially affect our business.</w:t>
      </w:r>
    </w:p>
    <w:p>
      <w:pPr>
        <w:spacing w:after="0" w:line="2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Our management is responsible for establishing and maintaining adequate internal control over financial reporting, including with respect to integration of the significant acquisition activity we have completed over the past few years. An internal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Internal control over financial reporting may not prevent or detect misstatements due to inherent limitations in internal control systems. Any failure to maintain an effective system of internal control over financial reporting could limit our ability to report our financial results accurately and timely or to detect and prevent fraud, and could expose us to litigation, harm our reputation, and/or adversely affect the market price of our common stock. See </w:t>
      </w:r>
      <w:r>
        <w:rPr>
          <w:rFonts w:ascii="Times New Roman" w:cs="Times New Roman" w:eastAsia="Times New Roman" w:hAnsi="Times New Roman"/>
          <w:sz w:val="16"/>
          <w:szCs w:val="16"/>
          <w:u w:val="single" w:color="auto"/>
          <w:color w:val="0000FF"/>
        </w:rPr>
        <w:t>Item 9A.</w:t>
      </w:r>
      <w:r>
        <w:rPr>
          <w:rFonts w:ascii="Times New Roman" w:cs="Times New Roman" w:eastAsia="Times New Roman" w:hAnsi="Times New Roman"/>
          <w:sz w:val="16"/>
          <w:szCs w:val="16"/>
          <w:color w:val="auto"/>
        </w:rPr>
        <w:t xml:space="preserve"> “Controls and Procedures,” for related discussion.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Strategic Transactions and Foreign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Acquisitions and strategic investments involve risks, including from integration of acquired businesses into our operations, which, if unsuccessful, could negatively affect our operating results, cash flows and liquidity and may not enhance shareholder value.</w:t>
      </w:r>
    </w:p>
    <w:p>
      <w:pPr>
        <w:spacing w:after="0" w:line="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We have made, and may continue to make, strategic acquisitions and investments that may expose us to operational challenges and risks, including: (i) the ability to profitably manage the acquired business or successfully integrate the operations, internal controls, procedures, financial reporting and accounting systems of the businesses we acquire into our business operations; (ii) the ability to realize the anticipated benefits from successful integration of the acquired businesses; (iii) increased indebtedness, contingent earn-out obligations and/or other liabilities; (iv) the ability to fund cash flow shortages that may occur if anticipated revenue, profits and/or cash flows are not realized or are delayed, whether by general economic or market conditions, or other unforeseen difficulties; (v) the expense of integrating acquired businesses;</w:t>
      </w:r>
    </w:p>
    <w:p>
      <w:pPr>
        <w:spacing w:after="0" w:line="2" w:lineRule="exact"/>
        <w:rPr>
          <w:sz w:val="20"/>
          <w:szCs w:val="20"/>
          <w:color w:val="auto"/>
        </w:rPr>
      </w:pPr>
    </w:p>
    <w:p>
      <w:pPr>
        <w:jc w:val="both"/>
        <w:ind w:firstLine="8"/>
        <w:spacing w:after="0" w:line="258" w:lineRule="auto"/>
        <w:tabs>
          <w:tab w:leader="none" w:pos="2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to retain or hire the personnel required for the successful operation of the acquired business and expanded business operations, in general; (vii) the ability to retain the business relationships of the acquired businesses; (viii) diversion of management’s attention; and (ix) the availability of funding sufficient to meet increased capital needs, among others.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Acquired companies may have liabilities that we failed, or were unable to discover in the course of performing due diligence reviews. We cannot assure you that the indemnifications granted to us by sellers of acquired companies will be sufficient in amount, scope or duration to fully offset potential liabilities associated with acquired businesses. Additionally, purchase agreements for certain acquisitions may not contain indemnification provisions, which would fully expose us to legacy liabilities of the related acquired business. We may learn additional information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jc w:val="both"/>
        <w:spacing w:after="0" w:line="263" w:lineRule="auto"/>
        <w:rPr>
          <w:sz w:val="20"/>
          <w:szCs w:val="20"/>
          <w:color w:val="auto"/>
        </w:rPr>
      </w:pPr>
      <w:r>
        <w:rPr>
          <w:rFonts w:ascii="Times New Roman" w:cs="Times New Roman" w:eastAsia="Times New Roman" w:hAnsi="Times New Roman"/>
          <w:sz w:val="16"/>
          <w:szCs w:val="16"/>
          <w:color w:val="auto"/>
        </w:rPr>
        <w:t>about the businesses we have acquired that could materially adversely affect us, such as unknown or contingent liabilities, unprofitable projects, litigation-related liabilities and liabilities related to compliance with applicable laws. Any such liabilities, individually or in the aggregate, could have a material adverse effect on our business. We generally require that key management and former principals of the businesses we acquire enter into non-competition agreements in our favor. If we are unable, and the courts refuse to enforce the non-competition agreement entered into by such person or persons, we might be subject to increased competition. Failure to successfully manage the operational challenges and risks associated with, or resulting from, our acquisitions could adversely affect our results of operations, cash flows and liquidity.</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may pay for acquisitions or strategic investments with increased borrowings under our credit facility or through the issuance of debt instruments, which could result in higher levels of indebtedness and negatively affect our ability to service our debt within the scheduled repayment terms, or our ability to remain in compliance with our debt covenants and to maintain our investment grade credit rating. Additionally, from time to time, we may pay for acquisitions with shares of our common stock, which could dilute the ownership interests of our common shareholders. In addition, in connection with most of our acquisitions, we agree to substantial future earn-out arrangements. To the extent we defer payment of an acquisition’s purchase price through a cash earn-out arrangement, it will reduce our cash flows in subsequent periods. We may decide to pursue acquisitions with which our investors may not agree. In addition, we may not be able to identify suitable acquisition or strategic investment opportunities or may be unable to obtain the required consent of our lenders and therefore, may not be able to complete such acquisitions or strategic investments. We have incurred substantial expenses in connection with the integration of the operations, practices, policies and procedures of past acquisitions that required significant acquisition and integration efforts, which negatively affected our results of operations, cash flows and liquidity. Our results of operations and cash flows could be negatively affected in the future if we continue to acquire additional businesses requiring significant acquisition and integration efforts.</w:t>
      </w:r>
    </w:p>
    <w:p>
      <w:pPr>
        <w:spacing w:after="0" w:line="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Additionally, we have repurchased shares of our common stock in the past and may continue to do so in the future. We cannot provide assurance that any stock repurchases will enhance shareholder value because the market price of our common stock may decline below the levels at which we repurchased such shares.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participation in strategic arrangements, including joint ventures and equity investments, exposes us to numerous risks.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certain strategic arrangements, including joint ventures and equity investments, which provide us the opportunity to combine our skills and resources with those of others to allow for the performance of projects for which we do not control the day-to-day operations. The success of these arrangements depends, in large part, on whether our partners satisfy their contractual and performance obligations. In certain of these arrangements, we and our partners are jointly and severally liable for liabilities and obligations of the entity or joint venture. If one of our partners fails to perform or is financially unable to bear its portion of required capital contributions or other obligations, including liabilities stemming from claims or lawsuits, we could be required to make additional investments, provide additional services or pay more than our proportionate share of a liability to make up for our partner’s shortfall. Further, if our partners do not meet their performance obligations on projects, and we are unable to adequately address such performance issues on the part of our partners, the projects could be terminated, which could result in legal liability, harm our reputation and/or impair our ability to participate in future investment and project opportunities, all of which could adversely affect our results of operations, cash flows and liquidity. We also could be subject to a write-down of a portion or all of the net investment related to such arrangements. Market or other conditions, such as the inability of our investees to complete certain transactions, could subject us to a loss of some or all of the value of our investment. See Note 4 - Fair Value of Financial Instruments and Note 14 - Commitments and Contingencies in the notes to the audited consolidated financial statements, which are incorporated by reference, for additional information.</w:t>
      </w:r>
    </w:p>
    <w:p>
      <w:pPr>
        <w:spacing w:after="0" w:line="70"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operations in international markets, or future efforts to expand into additional international markets, may not be successful and could expose us to risks, including failure to comply with the U.S. Foreign Corrupt Practices Act and/or similar anti-bribery laws, which could harm our business and prospects.</w:t>
      </w:r>
    </w:p>
    <w:p>
      <w:pPr>
        <w:spacing w:after="0" w:line="3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derive a small portion of our revenue from international markets. In the future, we could further expand the volume of international services we provide, as well as the foreign geographic territories in which we operate. See Note 13 - Segments and Related Information in the notes to the audited consolidated financial statements, which is incorporated by reference, for foreign revenue information. Our foreign operations are presently conducted primarily in Canada, but we have performed work in various other foreign countries in the past and may expand our foreign operations in the future. Economic conditions, including those resulting from geopolitical shifts, civil unrest, acts of terrorism, wars and other conflicts, public health matters or volatility in the global markets could adversely affect our foreign customers, their demand for our services and/or their ability to pay for our services. In addition, there are numerous risks inherent in conducting business internationally, including, but not limited to, potential instability in international markets, changes in regulatory requirements applicable to international operations, including evolving consumer protection and data use and security standards, foreign currency fluctuations, exchange controls and other limits on our ability to repatriate and reinvest earnings, political, economic and social conditions in foreign countries, tariffs and duties, and complex U.S. and foreign laws and treaties, including taxation laws and the U.S. Foreign Corrupt Practices Act (the “FCPA”). These risks could restrict our ability to provide services to foreign customers or to operate our international businesses profitably, and our overall business and results of operations could be negatively affected by such foreign activities.</w:t>
      </w:r>
    </w:p>
    <w:p>
      <w:pPr>
        <w:spacing w:after="0" w:line="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FCPA and similar anti-bribery laws in other jurisdictions prohibit U.S.-based companies and their intermediaries from making improper payments for the purpose of obtaining or retaining business. We pursue opportunities in certain parts of the world that experience corruption to some degree, and, in certain circumstances, compliance with anti-bribery laws may conflict with local customs and practices. Our policies mandate compliance with these anti-bribery laws, and our subcontractors, agents and others who work for us or on our behalf are expected to comply with the FCPA and other anti-bribery laws. There is no assurance that our employees and agents will comply with the FCPA, or that anti-bribery laws will protect us against liability under the FCPA or other laws for actions taken by our agents, employees and/or intermediaries. In addition, detecting, investigating and resolving actual or alleged FCPA violations is expensive and can consume significant time and attention of our senior management. We could incur severe criminal or civil penalties or other sanctions if we are found to be liable for FCPA violations, either due to our own acts or our inadvertence, or due to the acts or inadvertence of others, which could adversely affect our reputation, business, results of operations and cash flows.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color w:val="auto"/>
        </w:rPr>
        <w:t>Risks Related to Regulation and Compliance</w:t>
      </w:r>
    </w:p>
    <w:p>
      <w:pPr>
        <w:spacing w:after="0" w:line="11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A failure to comply with environmental laws could result in significant liabilities or harm our reputation, and new environmental laws or regulations could adversely affect our business.</w:t>
      </w:r>
    </w:p>
    <w:p>
      <w:pPr>
        <w:spacing w:after="0" w:line="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Some of the work we perform is in underground environments. If the field location maps supplied to us are not accurate, or if objects are present in the soil that are not indicated on the field location maps, our underground work could strike objects in the soil containing pollutants and result in a rupture and discharge of pollutants. In such a case, we could incur significant costs, including clean-up costs, we may be liable for significant fines and damages, and we could suffer reputational harm. Additionally, we sometimes perform directional drilling operations below certain environmentally sensitive terrains and water bodies. Due to the inconsistent nature of terrain and water bodies, it is possible that such directional drilling could cause a surface fracture releasing subsurface materials or drilling fluid. These releases alone or, in combination with releases that may contain contaminants in excess of amounts permitted by law, could potentially expose us to significant clean up and remediation costs, damages, fines and reputational harm, which could have a material adverse effect on our results of operations, cash flows and liquidity.</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New environmental laws and regulations, stricter enforcement of existing laws and regulations, the discovery of previously unknown contamination or leaks, or the imposition of new clean-up requirements could require us to incur significant costs or could result in new or increased liabilities that could have a material adverse effect on our results of operations, cash flows and liquidity. We may incur work stoppages to avoid violating these laws and regulations, or we may risk fines or other sanctions if we inadvertently violate these laws and regulations, which could adversely affect our business.</w:t>
      </w:r>
    </w:p>
    <w:p>
      <w:pPr>
        <w:spacing w:after="0" w:line="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operations could affect the environment or cause exposure to hazardous substances. In addition, our properties could have environmental contamination, which could result in material liabilities.</w:t>
      </w:r>
    </w:p>
    <w:p>
      <w:pPr>
        <w:spacing w:after="0" w:line="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Our operations are subject to various environmental laws and regulations, including those dealing with the handling and disposal of waste products, polychlorinated biphenyls, fuel storage, air quality and the protection of endangered species. Certain of our current and historical construction operations have used hazardous materials and, to the extent that such materials are not properly stored, contained or recycled, they could become hazardous waste. Additionally, some of our contracts require that we assume the environmental risk of site conditions and require that we indemnify our customers for any damages, including environmental damages, incurred in connection with our projects. We may be subject to claims under various environmental laws and regulations, federal and state statutes and/or common law doctrines for toxic torts and other damages, as well as for natural resource damages and the investigation and clean-up of soil, surface water, groundwater, and other media under laws such as the Comprehensive Environmental Response, Compensation and Liability Act. Such claims may arise, for example, out of current or former conditions at project sites, including legacy matters from acquired businesses, current or former properties owned or leased by us, or contaminated sites that have always been owned or operated by third parties. For example, we own and lease several facilities at which we store our equipment. Some of these facilities contain fuel storage tanks that may be above or below ground. If these tanks were to leak, we could be responsible for the cost of remediation as well as potential fines. Liability may be imposed without regard to fault and may be strict and joint and several, such that we may be held responsible for more than our share of any contamination or other damages, or even for the entire share, and we may be unable to obtain reimbursement from the parties that caused the contamination. The obligations, liabilities, fines and costs or reputational harm associated with these and other events could be material and could have a material adverse impact on our business, financial condition, results of operations and cash flows.</w:t>
      </w:r>
    </w:p>
    <w:p>
      <w:pPr>
        <w:spacing w:after="0" w:line="77"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climate-related risks and risks associated with rapidly evolving regulatory and stakeholder focus and any related reporting obligations with respect to ESG matters.</w:t>
      </w:r>
    </w:p>
    <w:p>
      <w:pPr>
        <w:spacing w:after="0" w:line="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Regulatory requirements and stakeholder expectations with respect to ESG matters, including climate-change related matters, are rapidly evolving. While the potential effects of climate change are highly uncertain, climate change and climate-related events could result in, among other things, an increase in extreme weather events, such as floods, hurricanes and wildfires, as well as changes in rainfall patterns, storm patterns and intensities and temperature levels, rising sea levels and limitations on water availability and quality. Our operating results are significantly influenced by weather; therefore, major changes in weather patterns could have a significant effect on our future operating results. Extreme weather conditions could limit the availability of resources, cause supply chain disruptions or increase the costs of our projects, reduce productivity, or could cause projects to be delayed or canceled. We could experience project cancellations, reduced demand or reduced productivity if climate change results in a significant increase in adverse weather conditions in a given period, or from potential market-related or macroeconomic effects of climate-related factors that affect our business, which could negatively affect our revenue and profitability. We could also be exposed to increased risk of liability in locations potentially affected by climate-related risks, for example, in areas where the risk of wildfires is increased. The risks associated with the physical effects of climate change have affected, and could continue to negatively affect, our insurance premiums or the amount of coverage that insurers are willing to make available under our insurance policies. In addition, limitations on access to clean water or other natural resources in the communities where we conduct our operations could disrupt our or our customers’ operations and result in work stoppages, project delays, reduced productivity and increased costs. All of the above climate-related factors could negatively affect our business, financial condition and results of operations.</w:t>
      </w:r>
    </w:p>
    <w:p>
      <w:pPr>
        <w:spacing w:after="0" w:line="2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Climate-related factors could also affect the projects our customers award. Concerns about climate change could result in new regulations, regulatory actions or requirements related to energy efficiency or reductions in greenhouse gas emissions, any of which could negatively affect our customers, or decrease the number, scope or types of projects they award, which could decrease demand for our services. Demand for power projects, underground pipelines or other projects could be negatively affected by significant changes in weather or by climate-related legislation or regulations. Legislative and/or regulatory responses related to climate change could also affect the availability of goods, increase our costs or otherwise negatively affect our operations. In addition, demand for our services could be negatively affected by market and consumer response to climate-related matters, changes in technology, and changes in our customers’ expectations and/or requirements for companies in their supply chains, which could affect their selection of service providers or require those in their supply chain to meet certain climate and/or ESG-related goals or disclosure requirements. Our ability to compete could also be affected by labor shortages resulting from lack of available skilled labor for new or emerging climate-related technologies. Additionally, if our stakeholders, including our customers, do not have a favorable view of our values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color w:val="auto"/>
        </w:rPr>
        <w:t>practices with respect to climate and/or ESG-related matters, we could suffer reputational risk or an increase in our cost of, or a reduction in the availability of, capital.</w:t>
      </w:r>
    </w:p>
    <w:p>
      <w:pPr>
        <w:spacing w:after="0" w:line="11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U.S. and international regulators, investors and other stakeholders are increasingly focused on ESG matters. For example, new domestic and international laws and regulations relating to ESG matters, including environmental sustainability, climate change, human rights and human capital management have been adopted or are under consideration, some of which include specific, target-driven disclosure requirements or obligations. ESG-related reporting and compliance requirements have increased our costs, including from increased investment in technology, implementation of new reporting processes and appropriate expertise. The above described effects of new regulations as well as exposure to the risk of non-compliance and potential diversion of operational and/or management attention, among others, could negatively affect our business, results of operations and cash flows. Environmental regulations and policies to encourage the use of clean energy technologies and regulate emissions of greenhouse gases to address climate change could cause uncertainty for our customers and our operations. In addition, the new presidential administration, combined with Republican Party majorities in both the U.S. House of Representatives and Senate has created regulatory uncertainty with respect to climate change policy. For example, on January 20, 2025, President Trump signed an executive order to withdraw the United States from United Nations (“U.N.”) Framework Convention on Climate Change, marking a significant shift in U.S. climate policy. It remains unclear what further actions the federal government may take with respect to domestic and international regulations, programs and initiatives that could affect demand for or the economic viability of renewable energy infrastructure.</w:t>
      </w:r>
    </w:p>
    <w:p>
      <w:pPr>
        <w:spacing w:after="0" w:line="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cannot predict future changes to environmental regulations and policies, nor can we predict the effects that any such changes would have on our business. The establishment of rules limiting greenhouse gas emissions or mandating lower carbon infrastructure could affect overall customer demand, reduce the need for certain of our services and/or affect our ability to perform construction services or to perform these services at current levels of profitability. For example, if new regulations were adopted regulating greenhouse gas emissions, or if we were otherwise required to undertake carbon emission reduction efforts, we could experience a significant increase in environmental compliance costs considering our large fleet and the amount of construction machinery we own. New regulations requiring us to acquire different equipment or change processes could result in an impairment of our current fleet or other equipment assets. Additionally, such new equipment may not be available, or we may not be able to purchase or rent this equipment in a cost-effective manner.</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Compliance with any new laws or regulations relating to the reduction of greenhouse gases could result in significant required changes to our operations and a significant increase in the cost of conducting our business. In addition, our reputation could suffer and/or we could experience a reduction in the amount of future work we are awarded if our operations are perceived to result in high levels of greenhouse gas emissions or to otherwise pose environmental risks. Reductions in project awards, project deferrals, delays or cancellations, or increases in costs related to the effects of climate change, climate change initiatives or climate change regulations could have a material adverse effect on our results of operations, cash flows and liquidity.</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Stakeholder expectations with respect to ESG matters have been rapidly evolving and expanding. If we do not adapt to or comply with stakeholder expectations and standards on ESG matters as they continue to evolve, or if we are perceived to have not responded appropriately or quickly enough to growing concern for ESG and sustainability issues, regardless of whether there is a regulatory or legal requirement to do so, it could result in loss of business and an inability to attract and retain customers and talented personnel, or we could suffer reputational damage and/or increased risk of potential litigation, all of which could adversely affect our business, results of operations and financial condition, and could result in an increase in our cost of capital and/or a decline in the price per share of our common stock.</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Additionally, from time to time, we establish strategies and expectations relative to ESG matters. Our ability to achieve any such strategies or expectations is subject to numerous factors and conditions, many of which are outside of our control. Failures or delays in achieving our strategies or expectations, whether actual or perceived, could adversely affect our business, operations and reputation, and could increase our risk of litigation.</w:t>
      </w:r>
    </w:p>
    <w:p>
      <w:pPr>
        <w:spacing w:after="0" w:line="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addition, our continuing efforts to research, establish, accomplish and accurately report on our ESG strategy and commitments may create operational risks, increase our expenses and expose us to reputational, legal and other risks. Some of the statements in our voluntary disclosures regarding ESG matters may be based on hypothetical expectations and assumptions that may or may not be representative of current or actual risks or events or forecasts of expected risks or events, including the costs associated therewith. Such expectations and assumptions are uncertain and could be inaccurate or subject to misinterpretation given the nature of the disclosures and commitments and the difficulty in identifying, measuring and reporting on such ESG matters.</w:t>
      </w:r>
    </w:p>
    <w:p>
      <w:pPr>
        <w:spacing w:after="0" w:line="7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the regulations of federal, state and local agencies that oversee compliance with safety and transportation regulations could reduce our revenue, profitability and liquidity.</w:t>
      </w:r>
    </w:p>
    <w:p>
      <w:pPr>
        <w:spacing w:after="0" w:line="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OSHA establishes certain employer responsibilities, including maintenance of a workplace free of recognized hazards likely to cause death or serious injury, compliance with standards promulgated by OSHA and various recordkeeping, disclosure and procedural requirements. Various standards, including standards for notices of hazards and safety in excavation and demolition work, may apply to our operations. We incur capital and operating expenditures and other costs in the ordinary course of business in complying with OSHA and other state and local laws and regulations, and could incur penalties and fines in the future from violations of health and safety regulations, including, in extreme cases, criminal sanctions. We could suffer reputational harm and our customers could cancel existing contracts and not award future business to us if we were in violation of these regulations. From time to time, we have received notice from the DOT that our motor carrier operations will be monitored and that the failure to improve our safety performance could result in suspension or revocation of vehicle registration privileges. Our ability to service our customers could be damaged if we were not able to successfully resolve such issues, which could lead to a material adverse effect on our results of operations, cash flows and liquidity.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Risks Related to Financing Our Business</w:t>
      </w:r>
    </w:p>
    <w:p>
      <w:pPr>
        <w:spacing w:after="0" w:line="11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have a significant amount of debt, which could adversely affect our business, financial condition and results of operations or could affect our ability to access capital markets in the future. In addition, our debt contains restrictive covenants that may prevent us from engaging in transactions that might benefit us.</w:t>
      </w:r>
    </w:p>
    <w:p>
      <w:pPr>
        <w:spacing w:after="0" w:line="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outstanding debt and debt service requirements could have significant consequences on our future operations, including: making it more difficult for us to meet our debt-related payment and other obligations; an event of default if we fail to comply with the financial and other restrictive covenants contained in our debt agreements, which could result in all of our debt becoming immediately due and payable; reducing the availability of our cash flows to fund working capital, capital expenditures, acquisitions or strategic investments, and limiting our ability to obtain additional financing for these purposes; exposing us to interest rate risk on variable rate indebtedness, in particular, during periods of elevated interest rates; limiting our flexibility in planning for, or reacting to changes in our business, the industries in which we operate and the general economy; and placing us at a competitive disadvantage compared to our competitors that have less debt or are less leveraged.</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If our credit rating is downgraded, it could increase borrowing costs on our variable rate indebtedness, and/or increase the cost of renewing or obtaining new debt financing or make it more difficult to renew, obtain or issue new debt financing in the future.</w:t>
      </w:r>
    </w:p>
    <w:p>
      <w:pPr>
        <w:spacing w:after="0" w:line="5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terms of our indebtedness contain customary events of default and covenants that prohibit us from taking certain actions without satisfying certain financial tests or obtaining the consent of the lenders. Should we be unable to comply with the terms and covenants of our indebtedness, including our credit facility, we would be required to obtain consents from our lenders, modify our credit facility or other debt instruments or secure another source of financing to continue to operate our business, none of which may be available to us on reasonable terms or at all. A default could also result in the acceleration of our obligations. In addition, these covenants may prevent us from engaging in transactions that benefit us, including responding to changing business and economic conditions or securing additional financing, if needed.</w:t>
      </w:r>
    </w:p>
    <w:p>
      <w:pPr>
        <w:spacing w:after="0" w:line="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Any of these factors could have an adverse effect on our business, financial condition and results of operations. Our ability to meet our payment and other obligations under our debt instruments depends on our ability to generate significant cash flow in the future, which can be subject to many factors, some of which are beyond our control. We cannot assure you that our business will generate future cash flow from operations, or that future borrowings will be available to us in an amount sufficient to enable us to meet our payment obligations and fund other liquidity needs. Our business is capital intensive, and if we are not able to generate sufficient cash flow to service our debt obligations, we may need to refinance or restructure our debt, sell assets, reduce or delay capital investments, or seek to raise additional capital, and some of these activities could have terms that are unfavorable or could be highly dilutive. Our ability to obtain additional financing or to refinance our existing indebtedness will depend on the capital markets and our financial condition at such time. Any of the above factors could adversely affect our results of operations, cash flows and liquidity.</w:t>
      </w:r>
    </w:p>
    <w:p>
      <w:pPr>
        <w:spacing w:after="0" w:line="26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obtain sufficient bonding capacity to support certain service offerings, and the need for performance and surety bonds could reduce availability under our credit facility.</w:t>
      </w:r>
    </w:p>
    <w:p>
      <w:pPr>
        <w:spacing w:after="0" w:line="3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Some of our contracts require performance and payment bonds. If we are not able to renew or obtain a sufficient level of bonding capacity in the future, we may be precluded from being able to bid for certain contracts or successfully contract with certain customers. In addition, even if we are able to successfully renew or obtain performance or payment bonds, we may be required to post letters of credit in connection with the bonds, which would reduce availability under our credit facility. Furthermore, under standard terms in the surety market, sureties issue bonds on a project-by-project basis or for individual self-insurance programs and can decline to issue bonds at any time or require the posting of additional collateral as a condition to issuing or renewing any bonds. If we were to experience an interruption or reduction in the availability of bonding capacity, we may be unable to compete for or work on projects that require bonding.</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There may be future sales of our common stock or other dilution of our equity that could adversely affect the market price of our common stock and could dilute the ownership interests of our shareholders and/or lead to volatility in our common stock price.</w:t>
      </w:r>
    </w:p>
    <w:p>
      <w:pPr>
        <w:spacing w:after="0" w:line="6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We are not restricted from issuing additional common stock. Our Amended and Restated Articles of Incorporation provide that we may issue up to a total 145.0 million shares of common stock, of which approximately 79.3 million shares were outstanding as of December 31, 2024. We grow our business organically as well as through acquisition. Occasionally, we may issue shares of stock as consideration in our acquisitions, and, typically, we have the option to issue shares of our common stock as consideration for future earn-out obligations. The issuance of additional shares of our common stock in connection with future acquisitions, financing transactions, share-based payment awards or other issuances of our common stock would dilute the ownership interest of our common shareholders. Sales of a substantial number of shares of our common stock or other equity-related securities in the public market could depress the market price of our common stock and impair our ability to raise capital through the sale of additional equity or equity-linked securities. We cannot predict the effect that future sales of our common stock or other equity-related securities would have on the market price of our common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has been, and may continue to be, highly volatile.</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market price of our common stock on the New York Stock Exchange has been volatile in recent years. We may continue to experience significant volatility in the market price of our common stock. Numerous factors could have a significant effect on the price of our common stock, including: announcements of fluctuations in our operating results, our expectations of future operating results or the operating results of our competitors; market conditions in our customers' industries, including the capital spending plans of our significant customers; announcements of new or terminated customers or contracts; announcements of acquisitions by us or our competitors; volatility in energy and fuel prices; the effects of climate-related matters; changes in recommendations or earnings estimates by securities analysts; announcements of share repurchase programs, or activity under existing repurchase programs; and issuances of our common stock or other securities, including in connection with acquisition or financing transactions. In addition, the stock market continues to experience significant volatility, which can sometimes be unrelated 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0" w:name="page31"/>
    <w:bookmarkEnd w:id="30"/>
    <w:p>
      <w:pPr>
        <w:jc w:val="both"/>
        <w:spacing w:after="0" w:line="280" w:lineRule="auto"/>
        <w:rPr>
          <w:sz w:val="20"/>
          <w:szCs w:val="20"/>
          <w:color w:val="auto"/>
        </w:rPr>
      </w:pPr>
      <w:r>
        <w:rPr>
          <w:rFonts w:ascii="Times New Roman" w:cs="Times New Roman" w:eastAsia="Times New Roman" w:hAnsi="Times New Roman"/>
          <w:sz w:val="16"/>
          <w:szCs w:val="16"/>
          <w:color w:val="auto"/>
        </w:rPr>
        <w:t>disproportionate to operating performance. Volatility in the market price of our common stock could cause shareholders to lose some or all of their investment in our common stock.</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small number of our existing shareholders have the ability to influence major corporate decisions.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Jorge Mas, our Chairman, and José R. Mas, our Chief Executive Officer, beneficially owned approximately 23% of the outstanding shares of our common stock as of December 31, 2024. Accordingly, they are in a position to influence the vote of most matters submitted to our shareholders, including any merger, consolidation or sale of all or substantially all of our assets, the nomination of individuals to our Board of Directors, and a change in our control. These factors could discourage, delay or prevent a takeover attempt that shareholders might consider in their best interests or that might result in shareholders receiving a premium for their common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articles of incorporation and certain provisions of Florida law contain anti-takeover provisions that may make it more difficult to effect a change in our control.</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Certain provisions of our articles of incorporation, by-laws and the Florida Business Corporation Act could delay or prevent an acquisition or change in control and the replacement of our incumbent directors and management, even if doing so might be beneficial to our shareholders by providing them with the opportunity to sell their shares at a premium over the then market price of our common stock. For example, our Board of Directors is divided into three classes. At any annual meeting of our shareholders, our shareholders only have the right to appoint approximately one-third of the directors on our Board of Directors. Consequently, it would take at least two annual shareholder meetings to effect a change in control of our Board of Directors, which could discourage hostile takeover bids. In addition, our articles of incorporation authorize our Board of Directors, without further shareholder approval, to issue preferred stock. The issuance of preferred stock could dilute the voting power of holders of our common stock, including the granting of voting control to others, which could delay or prevent an acquisition or change in control.</w:t>
      </w:r>
    </w:p>
    <w:p>
      <w:pPr>
        <w:spacing w:after="0" w:line="19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1B.</w:t>
        <w:tab/>
        <w:t>UNRESOLVED STAFF COMMENTS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1C.</w:t>
        <w:tab/>
        <w:t>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and Strategy</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Cybersecurity risk management is an important part of MasTec's overall risk management efforts. We maintain a comprehensive enterprise-wide information security program that comprises policies and controls designed to identify, safeguard against, detect, respond to, mitigate and manage reasonably foreseeable cybersecurity risks and threats. Our approach utilizes diverse security tools to prevent, identify, investigate, resolve and recover from vulnerabilities and security incidents. These include, but are not limited to, internal reporting, monitoring and detection tools.</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use a collaborative, enterprise-wide strategy to address cybersecurity risks and allocate significant resources to our cybersecurity and risk management processes, which efforts are intended to adapt to the evolving cybersecurity landscape and promptly address emerging threats. Our cybersecurity risk management program aligns with the National Institute of Standards and Technology framework and is organized into five key functions: identification, protection, detection, response and recovery. We regularly assess the threat landscape and employ a layered cybersecurity strategy to prevent, detect and mitigate threats.</w:t>
      </w:r>
    </w:p>
    <w:p>
      <w:pPr>
        <w:spacing w:after="0" w:line="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regularly collect data on cybersecurity threats and risk areas and conduct periodic external penetration and other tests to assess the effectiveness of our processes and procedures. We assess risks associated with third-party providers as part of our overall cybersecurity risk management framework by reviewing system and organization controls reports, when available, and other independent reports. We also generally require third parties to, among other things, maintain security controls to protect our confidential information and to promptly notify us of material breaches that may impact our data.</w:t>
      </w:r>
    </w:p>
    <w:p>
      <w:pPr>
        <w:spacing w:after="0" w:line="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engage third-party industry cybersecurity experts to evaluate and review our cybersecurity programs. Our cybersecurity risk management program encompasses such items as simulations, drills, assessments, and tabletop exercises with management's participation and incorporates third-party industry cybersecurity experts and advisors as appropriate. These simulations, drills and assessments are conducted to test our defenses from both a technical and an operational perspective. In addition, all employees undergo security awareness training, with regular testing through simulated phishing emails. Certain employee positions require additional role-based, specialized security awareness or other cybersecurity training, as applicable. We also maintain a security operations center, which is staffed 24/7, to strengthen our monitoring and alerting efforts.</w:t>
      </w:r>
    </w:p>
    <w:p>
      <w:pPr>
        <w:spacing w:after="0" w:line="2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face cybersecurity threats in the ordinary course of our business and have experienced cybersecurity threats and breach attempts in the past. Such threats and breach attempts have not materially affected our business, strategy, results of operations or financial condition. At any given time, however, we may face known or unknown cybersecurity risks and threats that cannot be fully prevented or mitigated, and we may discover vulnerabilities in our cybersecurity programs. Therefore, we may not be</w:t>
      </w:r>
    </w:p>
    <w:p>
      <w:pPr>
        <w:spacing w:after="0" w:line="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6"/>
          <w:szCs w:val="16"/>
          <w:color w:val="auto"/>
        </w:rPr>
        <w:t xml:space="preserve">successful in preventing or mitigating a cybersecurity incident that could have a material adverse effect on us. For more information on the cybersecurity risks we face, please refer to </w:t>
      </w:r>
      <w:r>
        <w:rPr>
          <w:rFonts w:ascii="Times New Roman" w:cs="Times New Roman" w:eastAsia="Times New Roman" w:hAnsi="Times New Roman"/>
          <w:sz w:val="16"/>
          <w:szCs w:val="16"/>
          <w:i w:val="1"/>
          <w:iCs w:val="1"/>
          <w:color w:val="auto"/>
        </w:rPr>
        <w:t>“We rely on information, communications and data systems in our operations. Systems and information technology interruptions and/or data security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breaches could adversely affect our ability to operate, our operating results, our data security or our reputation.”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“Risk Factors.”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Governance</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Chief Information Officer (“CIO”) and our Chief Information Security Officer (“CISO”), who report to our executive management team, are responsible for identifying, assessing and managing material cybersecurity risks, establishing processes to monitor such risks, putting appropriate mitigation measures in place, maintaining appropriate policies and procedures for our cybersecurity program and providing periodic</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1" w:name="page32"/>
    <w:bookmarkEnd w:id="31"/>
    <w:p>
      <w:pPr>
        <w:jc w:val="both"/>
        <w:spacing w:after="0" w:line="263" w:lineRule="auto"/>
        <w:rPr>
          <w:sz w:val="20"/>
          <w:szCs w:val="20"/>
          <w:color w:val="auto"/>
        </w:rPr>
      </w:pPr>
      <w:r>
        <w:rPr>
          <w:rFonts w:ascii="Times New Roman" w:cs="Times New Roman" w:eastAsia="Times New Roman" w:hAnsi="Times New Roman"/>
          <w:sz w:val="16"/>
          <w:szCs w:val="16"/>
          <w:color w:val="auto"/>
        </w:rPr>
        <w:t>updates to the Audit Committee of our Board of Directors. To this end, our cybersecurity team conducts annual reviews of enterprise-level cybersecurity risks. Additionally, we maintain company-wide policies and procedures concerning cybersecurity matters, which are subject to annual internal review, or more frequent, as warranted. MasTec's CISO oversees the development and implementation of our information security program and reports on cybersecurity matters to the Audit Committee. Our CIO and CISO each has over 15 years of experience in cybersecurity oversight, and our cybersecurity team is composed of personnel with a broad range of professional cybersecurity experience and expertise, and includes members with cybersecurity certifications, such as the Certified Information Systems Security Professional (CISSP) certification.</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CIO and CISO routinely inform our Chief Financial Officer and other members of management, as appropriate, about threats, including assessments of threat levels, trends, incidents and related remediation plans, including matters related to the prevention, detection and remediation of any incidents in accordance with our cybersecurity program.</w:t>
      </w:r>
    </w:p>
    <w:p>
      <w:pPr>
        <w:spacing w:after="0" w:line="6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Board of Directors has oversight of our enterprise risk assessment and risk management processes, as well as the steps taken to mitigate these risks, including for cybersecurity matters. The Audit Committee of our Board of Directors has oversight of cybersecurity risk assessment and risk management policies as part of its risk management oversight responsibilities, and is responsible for ensuring that the Company has processes in place to identify, evaluate and manage cybersecurity risks, as well as appropriate processes and programs to mitigate cybersecurity incidents if they occur. The Audit Committee actively engages in cybersecurity risk discussions and receives periodic updates on the Company's cybersecurity program from our CISO, including updates on various cybersecurity matters such as risk assessments, threats, incidents, prevention, detection and remediation of incidents, mitigation strategies, areas of emerging risk and industry trends, among other topics. Significant cybersecurity matters, including those related to incidents, are escalated to the Board of Directors.</w:t>
      </w:r>
    </w:p>
    <w:p>
      <w:pPr>
        <w:spacing w:after="0" w:line="19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2.</w:t>
        <w:tab/>
        <w:t>PROPERTIES</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Our operations are conducted from different locations, primarily within the United States and Canada, including our corporate headquarters located in Coral Gables, Florida. Substantially all of these properties, including our corporate headquarters, are leased facilities, none of which is material to our operations. We believe that our existing facilities are adequate for our current and planned levels of operation.</w:t>
      </w:r>
    </w:p>
    <w:p>
      <w:pPr>
        <w:spacing w:after="0" w:line="16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3.</w:t>
        <w:tab/>
        <w:t>LEGAL PROCEEDINGS</w:t>
      </w:r>
    </w:p>
    <w:p>
      <w:pPr>
        <w:spacing w:after="0" w:line="1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The information set forth in Note 14 - Commitments and Contingencies in the notes to the audited consolidated financial statements in </w:t>
      </w:r>
      <w:r>
        <w:rPr>
          <w:rFonts w:ascii="Times New Roman" w:cs="Times New Roman" w:eastAsia="Times New Roman" w:hAnsi="Times New Roman"/>
          <w:sz w:val="16"/>
          <w:szCs w:val="16"/>
          <w:u w:val="single" w:color="auto"/>
          <w:color w:val="0000FF"/>
        </w:rPr>
        <w:t>Item 8</w:t>
      </w:r>
      <w:r>
        <w:rPr>
          <w:rFonts w:ascii="Times New Roman" w:cs="Times New Roman" w:eastAsia="Times New Roman" w:hAnsi="Times New Roman"/>
          <w:sz w:val="16"/>
          <w:szCs w:val="16"/>
          <w:color w:val="auto"/>
        </w:rPr>
        <w:t xml:space="preserve"> of this Form 10-K is incorporated by reference.</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4.</w:t>
        <w:tab/>
        <w:t>MINE SAFETY DISCLOSURES</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 xml:space="preserve">The information concerning mine safety violations or other regulatory matters required by Section 1503(a) of the Dodd-Frank Wall Street Reform and Consumer Protection Act and Item 104 of Regulation S-K is included in </w:t>
      </w:r>
      <w:r>
        <w:rPr>
          <w:rFonts w:ascii="Times New Roman" w:cs="Times New Roman" w:eastAsia="Times New Roman" w:hAnsi="Times New Roman"/>
          <w:sz w:val="16"/>
          <w:szCs w:val="16"/>
          <w:u w:val="single" w:color="auto"/>
          <w:color w:val="0000FF"/>
        </w:rPr>
        <w:t>Exhibit 95.1</w:t>
      </w:r>
      <w:r>
        <w:rPr>
          <w:rFonts w:ascii="Times New Roman" w:cs="Times New Roman" w:eastAsia="Times New Roman" w:hAnsi="Times New Roman"/>
          <w:sz w:val="16"/>
          <w:szCs w:val="16"/>
          <w:color w:val="auto"/>
        </w:rPr>
        <w:t xml:space="preserve"> to this Annual Report on Form 10-K.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21" w:lineRule="exact"/>
        <w:rPr>
          <w:sz w:val="20"/>
          <w:szCs w:val="20"/>
          <w:color w:val="auto"/>
        </w:rPr>
      </w:pPr>
    </w:p>
    <w:p>
      <w:pPr>
        <w:jc w:val="both"/>
        <w:ind w:left="840" w:hanging="1295"/>
        <w:spacing w:after="0" w:line="301" w:lineRule="auto"/>
        <w:tabs>
          <w:tab w:leader="none" w:pos="820" w:val="left"/>
        </w:tabs>
        <w:rPr>
          <w:sz w:val="20"/>
          <w:szCs w:val="20"/>
          <w:color w:val="auto"/>
        </w:rPr>
      </w:pPr>
      <w:r>
        <w:rPr>
          <w:rFonts w:ascii="Times New Roman" w:cs="Times New Roman" w:eastAsia="Times New Roman" w:hAnsi="Times New Roman"/>
          <w:sz w:val="16"/>
          <w:szCs w:val="16"/>
          <w:b w:val="1"/>
          <w:bCs w:val="1"/>
          <w:color w:val="auto"/>
        </w:rPr>
        <w:t>ITEM 5.</w:t>
        <w:tab/>
        <w:t>MARKET FOR THE REGISTRANT’S COMMON EQUITY, RELATED SHAREHOLDER MATTERS AND ISSUER PURCHASES OF EQUITY SECURITIES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common stock is listed on the New York Stock Exchange (“NYSE”) under the symbol “MTZ.”</w:t>
      </w:r>
    </w:p>
    <w:p>
      <w:pPr>
        <w:spacing w:after="0" w:line="10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Holders. </w:t>
      </w:r>
      <w:r>
        <w:rPr>
          <w:rFonts w:ascii="Times New Roman" w:cs="Times New Roman" w:eastAsia="Times New Roman" w:hAnsi="Times New Roman"/>
          <w:sz w:val="16"/>
          <w:szCs w:val="16"/>
          <w:color w:val="auto"/>
        </w:rPr>
        <w:t>As of February 24, 2025, there were 1,640 holders of record of our common stock. In calculating the number of shareholders, we consider clearing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agencies and security position listings as one shareholder for each agency or listing.</w:t>
      </w:r>
    </w:p>
    <w:p>
      <w:pPr>
        <w:spacing w:after="0" w:line="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Dividends. </w:t>
      </w:r>
      <w:r>
        <w:rPr>
          <w:rFonts w:ascii="Times New Roman" w:cs="Times New Roman" w:eastAsia="Times New Roman" w:hAnsi="Times New Roman"/>
          <w:sz w:val="16"/>
          <w:szCs w:val="16"/>
          <w:color w:val="auto"/>
        </w:rPr>
        <w:t>We have historically not paid cash dividends and do not currently anticipate paying a cash dividend. We intend to retain future earnings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reinvestment. Our Board of Directors will make any future determination as to the payment of dividends at its discretion, and this determination will depend upon our operating results, financial condition and capital requirements, general business conditions and such other factors that the Board of Directors considers relevant.</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Issuer Purchases of Equity Securities. </w:t>
      </w:r>
      <w:r>
        <w:rPr>
          <w:rFonts w:ascii="Times New Roman" w:cs="Times New Roman" w:eastAsia="Times New Roman" w:hAnsi="Times New Roman"/>
          <w:sz w:val="16"/>
          <w:szCs w:val="16"/>
          <w:color w:val="auto"/>
        </w:rPr>
        <w:t>The Company’s share repurchase programs, under which it undertakes share repurchases for strategic purposes, including</w:t>
      </w:r>
    </w:p>
    <w:p>
      <w:pPr>
        <w:spacing w:after="0" w:line="27" w:lineRule="exact"/>
        <w:rPr>
          <w:sz w:val="20"/>
          <w:szCs w:val="20"/>
          <w:color w:val="auto"/>
        </w:rPr>
      </w:pPr>
    </w:p>
    <w:p>
      <w:pPr>
        <w:jc w:val="both"/>
        <w:ind w:firstLine="8"/>
        <w:spacing w:after="0" w:line="259" w:lineRule="auto"/>
        <w:tabs>
          <w:tab w:leader="none" w:pos="219"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See Note 11 - Equity in the notes to the audited consolidated financial statements, which is incorporated by reference, for information pertaining to our share repurchase programs. We did not have any share repurchases under our share repurchase programs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6"/>
          <w:szCs w:val="16"/>
          <w:color w:val="auto"/>
        </w:rPr>
        <w:t>The following table provides information about repurchases of our common stock during the three month period ended December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8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Total Number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vMerge w:val="restart"/>
          </w:tcPr>
          <w:p>
            <w:pPr>
              <w:jc w:val="center"/>
              <w:ind w:right="125"/>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 Publicly</w:t>
            </w: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2"/>
          </w:tcPr>
          <w:p>
            <w:pPr>
              <w:ind w:left="40"/>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Program</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3"/>
              </w:rPr>
              <w:t>(a)</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jc w:val="right"/>
              <w:ind w:right="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140" w:type="dxa"/>
            <w:vAlign w:val="bottom"/>
            <w:vMerge w:val="restart"/>
          </w:tcPr>
          <w:p>
            <w:pPr>
              <w:spacing w:after="0"/>
              <w:rPr>
                <w:sz w:val="9"/>
                <w:szCs w:val="9"/>
                <w:color w:val="auto"/>
              </w:rPr>
            </w:pPr>
          </w:p>
        </w:tc>
        <w:tc>
          <w:tcPr>
            <w:tcW w:w="21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Program</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Pr>
          <w:p>
            <w:pPr>
              <w:jc w:val="center"/>
              <w:ind w:right="125"/>
              <w:spacing w:after="0" w:line="108" w:lineRule="exact"/>
              <w:rPr>
                <w:sz w:val="20"/>
                <w:szCs w:val="20"/>
                <w:color w:val="auto"/>
              </w:rPr>
            </w:pPr>
            <w:r>
              <w:rPr>
                <w:rFonts w:ascii="Times New Roman" w:cs="Times New Roman" w:eastAsia="Times New Roman" w:hAnsi="Times New Roman"/>
                <w:sz w:val="11"/>
                <w:szCs w:val="11"/>
                <w:b w:val="1"/>
                <w:bCs w:val="1"/>
                <w:color w:val="auto"/>
              </w:rPr>
              <w:t>(b)</w:t>
            </w:r>
          </w:p>
        </w:tc>
        <w:tc>
          <w:tcPr>
            <w:tcW w:w="0" w:type="dxa"/>
            <w:vAlign w:val="bottom"/>
          </w:tcPr>
          <w:p>
            <w:pPr>
              <w:spacing w:after="0"/>
              <w:rPr>
                <w:sz w:val="1"/>
                <w:szCs w:val="1"/>
                <w:color w:val="auto"/>
              </w:rPr>
            </w:pPr>
          </w:p>
        </w:tc>
      </w:tr>
      <w:tr>
        <w:trPr>
          <w:trHeight w:val="54"/>
        </w:trPr>
        <w:tc>
          <w:tcPr>
            <w:tcW w:w="39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CEEFF"/>
            </w:tcBorders>
            <w:vMerge w:val="continue"/>
          </w:tcPr>
          <w:p>
            <w:pPr>
              <w:spacing w:after="0"/>
              <w:rPr>
                <w:sz w:val="4"/>
                <w:szCs w:val="4"/>
                <w:color w:val="auto"/>
              </w:rPr>
            </w:pPr>
          </w:p>
        </w:tc>
        <w:tc>
          <w:tcPr>
            <w:tcW w:w="21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through October 31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40" w:type="dxa"/>
            <w:vAlign w:val="bottom"/>
            <w:shd w:val="clear" w:color="auto" w:fill="CCEEFF"/>
          </w:tcPr>
          <w:p>
            <w:pPr>
              <w:spacing w:after="0"/>
              <w:rPr>
                <w:sz w:val="22"/>
                <w:szCs w:val="22"/>
                <w:color w:val="auto"/>
              </w:rPr>
            </w:pPr>
          </w:p>
        </w:tc>
        <w:tc>
          <w:tcPr>
            <w:tcW w:w="210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1 through November 30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40" w:type="dxa"/>
            <w:vAlign w:val="bottom"/>
          </w:tcPr>
          <w:p>
            <w:pPr>
              <w:spacing w:after="0"/>
              <w:rPr>
                <w:sz w:val="18"/>
                <w:szCs w:val="18"/>
                <w:color w:val="auto"/>
              </w:rPr>
            </w:pPr>
          </w:p>
        </w:tc>
        <w:tc>
          <w:tcPr>
            <w:tcW w:w="210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through December 31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140.56</w:t>
            </w:r>
          </w:p>
        </w:tc>
        <w:tc>
          <w:tcPr>
            <w:tcW w:w="140" w:type="dxa"/>
            <w:vAlign w:val="bottom"/>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77,326,434</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301" w:lineRule="auto"/>
        <w:tabs>
          <w:tab w:leader="none" w:pos="33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8,580, 4,569, and 6,631 shares reacquired by the Company on the open market pursuant to the Amended ESPPs in October, November and December of 2024, respectively, and 296 shares withheld for income tax purposes in connection with shares issued under compensation and benefit programs in November of 2024.</w:t>
      </w:r>
    </w:p>
    <w:p>
      <w:pPr>
        <w:spacing w:after="0" w:line="1" w:lineRule="exact"/>
        <w:rPr>
          <w:rFonts w:ascii="Times New Roman" w:cs="Times New Roman" w:eastAsia="Times New Roman" w:hAnsi="Times New Roman"/>
          <w:sz w:val="14"/>
          <w:szCs w:val="14"/>
          <w:color w:val="auto"/>
        </w:rPr>
      </w:pPr>
    </w:p>
    <w:p>
      <w:pPr>
        <w:ind w:left="340" w:hanging="332"/>
        <w:spacing w:after="0" w:line="282" w:lineRule="auto"/>
        <w:tabs>
          <w:tab w:leader="none" w:pos="33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the remaining amount available for share repurchases under our March 2020 $150 million share repurchase program, which was publicly announced on March 19, 2020, totaled $77.3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Performance Graph</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performance graph below compares the cumulative five year total return for our common stock with the cumulative total return (including reinvestment of dividends) of the Standard and Poor’s 500 Composite Stock Index (“S&amp;P 500”), and with that of the following members of a peer group consisting of Quanta Services, Inc., MYR Group, Inc., Dycom Industries, Inc., Jacobs Solutions Inc. and Primoris Services Corporation. The graph assumes that the value of the investment in our common stock, as well as that of the S&amp;P 500 and our peer group, was $100 on December 31, 2019 and tracks it through December 31, 2024. The comparisons in the graph are based upon historical data and are not intended to forecast or be indicative of possible future performance of our common stock.</w:t>
      </w:r>
    </w:p>
    <w:p>
      <w:pPr>
        <w:spacing w:after="0" w:line="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i w:val="1"/>
          <w:iCs w:val="1"/>
          <w:color w:val="auto"/>
        </w:rPr>
        <w:t>The performance graph shall not be deemed incorporated by reference by any general statement incorporating by reference this Annual Report into any filing under the Securities Act of 1933 or the Securities Exchange Act of 1934, except to the extent we specifically incorporate this information by reference, and shall not otherwise be deemed filed under such acts.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COMPARISON OF 5 YEAR CUMULATIVE TOTAL RETURN*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Among MasTec, Inc.,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54610</wp:posOffset>
            </wp:positionV>
            <wp:extent cx="3994785" cy="2854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9478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 invested on 12/31/19 in stock or index, including reinvestment of dividends.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Fiscal year ending December 31.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Copyright© 2025 Standard &amp; Poor’s, a division of S&amp;P Global. All rights reserved.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24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MasTec, Inc.</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212.19</w:t>
            </w:r>
          </w:p>
        </w:tc>
      </w:tr>
      <w:tr>
        <w:trPr>
          <w:trHeight w:val="213"/>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S&amp;P 500</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197.02</w:t>
            </w:r>
          </w:p>
        </w:tc>
      </w:tr>
      <w:tr>
        <w:trPr>
          <w:trHeight w:val="219"/>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Peer Group</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407.11</w:t>
            </w:r>
          </w:p>
        </w:tc>
      </w:tr>
    </w:tbl>
    <w:p>
      <w:pPr>
        <w:spacing w:after="0" w:line="200" w:lineRule="exact"/>
        <w:rPr>
          <w:sz w:val="20"/>
          <w:szCs w:val="20"/>
          <w:color w:val="auto"/>
        </w:rPr>
      </w:pP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3" w:name="page34"/>
    <w:bookmarkEnd w:id="33"/>
    <w:p>
      <w:pPr>
        <w:spacing w:after="0"/>
        <w:tabs>
          <w:tab w:leader="none" w:pos="740" w:val="left"/>
        </w:tabs>
        <w:rPr>
          <w:sz w:val="20"/>
          <w:szCs w:val="20"/>
          <w:color w:val="auto"/>
        </w:rPr>
      </w:pPr>
      <w:r>
        <w:rPr>
          <w:rFonts w:ascii="Times New Roman" w:cs="Times New Roman" w:eastAsia="Times New Roman" w:hAnsi="Times New Roman"/>
          <w:sz w:val="16"/>
          <w:szCs w:val="16"/>
          <w:b w:val="1"/>
          <w:bCs w:val="1"/>
          <w:color w:val="auto"/>
        </w:rPr>
        <w:t>ITEM 6.</w:t>
        <w:tab/>
        <w:t>RESERVED</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7.</w:t>
        <w:tab/>
        <w:t>MANAGEMENT’S DISCUSSION AND ANALYSIS OF FINANCIAL CONDITION AND RESULTS OF OPERATIONS</w:t>
      </w:r>
    </w:p>
    <w:p>
      <w:pPr>
        <w:spacing w:after="0" w:line="1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16"/>
          <w:szCs w:val="16"/>
          <w:color w:val="auto"/>
        </w:rPr>
        <w:t xml:space="preserve">The following discussion and analysis of our business, financial condition and results of operations should be read in conjunction with our audited consolidated financial statements and notes thereto in </w:t>
      </w:r>
      <w:r>
        <w:rPr>
          <w:rFonts w:ascii="Times New Roman" w:cs="Times New Roman" w:eastAsia="Times New Roman" w:hAnsi="Times New Roman"/>
          <w:sz w:val="16"/>
          <w:szCs w:val="16"/>
          <w:u w:val="single" w:color="auto"/>
          <w:color w:val="0000FF"/>
        </w:rPr>
        <w:t>Item 8</w:t>
      </w:r>
      <w:r>
        <w:rPr>
          <w:rFonts w:ascii="Times New Roman" w:cs="Times New Roman" w:eastAsia="Times New Roman" w:hAnsi="Times New Roman"/>
          <w:sz w:val="16"/>
          <w:szCs w:val="16"/>
          <w:color w:val="auto"/>
        </w:rPr>
        <w:t xml:space="preserve"> of this Form 10-K. The discussion below contains forward-looking statements that are based upon our current expectations and is subject to uncertainty and changes in circumstances. Actual results may differ materially from these expectations due to inaccurate assumptions and known or unknown risks and uncertainties, including those identified in “Cautionary Statement Regarding Forward-Looking Statements” and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xml:space="preserve"> “Risk Factors.”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Economic, Market and Regulatory Conditions</w:t>
      </w:r>
    </w:p>
    <w:p>
      <w:pPr>
        <w:spacing w:after="0" w:line="1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We have experienced, and may continue to experience, direct and indirect negative effects on our business and operations from economic, market and regulatory conditions, including the level of interest rates; inflationary effects on the costs of labor, materials and fuel; supply chain disruptions; uncertainty related to the implementation and pace of spending under governmental programs and initiatives related to infrastructure and other industrial investment, delays and uncertainty related to project permitting and/or other regulatory matters or uncertainty, including, but not limited to, as a result of a temporary pause on new and renewed federal permits and leasing for wind turbine projects announced by President Trump in January 2025, with no end date to such pause specified; climate, environmental and sustainability-related matters; changes in technology, tax and other incentives; potential market volatility that could negatively affect demand for future projects, and/or delay existing project timing or cause increased project costs; and public health matters. Additionally, the effects of ongoing geopolitical events that are outside of our control, such as the political unrest and military conflicts in the Middle East and Ukraine, could potentially increase volatility and uncertainty in the energy and capital markets, which could delay projects and/or negatively affect demand for future projects.</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Although the Federal Reserve has periodically lowered short-term interest rates since September 2024, interest rates, particularly long-term rates, remain elevated and the timing, direction and extent of any future interest rate changes remain uncertain. We expect 2025 to continue to be a dynamic macroeconomic environment, with elevated market interest rates and continuing, but moderating levels of cost inflation and potential market volatility, any or all of which could adversely affect our costs and customer demand. These conditions could also affect the cost of capital of both us and our customers, as well as our customers’ plans for capital investments and ongoing maintenance expenditures, which could negatively affect demand for our services. We could also experience negative effects from possible longer-term changes in consumer and customer behavior due to regulatory, climate-related or other factors. In addition, the impact of tariffs and other trade policies, immigration policies, as well as changes in federal government support for renewable power and other infrastructure projects, may have both negative and positive effects on the demand for our services, capital costs, labor costs and availability and costs of our operations.</w:t>
      </w:r>
    </w:p>
    <w:p>
      <w:pPr>
        <w:spacing w:after="0" w:line="7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extent to which general economic, market, political and regulatory conditions could affect our business, operations and financial results is uncertain as it will depend upon numerous evolving factors that we may not be able to accurately predict, and, therefore, any future impacts on our business, financial condition and/or results of operations cannot be quantified or predicted with specificity.</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for discussion pertaining to our business and reportable segments.</w:t>
      </w:r>
    </w:p>
    <w:p>
      <w:pPr>
        <w:spacing w:after="0" w:line="1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2021, we initiated a significant transformation of our end-market business operations to position us for expected future growth opportunities. This transformation included significant business combination activity, including expansion of our scale and capacity in renewable energy, power delivery, heavy civil and telecommunications services, which resulted in significant acquisition and integration costs in prior periods. These acquisition and integration activities were completed in the fourth quarter of 2023.</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Recent acquisitions</w:t>
      </w:r>
      <w:r>
        <w:rPr>
          <w:rFonts w:ascii="Times New Roman" w:cs="Times New Roman" w:eastAsia="Times New Roman" w:hAnsi="Times New Roman"/>
          <w:sz w:val="16"/>
          <w:szCs w:val="16"/>
          <w:color w:val="auto"/>
        </w:rPr>
        <w:t>. During 2024, we completed three acquisitions, including, within our Power Delivery segment, all of the equity interests of a construction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focused on underground utility infrastructure for industrial and municipal projects, with expertise in data center utility systems; certain operations of a heavy civil contractor specializing in transportation projects, which acquisition was included within our Clean Energy and Infrastructure segment; and, within our Pipeline Infrastructure segment, the acquisition of the equity interests of a company focused on pipeline infrastructure and heavy civil projects. In connection with the acquisition within our Pipeline Infrastructure segment, we acquired 60% of the equity interest of the company in exchange for consideration transferred of cash and a 40% equity interest in a MasTec Canadian subsidiary.</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2023, we completed four acquisitions, including, within our Communications segment, certain of the assets of a telecommunications company specializing in wireless services; and a telecommunications construction company specializing in broadband and fiber-to-the-home initiatives in the New England area. Additionally, we acquired certain of the equity interests of two equipment companies, both of which are included within our Pipeline Infrastructure segment.</w:t>
      </w:r>
    </w:p>
    <w:p>
      <w:pPr>
        <w:spacing w:after="0" w:line="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During 2022, we completed five acquisitions including: (i) within our Clean Energy and Infrastructure segment: IEA, a leading utility-scale infrastructure solutions provider in North America, with expertise in renewable energy and heavy civil projects, as well as rail and environmental remediation services; and a company specializing in the production of concrete and aggregate products; (ii) within our Pipeline Infrastructure segment: an infrastructure construction company focusing on water, sewer and utility projects and with expertise in excavation and site work; (iii) within our Communications segment: a telecommunications company specializing in wireline services; and (iv) within our Power Delivery segment: a company specializing in the construction of overhead high voltage transmission lines.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34" w:name="page35"/>
    <w:bookmarkEnd w:id="34"/>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For additional information, see Note 3 - Acquisitions, Goodwill and Other Intangible Assets, Net in the notes to the audited consolidated financial statements, which is incorporated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Economic, Industry and Market Factors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closely monitor the effects of changes in economic, industry and market conditions on our customers, including the potential effects of the factors discussed above in “General Economic, Market and Regulatory Conditions,” which can affect demand for our customers’ products and services and can increase or decrease our customers’ planned capital and maintenance budgets in certain end-markets. Any of these factors and effects, as well as mergers and acquisitions or other business transactions among the customers we serve, could affect demand for our services, or the cost to provide such services and our profitability.</w:t>
      </w:r>
    </w:p>
    <w:p>
      <w:pPr>
        <w:spacing w:after="0" w:line="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6"/>
          <w:szCs w:val="16"/>
          <w:color w:val="auto"/>
        </w:rPr>
        <w:t xml:space="preserve">Changes in demand in our customers’ businesses and fluctuations in market prices for energy sources, including oil and gas products,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We strive to maintain our profit margins through productivity improvements, integration and cost reduction programs and/or business streamlining efforts when operating under conditions of increased pricing pressure or other market developments. Market factors, including elevated rates of interest and inflation and the related effects on labor, materials and fuel costs, have had, and could continue to have, a negative effect on our profitability, to the extent that we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 See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under “Industry Trends” and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xml:space="preserve"> “Risk Factors” under “</w:t>
      </w:r>
      <w:r>
        <w:rPr>
          <w:rFonts w:ascii="Times New Roman" w:cs="Times New Roman" w:eastAsia="Times New Roman" w:hAnsi="Times New Roman"/>
          <w:sz w:val="16"/>
          <w:szCs w:val="16"/>
          <w:i w:val="1"/>
          <w:iCs w:val="1"/>
          <w:color w:val="auto"/>
        </w:rPr>
        <w:t>Unfavorable market conditions, including rising or elevated levels</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i w:val="1"/>
          <w:iCs w:val="1"/>
          <w:color w:val="auto"/>
        </w:rPr>
        <w:t>of inflation or interest rates, changes to tariffs and/or trade policies affecting macroeconomic conditions, including inflation, as well as the industries we serve and related projects and expenditures, access to capital, material and costs, supply chain disruptions or political, regulatory or market uncertainty, including economic downturns and heightened geopolitical tensions and conflicts, could reduce capital expenditures in the industries we serve or could adversely affect our customers and result in decreased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demand for our services.</w:t>
      </w:r>
      <w:r>
        <w:rPr>
          <w:rFonts w:ascii="Times New Roman" w:cs="Times New Roman" w:eastAsia="Times New Roman" w:hAnsi="Times New Roman"/>
          <w:sz w:val="16"/>
          <w:szCs w:val="16"/>
          <w:color w:val="auto"/>
        </w:rPr>
        <w:t>” for discussion pertaining to opportunities in the industries we serve and potential effects of market conditions.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Seasonality and Cyclical Nature of Business</w:t>
      </w:r>
    </w:p>
    <w:p>
      <w:pPr>
        <w:spacing w:after="0" w:line="1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revenue and results of operations can be subject to seasonal and other variations. These variations are influenced by customer spending patterns, bidding seasons, project schedules, weather and/or climate-related effects, holidays, regulatory matters and/or timing, in particular, for large non-recurring projects, and the effects of market uncertainty or disruptions, as described within “Economic, Industry and Market Factors,” above.</w:t>
      </w:r>
    </w:p>
    <w:p>
      <w:pPr>
        <w:spacing w:after="0" w:line="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revenue is generally lower at the beginning of the year and during the winter months because harsher weather such as cold, snowy or wet conditions can delay projects. Revenue is generally higher during the summer and fall months due to increased demand for our services when favorable weather conditions exist in many of the regions in which we operate, but continued cold and wet weather can often affect second quarter project activity and/or productivity. In the fourth quarter, many projects tend to be completed by customers seeking to spend their capital budgets before the end of the year, which can have a positive effect on our revenue. Customers, however, could also curtail certain of their project activities toward the end of the year as they await capital budget allocations for the next year. The holiday season and inclement weather can cause delays, which can reduce revenue and increase costs on affected projects during the related period. Any quarter may be positively or negatively affected by adverse or unusual weather patterns and/or climate-related effects, including warm winter weather, excessive rainfall, flooding or natural catastrophes such as wildfires, hurricanes, excessive winds or other severe weather, making it difficult to predict quarterly revenue and margin variations.</w:t>
      </w:r>
    </w:p>
    <w:p>
      <w:pPr>
        <w:spacing w:after="0" w:line="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Additionally, our industry can be highly cyclical and may be adversely affected by industry declines, changes or delays in new projects, and/or changes in consumer or customer demand. Variations in project schedules or unanticipated changes in project schedules, in particular, in connection with large construction and installation projects, can create fluctuations in revenue, which may adversely affect us in a given quarter, even if not for the full year. In addition, revenue from master service and other service agreements, while generally predictable, can be subject to volatility, including from changes in end market customer demand, customer revenue mix, or project timing. The financial condition of our customers and their access to capital; variations in project margins; regional, national and global economic, political and market conditions; regulatory or environmental influences, including climate-related matters; and acquisitions, dispositions or strategic arrangements can also materially affect quarterly results in a given period. Accordingly, our operating results in any particular period may not be indicative of the results that can be expected for any other period.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Understanding Our Results of Operations</w:t>
      </w:r>
    </w:p>
    <w:p>
      <w:pPr>
        <w:spacing w:after="0" w:line="11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We primarily provide engineering, building, installation, maintenance and upgrade services to our customers. We derive revenue from projects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performed under master and other service agreements as well as from contracts for specific projects requiring the construction and installation of an entire infrastructure system or specified units within an infrastructure system. See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for discussion of our business and revenue-generating activities and “Comparison of Fiscal Year Results” below for revenue results by reportable segment.</w:t>
      </w:r>
    </w:p>
    <w:p>
      <w:pPr>
        <w:spacing w:after="0" w:line="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Costs of revenue, excluding depreciation and amortization, consists principally of employee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compensation, including salaries, employee benefits and incentive compensation; certain other employee expenses, including travel and training; subcontracted services; equipment and facility rentals; fuel and other equipment expenses; repairs and maintenance; materials and supplies; insurance expenses; certain legal and settlement matters; and certain other operating expenses. Project profit is calculated by subtracting a project’s costs of revenue, including project-related depreciation, from project revenue. Project profit and corresponding project margins will generally be reduced if actual costs to complete a project exceed our project cost estimates and we are unable to pass the increased costs to our customers. Estimated losses on contracts, or the excess of the total estimated costs to complete a contract over the contract’s total estimated contract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jc w:val="both"/>
        <w:spacing w:after="0" w:line="280" w:lineRule="auto"/>
        <w:rPr>
          <w:sz w:val="20"/>
          <w:szCs w:val="20"/>
          <w:color w:val="auto"/>
        </w:rPr>
      </w:pPr>
      <w:r>
        <w:rPr>
          <w:rFonts w:ascii="Times New Roman" w:cs="Times New Roman" w:eastAsia="Times New Roman" w:hAnsi="Times New Roman"/>
          <w:sz w:val="16"/>
          <w:szCs w:val="16"/>
          <w:color w:val="auto"/>
        </w:rPr>
        <w:t>transaction price, are recognized in the period in which such losses are determined. Factors impacting our costs of revenue, excluding depreciation and amortization, and project profit, include:</w:t>
      </w:r>
    </w:p>
    <w:p>
      <w:pPr>
        <w:spacing w:after="0" w:line="68" w:lineRule="exact"/>
        <w:rPr>
          <w:sz w:val="20"/>
          <w:szCs w:val="20"/>
          <w:color w:val="auto"/>
        </w:rPr>
      </w:pPr>
    </w:p>
    <w:p>
      <w:pPr>
        <w:jc w:val="both"/>
        <w:ind w:firstLine="972"/>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Project Mix. </w:t>
      </w:r>
      <w:r>
        <w:rPr>
          <w:rFonts w:ascii="Times New Roman" w:cs="Times New Roman" w:eastAsia="Times New Roman" w:hAnsi="Times New Roman"/>
          <w:sz w:val="16"/>
          <w:szCs w:val="16"/>
          <w:color w:val="auto"/>
        </w:rPr>
        <w:t>Revenue mix impacts our overall project margins, as margin opportunities and/or risks can vary by project type, industry, and by segment over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 For example, installation work that is performed on a fixed price basis has a higher level of margin opportunity or risk than maintenance or upgrade work, which is often performed under pre-established fixed price per unit or time and materials pricing arrangements. As a result, changes in project mix between installation work performed on a fixed price basis, and maintenance or upgrade services that are performed under pre-established fixed price per unit or time and materials pricing arrangements, can affect our project margins in a given period.</w:t>
      </w:r>
    </w:p>
    <w:p>
      <w:pPr>
        <w:spacing w:after="0" w:line="83"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Seasonality, Weather and Geographic Mix. </w:t>
      </w:r>
      <w:r>
        <w:rPr>
          <w:rFonts w:ascii="Times New Roman" w:cs="Times New Roman" w:eastAsia="Times New Roman" w:hAnsi="Times New Roman"/>
          <w:sz w:val="16"/>
          <w:szCs w:val="16"/>
          <w:color w:val="auto"/>
        </w:rPr>
        <w:t>Seasonal patterns, which can be affected by weather conditions, can have a significant effect on project margins.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Adverse or favorable weather conditions can affect project margins in a given period. For example, extended periods of rain or snowfall can negatively affect revenue and project margins due to reduced productivity from projects being delayed or temporarily halted. Conversely, when weather remains dry and temperatures are accommodating, more work can be done, sometimes with less cost, which can favorably affect project margins. The level of demand for restoration and storm work, which, by its nature, is unpredictable, can also favorably or negatively affect our revenue composition and project margins in a given period. In addition, the mix of business conducted in different geographic areas can affect project margins due to the particular characteristics of the physical locations where work is being performed, such as mountainous or rocky terrain versus open terrain. Site conditions, including unforeseen underground conditions, can also affect project margins.</w:t>
      </w:r>
    </w:p>
    <w:p>
      <w:pPr>
        <w:spacing w:after="0" w:line="74" w:lineRule="exact"/>
        <w:rPr>
          <w:sz w:val="20"/>
          <w:szCs w:val="20"/>
          <w:color w:val="auto"/>
        </w:rPr>
      </w:pPr>
    </w:p>
    <w:p>
      <w:pPr>
        <w:jc w:val="both"/>
        <w:ind w:firstLine="972"/>
        <w:spacing w:after="0" w:line="264" w:lineRule="auto"/>
        <w:rPr>
          <w:sz w:val="20"/>
          <w:szCs w:val="20"/>
          <w:color w:val="auto"/>
        </w:rPr>
      </w:pPr>
      <w:r>
        <w:rPr>
          <w:rFonts w:ascii="Times New Roman" w:cs="Times New Roman" w:eastAsia="Times New Roman" w:hAnsi="Times New Roman"/>
          <w:sz w:val="16"/>
          <w:szCs w:val="16"/>
          <w:i w:val="1"/>
          <w:iCs w:val="1"/>
          <w:color w:val="auto"/>
        </w:rPr>
        <w:t>Price and Performance Risk</w:t>
      </w:r>
      <w:r>
        <w:rPr>
          <w:rFonts w:ascii="Times New Roman" w:cs="Times New Roman" w:eastAsia="Times New Roman" w:hAnsi="Times New Roman"/>
          <w:sz w:val="16"/>
          <w:szCs w:val="16"/>
          <w:color w:val="auto"/>
        </w:rPr>
        <w:t>. Overall project margins may fluctuate due to project pricing and job conditions, changes in the cost of labor and materials, crew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availability, job productivity and work volume. Job productivity can be affected by factors such as quality of the work crew and equipment, the quality of engineering specifications and designs, availability of skilled labor, environmental or regulatory factors and customer decisions or delays. Job productivity can also be influenced by weather conditions, job conditions and job terrain, such as whether project work is in a right of way that is open or one that has physical obstructions or environmental or legal encumbrances.</w:t>
      </w:r>
    </w:p>
    <w:p>
      <w:pPr>
        <w:spacing w:after="0" w:line="68" w:lineRule="exact"/>
        <w:rPr>
          <w:sz w:val="20"/>
          <w:szCs w:val="20"/>
          <w:color w:val="auto"/>
        </w:rPr>
      </w:pPr>
    </w:p>
    <w:p>
      <w:pPr>
        <w:jc w:val="both"/>
        <w:ind w:firstLine="972"/>
        <w:spacing w:after="0" w:line="273" w:lineRule="auto"/>
        <w:rPr>
          <w:sz w:val="20"/>
          <w:szCs w:val="20"/>
          <w:color w:val="auto"/>
        </w:rPr>
      </w:pPr>
      <w:r>
        <w:rPr>
          <w:rFonts w:ascii="Times New Roman" w:cs="Times New Roman" w:eastAsia="Times New Roman" w:hAnsi="Times New Roman"/>
          <w:sz w:val="16"/>
          <w:szCs w:val="16"/>
          <w:i w:val="1"/>
          <w:iCs w:val="1"/>
          <w:color w:val="auto"/>
        </w:rPr>
        <w:t>Subcontracted Resources</w:t>
      </w:r>
      <w:r>
        <w:rPr>
          <w:rFonts w:ascii="Times New Roman" w:cs="Times New Roman" w:eastAsia="Times New Roman" w:hAnsi="Times New Roman"/>
          <w:sz w:val="16"/>
          <w:szCs w:val="16"/>
          <w:color w:val="auto"/>
        </w:rPr>
        <w:t>. Our use of subcontracted resources in a given period is dependent upon activity levels and the amount and location of existing in-house resources and capacity. Project margins on subcontracted work can vary from those on self-perform work. As a result, changes in the availability and mix of subcontracted resources versus self-perform work can affect our overall project margins.</w:t>
      </w:r>
    </w:p>
    <w:p>
      <w:pPr>
        <w:spacing w:after="0" w:line="74" w:lineRule="exact"/>
        <w:rPr>
          <w:sz w:val="20"/>
          <w:szCs w:val="20"/>
          <w:color w:val="auto"/>
        </w:rPr>
      </w:pPr>
    </w:p>
    <w:p>
      <w:pPr>
        <w:jc w:val="both"/>
        <w:ind w:firstLine="972"/>
        <w:spacing w:after="0" w:line="264" w:lineRule="auto"/>
        <w:rPr>
          <w:sz w:val="20"/>
          <w:szCs w:val="20"/>
          <w:color w:val="auto"/>
        </w:rPr>
      </w:pPr>
      <w:r>
        <w:rPr>
          <w:rFonts w:ascii="Times New Roman" w:cs="Times New Roman" w:eastAsia="Times New Roman" w:hAnsi="Times New Roman"/>
          <w:sz w:val="16"/>
          <w:szCs w:val="16"/>
          <w:i w:val="1"/>
          <w:iCs w:val="1"/>
          <w:color w:val="auto"/>
        </w:rPr>
        <w:t xml:space="preserve">Material versus Labor Costs. </w:t>
      </w:r>
      <w:r>
        <w:rPr>
          <w:rFonts w:ascii="Times New Roman" w:cs="Times New Roman" w:eastAsia="Times New Roman" w:hAnsi="Times New Roman"/>
          <w:sz w:val="16"/>
          <w:szCs w:val="16"/>
          <w:color w:val="auto"/>
        </w:rPr>
        <w:t>In most cases, our customers are responsible for supplying their own materials on projects; however, under certain contracts,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agree to provide all or part of the required materials. Project margins are typically lower on projects where we furnish a significant amount of materials due to the fact that margins on materials are generally lower than margins on labor costs. Therefore, changes in the mix of projects with significant materials requirements could affect our overall project margins.</w:t>
      </w:r>
    </w:p>
    <w:p>
      <w:pPr>
        <w:spacing w:after="0" w:line="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General and Administrative Expense. </w:t>
      </w:r>
      <w:r>
        <w:rPr>
          <w:rFonts w:ascii="Times New Roman" w:cs="Times New Roman" w:eastAsia="Times New Roman" w:hAnsi="Times New Roman"/>
          <w:sz w:val="16"/>
          <w:szCs w:val="16"/>
          <w:color w:val="auto"/>
        </w:rPr>
        <w:t>General and administrative expenses consist principally of employee compensation and benefits, travel expenses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costs for our finance, treasury, benefits, insurance and risk management, legal, facilities, information technology and executive functions. General and administrative expenses also include non-cash stock-based compensation expense, external professional and accounting fees, certain legal and settlement matters, facilities costs, expenses associated with information technology used in administration of the business, gains or losses from the disposal of property and equipment, acquisition costs, including certain costs related to acquisition integration, business streamlining, and, from time to time, certain restructuring charges.</w:t>
      </w:r>
    </w:p>
    <w:p>
      <w:pPr>
        <w:spacing w:after="0" w:line="64"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Interest expense, net, consists of contractual interest expense on outstanding debt obligations, amortization of deferred financing costs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interest expense, including interest expense related to financing arrangements and mandatorily redeemable non-controlling interests. Interest expense is offset, in part, by interest earned on cash and other investments.</w:t>
      </w:r>
    </w:p>
    <w:p>
      <w:pPr>
        <w:spacing w:after="0" w:line="5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Income or Expense. </w:t>
      </w:r>
      <w:r>
        <w:rPr>
          <w:rFonts w:ascii="Times New Roman" w:cs="Times New Roman" w:eastAsia="Times New Roman" w:hAnsi="Times New Roman"/>
          <w:sz w:val="16"/>
          <w:szCs w:val="16"/>
          <w:color w:val="auto"/>
        </w:rPr>
        <w:t>Other income or expense consists primarily of gains or losses from changes to estimated Earn-out accruals, certain legal and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settlements, certain acquisition-related adjustments, gains or losses from, or changes in estimated recoveries from, certain assets, including financial instruments, and certain liabilities, and certain acquisition and integration costs.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Performance Metrics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Our senior management team regularly reviews certain key financial performance metrics within our business, including:</w:t>
      </w:r>
    </w:p>
    <w:p>
      <w:pPr>
        <w:spacing w:after="0" w:line="113" w:lineRule="exact"/>
        <w:rPr>
          <w:sz w:val="20"/>
          <w:szCs w:val="20"/>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and profitability on an overall basis, by reportable segment and for selected projects;</w:t>
      </w:r>
    </w:p>
    <w:p>
      <w:pPr>
        <w:spacing w:after="0" w:line="126"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by customer and by contract type;</w:t>
      </w:r>
    </w:p>
    <w:p>
      <w:pPr>
        <w:spacing w:after="0" w:line="113" w:lineRule="exact"/>
        <w:rPr>
          <w:rFonts w:ascii="Times New Roman" w:cs="Times New Roman" w:eastAsia="Times New Roman" w:hAnsi="Times New Roman"/>
          <w:sz w:val="16"/>
          <w:szCs w:val="16"/>
          <w:color w:val="auto"/>
        </w:rPr>
      </w:pPr>
    </w:p>
    <w:p>
      <w:pPr>
        <w:ind w:left="820" w:hanging="164"/>
        <w:spacing w:after="0" w:line="280"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of revenue, excluding depreciation and amortization; general and administrative expenses; depreciation; amortization; interest expense, net; other income or expense; and provision for income taxes;</w:t>
      </w:r>
    </w:p>
    <w:p>
      <w:pPr>
        <w:spacing w:after="0" w:line="70" w:lineRule="exact"/>
        <w:rPr>
          <w:rFonts w:ascii="Times New Roman" w:cs="Times New Roman" w:eastAsia="Times New Roman" w:hAnsi="Times New Roman"/>
          <w:sz w:val="16"/>
          <w:szCs w:val="16"/>
          <w:color w:val="auto"/>
        </w:rPr>
      </w:pPr>
    </w:p>
    <w:p>
      <w:pPr>
        <w:ind w:left="820" w:hanging="164"/>
        <w:spacing w:after="0" w:line="280" w:lineRule="auto"/>
        <w:tabs>
          <w:tab w:leader="none" w:pos="80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before interest, taxes, depreciation and amortization (“EBITDA”) and adjusted EBITDA, as defined in our non-U.S. GAAP financial measures discussion following the “Comparison of Fiscal Year Results” section below;</w:t>
      </w:r>
    </w:p>
    <w:p>
      <w:pPr>
        <w:spacing w:after="0" w:line="70"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per share and adjusted earnings per share, as defined in our non-U.S. GAAP financial measures discussion;</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sales outstanding, net of contract liabilities (“DSO”), and days payable outstanding;</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net of asset disposals, and investment activities;</w:t>
      </w:r>
    </w:p>
    <w:p>
      <w:pPr>
        <w:spacing w:after="0" w:line="126"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and debt service coverage ratios; and</w:t>
      </w:r>
    </w:p>
    <w:p>
      <w:pPr>
        <w:spacing w:after="0" w:line="113" w:lineRule="exact"/>
        <w:rPr>
          <w:rFonts w:ascii="Times New Roman" w:cs="Times New Roman" w:eastAsia="Times New Roman" w:hAnsi="Times New Roman"/>
          <w:sz w:val="16"/>
          <w:szCs w:val="16"/>
          <w:color w:val="auto"/>
        </w:rPr>
      </w:pPr>
    </w:p>
    <w:p>
      <w:pPr>
        <w:ind w:left="800" w:hanging="144"/>
        <w:spacing w:after="0"/>
        <w:tabs>
          <w:tab w:leader="none" w:pos="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and cash flows.</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6" w:name="page37"/>
    <w:bookmarkEnd w:id="36"/>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Management’s analysis includes detailed discussions and review of its key performance indicators; proposed investments in property and equipment and new business opportunities; acquisition integration and productivity improvement efforts; strategic arrangement opportunities; and working capital and other capital management efforts, among others. Measuring its key performance indicators and other business metrics is an important tool used by management to make informed and timely operational decisions, which we believe can help us improve our performance.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We base our estimates on historical experience and various other assumptions that we believe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spending under governmental programs and initiatives and project permitting issues, and other regulatory matters or uncertainty; supply chain disruptions; climate-related matters; global events, such as military conflicts; and public health matters. These estimates form the basis for making judgments about our operating results and the carrying values of assets and liabilities that are not readily apparent from other sources. Given that management estimates, by their nature, involve judgments regarding future uncertainties, actual results could differ materially from these estimates if conditions change or if certain key assumptions used in making these estimates ultimately prove to be inaccurate. Our accounting policies and critical accounting estimates are reviewed periodically by the Audit Committee of the Board of Directors.</w:t>
      </w:r>
    </w:p>
    <w:p>
      <w:pPr>
        <w:spacing w:after="0" w:line="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believe that our accounting estimates pertaining to: the recognition of revenue and project profit or loss, which we define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acquisitions, valuations of goodwill, intangible assets and acquisition-related contingent consideration; self-insurance liabilities; income taxes; and litigation and other contingencies, are the most critical in the preparation of our consolidated financial statements as they are important to the portrayal of our financial condition and require significant or complex judgment and estimates on the part of management. Actual results could, however, vary materially from these accounting estimates.</w:t>
      </w:r>
    </w:p>
    <w:p>
      <w:pPr>
        <w:spacing w:after="0" w:line="7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Refer to Note 1 - Business, Basis of Presentation and Significant Accounting Policies in the notes to the audited consolidated financial statements, which is incorporated by reference, for a more detailed discussion of our significant accounting policies and critical accounting estimates.</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We recognize revenue from contracts with customers when, or as, control of promised services and goods is transferred to customers. The amount of revenue recognized reflects the consideration to which we expect to be entitled in exchange for the services and goods transferred. We primarily recognize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6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We derive revenue primarily from construction projects performed under: (i) master service and other service agreements, which generally provide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41% of consolidated revenue for the year ended December 31, 2024.</w:t>
      </w:r>
    </w:p>
    <w:p>
      <w:pPr>
        <w:spacing w:after="0" w:line="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Cost estimation processes used for recognizing revenue over time under the cost-to-cost method require management to make significant assumptions and judgments. Total transaction price and cost estimation processes are based primarily on the professional knowledge and experience of our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our profit recognition. Changes in these factors could result in revisions to the amount of revenue recognized in the period in which the revisions are determined, which revisions could materially affect our consolidated results of operations for that period. Provisions for losses on uncompleted contracts are recorded in the period in which such losses are estimated based on management’s experience and judgment. For the year ended December 31, 2024, project profit was affected by less than 5% as a result of changes in contract estimates included in projects that were in process as of December 31, 2023. Changes in recognized revenue, net, as a result of changes in total contract transaction price estimates, including from variable consideration, and/or changes in cost estimates, related to performance obligations satisfied or partially satisfied in prior periods, for the year ended December 31, 2024, positively affected revenue by approximately 0.1%.</w:t>
      </w:r>
    </w:p>
    <w:p>
      <w:pPr>
        <w:spacing w:after="0" w:line="7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Our contracts often require significant services to integrate complex activities and equipment into a single deliverable, and are therefore generally accounted for as a single performance obligation, even when delivering multiple distinct services. Contract amendments and change orders, which are generally not distinct from the existing contract, are typically accounted for as a modification of the existing contract and performance obligation. The majority of our performance obligations are completed within one year.</w:t>
      </w:r>
    </w:p>
    <w:p>
      <w:pPr>
        <w:spacing w:after="0" w:line="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management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our contracts may include variable consideration, which comprises items such as change orders, claims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incentives. Management estimates variable consideration for a performance obligation utilizing estimation methods that we believe best predict the amount of consideration to which we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our favor, or to the extent incentives reflected in transaction prices are not earned, there could be reductions in, or reversals of, previously recognized revenue.</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2024, our contract transaction prices included approximately $139 million of change orders and/or claims for certain contracts that were in the process of being resolved in the ordinary course of our business, including through negotiation, arbitration and other proceedings. These transaction price adjustments, when earned, are included within contract assets or accounts receivable, net of allowance, as appropriate. As of December 31, 2024, these change orders and/or claims primarily related to certain projects in our Clean Energy and Infrastructure and Power Delivery segments. We actively engage with our customers to complete the final approval process for such amounts and generally expect these processes to be completed within one year. Amounts ultimately realized upon final agreement by customers could be higher or lower than such estimated amounts.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Consideration paid generally consists of cash and, from time to time, shares of our common stock, and potential future payments that are contingent upon the acquired business achieving certain levels of earnings in the future, also referred to as “acquisition-related contingent consideration” or “earn-outs.”</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estimate the fair values of our earn-out liabilities using income approaches such as discounted cash flows or option pricing models, both of which incorporate significant inputs not observable in the market (Level 3 inputs), including management’s estimates and entity-specific assumptions, which inputs are evaluated on an ongoing basis. Key assumptions in estimating the fair values of our earn-out liabilities include the discount rate, which, as of December 31, 2024, ranged from 14.0% to 14.5%, with a weighted average rate of 14.2%, and probability-weighted projections of EBITDA. Significant changes in any of these assumptions could result in significantly higher or lower estimated earn-out liabilities.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revisions to fair value estimates, including those relating to facts and circumstances that occur subsequent to the date of acquisition, are reflected as income or expense, as appropriate. See Note 3</w:t>
      </w:r>
    </w:p>
    <w:p>
      <w:pPr>
        <w:ind w:right="20" w:firstLine="8"/>
        <w:spacing w:after="0" w:line="270" w:lineRule="auto"/>
        <w:tabs>
          <w:tab w:leader="none" w:pos="10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Goodwill and Other Intangible Assets, Net in the notes to the audited consolidated financial statements, which is incorporated by reference, for information pertaining to acquisition-related fair value adjustments.</w:t>
      </w:r>
    </w:p>
    <w:p>
      <w:pPr>
        <w:spacing w:after="0" w:line="6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Significant changes in the assumptions or estimates for a particular acquisition or in the underlying acquisition-related valuations, including the expected profitability or cash flows of an acquired business or assumptions related to the existence or amount of the acquired assets or assumed liabilities, could result in materially different estimates of the fair value of net assets acquired for the related acquisition, which could positively or negatively affect our financial results in future periods.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13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have goodwill and intangible assets that have been recorded in connection with our acquisitions of businesses. Goodwill and indefinite-lived intangible assets are not amortized, but instead are tested for impairment at least annually. Finite-lived intangible assets are amortized over their useful lives, which are generally based on contractual or legal rights, in a manner consistent with the pattern in which the related benefits are expected to be consumed.</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perform our annual impairment tests of goodwill and indefinite-lived intangible assets during the fourth quarter of each year, and on a quarterly basis, we monitor these assets for potential indicators of impairment. Goodwill is required to be tested for impairment at the reporting unit level. A reporting unit is an operating segment, or one level below the operating segment, which is referred to as a component.</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reassessed the reporting unit structure of our Power Delivery operating segment in the first quarter of 2024. As a result of this assessment, the reporting units within our Power Delivery operating segment were restructured to more closely align with the segment’s end markets and to better correspond with the operational management reporting structure of the segment, including from the effects of our recent transformative acquisition efforts. Under the new reporting unit structure, each of the five components within our Power Delivery operating segment is a reporting unit. For additional details of the restructuring and the related assessment, refer to Note 1 - Business, Basis of Presentation and Significant Accounting Policies in the notes to the audited consolidated financial statements, which is incorporated by reference.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6"/>
          <w:szCs w:val="16"/>
          <w:color w:val="auto"/>
        </w:rPr>
        <w:t>Following is a summary of goodwill and intangible assets, net, by segment as of December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Communications</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Clean Energy and</w:t>
            </w: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Power Delivery</w:t>
            </w: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320" w:type="dxa"/>
            <w:vAlign w:val="bottom"/>
          </w:tcPr>
          <w:p>
            <w:pPr>
              <w:spacing w:after="0"/>
              <w:rPr>
                <w:sz w:val="16"/>
                <w:szCs w:val="16"/>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(in millions)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2,203.1</w:t>
            </w:r>
          </w:p>
        </w:tc>
        <w:tc>
          <w:tcPr>
            <w:tcW w:w="0" w:type="dxa"/>
            <w:vAlign w:val="bottom"/>
          </w:tcPr>
          <w:p>
            <w:pPr>
              <w:spacing w:after="0"/>
              <w:rPr>
                <w:sz w:val="1"/>
                <w:szCs w:val="1"/>
                <w:color w:val="auto"/>
              </w:rPr>
            </w:pPr>
          </w:p>
        </w:tc>
      </w:tr>
      <w:tr>
        <w:trPr>
          <w:trHeight w:val="213"/>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(in millions)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Percentage of total</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For the year ended December 31, 2024, we performed a qualitative assessment for our goodwill and indefinite-lived intangible assets by examining relevant events and circumstances that could have an effect on their fair values, such as: macroeconomic trends and events, including: levels of inflation, market interest rates and/or supply chain disruptions; industry and/or market conditions, including the potential effects of regulatory and other uncertainty, including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potential effects of longer-term changes in consumer behavior due to regulatory, climate-related or other factors, and other relevant factors or events that could affect earnings and cash flows.</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Based on the results of the qualitative assessments for the year ended December 31, 2024, we performed quantitative testing for (i) two reporting units within the Communications operating segment; (ii) one reporting unit within the Clean Energy and Infrastructure operating segment; and (iii) one reporting unit within the Pipeline Infrastructure operating segment. Factors considered by management in determining the reporting units for which quantitative assessments were performed included the effects of current or expected changes in market conditions on the future business outlook, including, as described above, the potential future effects of macroeconomic trends and events, industry, market and regulatory factors, climate-related or other factors, rates of success on new project awards and levels of operating activity.</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For the reporting units for which quantitative testing was performed, we estimated their fair values using a combination of market and income approaches using Level 3 inputs. Under the market approach, fair values were estimated using published market multiples for comparable companies and applying them to revenue and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We believe the assumptions used in our quantitative goodwill impairment tests are reflective of the risks inherent in the business 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 Significant assumptions used in testing the reporting units included terminal values based on a terminal growth rate of 3.0%, five to seven years of discounted cash flows prior to the terminal value, including revenue growth and EBITDA margin assumptions, and discount rates ranging from 9.5% to 11.0%.</w:t>
      </w:r>
    </w:p>
    <w:p>
      <w:pPr>
        <w:spacing w:after="0" w:line="90"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of the tested reporting units were determined to substantially exceed their carrying values. A 100 basis point increase in the discount rate would not have resulted in any of the tested reporting units’ carrying values exceeding their fair values.</w:t>
      </w:r>
    </w:p>
    <w:p>
      <w:pPr>
        <w:spacing w:after="0" w:line="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2024, we believe that the recorded balances of goodwill and intangible assets are recoverable; however, adverse changes in the assumptions or estimates used in our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goodwill and/or intangible asset impairment charges in future periods. See Note 1 - Business, Basis of Presentation and Significant Accounting Policies and Note 3 - Acquisitions, Goodwill and Other Intangible Assets, Net in the notes to the audited consolidated financial statements, which are incorporated by reference, for additional discussion.</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are self-insured up to the amount of our deductible for our insurance policies. We also manage certain of our insurance liabilities indirectly through our wholly-owned captive insurance company, which reimburses claims up to the applicable insurance limits. Liabilities under our insurance programs are accrued based upon our estimate of the ultimate liability for claims, with assistance from third-party actuaries.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our liability in proportion to other parties and the number of incidents not reported. Accruals are based upon known facts, historical trends and claims experience, loss development patterns and other actuarial assumptions. Although we believe such accruals are adequate, a change in experience or actuarial or management assumptions could materially affect our results of operations in a particular period. As of December 31, 2024, MasTec’s estimated liability for unpaid claims and associated expenses, including incurred but not reported losses related to these policies, totaled $251.0 million.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provision for income taxes uses an effective tax rate based on annual pre-tax income, statutory tax rates, permanent tax differences and tax planning opportunities in the various jurisdictions in which we operate. Significant factors that can affect our annual effective tax rate include management’s assessment of certain tax matters, the location and amount of taxable earnings, changes in certain non-deductible expenses and expected credits. Although we believe our provision for income taxes is accurate and the related assumptions are reasonable, the final outcome of tax</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9" w:name="page40"/>
    <w:bookmarkEnd w:id="39"/>
    <w:p>
      <w:pPr>
        <w:jc w:val="both"/>
        <w:spacing w:after="0" w:line="280" w:lineRule="auto"/>
        <w:rPr>
          <w:sz w:val="20"/>
          <w:szCs w:val="20"/>
          <w:color w:val="auto"/>
        </w:rPr>
      </w:pPr>
      <w:r>
        <w:rPr>
          <w:rFonts w:ascii="Times New Roman" w:cs="Times New Roman" w:eastAsia="Times New Roman" w:hAnsi="Times New Roman"/>
          <w:sz w:val="16"/>
          <w:szCs w:val="16"/>
          <w:color w:val="auto"/>
        </w:rPr>
        <w:t>matters could be materially different from what we currently anticipate, which could result in significant costs or benefits to us. See Note 12 - Income Taxes in the notes to the audited consolidated financial statements, which is incorporated by reference, for additional discussion.</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In the ordinary course of business, there is inherent uncertainty in quantifying income tax positions. We assess our income tax positions and record tax benefits for all years subject to examination based on our evaluation of the facts, circumstances and information available at the reporting date. For those tax positions where it is more likely than not that a tax benefit will be sustained, we have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our financial statements.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file income tax returns in numerous tax jurisdictions, including U.S. federal, most U.S. states and certain foreign jurisdictions. Although we believe our calculations for tax returns are accurate and the positions taken thereon are reasonable, the final outcome of income tax examinations could be materially different from our expectations and the estimates that are reflected in our consolidated financial statements, which could materially affect our results of operations, cash flows and liquidity in the related period.</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Accruals for litigation and contingencies are based on our assessment, including advice of legal counsel, of the expected outcome of litigation or other dispute resolution proceedings and/or the expected resolution of contingencies.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we reassess potential liabilities related to pending claims and litigation and may revise our previous estimates, which could materially affect our results of operations in a given period.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Outlook</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We believe that we are at the intersection of transformative trends and are well-positioned to benefit from significant market opportunities in each of our business segments. Please see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 Industry Trends” for additional information on the outlook for the industries we serve and a detailed discussion of our market opportunities. Our future results could be adversely affected by the matters discussed in the “Cautionary Statement Regarding Forward-Looking Statements,” </w:t>
      </w:r>
      <w:r>
        <w:rPr>
          <w:rFonts w:ascii="Times New Roman" w:cs="Times New Roman" w:eastAsia="Times New Roman" w:hAnsi="Times New Roman"/>
          <w:sz w:val="16"/>
          <w:szCs w:val="16"/>
          <w:u w:val="single" w:color="auto"/>
          <w:color w:val="0000FF"/>
        </w:rPr>
        <w:t>Item 1A.</w:t>
      </w:r>
      <w:r>
        <w:rPr>
          <w:rFonts w:ascii="Times New Roman" w:cs="Times New Roman" w:eastAsia="Times New Roman" w:hAnsi="Times New Roman"/>
          <w:sz w:val="16"/>
          <w:szCs w:val="16"/>
          <w:color w:val="auto"/>
        </w:rPr>
        <w:t xml:space="preserve"> “Risk Factors” and </w:t>
      </w:r>
      <w:r>
        <w:rPr>
          <w:rFonts w:ascii="Times New Roman" w:cs="Times New Roman" w:eastAsia="Times New Roman" w:hAnsi="Times New Roman"/>
          <w:sz w:val="16"/>
          <w:szCs w:val="16"/>
          <w:u w:val="single" w:color="auto"/>
          <w:color w:val="0000FF"/>
        </w:rPr>
        <w:t>Item 3.</w:t>
      </w:r>
      <w:r>
        <w:rPr>
          <w:rFonts w:ascii="Times New Roman" w:cs="Times New Roman" w:eastAsia="Times New Roman" w:hAnsi="Times New Roman"/>
          <w:sz w:val="16"/>
          <w:szCs w:val="16"/>
          <w:color w:val="auto"/>
        </w:rPr>
        <w:t xml:space="preserve"> “Legal Proceedings” of this Form 10-K.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Fiscal Year Results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 Unless otherwise stated, comparisons are for the years ended December 31, 2024 and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9"/>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Borders>
              <w:bottom w:val="single" w:sz="8" w:color="auto"/>
            </w:tcBorders>
          </w:tcPr>
          <w:p>
            <w:pPr>
              <w:spacing w:after="0"/>
              <w:rPr>
                <w:sz w:val="18"/>
                <w:szCs w:val="18"/>
                <w:color w:val="auto"/>
              </w:rPr>
            </w:pPr>
          </w:p>
        </w:tc>
      </w:tr>
      <w:tr>
        <w:trPr>
          <w:trHeight w:val="211"/>
        </w:trPr>
        <w:tc>
          <w:tcPr>
            <w:tcW w:w="5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12,303.5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11,995.9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(17.6)%</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1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w:t>
            </w:r>
          </w:p>
        </w:tc>
      </w:tr>
      <w:tr>
        <w:trPr>
          <w:trHeight w:val="19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2.0 %</w:t>
            </w:r>
          </w:p>
        </w:tc>
        <w:tc>
          <w:tcPr>
            <w:tcW w:w="10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(403.4)%</w:t>
            </w:r>
          </w:p>
        </w:tc>
      </w:tr>
      <w:tr>
        <w:trPr>
          <w:trHeight w:val="21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(245.6)%</w:t>
            </w:r>
          </w:p>
        </w:tc>
      </w:tr>
      <w:tr>
        <w:trPr>
          <w:trHeight w:val="19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0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21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r>
      <w:tr>
        <w:trPr>
          <w:trHeight w:val="19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(49.9)</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212.7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2024 and 2023</w:t>
      </w:r>
    </w:p>
    <w:p>
      <w:pPr>
        <w:spacing w:after="0" w:line="111"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a consolidated basis, revenue increased by $308 million driven by our segment results as follows: revenue increased in our Communications segment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approximately $201 million, or 6%, in our Clean Energy and Infrastructure segment by approximately $130 million, or 3%, in our Pipeline Infrastructure segment by approximately $61 million, or 3%, and decreased in our Power Delivery segment by approximately $53 million or 2%. Acquisitions contributed $43 million of increased revenue for the year ended December 31, 2024 and organic revenue increased by approximately $265 million, or 2% as compared with 2023. See </w:t>
      </w:r>
      <w:r>
        <w:rPr>
          <w:rFonts w:ascii="Times New Roman" w:cs="Times New Roman" w:eastAsia="Times New Roman" w:hAnsi="Times New Roman"/>
          <w:sz w:val="16"/>
          <w:szCs w:val="16"/>
          <w:i w:val="1"/>
          <w:iCs w:val="1"/>
          <w:color w:val="auto"/>
        </w:rPr>
        <w:t>“Analysis of Revenue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EBITDA by Segment” </w:t>
      </w:r>
      <w:r>
        <w:rPr>
          <w:rFonts w:ascii="Times New Roman" w:cs="Times New Roman" w:eastAsia="Times New Roman" w:hAnsi="Times New Roman"/>
          <w:sz w:val="16"/>
          <w:szCs w:val="16"/>
          <w:color w:val="auto"/>
        </w:rPr>
        <w:t>below for additional information and discussion related to segment revenues.</w:t>
      </w:r>
    </w:p>
    <w:p>
      <w:pPr>
        <w:spacing w:after="0" w:line="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Costs of revenue, excluding depreciation and amortization. </w:t>
      </w:r>
      <w:r>
        <w:rPr>
          <w:rFonts w:ascii="Times New Roman" w:cs="Times New Roman" w:eastAsia="Times New Roman" w:hAnsi="Times New Roman"/>
          <w:sz w:val="16"/>
          <w:szCs w:val="16"/>
          <w:color w:val="auto"/>
        </w:rPr>
        <w:t>Higher levels of revenue contributed an increase of $272 million in costs of revenue, excluding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depreciation and amortization, and improved productivity contributed a decrease of approximately $210 million. Costs of revenue, excluding depreciation and amortization, as a percentage of revenue decreased by approximately 170 basis points to 86.8% of revenue in 2024 from 88.5% of revenue in 2023. The basis point decrease was due to a combination of improved project efficiencies and project mix, primarily within our Clean Energy and Infrastructure and Pipeline Infrastructure segments, as well as an $8 million decrease in certain acquisition and integration costs offset, in part, by reduced productivity from the effects of certain overhead costs incurred to maintain operating capacity in support of expected future project work. See </w:t>
      </w:r>
      <w:r>
        <w:rPr>
          <w:rFonts w:ascii="Times New Roman" w:cs="Times New Roman" w:eastAsia="Times New Roman" w:hAnsi="Times New Roman"/>
          <w:sz w:val="16"/>
          <w:szCs w:val="16"/>
          <w:i w:val="1"/>
          <w:iCs w:val="1"/>
          <w:color w:val="auto"/>
        </w:rPr>
        <w:t>“Analysis of Revenue and EBITDA by Segment”</w:t>
      </w:r>
      <w:r>
        <w:rPr>
          <w:rFonts w:ascii="Times New Roman" w:cs="Times New Roman" w:eastAsia="Times New Roman" w:hAnsi="Times New Roman"/>
          <w:sz w:val="16"/>
          <w:szCs w:val="16"/>
          <w:color w:val="auto"/>
        </w:rPr>
        <w:t xml:space="preserve"> below for discussion of operating capacity effects by segment.</w:t>
      </w:r>
    </w:p>
    <w:p>
      <w:pPr>
        <w:spacing w:after="0" w:line="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Depreciation. </w:t>
      </w:r>
      <w:r>
        <w:rPr>
          <w:rFonts w:ascii="Times New Roman" w:cs="Times New Roman" w:eastAsia="Times New Roman" w:hAnsi="Times New Roman"/>
          <w:sz w:val="16"/>
          <w:szCs w:val="16"/>
          <w:color w:val="auto"/>
        </w:rPr>
        <w:t>As a percentage of revenue, depreciation decreased by approximately 60 basis points, due primarily to a net reduction of approximately $34 million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to a change in the depreciable lives of certain machinery and equipment to better align the respective assets’ lives with their expected useful lives, and, in part, from lower levels of property and equipment, net.</w:t>
      </w:r>
    </w:p>
    <w:p>
      <w:pPr>
        <w:spacing w:after="0" w:line="77"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Amortization of intangible assets. </w:t>
      </w:r>
      <w:r>
        <w:rPr>
          <w:rFonts w:ascii="Times New Roman" w:cs="Times New Roman" w:eastAsia="Times New Roman" w:hAnsi="Times New Roman"/>
          <w:sz w:val="16"/>
          <w:szCs w:val="16"/>
          <w:color w:val="auto"/>
        </w:rPr>
        <w:t>The decrease in amortization of intangible assets was due to a combination of the effects of timing of amortization for certain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the completion of amortization for certain intangible assets associated with prior years’ acquisitions. As a percentage of revenue, amortization of intangible assets decreased by approximately 30 basis points as compared with the same period in 2023.</w:t>
      </w:r>
    </w:p>
    <w:p>
      <w:pPr>
        <w:spacing w:after="0" w:line="56"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decrease in general and administrative expenses was primarily due to a $64 million reduction in acquisition and integration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costs, a decrease in information technology expenses and an increase in gains on sales of assets, net, offset, in part, by an increase in compensation expense and the effects of timing of ordinary course legal and other settlement matters. Overall, general and administrative expenses decreased by approximately 30 basis points as a percentage of revenue for the year ended December 31, 2024 as compared with the same period in 2023.</w:t>
      </w:r>
    </w:p>
    <w:p>
      <w:pPr>
        <w:spacing w:after="0" w:line="78"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expense, net. </w:t>
      </w:r>
      <w:r>
        <w:rPr>
          <w:rFonts w:ascii="Times New Roman" w:cs="Times New Roman" w:eastAsia="Times New Roman" w:hAnsi="Times New Roman"/>
          <w:sz w:val="16"/>
          <w:szCs w:val="16"/>
          <w:color w:val="auto"/>
        </w:rPr>
        <w:t>The decrease in interest expense, net, was primarily due to lower average outstanding balances under our credit facility and term loans,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accounted for a reduction in interest expense of $54 million. The decrease in interest expense, net, was offset, in part, by an increase in interest expense from senior notes of approximately $11 million, primarily driven by the second quarter 2024 issuance of our 5.900% Senior Notes. See “Financial Condition, Liquidity and Capital Resources” discussion below for details of our debt instruments.</w:t>
      </w:r>
    </w:p>
    <w:p>
      <w:pPr>
        <w:spacing w:after="0" w:line="6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Equity in earnings of unconsolidated affiliates. </w:t>
      </w:r>
      <w:r>
        <w:rPr>
          <w:rFonts w:ascii="Times New Roman" w:cs="Times New Roman" w:eastAsia="Times New Roman" w:hAnsi="Times New Roman"/>
          <w:sz w:val="16"/>
          <w:szCs w:val="16"/>
          <w:color w:val="auto"/>
        </w:rPr>
        <w:t>For the years ended December 31, 2024 and 2023, equity in earnings from unconsolidated affiliates, net, totaled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approximately $30 million and $31 million, respectively, and related primarily to our investments in the Waha JVs.</w:t>
      </w:r>
    </w:p>
    <w:p>
      <w:pPr>
        <w:spacing w:after="0" w:line="3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Loss on extinguishment of debt. </w:t>
      </w:r>
      <w:r>
        <w:rPr>
          <w:rFonts w:ascii="Times New Roman" w:cs="Times New Roman" w:eastAsia="Times New Roman" w:hAnsi="Times New Roman"/>
          <w:sz w:val="16"/>
          <w:szCs w:val="16"/>
          <w:color w:val="auto"/>
        </w:rPr>
        <w:t>We incurred a loss on debt extinguishment of approximately $11 million for the year ended December 31, 2024 in connection with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second quarter 2024 repayment of our 6.625% IEA Senior Notes and Three-Year Term Loan Facility.</w:t>
      </w:r>
    </w:p>
    <w:p>
      <w:pPr>
        <w:spacing w:after="0" w:line="6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Other expense (income), net. </w:t>
      </w:r>
      <w:r>
        <w:rPr>
          <w:rFonts w:ascii="Times New Roman" w:cs="Times New Roman" w:eastAsia="Times New Roman" w:hAnsi="Times New Roman"/>
          <w:sz w:val="16"/>
          <w:szCs w:val="16"/>
          <w:color w:val="auto"/>
        </w:rPr>
        <w:t>For the year ended December 31, 2024, other expense, net, included approximately $5 million of expense, net, from changes to estimated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Earn-out accruals, approximately $5 million of expense, net, from the changes in the fair value of additional contingent payments to former owners of an acquired business and approximately $6 million of asset impairments related to certain fixed assets, offset, in part, by approximately $3 million of other miscellaneous income, net, including from legal and other settlements. For the year ended December 31, 2023, other income, net, included approximately $13 million of income, net, from changes to estimated Earn-out accruals, approximately $3 million of income from the final settlement and expiration of certain warrants related to the acquisition of IEA, approximately $29 million of other miscellaneous income, including from insurance and other settlements, and approximately $1 million of income from changes in the fair value of additional contingent payments to former owners of an acquired business, offset, in part, by approximately $3 million of impairment losses on an investment.</w:t>
      </w:r>
    </w:p>
    <w:p>
      <w:pPr>
        <w:spacing w:after="0" w:line="6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(Provision for) benefit from income taxes. </w:t>
      </w:r>
      <w:r>
        <w:rPr>
          <w:rFonts w:ascii="Times New Roman" w:cs="Times New Roman" w:eastAsia="Times New Roman" w:hAnsi="Times New Roman"/>
          <w:sz w:val="16"/>
          <w:szCs w:val="16"/>
          <w:color w:val="auto"/>
        </w:rPr>
        <w:t>For the year ended December 31, 2024, our effective tax rate was an expense of 20.5% as compared with a benefit of 42.8%</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same period in 2023. Our effective tax rate for the year ended December 31, 2024 included the effects of a lower state income tax rate and tax credits. For the year ended December 31, 2023, our effective tax rate included a benefit of approximately $8 million related to adjustments resulting from the finalization of our 2022 tax returns and the effects of a net tax benefit of approximately $11 million from share-based payment awards, offset, in part, by an increase in non-deductible expenses.</w:t>
      </w:r>
    </w:p>
    <w:p>
      <w:pPr>
        <w:spacing w:after="0" w:line="60"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Net income attributable to non-controlling interests. </w:t>
      </w:r>
      <w:r>
        <w:rPr>
          <w:rFonts w:ascii="Times New Roman" w:cs="Times New Roman" w:eastAsia="Times New Roman" w:hAnsi="Times New Roman"/>
          <w:sz w:val="16"/>
          <w:szCs w:val="16"/>
          <w:color w:val="auto"/>
        </w:rPr>
        <w:t>Net income attributable to non-controlling interests was $37 million for the year ended December 31, 2024,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compared with $3 million for the same period in 2023. The increase was primarily attributable to increased operating activity, including a full year of results from certain subsidiaries the Company acquired in 2023 which have minority interest holders.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Analysis of Revenue and EBITDA by Segment</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We review our operating results by reportable segment. See Note 13 - Segments and Related Information in the notes to the audited consolidated financial statements, which is incorporated by reference. Our reportable segments are: (1) Communications; (2) Clean Energy and Infrastructure; (3) Power Delivery; (4) Pipeline Infrastructure and (5) Other. Management’s review of segment results includes analyses of trends in revenue, EBITDA and EBITDA margin. EBITDA for segment reporting purposes is calculated consistently with our consolidated EBITDA calculation. EBITDA margin is calculated by dividing EBITDA by revenue for the same period. See the discussion of our non-U.S. GAAP financial measures, including certain adjusted non-U.S. GAAP measures, as described below, following the comparison of results discussion. The following table, which may contain slight summation differences due to rounding, presents revenue, EBITDA and EBITDA margin by segment for the periods indicated (dollar amounts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 the Years Ended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9"/>
            <w:vMerge w:val="restart"/>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w w:val="99"/>
              </w:rPr>
              <w:t>For the Years Ended December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9"/>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3"/>
          </w:tcPr>
          <w:p>
            <w:pPr>
              <w:jc w:val="center"/>
              <w:ind w:left="362"/>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9"/>
          </w:tcPr>
          <w:p>
            <w:pPr>
              <w:jc w:val="center"/>
              <w:ind w:left="222"/>
              <w:spacing w:after="0"/>
              <w:rPr>
                <w:sz w:val="20"/>
                <w:szCs w:val="20"/>
                <w:color w:val="auto"/>
              </w:rPr>
            </w:pPr>
            <w:r>
              <w:rPr>
                <w:rFonts w:ascii="Times New Roman" w:cs="Times New Roman" w:eastAsia="Times New Roman" w:hAnsi="Times New Roman"/>
                <w:sz w:val="16"/>
                <w:szCs w:val="16"/>
                <w:b w:val="1"/>
                <w:bCs w:val="1"/>
                <w:color w:val="auto"/>
              </w:rPr>
              <w:t>EBITDA and EBITDA Margin</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38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96"/>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3,460.0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24.0 %</w:t>
            </w: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Clean Energy and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Infrastructure</w:t>
            </w:r>
          </w:p>
        </w:tc>
        <w:tc>
          <w:tcPr>
            <w:tcW w:w="1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4,092.1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94.1 %</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2,682.1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14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2,133.6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389.4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36.9 %</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NM</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NM</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4.8 %</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2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12,303.5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11,995.9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1,194.1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30.0 %</w:t>
            </w:r>
          </w:p>
        </w:tc>
        <w:tc>
          <w:tcPr>
            <w:tcW w:w="0" w:type="dxa"/>
            <w:vAlign w:val="bottom"/>
          </w:tcPr>
          <w:p>
            <w:pPr>
              <w:spacing w:after="0"/>
              <w:rPr>
                <w:sz w:val="1"/>
                <w:szCs w:val="1"/>
                <w:color w:val="auto"/>
              </w:rPr>
            </w:pPr>
          </w:p>
        </w:tc>
      </w:tr>
      <w:tr>
        <w:trPr>
          <w:trHeight w:val="213"/>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48.4 %</w:t>
            </w:r>
          </w:p>
        </w:tc>
        <w:tc>
          <w:tcPr>
            <w:tcW w:w="0" w:type="dxa"/>
            <w:vAlign w:val="bottom"/>
          </w:tcPr>
          <w:p>
            <w:pPr>
              <w:spacing w:after="0"/>
              <w:rPr>
                <w:sz w:val="1"/>
                <w:szCs w:val="1"/>
                <w:color w:val="auto"/>
              </w:rPr>
            </w:pPr>
          </w:p>
        </w:tc>
      </w:tr>
      <w:tr>
        <w:trPr>
          <w:trHeight w:val="197"/>
        </w:trPr>
        <w:tc>
          <w:tcPr>
            <w:tcW w:w="2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12,303.5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11,995.9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307.5</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950.8</w:t>
            </w:r>
          </w:p>
        </w:tc>
        <w:tc>
          <w:tcPr>
            <w:tcW w:w="100" w:type="dxa"/>
            <w:vAlign w:val="bottom"/>
            <w:tcBorders>
              <w:top w:val="single" w:sz="8" w:color="CCEEFF"/>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7.7 %</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754.9</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26.0 %</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23" w:lineRule="exact"/>
        <w:rPr>
          <w:sz w:val="20"/>
          <w:szCs w:val="20"/>
          <w:color w:val="auto"/>
        </w:rPr>
      </w:pPr>
    </w:p>
    <w:p>
      <w:pPr>
        <w:ind w:left="340" w:right="20" w:hanging="332"/>
        <w:spacing w:after="0" w:line="302" w:lineRule="auto"/>
        <w:tabs>
          <w:tab w:leader="none" w:pos="43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Communications, Clean Energy and Infrastructure and Power Delivery EBITDA included $22.5 million, $37.1 million and $8.5 million, respectively, of acquisition and integration costs related to our recent acquisitions, and Corporate EBITDA included $3.8 million of such costs.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Communications Segment Results</w:t>
      </w:r>
    </w:p>
    <w:p>
      <w:pPr>
        <w:spacing w:after="0" w:line="113"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in revenue was driven primarily by higher levels of wireless, wireline and utility project activity due, in part, to customer project timing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wireless and wireline businesses. These increases were offset, in part, by a decrease in our install-to-the-home project activity due, in part, to changes in consumer behavior resulting in lower demand.</w:t>
      </w:r>
    </w:p>
    <w:p>
      <w:pPr>
        <w:spacing w:after="0" w:line="5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140 basis points, or $48 million, due to improved project efficiencies, including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wireless and wireline businesses, and as a result of a reduction of approximately $23 million in certain acquisition and integration costs. Higher levels of revenue resulted in an increase in EBITDA of approximately $17 million.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Clean Energy and Infrastructure Segment Results</w:t>
      </w:r>
    </w:p>
    <w:p>
      <w:pPr>
        <w:spacing w:after="0" w:line="12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increase was primarily due to higher levels of heavy civil project activity, offset, in part, by lower levels of renewable and certain industrial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other infrastructure project work, due to various factors affecting timing of project work.</w:t>
      </w:r>
    </w:p>
    <w:p>
      <w:pPr>
        <w:spacing w:after="0" w:line="4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290 basis points, or $120 million, due to a combination of improved productivity,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efficiencies, including from certain renewable, industrial and infrastructure project work, and a reduction of approximately $37 million in certain acquisition and integration costs, offset, in part, by the effects of certain overhead costs incurred to maintain operating capacity in support of expected future project work. Higher levels of revenue resulted in an increase in EBITDA of approximately $4 million.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Power Delivery Segment Results</w:t>
      </w:r>
    </w:p>
    <w:p>
      <w:pPr>
        <w:spacing w:after="0" w:line="1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Revenue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2024, acquisitions contributed $19 million of revenue, whereas organic revenue decreased by approximately $72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million as compared with 2023, due primarily to lower levels of project activity, including timing-related decreases in transmission and distribution-related project work, including due to regulatory effects, as well as lower levels of certain facilities and infrastructure-related project work. These decreases were offset, in part, by an increase in substation-related project activity, as well as emergency storm restoration services.</w:t>
      </w:r>
    </w:p>
    <w:p>
      <w:pPr>
        <w:spacing w:after="0" w:line="6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decreased by approximately 60 basis points, or $16 million, due to a combination of reduced project efficiencies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mix, including from the effects of certain overhead costs incurred to maintain operating capacity in support of expected future project work, including due to regulatory effects, offset, in part, by a reduction of approximately $9 million in certain acquisition and integration costs. Lower levels of revenue contributed a decrease in EBITDA of approximately $4 million.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color w:val="auto"/>
        </w:rPr>
        <w:t>Pipeline Infrastructure Segment Results</w:t>
      </w:r>
    </w:p>
    <w:p>
      <w:pPr>
        <w:spacing w:after="0" w:line="11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Revenue. </w:t>
      </w:r>
      <w:r>
        <w:rPr>
          <w:rFonts w:ascii="Times New Roman" w:cs="Times New Roman" w:eastAsia="Times New Roman" w:hAnsi="Times New Roman"/>
          <w:sz w:val="16"/>
          <w:szCs w:val="16"/>
          <w:color w:val="auto"/>
        </w:rPr>
        <w:t>The increase was due primarily to higher levels of project activity, including from project timing-related increases in midstream project activity due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improved market and regulatory conditions, and increases in other pipeline project activity, offset, in part, by a reduction in large-diameter project activity, pipeline integrity services and other infrastructure-related work.</w:t>
      </w:r>
    </w:p>
    <w:p>
      <w:pPr>
        <w:spacing w:after="0" w:line="7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As a percentage of revenue, EBITDA increased by approximately 450 basis points, or $97 million, due primarily to project efficiencies and improved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productivity, including as a result of improved operating leverage from higher levels of revenue, as well as the effects of project mix. Higher levels of revenue contributed an increase in EBITDA of approximately $8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Segment Results</w:t>
      </w:r>
    </w:p>
    <w:p>
      <w:pPr>
        <w:spacing w:after="0" w:line="11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EBITDA from Other businesses relates primarily to equity in earnings from our investments in the Waha JVs, offset, in part, by losses from other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businesses and investments.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Results</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EBITDA. </w:t>
      </w:r>
      <w:r>
        <w:rPr>
          <w:rFonts w:ascii="Times New Roman" w:cs="Times New Roman" w:eastAsia="Times New Roman" w:hAnsi="Times New Roman"/>
          <w:sz w:val="16"/>
          <w:szCs w:val="16"/>
          <w:color w:val="auto"/>
        </w:rPr>
        <w:t>For the year ended December 31, 2024, Corporate EBITDA included approximately $11 million of a loss on debt extinguishment, $5 million of expense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changes to estimated Earn-out accruals, and $5 million of expense from the changes in the fair value of additional contingent payments to former owners of an acquired business. For the year ended December 31, 2023, Corporate EBITDA included approximately $13 million of income, net, from changes to estimated Earn-out accruals, $3 million of income from the final settlement and expiration of certain warrants related to the acquisition of IEA, and $1 million of income from the changes in the fair value of additional contingent payments to former owners of an acquired business. Corporate expenses for the year ended December 31, 2024 not related to the above-described items increased by approximately $41 million as compared with the same period in 2023, due primarily to the effects of timing of ordinary course legal and other settlement matters, increases in compensation expense, information technology, travel, and other administrative expenses, offset, in part, by a reduction in professional fees and certain acquisition and integration costs.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2023 and 2022</w:t>
      </w:r>
    </w:p>
    <w:p>
      <w:pPr>
        <w:spacing w:after="0" w:line="1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Refer to Item 7. “Management’s Discussion and Analysis of Financial Condition and Results of Operations - Comparison of Years Ended December 31, 2023 and 2022” of the Company’s 2023 Annual Report on Form 10-K (“the 2023 Form 10-K”) for a comparison of results for the years ended December 31, 2023 and 2022, which discussion is incorporated herein by reference.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Operations</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Our foreign operations are primarily in Canada. See Note 13 - Segments and Related Information in the notes to the audited consolidated financial statements, which is incorporated by reference.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Non-U.S. GAAP Financial Measures</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adjusted net income attributable to MasTec, Inc. (“Adjusted Net Income Attributable to MasTec, Inc.”) and adjusted diluted earnings per share (“Adjusted Diluted Earnings Per Share”). These “adjusted” non-U.S. GAAP measures exclude, as applicable to the respective periods, non-cash stock-based compensation expense; loss on extinguishment of debt; changes in fair value of acquisition-related contingent items; acquisition and integration costs related to certain acquisition activity, as more fully described below; fair value gains or losses, net, on an investment; project results from an acquisition-related proportionately consolidated non-controlled Canadian joint venture that was underway at the time of the related acquisition, which joint venture was managed by a third party and automatically terminated upon completion of the project; the bargain purchase gain from a prior year acquisition; and, for Adjusted Net Income, Adjusted Net Income Attributable to MasTec, Inc. and Adjusted Diluted Earnings Per Share, amortization of intangible assets, the effects of statutory and other tax rate changes,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9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We use EBITDA and Adjusted EBITDA, as well as Adjusted Net Income, Adjusted Net Income Attributable to MasTec, Inc. and Adjusted Diluted Earnings Per Share, to evaluate our performance, both internally and as compared with our peers, because these measures exclude certain items that may not be indicative of our core, or underlying, operating results, as well as items that can vary widely across different industries or among companies within the same industry. We believe that these adjusted measures provide a baseline for analyzing trends in our underlying business. We also use these adjusted measures to allocate resources.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Our computation of non-U.S. GAAP financial measures now excludes the effects of changes in fair value of acquisition-related contingent items due to their non-operational nature and inherent volatility, as activity varies from period to period. Acquisition-related contingent items consist of (i) changes in fair value of acquisition-related contingent consideration, which is composed of earn-outs, that are contingent upon the achievement of reaching certain post-acquisition levels of earnings and (ii) changes in fair value of additional payments in connection with the 2021 acquisition of Henkels &amp; McCoy Holdings, Inc. based on the fluctuation of our share price and are contingent upon the post-acquisition collections of certain receivables. We believe that this presentation is common practice within our industry and improves comparability of our results with those of our peers. Accordingly, all prior year periods have been updated to conform with this revised presentation. See Note 3 - Acquisitions, Goodwill and Other Intangible Assets, Net and Note 4 - Fair Value of Financial Instruments in the notes to the audited consolidated financial statements, which is incorporated by reference, for additional details regarding these acquisition-related contingent items.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3" w:name="page44"/>
    <w:bookmarkEnd w:id="43"/>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2021, we initiated a significant transformation of our end-market business operations to focus on the nation’s transition to low-carbon energy sources and position the Company for expected future opportunities. This transformation included significant acquisition activity to expand our scale and capacity in renewable energy, power delivery, heavy civil and telecommunications services, and resulted in significant acquisition and integration costs. Due to the extent of the acquisition costs related to this acquisition activity and the extent of the efforts that were required to integrate these acquisitions, we have excluded acquisition and integration costs related to this acquisition activity in our computation of non-U.S. GAAP financial measures. These acquisition and integration activities were completed in the fourth quarter of 2023.</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adjusted results also exclude fair value gains or losses, net, for our investment in American Virtual Cloud Technologies, Inc. (“AVCT”). We believe that fair value gains or losses for our investment in AVCT, a company in which we had no active involvement and for which fair value activity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We exclude intangible asset amortization and selected purchase accounting adjustments, including the bargain purchase gain from a prior year acquisition, from our non-U.S. GAAP financial measures due to their non-operational nature and inherent volatility, as acquisition activity varies from period to period. We believe that this presentation is common practice within our industry and improves comparability of our results with those of our peers. Note that while intangible asset amortization related to the assets of acquired entities is excluded from our non-U.S. GAAP financial measures, the revenue and all other expenses of the acquired entities are included within our non-U.S. GAAP financial measures, unless otherwise stated. We have also excluded the effects of statutory and other tax rate changes from Adjusted Net Income and Adjusted Diluted Earnings Per Share given their inherent volatility due to uncertainty with regard to our future geographic footprint and the associated tax rates, which may vary significantly from period to period, and, for statutory tax rate changes, due to their non-operational nature.</w:t>
      </w:r>
    </w:p>
    <w:p>
      <w:pPr>
        <w:spacing w:after="0" w:line="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Each company’s definitions of these adjusted measures may vary as they are not standardized and should be used together with the provided reconciliations.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72"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following table presents a reconciliation of net income to EBITDA and Adjusted EBITDA in dollar and percentage of revenue terms, for the periods indicated. The tables below (dollar amounts in millions) may contain slight summation differences due to rounding.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4"/>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7"/>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950.8</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200" w:type="dxa"/>
            <w:vAlign w:val="bottom"/>
          </w:tcPr>
          <w:p>
            <w:pPr>
              <w:spacing w:after="0"/>
              <w:rPr>
                <w:sz w:val="18"/>
                <w:szCs w:val="18"/>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Losses, net, on fair value of investment</w:t>
            </w: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200" w:type="dxa"/>
            <w:vAlign w:val="bottom"/>
          </w:tcPr>
          <w:p>
            <w:pPr>
              <w:spacing w:after="0"/>
              <w:rPr>
                <w:sz w:val="18"/>
                <w:szCs w:val="18"/>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7"/>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854"/>
        </w:trPr>
        <w:tc>
          <w:tcPr>
            <w:tcW w:w="55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9"/>
        </w:trPr>
        <w:tc>
          <w:tcPr>
            <w:tcW w:w="5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6"/>
          <w:szCs w:val="16"/>
          <w:color w:val="auto"/>
        </w:rPr>
        <w:t>A reconciliation of EBITDA and EBITDA margin to Adjusted EBITDA and Adjusted EBITDA margin by segment for the periods indicated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9"/>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1"/>
        </w:trPr>
        <w:tc>
          <w:tcPr>
            <w:tcW w:w="5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1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662.5</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Non-cash stock-based compensation expense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6"/>
        </w:trPr>
        <w:tc>
          <w:tcPr>
            <w:tcW w:w="5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 on extinguishment of debt </w:t>
            </w:r>
            <w:r>
              <w:rPr>
                <w:rFonts w:ascii="Times New Roman" w:cs="Times New Roman" w:eastAsia="Times New Roman" w:hAnsi="Times New Roman"/>
                <w:sz w:val="21"/>
                <w:szCs w:val="21"/>
                <w:color w:val="auto"/>
                <w:vertAlign w:val="superscript"/>
              </w:rPr>
              <w:t>(a)</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Changes in fair value of acquisition-related contingent items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5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Acquisition and integration costs </w:t>
            </w:r>
            <w:r>
              <w:rPr>
                <w:rFonts w:ascii="Times New Roman" w:cs="Times New Roman" w:eastAsia="Times New Roman" w:hAnsi="Times New Roman"/>
                <w:sz w:val="21"/>
                <w:szCs w:val="21"/>
                <w:color w:val="auto"/>
                <w:vertAlign w:val="superscript"/>
              </w:rPr>
              <w:t>(b)</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Losses, net, on fair value of investment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6"/>
        </w:trPr>
        <w:tc>
          <w:tcPr>
            <w:tcW w:w="552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Project results from non-controlled joint venture </w:t>
            </w:r>
            <w:r>
              <w:rPr>
                <w:rFonts w:ascii="Times New Roman" w:cs="Times New Roman" w:eastAsia="Times New Roman" w:hAnsi="Times New Roman"/>
                <w:sz w:val="21"/>
                <w:szCs w:val="21"/>
                <w:color w:val="auto"/>
                <w:vertAlign w:val="superscript"/>
              </w:rPr>
              <w:t>(c)</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16"/>
        </w:trPr>
        <w:tc>
          <w:tcPr>
            <w:tcW w:w="552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Bargain purchase gain </w:t>
            </w:r>
            <w:r>
              <w:rPr>
                <w:rFonts w:ascii="Times New Roman" w:cs="Times New Roman" w:eastAsia="Times New Roman" w:hAnsi="Times New Roman"/>
                <w:sz w:val="21"/>
                <w:szCs w:val="21"/>
                <w:color w:val="auto"/>
                <w:vertAlign w:val="superscript"/>
              </w:rPr>
              <w:t>(a)</w:t>
            </w:r>
          </w:p>
        </w:tc>
        <w:tc>
          <w:tcPr>
            <w:tcW w:w="18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 Delivery</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13"/>
        </w:trPr>
        <w:tc>
          <w:tcPr>
            <w:tcW w:w="5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Pipeline Infrastructure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14.1 %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207"/>
        </w:trPr>
        <w:tc>
          <w:tcPr>
            <w:tcW w:w="5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883.4</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r>
      <w:tr>
        <w:trPr>
          <w:trHeight w:val="21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846.4</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777.2</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Percentage is not meaningful</w:t>
      </w:r>
    </w:p>
    <w:p>
      <w:pPr>
        <w:spacing w:after="0" w:line="123" w:lineRule="exact"/>
        <w:rPr>
          <w:sz w:val="20"/>
          <w:szCs w:val="20"/>
          <w:color w:val="auto"/>
        </w:rPr>
      </w:pPr>
    </w:p>
    <w:p>
      <w:pPr>
        <w:ind w:left="340" w:right="60" w:hanging="332"/>
        <w:spacing w:after="0" w:line="291" w:lineRule="auto"/>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stock-based compensation expense, loss on extinguishment of debt, changes in fair value of acquisition-related contingent items, losses, net, on the fair value of an investment and the bargain purchase gain from a prior year acquisition are included within Corporate EBITDA.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5" w:lineRule="auto"/>
        <w:tabs>
          <w:tab w:leader="none" w:pos="43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Communications, Clean Energy and Infrastructure and Power Delivery EBITDA included $22.5 million, $37.1 million and $8.5 million, respectively, of acquisition and integration costs, and Corporate EBITDA included $3.8 million of such costs. For the year ended December 31, 2022, $4.7 million, $6.4 million, $39.0 million and $8.0 million of such costs were included within Communications, Clean Energy and Infrastructure, Power Delivery and Pipeline Infrastructure EBITDA, respectively, and Corporate EBITDA included $27.9 million of such costs.</w:t>
      </w:r>
    </w:p>
    <w:p>
      <w:pPr>
        <w:spacing w:after="0" w:line="1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 results from a non-controlled joint venture are included within Other segment EBITDA.</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5" w:name="page46"/>
    <w:bookmarkEnd w:id="45"/>
    <w:p>
      <w:pPr>
        <w:jc w:val="both"/>
        <w:ind w:firstLine="648"/>
        <w:spacing w:after="0" w:line="283" w:lineRule="auto"/>
        <w:rPr>
          <w:sz w:val="20"/>
          <w:szCs w:val="20"/>
          <w:color w:val="auto"/>
        </w:rPr>
      </w:pPr>
      <w:r>
        <w:rPr>
          <w:rFonts w:ascii="Times New Roman" w:cs="Times New Roman" w:eastAsia="Times New Roman" w:hAnsi="Times New Roman"/>
          <w:sz w:val="16"/>
          <w:szCs w:val="16"/>
          <w:color w:val="auto"/>
        </w:rPr>
        <w:t>The tables below, which may contain slight summation differences due to rounding, reconcile reported net income and reported diluted earnings per share, the most directly comparable U.S. GAAP financial measures, to Adjusted Net Income, Adjusted Net Income Attributable to MasTec, Inc. and Adjusted Diluted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5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5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net, on fair value of investment</w:t>
            </w:r>
          </w:p>
        </w:tc>
        <w:tc>
          <w:tcPr>
            <w:tcW w:w="9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5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9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9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39"/>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w:t>
            </w:r>
          </w:p>
        </w:tc>
      </w:tr>
      <w:tr>
        <w:trPr>
          <w:trHeight w:val="25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9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r>
      <w:tr>
        <w:trPr>
          <w:trHeight w:val="257"/>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tc>
        <w:tc>
          <w:tcPr>
            <w:tcW w:w="9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 attributable to MasTec, Inc.</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w:t>
            </w: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fair value of acquisition-related contingent items</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and integration costs</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net, on fair value of investment</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Project results from non-controlled joint venture</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12"/>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adjustments, pre-tax</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5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Income tax effect of adjustments </w:t>
            </w:r>
            <w:r>
              <w:rPr>
                <w:rFonts w:ascii="Times New Roman" w:cs="Times New Roman" w:eastAsia="Times New Roman" w:hAnsi="Times New Roman"/>
                <w:sz w:val="21"/>
                <w:szCs w:val="21"/>
                <w:color w:val="auto"/>
                <w:vertAlign w:val="superscript"/>
              </w:rPr>
              <w:t>(a)</w:t>
            </w:r>
          </w:p>
        </w:tc>
        <w:tc>
          <w:tcPr>
            <w:tcW w:w="9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r>
      <w:tr>
        <w:trPr>
          <w:trHeight w:val="25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Statutory and other tax rate effects </w:t>
            </w:r>
            <w:r>
              <w:rPr>
                <w:rFonts w:ascii="Times New Roman" w:cs="Times New Roman" w:eastAsia="Times New Roman" w:hAnsi="Times New Roman"/>
                <w:sz w:val="21"/>
                <w:szCs w:val="21"/>
                <w:color w:val="auto"/>
                <w:vertAlign w:val="superscript"/>
              </w:rPr>
              <w:t>(b)</w:t>
            </w:r>
          </w:p>
        </w:tc>
        <w:tc>
          <w:tcPr>
            <w:tcW w:w="9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r>
    </w:tbl>
    <w:p>
      <w:pPr>
        <w:spacing w:after="0" w:line="166" w:lineRule="exact"/>
        <w:rPr>
          <w:sz w:val="20"/>
          <w:szCs w:val="20"/>
          <w:color w:val="auto"/>
        </w:rPr>
      </w:pPr>
    </w:p>
    <w:p>
      <w:pPr>
        <w:jc w:val="both"/>
        <w:ind w:left="340" w:hanging="332"/>
        <w:spacing w:after="0" w:line="271" w:lineRule="auto"/>
        <w:tabs>
          <w:tab w:leader="none" w:pos="33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years ended December 31, 2024 and 2022, our consolidated tax amounts were expenses, with effective tax rates, as reported, of 20.5% and 21.3%, respectively, and for the year ended December 31, 2023, such amount was a benefit, with effective tax rates, as reported, of 42.8%. For the years ended December 31, 2024, 2023 and 2022, our consolidated tax amounts, as adjusted, were expenses with effective tax rates of 21.8%, 19.1% and 21.2%, respectively.</w:t>
      </w:r>
    </w:p>
    <w:p>
      <w:pPr>
        <w:spacing w:after="0" w:line="9"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effects of statutory and other tax rate changes for the years ended December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refinance, extend the terms of our existing indebtedness, retire outstanding debt, borrow additional funds, which may include borrowings under our Credit Facility or debt issuances, or repurchase additional shares of our outstanding common stock under share repurchase authorizations, any of which may require our use of cash. See</w:t>
      </w: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46" w:name="page47"/>
    <w:bookmarkEnd w:id="46"/>
    <w:p>
      <w:pPr>
        <w:jc w:val="both"/>
        <w:spacing w:after="0" w:line="272" w:lineRule="auto"/>
        <w:rPr>
          <w:sz w:val="20"/>
          <w:szCs w:val="20"/>
          <w:color w:val="auto"/>
        </w:rPr>
      </w:pPr>
      <w:r>
        <w:rPr>
          <w:rFonts w:ascii="Times New Roman" w:cs="Times New Roman" w:eastAsia="Times New Roman" w:hAnsi="Times New Roman"/>
          <w:sz w:val="16"/>
          <w:szCs w:val="16"/>
          <w:color w:val="auto"/>
        </w:rPr>
        <w:t>Note 7 - Debt in the notes to the audited consolidated financial statements in this Form 10-K, which is incorporated by reference, for details of our recent debt transactions, including our $550.0 million offering of 5.900% Senior Notes, the repayment of our $400.0 million Three-Year Term Loan Facility and the redemption of our 6.625% IEA Senior Notes.</w:t>
      </w:r>
    </w:p>
    <w:p>
      <w:pPr>
        <w:spacing w:after="0" w:line="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Capital Expenditures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the year ended December 31, 2024, we spent approximately $149 million on capital expenditures, or $83 million, net of asset disposals,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incurred approximately $151 million of equipment purchases under finance leases and other financing arrangements. We estimate that we will spend approximately $170 million on capital expenditures, or approximately $120 million, net of asset disposals, in 2025, and we expect to incur approximately $160 million of equipment purchases under finance leases and other financing arrangements. Actual capital expenditures may increase or decrease in the future depending upon business activity levels, as well as ongoing assessments of equipment lease and other financing arrangements versus purchase decisions based on management’s evaluation of short and long-term equipment requirements.</w:t>
      </w:r>
    </w:p>
    <w:p>
      <w:pPr>
        <w:spacing w:after="0" w:line="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Acquisitions and Earn-Out Liabilities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typically utilize cash for business acquisitions and other strategic arrangements, and for the year ended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2024, we used $80 million of cash for this purpose. In addition, in most of our acquisitions, we have agreed to make future payments to the sellers that are contingent upon the future earnings performance of the acquired businesses, which we also refer to as “Earn-out” payments. From time to time, our acquisitions may contain certain additional payments if specified conditions are met. Earn-out payments may be paid in cash or, under specific circumstances, MasTec common stock, or a combination thereof, generally at our option. The estimated total value of future Earn-out liabilities as of December 31, 2024 was approximately $113 million. Of this amount, approximately $21 million represents the liability for earned amounts. The remainder is management’s estimate of Earn-out liabilities that are contingent upon future performance. For the years ended December 31, 2024, 2023 and 2022, we made $26 million, $39 million and $38 million, respectively, of payments related to our Earn-out liabilities.</w:t>
      </w:r>
    </w:p>
    <w:p>
      <w:pPr>
        <w:spacing w:after="0" w:line="2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acquisition of HMG in 2021 provided for certain additional payments to be made to the sellers if certain acquired receivables are collected, which we refer to as the “Additional Payments.” As of December 31, 2024, the estimated fair value of remaining Additional Payments was approximately $14 million, which for the year ended December 31, 2024, includes the effect of fair value adjustments related to the contingent shares totaling losses of approximately $5.5 million. The number of shares that would be paid in connection with the remaining Additional Payments as of December 31, 2024 is approximately 50,000 shares.</w:t>
      </w:r>
    </w:p>
    <w:p>
      <w:pPr>
        <w:spacing w:after="0" w:line="67" w:lineRule="exact"/>
        <w:rPr>
          <w:sz w:val="20"/>
          <w:szCs w:val="20"/>
          <w:color w:val="auto"/>
        </w:rPr>
      </w:pPr>
    </w:p>
    <w:p>
      <w:pPr>
        <w:jc w:val="both"/>
        <w:ind w:right="20"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Income Taxes. </w:t>
      </w:r>
      <w:r>
        <w:rPr>
          <w:rFonts w:ascii="Times New Roman" w:cs="Times New Roman" w:eastAsia="Times New Roman" w:hAnsi="Times New Roman"/>
          <w:sz w:val="16"/>
          <w:szCs w:val="16"/>
          <w:color w:val="auto"/>
        </w:rPr>
        <w:t>Tax payments, net of tax refunds, totaled $44 million, $10 million and $9 million for the years ended December 31, 2024, 2023 and 2022. Our tax</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payments vary with changes in taxable income and earnings based on estimates of full year taxable income activity and estimated tax rates.</w:t>
      </w:r>
    </w:p>
    <w:p>
      <w:pPr>
        <w:spacing w:after="0" w:line="3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Working Capital. </w:t>
      </w:r>
      <w:r>
        <w:rPr>
          <w:rFonts w:ascii="Times New Roman" w:cs="Times New Roman" w:eastAsia="Times New Roman" w:hAnsi="Times New Roman"/>
          <w:sz w:val="16"/>
          <w:szCs w:val="16"/>
          <w:color w:val="auto"/>
        </w:rPr>
        <w:t>We need working capital to support seasonal and other variations in our business, primarily related to the effects of weather conditions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outdoor construction and maintenance work and the spending patterns of our customers, both of which influence the timing of associated spending to support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Working capital requirements also tend to increase when we commence multiple projects or particularly large projects because labor, including subcontractor costs, and certain other costs, including inventory and materials requirements, typically become payable before the receivables resulting from work performed are collected. The timing of billings and project close-outs can also contribute to changes in billed and unbilled revenue. As of December 31, 2024, we expect that substantially all of our unbilled receivables will be billed to customers in the normal course of business within the next twelve months. Total accounts receivable, which consists of contract billings, unbilled receivables and retainage, net of allowance, totaled approximately $2.9 billion as of December 31, 2024 as compared with $3.1 billion as of December 31, 2023, due primarily to a decrease in DSO and timing of project billings and collections.</w:t>
      </w:r>
    </w:p>
    <w:p>
      <w:pPr>
        <w:spacing w:after="0" w:line="73" w:lineRule="exact"/>
        <w:rPr>
          <w:sz w:val="20"/>
          <w:szCs w:val="20"/>
          <w:color w:val="auto"/>
        </w:rPr>
      </w:pPr>
    </w:p>
    <w:p>
      <w:pPr>
        <w:jc w:val="both"/>
        <w:ind w:firstLine="498"/>
        <w:spacing w:after="0" w:line="261" w:lineRule="auto"/>
        <w:rPr>
          <w:sz w:val="20"/>
          <w:szCs w:val="20"/>
          <w:color w:val="auto"/>
        </w:rPr>
      </w:pPr>
      <w:r>
        <w:rPr>
          <w:rFonts w:ascii="Times New Roman" w:cs="Times New Roman" w:eastAsia="Times New Roman" w:hAnsi="Times New Roman"/>
          <w:sz w:val="16"/>
          <w:szCs w:val="16"/>
          <w:color w:val="auto"/>
        </w:rPr>
        <w:t>Our payment billing terms are generally net 30 days, and some of our contracts allow our customers to retain a portion of the contract amount, generally from 5% to 10% of billings, until the job is completed, which amounts are referred to as “retainage.”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the mobilization of assets and/or crew to project sites and/or for materials purchases up to specified amounts. Vendor terms are generally 30 to 45 days. Our agreements with subcontractors often contain a “pay-if-paid” provision, whereby our payments are contractually due to subcontractors only after we are paid by our customers.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Financial Condition, Liquidity and Capital Resources</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Including our current assessment of general economic and market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as well as potential acquisition, strategic arrangement and investment funding requirements and/or share repurchase activity and other liquidity needs for the next twelve months and the foreseeable future.</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Sources and Uses of Cash</w:t>
      </w:r>
    </w:p>
    <w:p>
      <w:pPr>
        <w:spacing w:after="0" w:line="129"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December 31, 2024, we had approximately $653 million in working capital, defined as current assets less current liabilities, as compared with $1,137 million as of December 31, 2023, a decrease of approximately $484 million. Cash and cash equivalents totaled approximately $400 million and $530 million as of December 31, 2024 and 2023, respectively, for a decrease of $130 million. See discussion below for further detail regarding our cash flows and related activity.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0"/>
        </w:trPr>
        <w:tc>
          <w:tcPr>
            <w:tcW w:w="6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Sources and uses of cash are summarized below (in millions):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41"/>
        </w:trPr>
        <w:tc>
          <w:tcPr>
            <w:tcW w:w="6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99"/>
              <w:spacing w:after="0"/>
              <w:rPr>
                <w:sz w:val="20"/>
                <w:szCs w:val="20"/>
                <w:color w:val="auto"/>
              </w:rPr>
            </w:pPr>
            <w:r>
              <w:rPr>
                <w:rFonts w:ascii="Times New Roman" w:cs="Times New Roman" w:eastAsia="Times New Roman" w:hAnsi="Times New Roman"/>
                <w:sz w:val="16"/>
                <w:szCs w:val="16"/>
                <w:color w:val="auto"/>
              </w:rPr>
              <w:t>687.3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352.3</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rPr>
              <w:t>(178.1)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(821.2)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rPr>
              <w:t>(351.0)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rPr>
              <w:t>480.9</w:t>
            </w:r>
          </w:p>
        </w:tc>
      </w:tr>
    </w:tbl>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Operating Activities. </w:t>
      </w:r>
      <w:r>
        <w:rPr>
          <w:rFonts w:ascii="Times New Roman" w:cs="Times New Roman" w:eastAsia="Times New Roman" w:hAnsi="Times New Roman"/>
          <w:sz w:val="16"/>
          <w:szCs w:val="16"/>
          <w:color w:val="auto"/>
        </w:rPr>
        <w:t>Cash flow from operations is primarily influenced by changes in the timing of demand for our services and operating margins, but can also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 affected by working capital needs associated with the various types of services we provide. Working capital is affected by changes in total accounts receivable, net,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provided by operating activities for the year ended December 31, 2024 was $1,122 million, as compared with $687 million in 2023, for an increase in cash provided by operating activities of approximately $434 million, due primarily to (i) an increase in net income as compared with the prior period; and (ii) changes in working capital compared with the prior period, including from the positive effect of timing-related changes in accounts receivable, net, resulting from improved collections, as described in further detail below, and changes in contract liabilities due to ordinary course project activity, primarily in connection with new project starts within the Company’s Clean Energy and Infrastructure and Pipeline Infrastructure segments, offset, in part, by the negative effect of timing-related changes in accounts payable and accrued expenses.</w:t>
      </w:r>
    </w:p>
    <w:p>
      <w:pPr>
        <w:spacing w:after="0" w:line="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DSO is calculated as total accounts receivable, net of allowance, less contract liabilities, divided by average daily revenue for the most recently completed quarter as of the balance sheet date. A decrease in DSO has a favorable impact on cash flow from operating activities, while an increase in DSO has a negative impact on cash flow from operating activities. Our DSO was 60 as of December 31, 2024, as compared with DSO of 74 as of December 31, 2023. Our DSOs can fluctuate from period to period due to timing of billings, billing terms, collections and settlements, timing of project close-outs and retainage collections, changes in project and customer mix and to a lesser extent the effect of working capital initiatives, including certain accounts receivable financing arrangements. The decrease in DSO as of December 31, 2024 as compared with December 31, 2023 was due to timing of ordinary course billing and collection activities and changes in contract liabilities due to ordinary course project activity, primarily in connection with new project starts within the Company’s Clean Energy and Infrastructure and Pipeline Infrastructure segments. Other than certain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8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Investing Activities. </w:t>
      </w:r>
      <w:r>
        <w:rPr>
          <w:rFonts w:ascii="Times New Roman" w:cs="Times New Roman" w:eastAsia="Times New Roman" w:hAnsi="Times New Roman"/>
          <w:sz w:val="16"/>
          <w:szCs w:val="16"/>
          <w:color w:val="auto"/>
        </w:rPr>
        <w:t>Net cash used in investing activities decreased by approximately $21 million to $157 million for the year ended December 31, 2024 from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$178 million in 2023. Capital expenditures totaled $149 million, or $83 million, net of asset disposals, in 2024, as compared with $193 million, or $109 million, net of asset disposals, in 2023, for a decrease in cash used in investing activities of approximately $26 million, due primarily to lower levels of equipment purchases. Cash provided from other investing activities increased by $3 million as compared with the same period in 2023, which includes proceeds from notes receivable collections. Cash used in investing activities from acquisition activity increased by $11 million for the year ended December 31, 2024 as compared with the same period in 2023.</w:t>
      </w:r>
    </w:p>
    <w:p>
      <w:pPr>
        <w:spacing w:after="0" w:line="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Financing Activities. </w:t>
      </w:r>
      <w:r>
        <w:rPr>
          <w:rFonts w:ascii="Times New Roman" w:cs="Times New Roman" w:eastAsia="Times New Roman" w:hAnsi="Times New Roman"/>
          <w:sz w:val="16"/>
          <w:szCs w:val="16"/>
          <w:color w:val="auto"/>
        </w:rPr>
        <w:t>Net cash used in financing activities for the year ended December 31, 2024 was $1,090 million, as compared with net cash used in financing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activities of $351 million in 2023, for an increase in cash used in financing activities of approximately $739 million. The increase was primarily due to repayments, net of borrowings, of our credit facility and term loans, which increased by $1,022 million for the year ended December 31, 2024 as compared with the same period in 2023, and the payment of $224 million upon the repurchase and redemption in full of our 6.625% IEA Senior Notes. Payments of acquisition-related contingent consideration included within financing activities totaled $25 million in 2024 as compared to $22 million in 2023. Total payments of acquisition-related contingent consideration, including payments in excess of acquisition-date liabilities, which are classified within operating activities, totaled $26 million in 2024 as compared with $39 million in 2023. Additionally, cash payments for acquisition-related contingent assets related to the 2021 acquisition of HMG totaled approximately $12 million in 2024, whereas in 2023, there were no payments. Payments to holders of our non-controlling interests increased by $18 million in 2024 as compared with 2023, primarily related to distributions to minority interest holders. The above described increases in cash used in financing activities were offset, in part, by $550 million of net proceeds received from the issuance of our 5.900% Senior Notes in the second quarter of 2024.</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have a $2.25 billion senior unsecured credit facility (as amended from time to time, the “Credit Facility”), which is composed of $1.9 billion of revolving commitments and a Term Loan with an original principal amount of $350 million, and matures on November 1, 2026. As of December 31, 2024, aggregate outstanding revolving borrowings totaled approximately $43.1 million and availability for revolving loans totaled $1,793 million. Borrowings under our Credit Facility are used for working capital requirements, capital expenditures and other corporate purposes, including acquisitions, equity investments or other strategic arrangements, and/or the repurchase or prepayment of indebtedness, among other corporate borrowing requirements, including potential share repurchases.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which is incorporated by reference.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4.500% Senior Notes</w:t>
      </w:r>
    </w:p>
    <w:p>
      <w:pPr>
        <w:spacing w:after="0" w:line="117"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We have $600 million aggregate principal amount of 4.500% senior unsecured notes due August 15, 2028 (the “4.500% Senior Notes”). The 4.500% Senior Notes are subject to certain provisions and covenants, as more fully described in Note 7 - Debt in the notes to the audited consolidated financial statements, which is incorporated by reference.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5.900% 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June 10, 2024, we completed an offering of $550 million aggregate principal amount of 5.900% senior unsecured notes due June 15, 2029 (the “5.900% Senior Notes”). We used a portion of the proceeds from the 5.900% Senior Notes offering to purchase $204 million in aggregate principal amount of 6.625% IEA Senior Notes tendered at a price equal to 100.0% of the principal amount of the 6.625% IEA Senior Notes. The remaining net proceeds from the 5.900% Senior Notes offering were used, along with available cash, for the repayment of the Company’s $400 million Three-Year Term Loan Facility.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We have $75 million aggregate principal amount of 6.625% senior unsecured notes due August 15, 2029 (the “6.625% Senior Notes”). The 6.625% Senior Notes were previously composed of approximately $225 million aggregate principal amount of 6.625% IEA senior notes (the “6.625% IEA Senior Notes”) and $75 million aggregate principal amount of 6.625% MasTec senior notes (the “6.625% MasTec Senior Notes”). In the second quarter of 2024, the Company used a portion of the proceeds from the 5.900% Senior Notes offering to purchase $204 million in aggregate principal amount of 6.625% IEA Senior Notes tendered at a price equal to 100.0% of the principal amount of the 6.625% IEA Senior Notes, plus accrued and unpaid interest. In the third quarter of 2024, IEA Energy Services LLC (“IEA LLC”) exercised its right under the indenture that governed the 6.625% IEA Senior Notes to redeem the remaining $21 million in aggregate principal amount of the 6.625% IEA Senior Notes at a price equal to 95.0% of the principal amount, which approximated their carrying value. The 6.625% MasTec Senior Notes are subject to certain provisions and covenants, as more fully described in Note 7 - Debt in the notes to the audited consolidated financial statements, which is incorporated by reference.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As of December 31, 2024, we had $285 million outstanding of an unsecured five-year term loan (the “Five-Year Term Loan”) that is due October 7, 2027. The Five-Year Term Loan is subject to certain provisions and covenants, as more fully described in Note 7 - Debt in the notes to the audited consolidated financial statements, which is incorporated by reference.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We were in compliance with the provisions and covenants contained in our outstanding debt instruments as of December 31, 2024, and we expect to be in compliance with these provisions and covenants for the next twelve months.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Information</w:t>
      </w:r>
    </w:p>
    <w:p>
      <w:pPr>
        <w:spacing w:after="0" w:line="117"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For detailed discussion and additional information pertaining to our debt instruments, including current period balances and rates of interest, see Note 7 - Debt in the notes to the audited consolidated financial statements, which is incorporated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Payment Obligations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sets forth our contractual payment obligations as of December 31, 2024 during the periods indicated below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40" w:type="dxa"/>
            <w:vAlign w:val="bottom"/>
          </w:tcPr>
          <w:p>
            <w:pPr>
              <w:spacing w:after="0"/>
              <w:rPr>
                <w:sz w:val="16"/>
                <w:szCs w:val="16"/>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1 - 3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3 - 5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162"/>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Contractual Obligations</w:t>
            </w:r>
          </w:p>
        </w:tc>
        <w:tc>
          <w:tcPr>
            <w:tcW w:w="24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7"/>
              </w:rPr>
              <w:t>5 Years and</w:t>
            </w:r>
          </w:p>
        </w:tc>
        <w:tc>
          <w:tcPr>
            <w:tcW w:w="0" w:type="dxa"/>
            <w:vAlign w:val="bottom"/>
          </w:tcPr>
          <w:p>
            <w:pPr>
              <w:spacing w:after="0"/>
              <w:rPr>
                <w:sz w:val="1"/>
                <w:szCs w:val="1"/>
                <w:color w:val="auto"/>
              </w:rPr>
            </w:pPr>
          </w:p>
        </w:tc>
      </w:tr>
      <w:tr>
        <w:trPr>
          <w:trHeight w:val="214"/>
        </w:trPr>
        <w:tc>
          <w:tcPr>
            <w:tcW w:w="50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4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4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4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1"/>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7"/>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Earn-out obligations </w:t>
            </w:r>
            <w:r>
              <w:rPr>
                <w:rFonts w:ascii="Times New Roman" w:cs="Times New Roman" w:eastAsia="Times New Roman" w:hAnsi="Times New Roman"/>
                <w:sz w:val="21"/>
                <w:szCs w:val="21"/>
                <w:color w:val="auto"/>
                <w:vertAlign w:val="superscript"/>
              </w:rPr>
              <w:t>(a)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w:t>
            </w:r>
            <w:r>
              <w:rPr>
                <w:rFonts w:ascii="Times New Roman" w:cs="Times New Roman" w:eastAsia="Times New Roman" w:hAnsi="Times New Roman"/>
                <w:sz w:val="21"/>
                <w:szCs w:val="21"/>
                <w:color w:val="auto"/>
                <w:vertAlign w:val="superscript"/>
              </w:rPr>
              <w:t>(b)</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40" w:hanging="332"/>
        <w:spacing w:after="0" w:line="281" w:lineRule="auto"/>
        <w:tabs>
          <w:tab w:leader="none" w:pos="32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certain acquisition agreements, we have agreed to pay the sellers earn-outs and other amounts based on the performance of the businesses acquired. Certain of these payments may be made either in cash or in MasTec common stock, or a combination thereof, at our option. Due to the contingent nature of these payments, we have only included obligations that we expect will be paid in cash and have been earned as of December 31, 2024.</w:t>
      </w:r>
    </w:p>
    <w:p>
      <w:pPr>
        <w:spacing w:after="0" w:line="15" w:lineRule="exact"/>
        <w:rPr>
          <w:rFonts w:ascii="Times New Roman" w:cs="Times New Roman" w:eastAsia="Times New Roman" w:hAnsi="Times New Roman"/>
          <w:sz w:val="14"/>
          <w:szCs w:val="14"/>
          <w:color w:val="auto"/>
        </w:rPr>
      </w:pPr>
    </w:p>
    <w:p>
      <w:pPr>
        <w:ind w:left="340" w:hanging="332"/>
        <w:spacing w:after="0" w:line="302" w:lineRule="auto"/>
        <w:tabs>
          <w:tab w:leader="none" w:pos="34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expected future interest payments on debt and finance lease obligations outstanding as of December 31, 2024, and does not include potential letter of credit or commitment fees associated with our senior unsecured credit facility. With the exception of our credit facilities and term loans, all of our debt instruments are fixed rate interest obligations.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is common in our industry, we have entered into certain off-balance sheet arrangements in the ordinary course of business. Our significant off-balance sheet transactions include liabilities associated with non-cancelable operating leases with durations of less than twelve months,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 or expenses, results of operations, liquidity, cash requirements or capital resources in the next twelve months or in the foreseeable future. Refer to Note 4 - Fair Value of Financial Instruments, Note 14 - Commitments and Contingencies and Note 15 - Related Party Transactions in the notes to the audited consolidated financial statements, which are incorporated by reference, for additional information related to our off-balance sheet arrangements.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Impact of Inflation</w:t>
      </w:r>
    </w:p>
    <w:p>
      <w:pPr>
        <w:spacing w:after="0" w:line="1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Over the past years, inflation, supply chain and labor constraints have had a significant impact on the global economy, including on the construction industry in the United States. As described above under “General Economic, Market and Regulatory Conditions,” although the Federal Reserve decreased the Federal Funds rate periodically since September, there continues to be uncertainty as to the Federal Reserve’s future actions caused by dynamic market and trade conditions, as well as, continuing concerns regarding the rate of inflation and employment levels. In light of these conditions, we expect elevated market interest rates and continuing, but moderating, levels of cost inflation for the foreseeable future. The primary inflationary factors directly affecting our operations are labor, material and fuel costs. The labor market remains at historically low levels of unemployment, creating pressure on the supply of skilled labor. In times of low unemployment and/or high inflation, our labor costs may increase due to shortages in the supply of skilled labor and increases in compensation rates generally. Immigration actions may also affect the availability of labor.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such as military conflicts, including the Russia-Ukraine conflicts and the escalating tensions in the Middle East, and trade disputes, which events have caused market volatility and could create heightened global market volatility in the future.</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 xml:space="preserve">Elevated levels of labor, material and fuel costs have negatively affected our project margins to the extent that we have been unable to pass such cost increases along to our customers. If current inflationary conditions persist, our profitability could continue to be affected in the future. Market and economic volatility and/or uncertainty can also affect our customers’ investment decisions and subject us to project cancellations, deferrals or unexpected changes in the timing of project work. Market prices for goods can also be affected by supply chain disruptions, which in the past have negatively affected our operations, as discussed in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under “Suppliers, Materials and Working Capital.” Additionally, as discussed within “Interest Rate Risk” below, the recent inflationary environment has resulted in elevated market interest rates, which has increased the rates of interest on our variable rate debt and, correspondingly, our interest expense. Increased market interest rates could also have an adverse effect on the capital expenditure budgets of our customers, which could result in reduced or deferred demand for our services.</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See Note 1 - Business, Basis of Presentation and Significant Accounting Policies in the notes to the audited consolidated financial statements, which is incorporated by reference.</w:t>
      </w:r>
    </w:p>
    <w:p>
      <w:pPr>
        <w:spacing w:after="0" w:line="217" w:lineRule="exact"/>
        <w:rPr>
          <w:sz w:val="20"/>
          <w:szCs w:val="20"/>
          <w:color w:val="auto"/>
        </w:rPr>
      </w:pPr>
    </w:p>
    <w:p>
      <w:pPr>
        <w:ind w:right="4540"/>
        <w:spacing w:after="0" w:line="397" w:lineRule="auto"/>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 Interest Rate Risk</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As of December 31, 2024, our variable interest rate debt was primarily related to our Credit Facility and our term loans. Outstanding revolving loans and the Term Loan under our Credit Facility bear interest, at our option, at a rate equal to either (a) Term Secured Overnight Financing Rate (“SOFR”), as defined in the Credit Facility, plus a margin of 1.125% to 1.625%, or (b) a Base Rate, as defined in the Credit Facility, plus a margin of 0.125% to 0.625%. As of December 31, 2024, we had approximately $43 million aggregate principal amount of outstanding revolving loans under our Credit Facility with a weighted average interest rate of 4.970% and a Term Loan with a balance of $333 million and an interest rate of 6.220%. The current year interest rates for outstanding revolving loans under our Credit Facility and Term Loan reflect basis point decreases of approximately 270 and 90, respectively, over the comparable period in 2023. Outstanding debt under the $285.0 million Five-Year Term Loan bears interest, at our option, at a rate equal to either (a) Term SOFR plus a margin of 1.250% to 1.625%, or (b) a Base Rate, plus a margin of 0.250% to 0.625%. As of December 31, 2024, the Five-Year Term Loan accrued interest at a weighted average rate of 6.253%.</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Our interest expense is affected by the overall interest rate environment. Although the Federal Reserve has periodically lowered short-term interest rates since September 2024, longer-term rates remain elevated and the timing, direction and extent of any future interest rate changes remain uncertain. The interest we are charged on our variable-rate debt will fluctuate as a result of changes in market interest. Interest on our fixed-rate debt would not change. We manage interest rate risk by maintaining a mix of fixed and variable rate debt obligations. Our variable rate debt subjects us to risk from increases in prevailing interest rates. An additional 100 basis point increase in the applicable interest rates under our Credit Facility and Five-Year Term Loan would have increased our interest expense by approximately $11 million for the year ended December 31, 2024.</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2024, our fixed interest rate debt primarily included $600.0 million aggregate principal amount of 4.500% Senior Notes, $550.0 million aggregate principal amount of 5.900% Senior Notes, $74.9 million aggregate principal amount of 6.625% Senior Notes and $297.9 million of finance lease obligations, which accrued interest at a weighted average interest rate of approximately 4.8%. None of this debt</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50" w:name="page51"/>
    <w:bookmarkEnd w:id="50"/>
    <w:p>
      <w:pPr>
        <w:jc w:val="both"/>
        <w:spacing w:after="0" w:line="280" w:lineRule="auto"/>
        <w:rPr>
          <w:sz w:val="20"/>
          <w:szCs w:val="20"/>
          <w:color w:val="auto"/>
        </w:rPr>
      </w:pPr>
      <w:r>
        <w:rPr>
          <w:rFonts w:ascii="Times New Roman" w:cs="Times New Roman" w:eastAsia="Times New Roman" w:hAnsi="Times New Roman"/>
          <w:sz w:val="16"/>
          <w:szCs w:val="16"/>
          <w:color w:val="auto"/>
        </w:rPr>
        <w:t>subjects us to financial statement risk associated with changes in interest rates, but we may be subject to changes in interest rates if and when we refinance this debt at maturity or otherwise.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Risk</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Certain of our consolidated revenue and operating expenses are in foreign currencies. Our foreign operations are primarily in Canada. Revenue generated from foreign operations represented approximately 1% of our total revenue for the year ended December 31, 2024.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in 2024. Translation gains or losses, which are recorded in other comprehensive income or loss, result from translation of the assets and liabilities of our foreign subsidiaries into U.S. dollars. For the year ended December 31, 2024, foreign currency translation losses, net, totaled approximately $2.9 million and related primarily to our activities in Canada and Mexico.</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December 31, 2024. We may enter into foreign currency derivative contracts in the future to manage such exposure.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Market Risk</w:t>
      </w:r>
    </w:p>
    <w:p>
      <w:pPr>
        <w:spacing w:after="0" w:line="12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discussed in Note 4 - Fair Value of Financial Instruments in the notes to the audited consolidated financial statements, which is incorporated by reference, we have certain investments that may be subject to market risk and could be subject to volatility based on market conditions.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2"/>
        </w:trPr>
        <w:tc>
          <w:tcPr>
            <w:tcW w:w="9420" w:type="dxa"/>
            <w:vAlign w:val="bottom"/>
            <w:gridSpan w:val="21"/>
          </w:tcPr>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05"/>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80" w:type="dxa"/>
            <w:vAlign w:val="bottom"/>
            <w:gridSpan w:val="5"/>
          </w:tcPr>
          <w:p>
            <w:pPr>
              <w:jc w:val="center"/>
              <w:ind w:right="210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Page</w:t>
            </w:r>
          </w:p>
        </w:tc>
      </w:tr>
      <w:tr>
        <w:trPr>
          <w:trHeight w:val="182"/>
        </w:trPr>
        <w:tc>
          <w:tcPr>
            <w:tcW w:w="160" w:type="dxa"/>
            <w:vAlign w:val="bottom"/>
          </w:tcPr>
          <w:p>
            <w:pPr>
              <w:spacing w:after="0"/>
              <w:rPr>
                <w:sz w:val="15"/>
                <w:szCs w:val="15"/>
                <w:color w:val="auto"/>
              </w:rPr>
            </w:pPr>
          </w:p>
        </w:tc>
        <w:tc>
          <w:tcPr>
            <w:tcW w:w="9260" w:type="dxa"/>
            <w:vAlign w:val="bottom"/>
            <w:gridSpan w:val="20"/>
          </w:tcPr>
          <w:p>
            <w:pPr>
              <w:spacing w:after="0" w:line="181" w:lineRule="exact"/>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(PricewaterhouseCoopers LLP; Miami, Florida; PCAOB ID#238)</w:t>
            </w:r>
          </w:p>
        </w:tc>
        <w:tc>
          <w:tcPr>
            <w:tcW w:w="1820" w:type="dxa"/>
            <w:vAlign w:val="bottom"/>
            <w:gridSpan w:val="3"/>
          </w:tcPr>
          <w:p>
            <w:pPr>
              <w:jc w:val="right"/>
              <w:ind w:right="440"/>
              <w:spacing w:after="0" w:line="181" w:lineRule="exact"/>
              <w:rPr>
                <w:sz w:val="20"/>
                <w:szCs w:val="20"/>
                <w:color w:val="auto"/>
              </w:rPr>
            </w:pPr>
            <w:r>
              <w:rPr>
                <w:rFonts w:ascii="Times New Roman" w:cs="Times New Roman" w:eastAsia="Times New Roman" w:hAnsi="Times New Roman"/>
                <w:sz w:val="16"/>
                <w:szCs w:val="16"/>
                <w:color w:val="0000FF"/>
              </w:rPr>
              <w:t>52</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(BDO USA, P.C.; Miami, Florida; PCAOB ID#243)</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54</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 xml:space="preserve">Report of Independent Registered Public Accounting Firm </w:t>
            </w:r>
            <w:r>
              <w:rPr>
                <w:rFonts w:ascii="Times New Roman" w:cs="Times New Roman" w:eastAsia="Times New Roman" w:hAnsi="Times New Roman"/>
                <w:sz w:val="16"/>
                <w:szCs w:val="16"/>
                <w:color w:val="000000"/>
              </w:rPr>
              <w:t>(Deloitte &amp; Touche LLP; Indianapolis, Indiana; PCAOB ID#34)</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55</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52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w w:val="99"/>
              </w:rPr>
              <w:t>Consolidated Statements of Operations</w:t>
            </w:r>
          </w:p>
        </w:tc>
        <w:tc>
          <w:tcPr>
            <w:tcW w:w="1260" w:type="dxa"/>
            <w:vAlign w:val="bottom"/>
            <w:gridSpan w:val="4"/>
          </w:tcPr>
          <w:p>
            <w:pPr>
              <w:spacing w:after="0"/>
              <w:rPr>
                <w:sz w:val="21"/>
                <w:szCs w:val="21"/>
                <w:color w:val="auto"/>
              </w:rPr>
            </w:pPr>
          </w:p>
        </w:tc>
        <w:tc>
          <w:tcPr>
            <w:tcW w:w="5480" w:type="dxa"/>
            <w:vAlign w:val="bottom"/>
            <w:gridSpan w:val="5"/>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56</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(Loss)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57</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7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5480" w:type="dxa"/>
            <w:vAlign w:val="bottom"/>
            <w:gridSpan w:val="5"/>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58</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240" w:type="dxa"/>
            <w:vAlign w:val="bottom"/>
            <w:gridSpan w:val="9"/>
          </w:tcPr>
          <w:p>
            <w:pPr>
              <w:spacing w:after="0"/>
              <w:rPr>
                <w:sz w:val="20"/>
                <w:szCs w:val="20"/>
                <w:color w:val="auto"/>
              </w:rPr>
            </w:pPr>
            <w:r>
              <w:rPr>
                <w:rFonts w:ascii="Times New Roman" w:cs="Times New Roman" w:eastAsia="Times New Roman" w:hAnsi="Times New Roman"/>
                <w:sz w:val="16"/>
                <w:szCs w:val="16"/>
                <w:color w:val="0000FF"/>
                <w:w w:val="99"/>
              </w:rPr>
              <w:t>Consolidated Statements of Equity</w:t>
            </w:r>
          </w:p>
        </w:tc>
        <w:tc>
          <w:tcPr>
            <w:tcW w:w="7020" w:type="dxa"/>
            <w:vAlign w:val="bottom"/>
            <w:gridSpan w:val="11"/>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59</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60</w:t>
            </w:r>
          </w:p>
        </w:tc>
      </w:tr>
      <w:tr>
        <w:trPr>
          <w:trHeight w:val="20"/>
        </w:trPr>
        <w:tc>
          <w:tcPr>
            <w:tcW w:w="16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2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61</w:t>
            </w: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8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Business, Basis of Presentation and Significant Accounting Policies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61</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40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Earnings Per Share</w:t>
            </w:r>
          </w:p>
        </w:tc>
        <w:tc>
          <w:tcPr>
            <w:tcW w:w="4440" w:type="dxa"/>
            <w:vAlign w:val="bottom"/>
            <w:gridSpan w:val="2"/>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70</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6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Acquisitions, Goodwill and Other Intangible Assets, Net</w:t>
            </w:r>
          </w:p>
        </w:tc>
        <w:tc>
          <w:tcPr>
            <w:tcW w:w="5160" w:type="dxa"/>
            <w:vAlign w:val="bottom"/>
            <w:gridSpan w:val="4"/>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72</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8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Fair Value of Financial Instruments</w:t>
            </w:r>
          </w:p>
        </w:tc>
        <w:tc>
          <w:tcPr>
            <w:tcW w:w="5160" w:type="dxa"/>
            <w:vAlign w:val="bottom"/>
            <w:gridSpan w:val="4"/>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76</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Accounts Receivable, Net of Allowance, and Contract Assets and Liabilities</w:t>
            </w:r>
          </w:p>
        </w:tc>
        <w:tc>
          <w:tcPr>
            <w:tcW w:w="3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77</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96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Property and Equipment, Net</w:t>
            </w:r>
          </w:p>
        </w:tc>
        <w:tc>
          <w:tcPr>
            <w:tcW w:w="3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78</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90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Debt</w:t>
            </w:r>
          </w:p>
        </w:tc>
        <w:tc>
          <w:tcPr>
            <w:tcW w:w="6940" w:type="dxa"/>
            <w:vAlign w:val="bottom"/>
            <w:gridSpan w:val="10"/>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79</w:t>
            </w:r>
          </w:p>
        </w:tc>
      </w:tr>
      <w:tr>
        <w:trPr>
          <w:trHeight w:val="20"/>
        </w:trPr>
        <w:tc>
          <w:tcPr>
            <w:tcW w:w="5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8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Lease Obligations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82</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1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Stock-Based Compensation and Other Employee Benefit Plans</w:t>
            </w:r>
          </w:p>
        </w:tc>
        <w:tc>
          <w:tcPr>
            <w:tcW w:w="4740" w:type="dxa"/>
            <w:vAlign w:val="bottom"/>
            <w:gridSpan w:val="3"/>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83</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Borders>
              <w:left w:val="single" w:sz="8" w:color="0000FF"/>
            </w:tcBorders>
            <w:gridSpan w:val="4"/>
            <w:shd w:val="clear" w:color="auto" w:fill="0000FF"/>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10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Other Retirement Plans</w:t>
            </w:r>
          </w:p>
        </w:tc>
        <w:tc>
          <w:tcPr>
            <w:tcW w:w="4740" w:type="dxa"/>
            <w:vAlign w:val="bottom"/>
            <w:gridSpan w:val="3"/>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84</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8"/>
              </w:rPr>
              <w:t>Equity</w:t>
            </w:r>
          </w:p>
        </w:tc>
        <w:tc>
          <w:tcPr>
            <w:tcW w:w="1080" w:type="dxa"/>
            <w:vAlign w:val="bottom"/>
            <w:gridSpan w:val="4"/>
          </w:tcPr>
          <w:p>
            <w:pPr>
              <w:spacing w:after="0"/>
              <w:rPr>
                <w:sz w:val="21"/>
                <w:szCs w:val="21"/>
                <w:color w:val="auto"/>
              </w:rPr>
            </w:pPr>
          </w:p>
        </w:tc>
        <w:tc>
          <w:tcPr>
            <w:tcW w:w="7320" w:type="dxa"/>
            <w:vAlign w:val="bottom"/>
            <w:gridSpan w:val="13"/>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86</w:t>
            </w:r>
          </w:p>
        </w:tc>
      </w:tr>
      <w:tr>
        <w:trPr>
          <w:trHeight w:val="20"/>
        </w:trPr>
        <w:tc>
          <w:tcPr>
            <w:tcW w:w="580" w:type="dxa"/>
            <w:vAlign w:val="bottom"/>
            <w:gridSpan w:val="2"/>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8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Income Taxes</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87</w:t>
            </w:r>
          </w:p>
        </w:tc>
      </w:tr>
      <w:tr>
        <w:trPr>
          <w:trHeight w:val="20"/>
        </w:trPr>
        <w:tc>
          <w:tcPr>
            <w:tcW w:w="580" w:type="dxa"/>
            <w:vAlign w:val="bottom"/>
            <w:gridSpan w:val="2"/>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8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Segments and Related Information</w:t>
            </w:r>
          </w:p>
        </w:tc>
        <w:tc>
          <w:tcPr>
            <w:tcW w:w="18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0000FF"/>
              </w:rPr>
              <w:t>89</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Commitments and Contingencies</w:t>
            </w:r>
          </w:p>
        </w:tc>
        <w:tc>
          <w:tcPr>
            <w:tcW w:w="6580" w:type="dxa"/>
            <w:vAlign w:val="bottom"/>
            <w:gridSpan w:val="7"/>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91</w:t>
            </w:r>
          </w:p>
        </w:tc>
      </w:tr>
      <w:tr>
        <w:trPr>
          <w:trHeight w:val="20"/>
        </w:trPr>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14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Related Party Transactions</w:t>
            </w:r>
          </w:p>
        </w:tc>
        <w:tc>
          <w:tcPr>
            <w:tcW w:w="6700" w:type="dxa"/>
            <w:vAlign w:val="bottom"/>
            <w:gridSpan w:val="8"/>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0000FF"/>
                <w:w w:val="87"/>
              </w:rPr>
              <w:t>94</w:t>
            </w:r>
          </w:p>
        </w:tc>
      </w:tr>
      <w:tr>
        <w:trPr>
          <w:trHeight w:val="878"/>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Borders>
              <w:top w:val="single" w:sz="8" w:color="0000FF"/>
            </w:tcBorders>
            <w:gridSpan w:val="7"/>
          </w:tcPr>
          <w:p>
            <w:pPr>
              <w:spacing w:after="0"/>
              <w:rPr>
                <w:sz w:val="24"/>
                <w:szCs w:val="24"/>
                <w:color w:val="auto"/>
              </w:rPr>
            </w:pPr>
          </w:p>
        </w:tc>
        <w:tc>
          <w:tcPr>
            <w:tcW w:w="7100" w:type="dxa"/>
            <w:vAlign w:val="bottom"/>
            <w:gridSpan w:val="12"/>
          </w:tcPr>
          <w:p>
            <w:pPr>
              <w:jc w:val="right"/>
              <w:ind w:right="3720"/>
              <w:spacing w:after="0"/>
              <w:rPr>
                <w:sz w:val="20"/>
                <w:szCs w:val="20"/>
                <w:color w:val="auto"/>
              </w:rPr>
            </w:pPr>
            <w:r>
              <w:rPr>
                <w:rFonts w:ascii="Times New Roman" w:cs="Times New Roman" w:eastAsia="Times New Roman" w:hAnsi="Times New Roman"/>
                <w:sz w:val="16"/>
                <w:szCs w:val="16"/>
                <w:color w:val="auto"/>
              </w:rPr>
              <w:t>51</w:t>
            </w:r>
          </w:p>
        </w:tc>
        <w:tc>
          <w:tcPr>
            <w:tcW w:w="12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6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388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2" w:name="page53"/>
    <w:bookmarkEnd w:id="52"/>
    <w:p>
      <w:pPr>
        <w:ind w:left="38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 MasTec, Inc.</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 of MasTec, Inc. and its subsidiaries (the “Company”) as of December 31, 2024, and the related consolidated statements of operations, comprehensive income (loss), equity and cash flows for the year then ended, including the related notes and schedule of valuation and qualifying accounts for the year ended December 31, 2024 appearing after Item 16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 (COSO).</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2024, and the results of its operations and its cash flows for the year then ended,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6"/>
          <w:szCs w:val="16"/>
          <w:i w:val="1"/>
          <w:iCs w:val="1"/>
          <w:color w:val="auto"/>
        </w:rPr>
        <w:t xml:space="preserve">Internal Control - Integrated Framework </w:t>
      </w:r>
      <w:r>
        <w:rPr>
          <w:rFonts w:ascii="Times New Roman" w:cs="Times New Roman" w:eastAsia="Times New Roman" w:hAnsi="Times New Roman"/>
          <w:sz w:val="16"/>
          <w:szCs w:val="16"/>
          <w:color w:val="auto"/>
        </w:rPr>
        <w:t>(2013) issued by the COSO.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PCAOB.</w:t>
      </w:r>
    </w:p>
    <w:p>
      <w:pPr>
        <w:spacing w:after="0" w:line="95"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As described in Management’s Report on Internal Control Over Financial Reporting, management has excluded two entities (related to a July acquisition in the Power Delivery segment and a December acquisition in the Pipeline Infrastructure segment) from its assessment of internal control over financial reporting as of December 31, 2024 because they were acquired by the Company in purchase business combinations during 2024. We have also excluded the two entities from our audit of internal control over financial reporting. The two entities’ total assets and total revenues excluded from management’s assessment and our audit of internal control over financial reporting collectively represent approximately 2% and less than 1%, respectively, of the related consolidated financial statement amounts as of and for the year ended December 31, 2024.</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i w:val="1"/>
          <w:iCs w:val="1"/>
          <w:color w:val="auto"/>
        </w:rPr>
        <w:t>Revenue Recognition – Determination of Estimated Costs to Complete Certain Contracts Recognized Over Time</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recognized revenue of $12.3 billion for the year ended December 31, 2024, of which a majority relates to revenue recognized from contracts for specific projects requiring the construction and installation of an entire infrastructure system, or specified units within an infrastructure system. As described in Note 1 to the consolidated financial statements, revenue related to these contracts is recognized over time using the cost-to-cost measure of progress, which is an input method. Contract costs include all direct materials, equipment, labor and subcontracted costs related to contract performance. The cost estimation processes used for recognizing revenue over time under the cost-to-cost method require management to make significant assumptions and judgments, based primarily on the professional knowledge and experience of the Company’s project managers, operational and financial professionals. Changes in job performance and job conditions are factors that influence estimates of the total costs to complete those contracts. Changes in these factors that result in revisions to the amount of revenue recognized for a given project are recognized in the period in which the revisions are determined.</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principal considerations for our determination that performing procedures relating to revenue recognition, specifically the determination of estimated costs to complete certain contracts recognized over time, is a critical audit matter are (i) the significant judgment by management in determining the estimated contract costs to complete certain contracts recognized over time; and (ii) a high degree of auditor judgment, subjectivity, and effort in performing procedures and evaluating audit evidence related to management’s estimate of costs to complete certain contracts recognized over time.</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related to the determination of estimated costs to complete certain contracts recognized over time. These procedures also included, among others, for a sample of contracts, (i) testing management’s process for determining the estimated contract costs to complete; (ii) testing the completeness and accuracy of underlying data used by management related to actual costs to date; and (iii) evaluating the reasonableness of certain significant judgments and assumptions considered by management specific to each contract. Evaluating the significant judgments and assumptions related to estimated contract costs to complete involved evaluating whether the significant judgments and assumptions used by management were reasonable, considering (i) the terms of the contracts and other documents that support those estimates; (ii) actual costs to date to assess the reasonableness of the estimate of the remaining costs to complete; (iii) management’s ability to reasonably estimate costs to complete by performing a comparison of the total estimated contract costs as compared with prior period estimates, including evaluating the timely identification of circumstances that may warrant a modification to the estimated contract costs to complete; and (iv) evaluating management’s methodologies and the consistency of management’s methodologies over the lives of contracts.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4" w:name="page55"/>
    <w:bookmarkEnd w:id="54"/>
    <w:p>
      <w:pPr>
        <w:ind w:left="38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and Board of Directors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Coral Gables, Florida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Consolidated Financial Statements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MasTec, Inc. (the “Company”) as of December 31, 2023, the related consolidated statements of operations and comprehensive income, equity, and cash flows for each of the two years in the period ended December 31, 2023, and the related notes and financial statement schedule listed in the accompanying index (collectively referred to as the “consolidated financial statements”). In our opinion, based on our audits and the report of the other auditors, the consolidated financial statements present fairly, in all material respects, the financial position of the Company at December 31, 2023, and the results of its operations and its cash flows for each of the two years in the period ended December 31, 2023, in conformity with accounting principles generally accepted in the United States of America.</w:t>
      </w:r>
    </w:p>
    <w:p>
      <w:pPr>
        <w:spacing w:after="0" w:line="2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did not audit the financial statements of IEA Energy Services, LLC and subsidiaries (“IEA LLC”), a wholly-owned subsidiary of the Company, which statements reflect total assets of $686.6 million at December 31, 2023, and total revenues of $1,732.1 million for the year then ended. Those statements were audited by other auditors whose report has been furnished to us, and our opinion, insofar as it relates to the amounts included for IEA LLC, is based solely on the report of the other auditors.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and the report of the other auditors provide a reasonable basis for our opinion.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BDO USA, P.C.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served as the Company’s auditor from 2004 to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 except for Note 13, as to which the date is February 28, 2025</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5" w:name="page56"/>
    <w:bookmarkEnd w:id="55"/>
    <w:p>
      <w:pPr>
        <w:ind w:right="3360" w:firstLine="3811"/>
        <w:spacing w:after="0" w:line="472"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 xml:space="preserve">To the shareholders and the Board of Directors of MasTec, Inc. </w:t>
      </w:r>
      <w:r>
        <w:rPr>
          <w:rFonts w:ascii="Times New Roman" w:cs="Times New Roman" w:eastAsia="Times New Roman" w:hAnsi="Times New Roman"/>
          <w:sz w:val="16"/>
          <w:szCs w:val="16"/>
          <w:b w:val="1"/>
          <w:bCs w:val="1"/>
          <w:color w:val="auto"/>
        </w:rPr>
        <w:t>Opinion on the Financial Statements</w:t>
      </w:r>
    </w:p>
    <w:p>
      <w:pPr>
        <w:spacing w:after="0" w:line="18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have audited the consolidated balance sheet of IEA Energy Services, LLC and its consolidated subsidiaries (“IEA LLC”) as of December 31, 2023, the related consolidated statement of operations, members’ equity (deficit), and cash flows, for the year ended December 31, 2023, and the related notes (collectively referred to as the "financial statements" and not presented herein).</w:t>
      </w:r>
    </w:p>
    <w:p>
      <w:pPr>
        <w:spacing w:after="0" w:line="63"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financial position of IEA LLC as of December 31, 2023, and the results of its operations and its cash flows for the year ended December 31, 2023, in conformity with accounting principles generally accepted in the United States of America.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IEA LLC’s management is responsible for these financial statements. Our responsibility is to express an opinion on these financial statements based on our audit. We are a public accounting firm registered with the Public Company Accounting Oversight Board (United States) (PCAOB) and are required to be independent with respect to IEA LLC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spacing w:after="0" w:line="8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Our audit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Matter</w:t>
      </w:r>
    </w:p>
    <w:p>
      <w:pPr>
        <w:spacing w:after="0" w:line="1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discussed in Note 10 to the IEA LLC financial statements, IEA LLC engages in significant transactions with affiliates such as MasTec, Inc. and Infrastructure and Energy Alternatives, Inc. Portions of certain income and expenses represent allocations made from affiliates for items applicable to IEA LLC as a whole. Therefore, the financial statements of IEA LLC have been prepared from the separate records maintained by IEA LLC and its parent and may not be indicative of the conditions that would have existed or the results of operations if IEA LLC had been operated as an unaffiliated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Indianapolis, Indiana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29,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began serving as IEA LLC’s auditor in 2018. In 2024 we became the predecessor auditor.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12,303,464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11,995,934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9,778,038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of revenue, excluding 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10,675,987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10,613,762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8,586,333</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371,240</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135,908</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698,899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559,437</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112,255</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(28,836)</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07"/>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250,963</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(82,704)</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43,059</w:t>
            </w: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(9,171)</w:t>
            </w:r>
          </w:p>
        </w:tc>
      </w:tr>
      <w:tr>
        <w:trPr>
          <w:trHeight w:val="20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33,888</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income (loss) attributable to MasTec, Inc.</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33,354</w:t>
            </w:r>
          </w:p>
        </w:tc>
      </w:tr>
      <w:tr>
        <w:trPr>
          <w:trHeight w:val="239"/>
        </w:trPr>
        <w:tc>
          <w:tcPr>
            <w:tcW w:w="6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per share (Note 2):</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r>
      <w:tr>
        <w:trPr>
          <w:trHeight w:val="207"/>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74,917</w:t>
            </w:r>
          </w:p>
        </w:tc>
      </w:tr>
      <w:tr>
        <w:trPr>
          <w:trHeight w:val="239"/>
        </w:trPr>
        <w:tc>
          <w:tcPr>
            <w:tcW w:w="6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weighted average common shares outstanding</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76,185</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33,888</w:t>
            </w: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(losses) gains, net of tax</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r>
      <w:tr>
        <w:trPr>
          <w:trHeight w:val="213"/>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Unrealized gains (losses) on investment activity, net of tax</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30,910</w:t>
            </w:r>
          </w:p>
        </w:tc>
      </w:tr>
      <w:tr>
        <w:trPr>
          <w:trHeight w:val="21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196,821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61,709</w:t>
            </w:r>
          </w:p>
        </w:tc>
      </w:tr>
      <w:tr>
        <w:trPr>
          <w:trHeight w:val="207"/>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09"/>
        </w:trPr>
        <w:tc>
          <w:tcPr>
            <w:tcW w:w="6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Comprehensive income (loss) attributable to MasTec, Inc.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(51,991)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61,175</w:t>
            </w: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(in thousands, except share information)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1"/>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529,561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1,370,074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1,756,381</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108,146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105,880</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89,125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104,211</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3,652,530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3,974,253</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1,548,916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1,651,462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418,685</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net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2,203,077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2,126,366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784,260</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447,235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418,485</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and equity</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including finance leases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186,095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177,246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137,765</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1,242,602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salaries and wages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198,943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455,043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415,075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735,625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184,621</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2,999,699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2,837,219</w:t>
            </w:r>
          </w:p>
        </w:tc>
        <w:tc>
          <w:tcPr>
            <w:tcW w:w="0" w:type="dxa"/>
            <w:vAlign w:val="bottom"/>
          </w:tcPr>
          <w:p>
            <w:pPr>
              <w:spacing w:after="0"/>
              <w:rPr>
                <w:sz w:val="1"/>
                <w:szCs w:val="1"/>
                <w:color w:val="auto"/>
              </w:rPr>
            </w:pPr>
          </w:p>
        </w:tc>
      </w:tr>
      <w:tr>
        <w:trPr>
          <w:trHeight w:val="207"/>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2,038,017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2,888,058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292,873</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390,399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243,701</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5,987,932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6,652,250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Commitments and contingencies </w:t>
            </w:r>
            <w:r>
              <w:rPr>
                <w:rFonts w:ascii="Times New Roman" w:cs="Times New Roman" w:eastAsia="Times New Roman" w:hAnsi="Times New Roman"/>
                <w:sz w:val="14"/>
                <w:szCs w:val="14"/>
                <w:color w:val="auto"/>
              </w:rPr>
              <w:t>(Note 14)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authorized shares - 5,000,000; issued and outstanding shares – none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4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$0.10 par value: authorized shares - 145,000,000; issued shares - 99,029,011 and 99,093,134 (including</w:t>
            </w: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9,909</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1,130,020 and 1,504,996 of unvested stock awards) as of December 31, 2024 and 2023, respectively</w:t>
            </w: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1,263,360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2,308,581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2,145,793</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Treasury stock, at cost: 19,719,796 and 19,813,055 shares as of December 31, 2024 and 2023, respectively</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(659,913)</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MasTec, Inc. shareholders’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2,911,857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2,706,152</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75,486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15,109</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2,987,343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2,721,261</w:t>
            </w:r>
          </w:p>
        </w:tc>
        <w:tc>
          <w:tcPr>
            <w:tcW w:w="0" w:type="dxa"/>
            <w:vAlign w:val="bottom"/>
          </w:tcPr>
          <w:p>
            <w:pPr>
              <w:spacing w:after="0"/>
              <w:rPr>
                <w:sz w:val="1"/>
                <w:szCs w:val="1"/>
                <w:color w:val="auto"/>
              </w:rPr>
            </w:pPr>
          </w:p>
        </w:tc>
      </w:tr>
      <w:tr>
        <w:trPr>
          <w:trHeight w:val="207"/>
        </w:trPr>
        <w:tc>
          <w:tcPr>
            <w:tcW w:w="8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8,975,275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9,373,511</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11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54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MasTec,</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64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restart"/>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9"/>
                <w:szCs w:val="9"/>
                <w:color w:val="auto"/>
              </w:rPr>
            </w:pPr>
          </w:p>
        </w:tc>
        <w:tc>
          <w:tcPr>
            <w:tcW w:w="82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9"/>
                <w:szCs w:val="9"/>
                <w:color w:val="auto"/>
              </w:rPr>
            </w:pPr>
          </w:p>
        </w:tc>
        <w:tc>
          <w:tcPr>
            <w:tcW w:w="7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Non-</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7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740" w:type="dxa"/>
            <w:vAlign w:val="bottom"/>
            <w:gridSpan w:val="3"/>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2021</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95,371,211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9,537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(18,941,926)</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(586,955)</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$ 1,033,615</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$ 2,162,388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(78,776)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2,539,809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$ 2,543,861</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33,888</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27,821</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534,909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2,758,403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133,157</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4,336</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188,444</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193,057</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treasury stock, at cost</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(1,124,286)</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(81,291)</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98,615,105</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9,862</w:t>
            </w:r>
          </w:p>
        </w:tc>
        <w:tc>
          <w:tcPr>
            <w:tcW w:w="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(19,933,055)</w:t>
            </w:r>
          </w:p>
        </w:tc>
        <w:tc>
          <w:tcPr>
            <w:tcW w:w="8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(663,910)</w:t>
            </w:r>
          </w:p>
        </w:tc>
        <w:tc>
          <w:tcPr>
            <w:tcW w:w="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$ 1,246,590</w:t>
            </w:r>
          </w:p>
        </w:tc>
        <w:tc>
          <w:tcPr>
            <w:tcW w:w="8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$ 2,195,742</w:t>
            </w:r>
          </w:p>
        </w:tc>
        <w:tc>
          <w:tcPr>
            <w:tcW w:w="8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(50,955)</w:t>
            </w: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2,737,329</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c>
          <w:tcPr>
            <w:tcW w:w="8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$ 2,741,187</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(47,296)</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shares, net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592,553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(118,636)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(5,436)</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(5,448)</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 of minority interest in subsidiary</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7,112</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 assumed related 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99,093,134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9,909</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(19,813,055)</w:t>
            </w:r>
          </w:p>
        </w:tc>
        <w:tc>
          <w:tcPr>
            <w:tcW w:w="8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(659,913)</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$ 1,263,360</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$ 2,145,793</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(52,997)</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2,706,152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15,109</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$ 2,721,261</w:t>
            </w:r>
          </w:p>
        </w:tc>
        <w:tc>
          <w:tcPr>
            <w:tcW w:w="0" w:type="dxa"/>
            <w:vAlign w:val="bottom"/>
          </w:tcPr>
          <w:p>
            <w:pPr>
              <w:spacing w:after="0"/>
              <w:rPr>
                <w:sz w:val="1"/>
                <w:szCs w:val="1"/>
                <w:color w:val="auto"/>
              </w:rPr>
            </w:pPr>
          </w:p>
        </w:tc>
      </w:tr>
      <w:tr>
        <w:trPr>
          <w:trHeight w:val="18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36,633</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199,421</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stock-based compensation</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Forfeiture of restricted shares, net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withheld for taxes, net of other stock</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shares in connection with</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93,259</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3,106</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10,093</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13,199</w:t>
            </w:r>
          </w:p>
        </w:tc>
        <w:tc>
          <w:tcPr>
            <w:tcW w:w="0" w:type="dxa"/>
            <w:vAlign w:val="bottom"/>
          </w:tcPr>
          <w:p>
            <w:pPr>
              <w:spacing w:after="0"/>
              <w:rPr>
                <w:sz w:val="1"/>
                <w:szCs w:val="1"/>
                <w:color w:val="auto"/>
              </w:rPr>
            </w:pPr>
          </w:p>
        </w:tc>
      </w:tr>
      <w:tr>
        <w:trPr>
          <w:trHeight w:val="206"/>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(32,943)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Consideration transferred in a foreign</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(12,158)</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20,092</w:t>
            </w:r>
          </w:p>
        </w:tc>
        <w:tc>
          <w:tcPr>
            <w:tcW w:w="0" w:type="dxa"/>
            <w:vAlign w:val="bottom"/>
          </w:tcPr>
          <w:p>
            <w:pPr>
              <w:spacing w:after="0"/>
              <w:rPr>
                <w:sz w:val="1"/>
                <w:szCs w:val="1"/>
                <w:color w:val="auto"/>
              </w:rPr>
            </w:pPr>
          </w:p>
        </w:tc>
      </w:tr>
      <w:tr>
        <w:trPr>
          <w:trHeight w:val="18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 assumed related 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39,187</w:t>
            </w:r>
          </w:p>
        </w:tc>
        <w:tc>
          <w:tcPr>
            <w:tcW w:w="0" w:type="dxa"/>
            <w:vAlign w:val="bottom"/>
          </w:tcPr>
          <w:p>
            <w:pPr>
              <w:spacing w:after="0"/>
              <w:rPr>
                <w:sz w:val="1"/>
                <w:szCs w:val="1"/>
                <w:color w:val="auto"/>
              </w:rPr>
            </w:pPr>
          </w:p>
        </w:tc>
      </w:tr>
      <w:tr>
        <w:trPr>
          <w:trHeight w:val="23"/>
        </w:trPr>
        <w:tc>
          <w:tcPr>
            <w:tcW w:w="27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99,029,011</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9,903</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(19,719,796)</w:t>
            </w: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(656,807)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$ 1,291,027</w:t>
            </w: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$ 2,308,581</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2,911,857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75,486</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$ 2,987,343</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MASTEC,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7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199,421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(47,296)</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33,888</w:t>
            </w: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366,765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433,929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371,240</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139,853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135,908</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stock-based compensation expense</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27,446</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 from) provision for deferred income taxes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(140,863)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9,549</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Equity in earnings of unconsolidated affiliates, net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(28,836)</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Gains on sales and impairments of assets,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(39,692)</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non-cash items, net</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r>
      <w:tr>
        <w:trPr>
          <w:trHeight w:val="21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net of acquisitions: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Contract assets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207,703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(304,351)</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(20,523)</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assets, current and long-term portion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75,047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68,603</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165,892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192,119</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Contract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(39,372)</w:t>
            </w:r>
          </w:p>
        </w:tc>
      </w:tr>
      <w:tr>
        <w:trPr>
          <w:trHeight w:val="196"/>
        </w:trPr>
        <w:tc>
          <w:tcPr>
            <w:tcW w:w="7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liabilities, current and long-term portion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71,129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(37,831)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(68,895)</w:t>
            </w: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1,121,625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687,277</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352,297</w:t>
            </w:r>
          </w:p>
        </w:tc>
      </w:tr>
      <w:tr>
        <w:trPr>
          <w:trHeight w:val="17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(69,388)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(635,763)</w:t>
            </w: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(192,941)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(263,352)</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sales of property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81,470</w:t>
            </w: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Payments for other investments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Proceeds from other investments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6"/>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investing activities,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(157,490)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(178,061)</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(821,183)</w:t>
            </w:r>
          </w:p>
        </w:tc>
      </w:tr>
      <w:tr>
        <w:trPr>
          <w:trHeight w:val="175"/>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credit facilities and term loans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4,099,102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4,378,200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4,065,000</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of credit facilities and term loans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(5,252,750)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(4,509,950)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(3,241,128)</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Proceeds from issuance of 5.900% senior notes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549,758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Repayments of 6.625% senior notes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finance lease obligations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(181,481)</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(81,291)</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of acquisition-related contingent consideration</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(35,149)</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for acquisition-related contingent assets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(17,636)</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Payments to non-controlling interests, including acquisition of interests and distributions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r>
      <w:tr>
        <w:trPr>
          <w:trHeight w:val="195"/>
        </w:trPr>
        <w:tc>
          <w:tcPr>
            <w:tcW w:w="7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Payments for stock-based awards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r>
      <w:tr>
        <w:trPr>
          <w:trHeight w:val="210"/>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financing activities, net</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(22,592)</w:t>
            </w:r>
          </w:p>
        </w:tc>
      </w:tr>
      <w:tr>
        <w:trPr>
          <w:trHeight w:val="19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(1,090,234)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(350,998)</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480,897</w:t>
            </w: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currency translation on cash</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(129,658)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158,969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9,856</w:t>
            </w:r>
          </w:p>
        </w:tc>
      </w:tr>
      <w:tr>
        <w:trPr>
          <w:trHeight w:val="20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529,561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370,592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360,736</w:t>
            </w:r>
          </w:p>
        </w:tc>
      </w:tr>
      <w:tr>
        <w:trPr>
          <w:trHeight w:val="19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 end of period</w:t>
            </w: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399,903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529,561</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370,592</w:t>
            </w:r>
          </w:p>
        </w:tc>
      </w:tr>
      <w:tr>
        <w:trPr>
          <w:trHeight w:val="230"/>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95"/>
        </w:trPr>
        <w:tc>
          <w:tcPr>
            <w:tcW w:w="7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paid</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195,338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237,645</w:t>
            </w:r>
          </w:p>
        </w:tc>
        <w:tc>
          <w:tcPr>
            <w:tcW w:w="12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106,484</w:t>
            </w:r>
          </w:p>
        </w:tc>
      </w:tr>
      <w:tr>
        <w:trPr>
          <w:trHeight w:val="21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w:t>
            </w: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information:</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7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Additions to property and equipment from finance leases and other financing arrangements</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147,736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232,249</w:t>
            </w:r>
          </w:p>
        </w:tc>
      </w:tr>
    </w:tbl>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ectPr>
          <w:pgSz w:w="11900" w:h="16838" w:orient="portrait"/>
          <w:cols w:equalWidth="0" w:num="1">
            <w:col w:w="11220"/>
          </w:cols>
          <w:pgMar w:left="320" w:top="1100"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0" w:right="35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Business, Basis of Presentation and Significant Accounting Policies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Nature of the Business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wireless, wireline/fiber and customer fulfillment activities; power delivery infrastructure, including transmission, distribution, grid hardening and modernization, environmental planning and compliance; power generation infrastructure, primarily from clean energy and renewable sources; pipeline infrastructure, including for natural gas, water and carbon capture sequestration pipelines and pipeline integrity services; heavy civil and industrial infrastructure, including roads, bridges and rail; and environmental remediation services. MasTec’s customers are primarily in these industries. MasTec reports its results under five reportable segments: (1) Communications; (2) Clean Energy and Infrastructure; (3) Power Delivery; (4) Pipeline Infrastructure and (5) Other. During the fourth quarter of 2024, the Company renamed its Oil and Gas segment as the Pipeline Infrastructure segment to better represent the nature of the segment’s operations, end markets and customer characteristics. There was no change to the composition of the segment or its historical results.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1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 When appropriate, prior year amounts are reclassified to conform with the current period presentation.</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Translation of Foreign Currencies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assets and liabilities of foreign subsidiaries with a functional currency other than the U.S. dollar are translated into U.S. dollars at period-end exchange rates and revenue and expenses are translated at average rates of exchange during the applicable period, with resulting translation gains or losses included within other comprehensive income or loss.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In these consolidated financial statements, “$” means U.S. dollars unless otherwise noted.</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Management Estimates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market volatility; other market, industry and regulatory factors, including uncertainty related to the implementation and pace of governmental programs and initiatives and project permitting issues, and other regulatory matters or uncertainty; supply chain disruptions; climate-related matters; global events, such as military conflicts;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 if conditions change or if certain key assumptions used in making these estimates ultimately prove to be inaccurate.</w:t>
      </w:r>
    </w:p>
    <w:p>
      <w:pPr>
        <w:spacing w:after="0" w:line="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 transaction price; fair value estimates, including those related to goodwill and intangible assets, long-lived and other assets, equity investments, financial instruments, acquisition-related liabilities, including contingent consideration, other liabilities and debt obligations; useful lives of long-lived assets; self-insurance liabilities; allowances for credit losses; certain other accruals and allowances; income taxes; and the estimated effects of litigation and other contingencies.</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General Economic, Market and Regulatory Conditions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experienced, and may continue to experience, direct and indirect negative effects on its business and operations from economic, market, and regulatory conditions, including the current elevated levels of interest rates; inflationary effects on the costs of labor, materials and fuel; supply chain disruptions; uncertainty related to the implementation and pace of spending under governmental programs and initiatives related to infrastructure and other industrial investment, delays and uncertainty related to project permitting and/or other regulatory matters or uncertainty; climate, environmental and sustainability-related matters; changes in technology, tax and other incentives; potential market volatility that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62" w:name="page63"/>
    <w:bookmarkEnd w:id="62"/>
    <w:p>
      <w:pPr>
        <w:jc w:val="both"/>
        <w:spacing w:after="0" w:line="260" w:lineRule="auto"/>
        <w:rPr>
          <w:sz w:val="20"/>
          <w:szCs w:val="20"/>
          <w:color w:val="auto"/>
        </w:rPr>
      </w:pPr>
      <w:r>
        <w:rPr>
          <w:rFonts w:ascii="Times New Roman" w:cs="Times New Roman" w:eastAsia="Times New Roman" w:hAnsi="Times New Roman"/>
          <w:sz w:val="16"/>
          <w:szCs w:val="16"/>
          <w:color w:val="auto"/>
        </w:rPr>
        <w:t>could negatively affect demand for future projects, and/or delay existing project timing or cause increased project costs; and public health matters. Additionally, the effects of heightened geopolitical tensions and conflicts, including the Russia-Ukraine conflicts and escalated tensions in the Middle East, among others, could potentially increase volatility and uncertainty in the energy and capital markets, which could delay projects and/or negatively affect demand for future projects. The extent to which these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Significant Accounting Policies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is a summary of significant accounting policies followed in the preparation of the accompanying consolidated financial statements.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 For the years ended December 31, 2024, 2023 and 2022, consolidated revenue totaled approximately $12.3 billion, $12.0 billion and $9.8 billion, respectively.</w:t>
      </w:r>
    </w:p>
    <w:p>
      <w:pPr>
        <w:spacing w:after="0" w:line="7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Contracts. </w:t>
      </w:r>
      <w:r>
        <w:rPr>
          <w:rFonts w:ascii="Times New Roman" w:cs="Times New Roman" w:eastAsia="Times New Roman" w:hAnsi="Times New Roman"/>
          <w:sz w:val="16"/>
          <w:szCs w:val="16"/>
          <w:color w:val="auto"/>
        </w:rPr>
        <w:t>The Company derives revenue primarily from construction projects performed under: (i) master service and other service agreements, which generally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may be subject to one or multiple pricing models, including fixed price, unit price, time and materials, or cost plus a markup. Revenue derived from projects performed under master service and other service agreements totaled 41%, 40% and 51% of consolidated revenue for the years ended December 31, 2024, 2023 and 2022, respectively.</w:t>
      </w:r>
    </w:p>
    <w:p>
      <w:pPr>
        <w:spacing w:after="0" w:line="8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Revenue from contracts for specific projects, as well as for certain projects pursuant to master and other service agreements, is typically recognized over time using the cost-to-cost measure of progress, which is an input method. Such contracts provide that the customer accept completion of progress to date and compensate the Company for services rendered.</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certain master service and other service agreements, revenue is recognized at a point in time, primarily for install-to-the-home and certain other wireless services in the Company’s Communications segment. Point in time revenue is recognized when the work order has been fulfilled, which, for the majority of the Company’s point in time revenue, is the same day it is initiated. Point in time revenue accounted for approximately 2% of consolidated revenue for both the years ended December 31, 2024 and 2023, and totaled approximately 4% for the year ended December 31, 2022.</w:t>
      </w:r>
    </w:p>
    <w:p>
      <w:pPr>
        <w:spacing w:after="0" w:line="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Contract costs include all direct materials, labor, equipment and subcontracted costs, as well as indirect costs related to contract performance, such as indirect labor, supplies, tools, repairs and the operational costs of capital equipment. Cost estimation processes used for recognizing revenue over time under the cost-to-cost method require management to make significant assumptions and judgments. Total transaction price and cost estimation processes are based primarily on the professional knowledge and experience of the Company’s project managers, operational and financial professionals, and other professional expertise, as warranted. Management reviews estimates of total contract transaction price and costs on an ongoing basis. Changes in job performance, job conditions and management’s assessment of the estimated amount and probability of variable consideration are factors that influence estimates of the total contract transaction price, total costs to complete those contracts and the Company’s profit recognition. Changes in these factors could result in revisions to the amount of revenue recognized in the period in which the revisions are determined, which revisions could materially affect the Company’s consolidated results of operations for that period. Provisions for losses on uncompleted contracts are recorded in the period in which such losses are estimated based on management’s experience and judgment. In each of the years ended December 31, 2024, 2023 and 2022, project profit was affected by less than 5% as a result of changes in contract estimates included in projects that were in process as of December 31, 2023, 2022 and 2021. Changes in recognized revenue, net, as a result of changes in total contract transaction price estimates, including from variable consideration, and/or changes in cost estimates, related to performance obligations satisfied or partially satisfied in prior periods, for both the years ended December 31, 2024 and 2022 positively affected revenue by approximately 0.1%, and for the year ended December 31, 2023, positively affected revenue by approximately 0.2%.</w:t>
      </w:r>
    </w:p>
    <w:p>
      <w:pPr>
        <w:spacing w:after="0" w:line="9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The Company may incur certain costs that can be capitalized, such as initial set-up or mobilization costs. Such capitalized costs, which are amortized over the life of the respective projects, were not material as of December 31, 2024 or 2023.</w:t>
      </w:r>
    </w:p>
    <w:p>
      <w:pPr>
        <w:spacing w:after="0" w:line="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The timing of customer billings is generally dependent upon advance billing terms, milestone billings based on completion of certain phases of work, or when services are provided. Under the typical payment terms of master and other service agreements and contracts for specific projects, the customer makes progress payments based on quantifiable measures of performance by the Company as defined by each specific agreement. Progress payments, generally net of amounts retained, are paid by the customer over the duration of the contract. For install-to-the-home and certain other contracts and services, work orders are billed and paid as completed. Amounts billed and due from customers, as well as the value of contract assets, are generally classified within current assets in the consolidated balance sheets. See Note 5 - Accounts Receivable, Net of Allowance, and Contract Assets and Liabilities for related discussion. Amounts expected to be collected beyond one year are classified as other long-term assets.</w:t>
      </w:r>
    </w:p>
    <w:p>
      <w:pPr>
        <w:spacing w:after="0" w:line="2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Performance Obligations. </w:t>
      </w:r>
      <w:r>
        <w:rPr>
          <w:rFonts w:ascii="Times New Roman" w:cs="Times New Roman" w:eastAsia="Times New Roman" w:hAnsi="Times New Roman"/>
          <w:sz w:val="16"/>
          <w:szCs w:val="16"/>
          <w:color w:val="auto"/>
        </w:rPr>
        <w:t>A performance obligation is a contractual promise to transfer a distinct good or service to a customer. The transaction price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contract is allocated to each distinct performance obligation and recognized as revenue when or as the performance obligation is satisfied. The Company’s contracts often require significant services to integrate complex activities and equipment into a single deliverable, and are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jc w:val="both"/>
        <w:spacing w:after="0" w:line="272" w:lineRule="auto"/>
        <w:rPr>
          <w:sz w:val="20"/>
          <w:szCs w:val="20"/>
          <w:color w:val="auto"/>
        </w:rPr>
      </w:pPr>
      <w:r>
        <w:rPr>
          <w:rFonts w:ascii="Times New Roman" w:cs="Times New Roman" w:eastAsia="Times New Roman" w:hAnsi="Times New Roman"/>
          <w:sz w:val="16"/>
          <w:szCs w:val="16"/>
          <w:color w:val="auto"/>
        </w:rPr>
        <w:t>therefore generally accounted for as a single performance obligation, even when delivering multiple services. Contract amendments and change orders, which are generally not distinct from the existing contract, are typically accounted for as a modification of the existing contract and performance obligation. The majority of the Company’s performance obligations are completed within one year.</w:t>
      </w:r>
    </w:p>
    <w:p>
      <w:pPr>
        <w:spacing w:after="0" w:line="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When more than one contract is entered into with a customer on or close to the same date, the Company evaluates whether those contracts should be combined and accounted for as a single contract, as well as whether those contracts should be accounted for as one, or more than one, performance obligation. This evaluation requires significant judgment and is based on the facts and circumstances of the specific contracts.</w:t>
      </w:r>
    </w:p>
    <w:p>
      <w:pPr>
        <w:spacing w:after="0" w:line="6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December 31, 2024, the amount of the Company’s remaining performance obligations was $10.0 billion. Based on current expectations, the Company anticipates it will recognize approximately $6.4 billion, or 63.4%, of its remaining performance obligations as revenue during 2025, with the majority of the remaining balance expected to be recognized over the subsequent two year period.</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Variable Consideration. </w:t>
      </w:r>
      <w:r>
        <w:rPr>
          <w:rFonts w:ascii="Times New Roman" w:cs="Times New Roman" w:eastAsia="Times New Roman" w:hAnsi="Times New Roman"/>
          <w:sz w:val="16"/>
          <w:szCs w:val="16"/>
          <w:color w:val="auto"/>
        </w:rPr>
        <w:t>Transaction prices for the Company’s contracts may include variable consideration, which comprises items such as change orders, claims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incentives. Management estimates variable consideration for a performance obligation utilizing estimation methods that it believes best predict the amount of consideration to which the Company will be entitled. Variable consideration is included in the estimated transaction price if it is probable that when the uncertainty associated with the variable consideration is resolved, there will not be a significant reversal of the cumulative amount of revenue that has been recognized. Management’s estimates of variable consideration and the determination of whether to include estimated amounts in transaction prices are based largely on discussions, correspondence or preliminary negotiations and past practices with the customer, engineering studies and legal advice and all other relevant information that is reasonably available at the time of the estimate. The effect of variable consideration on the transaction price of a performance obligation is recognized as an adjustment to revenue, typically on a cumulative catch-up basis, as such variable consideration, which typically pertains to changed conditions and scope, is generally for services encompassed under the existing contract. To the extent unapproved change orders, claims and other variable consideration reflected in transaction prices are not resolved in the Company’s favor, or to the extent incentives reflected in transaction prices are not earned, there could be reductions in, or reversals of, previously recognized revenue.</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2024 and 2023, the Company’s contract transaction prices included approximately $139 million and $194 million, respectively, of change orders and/or claims for certain contracts that were in the process of being resolved in the ordinary course of its business, including through negotiation, arbitration and other proceedings. These transaction price adjustments, when earned, are included within contract assets or accounts receivable, net of allowance, as appropriate. As of both December 31, 2024 and 2023, these change orders and/or claims primarily related to certain projects in the Company’s Clean Energy and Infrastructure and Power Delivery segments. The Company actively engages with its customers to complete the final approval process for such amounts and generally expects these processes to be completed within one year. Amounts ultimately realized upon final agreement by customers could be higher or lower than such estimated amounts.</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Allowance for Credit Losses</w:t>
      </w:r>
    </w:p>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maintains an allowance for credit losses for its financial instruments, which are primarily composed of accounts receivable and contract assets. The measurement and recognition of credit losses involves the use of judgment and incorporates management’s estimate of expected lifetime credit losses based on historical experience and trends, current conditions and reasonable and supportable forecasts. Management’s assessment of expected credit losses includes consideration of current and expected economic, market and industry factors affecting the Company’s customers, including their financial condition; the aging of account balances; historical credit loss experience; customer concentrations; customer credit-worthiness; availability of mechanics’ and other liens; and the existence of payment bonds and other sources of payment, among other factors. Management evaluates its experience with historical losses and then applies this historical loss ratio to financial assets with similar characteristics. The Company’s historical loss ratio or its determination of risk pools may be adjusted for changes in customer, economic, market or other circumstances. The Company may also establish an allowance for credit losses for specific receivables when it is probable that a specific receivable will not be collected and the loss can be reasonably estimated. Amounts are written off against the allowance when they are considered to be uncollectible, and reversals of previously reserved amounts are recognized if a specifically reserved item is settled for an amount exceeding the previous estimate.</w:t>
      </w:r>
    </w:p>
    <w:p>
      <w:pPr>
        <w:spacing w:after="0" w:line="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Estimates of expected credit losses could be affected by many factors, including, but not limited to: changes in credit loss experience, changes to the risk characteristics of the Company’s financial instrument portfolio, developing trends, including changes in management’s expectations of future economic, industry or other conditions and/or changes in credit quality or unanticipated financial difficulties affecting the Company’s customers. In addition, if anticipated recoveries in existing negotiations or bankruptcies fail to materialize, additional allowances may be required. Estimates of collectibility are subject to significant change during times of economic weakness or uncertainty in either the overall economy or within the industries served by MasTec. Management actively monitors these factors and assesses the sufficiency of its allowance for credit losses on an ongoing basis, including the potential effects of trends in end-market volatility and/or other macroeconomic factors on the credit quality of the Company’s customers and/or its financial assets, such as the current market environment of elevated interest rates and inflation.</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Inventories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Inventories primarily consist of materials and supplies for construction and installation projects, which are valued at the lower of cost or net realizable value using the average cost or specific identification methods of costing. For materials or supplies purchased on behalf of specific customers or projects, loss of the customer or cancellation of the project could result in an impairment of the value of materials purchased. The value of inventory may also decrease due to obsolescence, physical deterioration, damage, changes in price levels, or other causes.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1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Company considers highly liquid investments with original maturities of less than three months to be cash equivalents. The balances in certain of the Company’s bank accounts exceed federally insured limits. Cash and cash equivalents consist primarily of interest-bearing demand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4" w:name="page65"/>
    <w:bookmarkEnd w:id="64"/>
    <w:p>
      <w:pPr>
        <w:jc w:val="both"/>
        <w:spacing w:after="0" w:line="272" w:lineRule="auto"/>
        <w:rPr>
          <w:sz w:val="20"/>
          <w:szCs w:val="20"/>
          <w:color w:val="auto"/>
        </w:rPr>
      </w:pPr>
      <w:r>
        <w:rPr>
          <w:rFonts w:ascii="Times New Roman" w:cs="Times New Roman" w:eastAsia="Times New Roman" w:hAnsi="Times New Roman"/>
          <w:sz w:val="16"/>
          <w:szCs w:val="16"/>
          <w:color w:val="auto"/>
        </w:rPr>
        <w:t>deposits that are maintained at financial institutions that management considers to be of high credit quality. Included in the Company’s cash balances as of December 31, 2024 and 2023 are amounts held by entities that are proportionately consolidated totaling $46.7 million and $38.1 million, respectively. These amounts are available to support the operations of those entities, but are not available for the Company’s other operations.</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financial instruments are primarily composed of cash and cash equivalents, accounts receivable and contract assets,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and debt obligations.</w:t>
      </w:r>
    </w:p>
    <w:p>
      <w:pPr>
        <w:spacing w:after="0" w:line="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including quoted market prices for identical or similar assets or liabilities in markets that are not active; and (iii) Level 3 - significant unobservable inputs that cannot be corroborated by observable market data, which are generally determined using valuation models incorporating management estimates of market participant assumptions. In instances in which the inputs used to measure fair value fall into different levels of the fair value hierarchy, the fair value measurement classification is determined based on the lowest level input that is significant to the fair value measurement in its entirety. Management’s assessment of the significance of a particular item to the fair value measurement in its entirety requires judgment, including the consideration of inputs specific to the asset or liability.</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Fair values of financial instruments are estimated using public market prices, quotes from financial institutions and other available information. Due to their short-term maturity, the carrying amounts of cash and cash equivalents, accounts receivable and contract assets, accounts payable and other current liabilities approximate their fair values, and management also believes that the carrying values of notes and other receivables, cash collateral deposited with insurance carriers and outstanding balances on the Company’s credit and term loan facilities approximate their fair values, based on their specific asset and/or liability characteristics, including having terms consistent with current market conditions.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Investment and Strategic Arrangements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From time to time, the Company may participate in selected investment or strategic arrangements to expand its operations, service offerings, customer base or geographic reach, including arrangements that combine the Company’s skills and resources with those of others to allow for the performance of particular projects. The Company’s investment and strategic arrangements include equity interests in various business entities and participation in contractual joint ventures, some of which may involve the extension of loans or other types of financing arrangements.</w:t>
      </w:r>
    </w:p>
    <w:p>
      <w:pPr>
        <w:spacing w:after="0" w:line="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Management determines whether each business entity in which it has equity interests, debt, or other investments constitutes a variable interest entity (“VIE”) based on the nature and characteristics of such arrangements. If an investment arrangement is determined to be a VIE, then management determines if the Company is the VIE’s primary beneficiary by evaluating several factors, including the Company’s: (i) risks and responsibilities; (ii) ownership interests; (iii) decision making powers; and (iv) financial interests, among other factors. If management determines the Company is the primary beneficiary of a VIE, then that VIE would be consolidated, with the other parties’ interests in the VIE accounted for as non-controlling interests. The primary beneficiary consolidating a VIE must normally have both (i) the power to direct the primary activities of the VIE and (ii) the obligation to absorb losses of the VIE or the right to receive benefits from the VIE, which, in either case, could be significant to the VIE. The Company has determined that certain of its investment arrangements are VIEs. See Note 4 - Fair Value of Financial Instruments for additional information pertaining to the Company’s VIEs.</w:t>
      </w:r>
    </w:p>
    <w:p>
      <w:pPr>
        <w:spacing w:after="0" w:line="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investments in entities for which it does not have a controlling interest and is not the primary beneficiary, but for which it has the ability to exert significant influence, are accounted for using the equity method of accounting. Under the equity method of accounting, the initial investment is recorded at cost and the investment is subsequently adjusted for the Company’s proportionate share of earnings or losses, including consideration of basis differences resulting from the difference between the initial carrying amount of the investment and the underlying equity in net assets. Equity method investments are recorded as other long-term assets in the Company’s consolidated balance sheets. Income or loss from these investments is recorded as a separate line item in the consolidated statements of operations. Intercompany profits or losses associated with the Company’s equity method investments are eliminated until realized by the investee in transactions with third parties. Distributions received from equity method investees are reflected in the statements of cash flows using the nature of distributions approach, under which distributions are classified based on the nature of the activity that generated them.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9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252525"/>
        </w:rPr>
        <w:t>E</w:t>
      </w:r>
      <w:r>
        <w:rPr>
          <w:rFonts w:ascii="Times New Roman" w:cs="Times New Roman" w:eastAsia="Times New Roman" w:hAnsi="Times New Roman"/>
          <w:sz w:val="16"/>
          <w:szCs w:val="16"/>
          <w:color w:val="000000"/>
        </w:rPr>
        <w:t>quity investments, other than those accounted for as equity method investments or those that are proportionately consolidated, are measured at fair value if their</w:t>
      </w:r>
      <w:r>
        <w:rPr>
          <w:rFonts w:ascii="Times New Roman" w:cs="Times New Roman" w:eastAsia="Times New Roman" w:hAnsi="Times New Roman"/>
          <w:sz w:val="16"/>
          <w:szCs w:val="16"/>
          <w:color w:val="252525"/>
        </w:rPr>
        <w:t xml:space="preserve"> </w:t>
      </w:r>
      <w:r>
        <w:rPr>
          <w:rFonts w:ascii="Times New Roman" w:cs="Times New Roman" w:eastAsia="Times New Roman" w:hAnsi="Times New Roman"/>
          <w:sz w:val="16"/>
          <w:szCs w:val="16"/>
          <w:color w:val="000000"/>
        </w:rPr>
        <w:t>fair values are readily determinable. Equity investments that do not have readily determinable fair values are measured at cost, adjusted for changes from observable market transactions, if any, less impairment, which is referred to as the “adjusted cost basis.” The Company evaluates such investments for impairment by considering a variety of factors, including the earnings performance of the related investments, as well as the economic environment and market conditions in which the investees operate. Fair value measurements for the Company’s equity investments, which are recognized in other income or expense, as appropriate, were based on Level 3 inputs for the years ended December 31, 2024 and 2023.</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252525"/>
        </w:rPr>
        <w:t>For further information pertaining to the Company’s equity investments, see Note 4 - Fair Value of Financial Instruments.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Deferred Financing Costs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Deferred financing costs relate to the Company’s debt instruments, the short and long-term portions of which are reflected as deductions from the carrying amounts of the related debt instrument, including the Company’s senior unsecured credit facility. Deferred financing costs are amortized over the terms of the related debt instruments using the effective interest method. Deferred financing costs, net of accumulated amortization, totaled $14.6 million and $13.5 million as of December 31, 2024 and 2023, respectively. Amortization expense associated with deferred financing costs, which is included within interest expense, net, totaled $4.6 million, $4.1 million and $3.6 million for the years ended December 31, 2024, 2023 and 2022, respectively. For the years ended December 31, 2024 and 2022, the Company deferred $6.1 million and $2.8 million, respectively, of financing costs in connection with its debt instruments, and no financing costs were deferred for the year ended December 31, 2023. For further information pertaining to the Company’s debt instruments, see Note 7 - Debt.</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Long-Term Assets</w:t>
      </w:r>
    </w:p>
    <w:p>
      <w:pPr>
        <w:spacing w:after="0" w:line="131"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Other long-term assets consist primarily of investments in unconsolidated entities, life insurance assets, deferred compensation plan assets and miscellaneous receivables.</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long-lived assets consist primarily of property and equipment, including finance lease assets, and finite-lived intangible assets. Purchased property and equipment is recorded at cost, or, if acquired in a business combination, at the acquisition date fair value. Finance lease assets are recognized based on the present value of minimum future lease payments. Certain costs incurred in connection with developing or obtaining internal-use software are capitalized within office equipment, furniture and internal-use software. Depreciation and amortization of property and equipment, including finance lease assets, is computed using the straight-line method over the estimated useful lives of the respective assets. Leasehold improvements are depreciated over the shorter of the term of the lease or the estimated useful lives of the improvements. Expenditures for repairs and maintenance are charged to expense as incurred. Expenditures for betterments and major improvements that extend the life of the related assets are capitalized and depreciated over the remaining useful lives of the assets. The carrying amounts of assets sold or retired and the related accumulated depreciation are eliminated in the year of disposal. Gains or losses, net, from the sale of property and equipment are included within general and administrative expenses. When the Company identifies assets to be sold, those assets are valued based on their estimated fair value less costs to sell and classified as held-for-sale and depreciation is no longer recorded. Finite-lived intangible assets are amortized over their useful lives, which are generally based on contractual or legal rights, in a manner consistent with the pattern in which the related benefits are expected to be consumed.</w:t>
      </w:r>
    </w:p>
    <w:p>
      <w:pPr>
        <w:spacing w:after="0" w:line="7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 reviews long-lived assets for impairment whenever events or changes in circumstances indicate that their carrying amounts may not be recoverable. If an evaluation is required, the estimated future undiscounted cash flows associated with the asset are compared with the asset’s carrying amount to determine if there has been an impairment, which is calculated as the difference between the fair value of an asset and its carrying value. Estimates of future undiscounted cash flows are based on expected revenue and operating costs for the business as well as anticipated future economic conditions, which are Level 3 inputs. During the three years in the period ended December 31, 2024, there were no material impairments of long-lived assets.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During the third quarter of 2024, based on the Company’s experience with the duration over which certain machinery and equipment is expected to be utilized, the Company completed a review of the estimated useful lives of certain machinery and equipment, which resulted in a net increase in the estimated useful lives of such machinery and equipment. The resulting change in accounting estimate was applied on a prospective basis. For the year ended December 31, 2024, the effect of this change was a net reduction in depreciation expense of approximately $34 million.</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Goodwill and Indefinite-Lived Intangible Assets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goodwill and indefinite-lived intangible assets that have been recorded in connection with its acquisitions of businesses. Goodwill and indefinite-lived intangible assets are not amortized, but instead are tested for impairment at least annually. The Company performs its annual impairment tests of goodwill and indefinite-lived intangible assets during the fourth quarter of each year, and on a quarterly basis, monitors these assets for potential indicators of impairment. During the fourth quarter of 2024, the Company changed the estimated life of its remaining non-amortizing trade name from indefinite to finite-lived and began amortizing it over its remaining useful life of 12 years. See Note 3 - Acquisitions, Goodwill and Other Intangible Assets, Net for additional information. See below for details of the Company’s impairment testing for the years ended December 31, 2024, 2023 and 2022.</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Goodwill is required to be tested for impairment at the reporting unit level. A reporting unit is an operating segment, or one level below the operating segment, which is referred to as a component. Management identifies its reporting units by assessing whether components (i) have discrete financial information available; (ii) engage in business activities; and (iii) have a segment manager that regularly reviews the component’s operating results. If two or more components are deemed economically similar, those components are aggregated into one reporting unit when performing the annual goodwill impairment test. All of the Company’s reporting units are each composed of one component.</w:t>
      </w:r>
    </w:p>
    <w:p>
      <w:pPr>
        <w:spacing w:after="0" w:line="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During each of the three years in the period ended December 31, 2024, management performed a qualitative assessment for its goodwill and indefinite-lived intangible assets by examining relevant events and circumstances that could have an effect on their fair values, such as: macroeconomic trends and events, including: levels of inflation, market interest rates and/or supply chain disruptions; industry and/or market conditions, including the potential effects of regulatory and other uncertainty, including uncertainty related to the implementation and pace of spending under governmental infrastructure programs and initiatives; project permitting uncertainty; financial, competitive and other conditions, including declines in the operating performance of our reporting units; entity-specific events; the potential effects of longer-term changes in consumer behavior due to regulatory, climate-related or other factors, and other relevant factors or events that could affect earnings and cash flows.</w:t>
      </w:r>
    </w:p>
    <w:p>
      <w:pPr>
        <w:spacing w:after="0" w:line="87" w:lineRule="exact"/>
        <w:rPr>
          <w:sz w:val="20"/>
          <w:szCs w:val="20"/>
          <w:color w:val="auto"/>
        </w:rPr>
      </w:pPr>
    </w:p>
    <w:p>
      <w:pPr>
        <w:jc w:val="both"/>
        <w:ind w:right="20" w:firstLine="648"/>
        <w:spacing w:after="0" w:line="280" w:lineRule="auto"/>
        <w:rPr>
          <w:sz w:val="20"/>
          <w:szCs w:val="20"/>
          <w:color w:val="auto"/>
        </w:rPr>
      </w:pPr>
      <w:r>
        <w:rPr>
          <w:rFonts w:ascii="Times New Roman" w:cs="Times New Roman" w:eastAsia="Times New Roman" w:hAnsi="Times New Roman"/>
          <w:sz w:val="16"/>
          <w:szCs w:val="16"/>
          <w:color w:val="auto"/>
        </w:rPr>
        <w:t>Quantitative testing was performed for selected reporting units during each of the three years in the period ended December 31, 2024. Management estimated the fair values of the selected reporting units using a combination of market and income approaches using Level 3 inputs.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16"/>
          <w:szCs w:val="16"/>
          <w:color w:val="auto"/>
        </w:rPr>
        <w:t>Under the market approach, fair values were estimated using published market multiples for comparable companies and applying them to revenue and earnings before interest, taxes, depreciation and amortization (“EBITDA”). Under the income approach, a discounted cash flow methodology was used, considering: (i) management estimates, such as projections of revenue, operating costs and cash flows, taking into consideration historical and anticipated financial results; (ii) general economic, market and regulatory conditions; and (iii) the impact of planned business and operational strategies. Management believes the assumptions used in its quantitative goodwill impairment tests are reflective of the risks inherent in the business models of the applicable reporting units and within the units’ industry. Estimated discount rates were determined using the weighted average cost of capital for each reporting unit at the time of the analysis, taking into consideration the risks inherent within each reporting unit individually.</w:t>
      </w:r>
    </w:p>
    <w:p>
      <w:pPr>
        <w:spacing w:after="0" w:line="2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2024 Assessment. </w:t>
      </w:r>
      <w:r>
        <w:rPr>
          <w:rFonts w:ascii="Times New Roman" w:cs="Times New Roman" w:eastAsia="Times New Roman" w:hAnsi="Times New Roman"/>
          <w:sz w:val="16"/>
          <w:szCs w:val="16"/>
          <w:color w:val="auto"/>
        </w:rPr>
        <w:t>During the first quarter of 2024, the reporting units within the Power Delivery operating segment were restructured to more closely align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segment’s end markets and to better correspond with the operational management reporting structure of the segment, including from the effects of the Company’s recent transformative acquisition efforts. Under the new reporting unit structure, each of the five components within the Power Delivery operating segment is a reporting unit. Management performed testing under the previous reporting unit structure and determined that no goodwill impairment existed, and under the new reporting unit structure the estimated fair values of all but one of the reporting units substantially exceeded their carrying values. A 100 basis point increase in the discount rate would not have resulted in any of the tested reporting units’ carrying values exceeding their fair values. As of March 31, 2024, the reporting unit that did not substantially exceed its carrying value had approximately $47.1 million of goodwill. This reporting unit’s estimated fair value exceeded its carrying value by approximately 16%. Significant assumptions used in testing this reporting unit included terminal values based on a terminal growth rate of 3%, 5 years of discounted cash flows prior to the terminal value, including revenue growth and EBITDA margin assumptions, and a weighted average discount rate of 12%.</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During the fourth quarter of 2024, the Company completed its annual goodwill impairment test for all of its reporting units. Quantitative testing was performed for</w:t>
      </w:r>
    </w:p>
    <w:p>
      <w:pPr>
        <w:spacing w:after="0" w:line="26" w:lineRule="exact"/>
        <w:rPr>
          <w:sz w:val="20"/>
          <w:szCs w:val="20"/>
          <w:color w:val="auto"/>
        </w:rPr>
      </w:pPr>
    </w:p>
    <w:p>
      <w:pPr>
        <w:jc w:val="both"/>
        <w:ind w:firstLine="8"/>
        <w:spacing w:after="0" w:line="256" w:lineRule="auto"/>
        <w:tabs>
          <w:tab w:leader="none" w:pos="20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 reporting units within the Communications operating segment; (ii) one reporting unit within the Clean Energy and Infrastructure operating segment; and (iii) one reporting unit within the Pipeline Infrastructure operating segment. Factors considered by management in determining the reporting units for which quantitative assessments were performed included the effects of current or expected changes in market conditions on the future business outlook, including, as described above, the potential future effects of macroeconomic trends and events, industry, market and regulatory factors, climate-related or other factors, rates of success on new project awards and levels of operating activity.</w:t>
      </w:r>
    </w:p>
    <w:p>
      <w:pPr>
        <w:spacing w:after="0" w:line="9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In 2024, significant assumptions used in testing the reporting units included terminal values based on a terminal growth rate of 3.0%, five to seven years of discounted cash flows prior to the terminal value, including revenue growth and EBITDA margin assumptions, and discount rates ranging from 9.5% to 11.0%.</w:t>
      </w:r>
    </w:p>
    <w:p>
      <w:pPr>
        <w:spacing w:after="0" w:line="57"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Based on the results of the quantitative assessments, the estimated fair values of all of the tested reporting units were determined to substantially exceed their carrying values. A 100 basis point increase in the discount rate would not have resulted in any of the tested reporting units’ carrying values exceeding their fair values.</w:t>
      </w:r>
    </w:p>
    <w:p>
      <w:pPr>
        <w:spacing w:after="0" w:line="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and 2022 Assessments. </w:t>
      </w:r>
      <w:r>
        <w:rPr>
          <w:rFonts w:ascii="Times New Roman" w:cs="Times New Roman" w:eastAsia="Times New Roman" w:hAnsi="Times New Roman"/>
          <w:sz w:val="16"/>
          <w:szCs w:val="16"/>
          <w:color w:val="auto"/>
        </w:rPr>
        <w:t>The Company completed its annual goodwill impairment test for all of its reporting units during both of the years ended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31, 2023 and 2022. In 2023, quantitative testing was performed for (i) three reporting units within the Clean Energy and Infrastructure segment; (ii) one reporting unit in the Power Delivery operating segment; and (iii) one reporting unit within the Pipeline Infrastructure operating segment. In 2022, quantitative testing was performed for (i) one reporting unit within the Clean Energy and Infrastructure segment; (ii) one reporting unit in the Power Delivery operating segment; and (iii) four reporting units within the Pipeline Infrastructure operating segment. The Company determined there was no impairment as a result of its annual goodwill impairment test for all of its reporting units for both of the years ended December 31, 2023 and 2022.</w:t>
      </w:r>
    </w:p>
    <w:p>
      <w:pPr>
        <w:spacing w:after="0" w:line="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2024 and 2023, management believes that the recorded balances of goodwill and intangible assets are recoverable; however, significant changes in the assumptions or estimates used in the Company’s analyses, such as a reduction in profitability and/or cash flows, changes in market, regulatory or other conditions, including decreases in project activity levels and/or the effects of elevated levels of inflation, interest rates or other regulatory or market disruptions, including from geopolitical events and/or changes in asset characteristics, could result in non-cash goodwill and/or intangible asset impairment charges in future periods.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determination of the fair value of net assets acquired in a business combination requires estimates and judgments of future cash flow expectations for the acquired business and the related identifiable tangible and intangible assets. Fair values of net assets acquired are calculated using expected cash flows and industry-standard valuation techniques. For current assets and current liabilities, book value is generally assumed to approximate fair value. Goodwill is the amount by which consideration paid for an acquired entity exceeds the fair value of its acquired net assets. A bargain purchase gain results when the fair value of an acquired entity’s net assets exceeds its purchase price, and is recorded within other income in the consolidated statements of operations. Acquisition costs are expensed as incurred and are included within general and administrative expenses in the consolidated statements of operations. For both the years ended December 31, 2024 and 2023, the Company incurred approximately $3 million of acquisition costs associated with its completed acquisitions, and for the year ended December 31, 2022, the Company incurred approximately $17 million of such costs.</w:t>
      </w:r>
    </w:p>
    <w:p>
      <w:pPr>
        <w:spacing w:after="0" w:line="9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Due to the time required to gather and analyze the necessary data for each acquisition, U.S. GAAP provides a “measurement period” of up to one year from the date of acquisition in which to finalize these fair value determinations. During the measurement period, preliminary fair value estimates may be revised if new information is obtained about the facts and circumstances existing as of the date of acquisition, or based on the final net assets and working capital of the acquired business, as prescribed in the applicable purchase agreement. Such adjustments may result in the recognition of, or an adjustment to the fair values of, acquisition-related assets and liabilities and/or consideration paid, and are referred to as “measurement period” adjustments. Measurement period adjustments are recorded to goodwill. Other changes to fair value estimates, including</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those relating to facts and circumstances that occur subsequent to the date of acquisition, are reflected as income or expense in the consolidated statement of operations, as appropriate.</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Consideration paid generally consists of cash and, from time to time, shares of our common stock, and potential future payments that are contingent upon the acquired business achieving certain levels of earnings in the future, also referred to as “acquisition-related contingent consideration” or “earn-outs.” Additionally, a prior year acquisition included a mandatorily redeemable non-controlling interest that was subject to a repurchase formula consistent with the Company’s traditional earn-out arrangements. In 2023, the Company acquired the remaining interests of this entity. The Company refers to its traditional earn-out arrangements and the mandatorily redeemable non-controlling interest collectively as “Earn-outs.”</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Earn-out liabilities are measured at their estimated fair values as of the date of acquisition. Subsequent to the date of acquisition, if future Earn-out payments are expected to differ from Earn-out payments estimated as of the date of acquisition, any related fair value adjustments, including those related to finalization of completed earn-out arrangements, are recognized in the period that such expectation is considered probable. Changes in the fair value of Earn-out liabilities for the Company’s traditional earn-outs, other than those related to measurement period adjustments, as described above, are recorded within other income or expense in the consolidated statements of operations. For the mandatorily redeemable non-controlling interest, such changes were recorded within interest expense or other income, as appropriate. Fair values of Earn-out liabilities are estimated using income approaches such as discounted cash flows or option pricing models, which are Level 3 inputs. Earn-out liabilities are included within other current and other long-term liabilities, as appropriate, within the consolidated balance sheets. Earn-out payments, to the extent they relate to estimated liabilities as of the date of acquisition, are classified within financing activities in the consolidated statements of cash flows. Earn-out payments in excess of acquisition date liabilities are classified within operating activities in the consolidated statement of cash flows.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3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agreements that provide financing for machinery and equipment and for other of its facility, vehicle and equipment needs, including certain related party leases. The Company reviews all agreements to determine if a leasing arrangement exists. When a leasing arrangement is identified, a determination is made at inception as to whether the lease is an operating or a finance lease. A lease exists when a contract conveys the right to control the use of an identified asset for a period of time in exchange for consideration. In determining whether a lease exists, the Company considers whether a contract provides both the right to obtain substantially all of the economic benefits from the use of an asset and the right to direct the use of the asset. Right-of-use assets and lease liabilities are recognized at the lease commencement date based on the present value of the minimum future lease payments over the expected term of the lease. The Company’s lease assets are primarily concentrated in vehicles, machinery and equipment.</w:t>
      </w:r>
    </w:p>
    <w:p>
      <w:pPr>
        <w:spacing w:after="0" w:line="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Leases with an initial term of twelve months or less are classified as short-term leases and are not recognized in the consolidated balance sheets unless the lease contains a purchase option that is reasonably certain to be exercised, or unless it is reasonably certain that the equipment will be leased for greater than twelve months. The volume of lease activity for leases with an initial term of twelve months or less varies depending upon the number of ongoing projects at a given time, as well as the location and type of equipment required in connection with those projects. Lease payments for short-term leases are recognized on a straight-line basis over the lease term, and primarily relate to equipment used on construction projects, for which the rentals are based on daily, weekly or monthly rental rates, and typically contain termination for convenience provisions. Lease determinations are reassessed in the event of a change in lease terms. The Company has a limited number of sublease, equipment and other leasing arrangements, which are not considered material to the consolidated financial statements.</w:t>
      </w:r>
    </w:p>
    <w:p>
      <w:pPr>
        <w:spacing w:after="0" w:line="7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of December 31, 2024, the Company’s leases have remaining lease terms of up to 14 years. Lease agreements may contain renewal clauses, which, if elected, generally extend the term of the lease for 1 to 5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 accounts for non-lease components together with the related lease components for all classes of leased assets. The Company’s lease agreements do not contain significant residual value guarantees or material restrictive covenants.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Lease term, discount rate, variable lease costs and future minimum lease payment determinations require the use of judgment, and are based on the facts and circumstances of each lease. Economic incentives, intent, past history and business needs are among the factors considered to determine if renewal and/or purchase options are reasonably certain to be exercised. The majority of the Company’s lease agreements do not explicitly state the discount rate implicit in the lease, therefore, the Company generally uses an incremental borrowing rate to determine the value of its lease obligations. The incremental borrowing rate represents the rate of interest that would be paid to borrow on a collateralized basis over a similar term. The Company determines its incremental borrowing rate using a portfolio approach based on information available as of the lease commencement date, including applicable lease terms and the current economic environment.</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Finance lease assets are recorded within property and equipment, with a corresponding amount recorded within the Company’s debt obligations. Finance lease expense is composed of depreciation expense on the leased asset and interest on the lease liability. Additions to finance leases are included within the supplemental disclosures of non-cash information in the consolidated statements of cash flows. Many of the Company’s finance leases contain a purchase option which the Company is reasonably certain to exercise at the end of the lease term, given that the purchase option prices are typically below the estimated fair market values of the related assets.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Operating lease right-of-use assets and liabilities are recorded on the consolidated balance sheets, with the related lease expense recognized over the term of the lease on a straight-line basis. Operating lease expense is recorded as rent expense, primarily within costs of revenue, excluding depreciation and amortization. Fixed costs for operating leases are composed of initial base rent amounts plus any fixed annual increases. Variable costs for operating leases consist primarily of common area maintenance expenses and taxes for facility leases. Certain of the Company’s operating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8" w:name="page69"/>
    <w:bookmarkEnd w:id="68"/>
    <w:p>
      <w:pPr>
        <w:jc w:val="both"/>
        <w:spacing w:after="0" w:line="280" w:lineRule="auto"/>
        <w:rPr>
          <w:sz w:val="20"/>
          <w:szCs w:val="20"/>
          <w:color w:val="auto"/>
        </w:rPr>
      </w:pPr>
      <w:r>
        <w:rPr>
          <w:rFonts w:ascii="Times New Roman" w:cs="Times New Roman" w:eastAsia="Times New Roman" w:hAnsi="Times New Roman"/>
          <w:sz w:val="16"/>
          <w:szCs w:val="16"/>
          <w:color w:val="auto"/>
        </w:rPr>
        <w:t>leases contain purchase options, for which the purchase option price is generally considered to be at fair market value. From time to time, the Company may terminate a lease before the end of the lease term. Payments related to such early lease terminations are generally recorded within general and administration expenses.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Self-Insurance</w:t>
      </w:r>
    </w:p>
    <w:p>
      <w:pPr>
        <w:spacing w:after="0" w:line="11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color w:val="auto"/>
        </w:rPr>
        <w:t>The Company is self-insured up to the amount of its deductible for its insurance policies. MasTec maintains insurance policies subject to per claim deductibles of $2.0 million for its workers’ compensation policy and $10.0 million for each of its general liability and automobile liability policies. In addition, the Company also maintains excess umbrella coverage. The Company manages certain of its insurance liabilities indirectly through its wholly-owned captive insurance company, which reimburses claims up to the applicable insurance limits. Cash balances held by the Company’s captive insurance company are generally not available for use in the Company’s other operations.</w:t>
      </w:r>
    </w:p>
    <w:p>
      <w:pPr>
        <w:spacing w:after="0" w:line="26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Estimated liabilities under the Company’s insurance programs are accrued based upon management’s estimates of the ultimate liability for claims reported and an estimate of claims incurred but not reported, with assistance from third-party actuaries. MasTec also maintains an insurance policy with respect to employee group medical claims, which is subject to annual per employee maximum losses of $0.6 million. MasTec’s estimated liability for employee group medical claims is based on statistical analysis of historical claims experience and specific knowledge of actual losses that have occurred. The Company is required to post collateral, generally in the form of letters of credit, surety bonds and cash to certain of its insurance carriers. Cash collateral deposited with insurance carriers is included in other long-term assets in the consolidated balance sheets.</w:t>
      </w:r>
    </w:p>
    <w:p>
      <w:pPr>
        <w:spacing w:after="0" w:line="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present value of the Company’s self-insurance liability is reflected in the consolidated balance sheets within current and other long-term liabilities, as appropriate. The determination of such claims and expenses and the appropriateness of the related liability is reviewed and updated quarterly. These insurance liabilities are, however, difficult to assess and estimate due to many factors, the effects of which are often unknown or difficult to estimate, including the severity of an injury or an incident, the determination of the Company’s liability in proportion to other parties and the number of incidents not reported. Accruals are based upon known facts, historical trends and claims experience, loss development patterns and other actuarial assumptions. Although management believes its accruals are adequate, a change in experience or actuarial or management assumptions could materially affect the Company’s results of operations in a particular period.</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records income taxes using the asset and liability method of accounting for deferred income taxes. Under this method, deferred tax assets and liabilities are recognized for the expected future tax consequences of temporary differences between the financial statement and income tax basis of the Company’s assets and liabilities. Income taxes are estimated in each of the jurisdictions in which the Company operates. This process involves estimating the tax exposure, together with assessing temporary differences resulting from differing treatment of items, such as deferred revenue, for tax and accounting purposes. These differences result in deferred tax assets and liabilities, which are included, net, within the consolidated balance sheets as long-term assets and/or liabilities, as appropriate. The recording of a deferred tax asset assumes the realization of such asset in the future. Otherwise, a valuation allowance is recorded to reduce the asset to its estimated net realizable value. If management determines that the Company may not be able to realize all or part of a deferred tax asset in the future, a valuation allowance for the deferred tax asset is charged to income tax expense in the period the determination is made. Management considers future pretax income and ongoing prudent and feasible tax planning strategies in assessing the estimated net realizable value of tax assets and the corresponding need for any related valuation allowances.</w:t>
      </w:r>
    </w:p>
    <w:p>
      <w:pPr>
        <w:spacing w:after="0" w:line="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determining the provision for income taxes, management uses an effective tax rate based on annual pre-tax income, statutory tax rates, permanent tax differences and tax planning opportunities in the various jurisdictions in which the Company operates. The Company is generally free of additional U.S. federal tax consequences on distributed foreign subsidiary earnings. The Company has generally not provided for U.S. income taxes on unremitted foreign earnings because such earnings are considered to be insignificant.</w:t>
      </w:r>
    </w:p>
    <w:p>
      <w:pPr>
        <w:spacing w:after="0" w:line="71"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Significant factors that can affect the Company’s annual effective tax rate include management’s assessment of certain tax matters, the location and amount of taxable earnings, changes in certain non-deductible expenses and expected credits.</w:t>
      </w:r>
    </w:p>
    <w:p>
      <w:pPr>
        <w:spacing w:after="0" w:line="4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An entity may only recognize or continue to recognize tax positions that meet a "more likely than not" threshold. In the ordinary course of business, there is inherent uncertainty in quantifying income tax positions. The Company assesses its income tax positions and records tax benefits for all years subject to examination based on management's evaluation of the facts, circumstances and information available at the reporting date. For those tax positions where it is more likely than not that a tax benefit will be sustained, the Company has recognized the largest amount of tax benefit with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Company's financial statements.</w:t>
      </w:r>
    </w:p>
    <w:p>
      <w:pPr>
        <w:spacing w:after="0" w:line="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and its subsidiaries file income tax returns in numerous tax jurisdictions, including U.S. federal, most U.S. states and certain foreign jurisdictions. Although management believes its calculations for its tax returns are accurate and the positions taken thereon are reasonable, the final outcome of income tax examinations could be materially different from the resolution management currently anticipates and the estimates that are reflected in the Company’s consolidated financial statements, which could materially affect the Company’s results of operations, cash flows and liquidity in a particular period. To the extent interest and penalties are assessed by taxing authorities, such amounts are accrued and included within income tax expense.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has certain stock-based compensation plans, under which restricted stock awards and restricted stock units (together, “restricted shares”) are available for issuance to eligible participants. Non-cash stock-based compensation expense is included within general and administrative expense in the consolidated statements of operations. Share-based payments, to the extent they are compensatory, are recognized based on their grant date fair values. Forfeitures are recorded as they occur. The Company records a deferred tax asset, or future tax benefit, based on the amount of share-based compensation recognized in the financial statements over the vesting period of share-based awards. The tax effects of</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9" w:name="page70"/>
    <w:bookmarkEnd w:id="69"/>
    <w:p>
      <w:pPr>
        <w:jc w:val="both"/>
        <w:spacing w:after="0" w:line="280" w:lineRule="auto"/>
        <w:rPr>
          <w:sz w:val="20"/>
          <w:szCs w:val="20"/>
          <w:color w:val="auto"/>
        </w:rPr>
      </w:pPr>
      <w:r>
        <w:rPr>
          <w:rFonts w:ascii="Times New Roman" w:cs="Times New Roman" w:eastAsia="Times New Roman" w:hAnsi="Times New Roman"/>
          <w:sz w:val="16"/>
          <w:szCs w:val="16"/>
          <w:color w:val="auto"/>
        </w:rPr>
        <w:t>differences between the fair value of a share-based award on the date of vesting and the date of grant, also referred to as excess tax benefits or tax deficiencies, are recognized within the provision for income taxes in the period such vesting occurs.</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Grants of restricted shares are valued based on the closing market share price of MasTec’s common stock as reported on the New York Stock Exchange (the “market price”) on the date of grant. Compensation expense arising from restricted shares is recognized on a straight-line basis over the vesting period. Grants of restricted shares have cliff vesting terms, which generally vest over a period of three years. Upon vesting, some of the underlying shares may be sold to cover the required tax withholdings. Some participants may choose the net share settlement method to cover withholding tax requirements, in which case shares are not issued, but are treated as common stock repurchases in the consolidated financial statements, as they reduce the number of shares that would have been issued upon vesting. The Company then pays the corresponding withholding taxes to the appropriate taxing authorities in cash on behalf of the recipient. Withheld shares, which are valued at the market price on the date of vesting, are recorded as a reduction to additional paid-in capital, and related payments to taxing authorities are reflected within financing activities in the consolidated statements of cash flows. For the years ended December 31, 2024, 2023 and 2022, shares withheld in connection with stock-based compensation arrangements totaled 33,451, 118,636 and 49,418, respectively, and related payments to taxing authorities totaled $2.9 million, $10.3 million and $4.1 million, respectively.</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Collective Bargaining Agreements and Multiemployer Plans</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Certain of MasTec’s subsidiaries, including certain subsidiaries in Canada, are party to various collective bargaining agreements with unions representing certain of their employees. These agreements require the subsidiaries party to the agreements to pay specified wages, provide certain benefits to their union employees and contribute certain amounts to multiemployer pension and other multiemployer benefit plans and trusts (“MEPPs”). These contributions are recorded as a component of employee wages and salaries within costs of revenue, excluding depreciation and amortization. Contributions are generally based on fixed amounts per hour per employee for employees covered under these plans. Multiemployer plan contribution rates are determined annually and are assessed on a “pay-as-you-go” basis based on union employee payrolls. The Pension Protection Act of 2006, as amended (the “PPA”), requires underfunded pension plans to improve their funding ratios within prescribed intervals based on their level of underfunding, under which benefit reductions may apply and/or participating employers could be required to make additional contributions. In addition, if a multiemployer defined benefit plan fails to satisfy certain minimum funding requirements, the Internal Revenue Service (the “IRS”) can impose on the employers contributing to such plans a non-deductible excise tax of 5% of the amount of the accumulated funding deficiency.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The collective bargaining agreements expire at various times and have typically been renegotiated and renewed on terms similar to the ones contained in the expiring agreements.</w:t>
      </w:r>
    </w:p>
    <w:p>
      <w:pPr>
        <w:spacing w:after="0" w:line="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Under current law pertaining to employers that are contributors to U.S.-registered multiemployer defined benefit plans, a plan’s termination, an employer’s voluntary withdrawal from, or the mass withdrawal of contributing employers from, an underfunded multiemployer defined benefit plan requires participating employers to make payments to the plan for their proportionate share of the multiemployer plan’s unfunded vested liabilities. These liabilities include an allocable share of the unfunded vested benefits of the plan for all plan participants, not only for benefits payable to participants of the contributing employer. As a result, participating employers may bear a higher proportion of liability for unfunded vested benefits if the other participating employers cease to contribute to, or withdraw from, the plan. The allocable portion of liability to participating employers could be more disproportionate if employers that have withdrawn from the plan are insolvent, or if they otherwise fail to pay their proportionate share of the withdrawal liability. If the Company is subject to a withdrawal liability, the related withdrawal charge is recorded as a component of employee wages and salaries within costs of revenue, excluding depreciation and amortization, with any related liability recorded within other current and/or other long-term liabilities, as appropriate. The Company’s participation in the multiemployer pension plans is evaluated by management on an ongoing basis. See Note 10 - Other Retirement Plans and Note 14 - Commitments and Contingencies.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Litigation and Contingencies</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Accruals for litigation and contingencies are reflected in the consolidated financial statements based on management’s assessment, including advice of legal counsel, of the expected outcome of litigation or other dispute resolution proceedings and/or the expected resolution of contingencies. Costs incurred for litigation are expensed as incurred. Liabilities for estimated losses are accrued if the potential loss from any claim or legal proceeding is considered probable and the amount can be reasonably estimated. Significant judgment is required in both the determination of probability of loss and the determination as to whether the amount is reasonably estimable. Accruals are based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(Loss)</w:t>
      </w:r>
    </w:p>
    <w:p>
      <w:pPr>
        <w:spacing w:after="0" w:line="11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Comprehensive income or loss is a measure of net income and other changes in equity that result from transactions other than those with shareholders. Comprehensive income or loss and related accumulated comprehensive income or loss balances consist of net income, foreign currency translation adjustments, primarily from fluctuations in foreign currency exchange rates of the Company’s foreign subsidiaries with a functional currency other than the U.S. dollar, unrealized gains and losses from certain investment activities and net income or loss attributable to non-controlling interests.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See the recent accounting pronouncements discussion below for information pertaining to the effects of recently adopted and other recent accounting pronouncements.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Adopted in 2024</w:t>
      </w:r>
    </w:p>
    <w:p>
      <w:pPr>
        <w:spacing w:after="0" w:line="115"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16"/>
          <w:szCs w:val="16"/>
          <w:color w:val="auto"/>
        </w:rPr>
        <w:t xml:space="preserve">The Company adopted Financial Accounting Standards Board (“FASB”) Accounting Standards Update (“ASU”) 2023-01, </w:t>
      </w:r>
      <w:r>
        <w:rPr>
          <w:rFonts w:ascii="Times New Roman" w:cs="Times New Roman" w:eastAsia="Times New Roman" w:hAnsi="Times New Roman"/>
          <w:sz w:val="16"/>
          <w:szCs w:val="16"/>
          <w:i w:val="1"/>
          <w:iCs w:val="1"/>
          <w:color w:val="auto"/>
        </w:rPr>
        <w:t>Leases (Topic 842): Common Control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Arrangements </w:t>
      </w:r>
      <w:r>
        <w:rPr>
          <w:rFonts w:ascii="Times New Roman" w:cs="Times New Roman" w:eastAsia="Times New Roman" w:hAnsi="Times New Roman"/>
          <w:sz w:val="16"/>
          <w:szCs w:val="16"/>
          <w:color w:val="auto"/>
        </w:rPr>
        <w:t>(“ASU 2023-01”) in the first quarter of 2024. ASU 2023-01 clarifies the accounting for leasehold improvements associated with common control leases,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thereby reducing diversity in practice. The provisions of this ASU that apply to public companies include a requirement for entities to amortize leasehold improvements associated with common control leases over the useful life of the common control group. The adoption of ASU 2023-01 did not have a material effect on the Company’s consolidated financial statements.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The Company adopted FASB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retrospectively</w:t>
      </w:r>
    </w:p>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as of and for the year ended December 31, 2024. ASU 2023-07, which was issued to enhance segment reporting disclosures, requires disclosure of significant segment expenses that are regularly provided to the chief operating decision maker (“CODM”) and included within each reported measure of segment profit or loss, as well as disclosure of the total amount and description of other segment items by reportable segment.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The Company has determined that the effects of adopting this ASU only impacted its disclosures and the adoption of ASU 2023-07 did not have a material effect on its consolidated financial statements or results of its operations. See Note 13 - Segments and Related Information for additional information.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Accounting Pronouncements to be Adopted in 2025</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 xml:space="preserve">In August 2023, the FASB issued ASU 2023-05, </w:t>
      </w:r>
      <w:r>
        <w:rPr>
          <w:rFonts w:ascii="Times New Roman" w:cs="Times New Roman" w:eastAsia="Times New Roman" w:hAnsi="Times New Roman"/>
          <w:sz w:val="16"/>
          <w:szCs w:val="16"/>
          <w:i w:val="1"/>
          <w:iCs w:val="1"/>
          <w:color w:val="auto"/>
        </w:rPr>
        <w:t>Business Combinations—Joint Venture Formations (Subtopic 805-60): Recognition and Initial Measurement</w:t>
      </w:r>
      <w:r>
        <w:rPr>
          <w:rFonts w:ascii="Times New Roman" w:cs="Times New Roman" w:eastAsia="Times New Roman" w:hAnsi="Times New Roman"/>
          <w:sz w:val="16"/>
          <w:szCs w:val="16"/>
          <w:color w:val="auto"/>
        </w:rPr>
        <w:t xml:space="preserve"> (“ASU 2023-05”) to clarify existing guidance and reduce diversity in practice in the accounting for joint ventures. ASU 2023-05 addresses the accounting for contributions made to a joint venture upon formation in a joint venture’s separate financial statements. The provisions of this ASU require that a joint venture initially measure all contributions received upon its formation at fair value, largely consistent with Topic 805, Business Combinations. The amendments in this ASU are not applicable to the formation of proportionately consolidated joint ventures. ASU 2023-05 is effective prospectively for all joint ventures with a formation date on or after January 1, 2025, with early adoption permitted on a retrospective basis for joint ventures formed before January 1, 2025. The Company does not expect that this ASU will have a material effect on the Company’s consolidated financial statements.</w:t>
      </w:r>
    </w:p>
    <w:p>
      <w:pPr>
        <w:spacing w:after="0" w:line="74"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enhance transparency and decision usefulness of income tax disclosures. ASU 2023-09 requires greater standardization and disaggregation of categories within an entity’s tax rate reconciliation disclosure, as well as disclosure of income taxes paid by jurisdiction, among other requirements. ASU 2023-09 is effective for annual periods beginning after December 15, 2024, with early adoption permitted. ASU 2023-09 is effective on a prospective basis, with retrospective application permitted. The Company is currently evaluating the effects of this ASU on its income tax disclosures.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Other Recently Issued Accounting Pronouncements</w:t>
      </w:r>
    </w:p>
    <w:p>
      <w:pPr>
        <w:spacing w:after="0" w:line="1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 xml:space="preserve">In March 2024, the Securities and Exchange Commission (“SEC”) adopted final rules under SEC Release No. 33-11275, </w:t>
      </w:r>
      <w:r>
        <w:rPr>
          <w:rFonts w:ascii="Times New Roman" w:cs="Times New Roman" w:eastAsia="Times New Roman" w:hAnsi="Times New Roman"/>
          <w:sz w:val="16"/>
          <w:szCs w:val="16"/>
          <w:i w:val="1"/>
          <w:iCs w:val="1"/>
          <w:color w:val="auto"/>
        </w:rPr>
        <w:t>The Enhancement and Standardization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Climate-Related Disclosures for Investors</w:t>
      </w:r>
      <w:r>
        <w:rPr>
          <w:rFonts w:ascii="Times New Roman" w:cs="Times New Roman" w:eastAsia="Times New Roman" w:hAnsi="Times New Roman"/>
          <w:sz w:val="16"/>
          <w:szCs w:val="16"/>
          <w:color w:val="auto"/>
        </w:rPr>
        <w:t>, which requires registrants to provide certain climate-related disclosures in registration statements and annual reports. The new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rules are scheduled to begin to phase in for fiscal years beginning on or after January 1, 2025, on a prospective basis. On April 4, 2024, the SEC voluntarily stayed implementation of the final rules pending certain legal challenges to the rules. The Company is currently monitoring developments related to the rules and evaluating their potential effect on its consolidated financial statements.</w:t>
      </w:r>
    </w:p>
    <w:p>
      <w:pPr>
        <w:spacing w:after="0" w:line="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 xml:space="preserve">In November 2024, the FASB issued ASU 2024-03, </w:t>
      </w:r>
      <w:r>
        <w:rPr>
          <w:rFonts w:ascii="Times New Roman" w:cs="Times New Roman" w:eastAsia="Times New Roman" w:hAnsi="Times New Roman"/>
          <w:sz w:val="16"/>
          <w:szCs w:val="16"/>
          <w:i w:val="1"/>
          <w:iCs w:val="1"/>
          <w:color w:val="auto"/>
        </w:rPr>
        <w:t xml:space="preserve">Income Statement—Reporting Comprehensive Income—Expense Disaggregation Disclosures (Subtopic 220-40): Disaggregation of Income Statement Expenses </w:t>
      </w:r>
      <w:r>
        <w:rPr>
          <w:rFonts w:ascii="Times New Roman" w:cs="Times New Roman" w:eastAsia="Times New Roman" w:hAnsi="Times New Roman"/>
          <w:sz w:val="16"/>
          <w:szCs w:val="16"/>
          <w:color w:val="auto"/>
        </w:rPr>
        <w:t>(“ASU 2024-03”) to enhance the transparency and clarity of the components of specific expense categories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income statement. ASU 2024-03 requires disclosure of additional information about specific expense categories underlying certain income statement expense line items.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January 2025, the FASB issued ASU 2025-01, </w:t>
      </w:r>
      <w:r>
        <w:rPr>
          <w:rFonts w:ascii="Times New Roman" w:cs="Times New Roman" w:eastAsia="Times New Roman" w:hAnsi="Times New Roman"/>
          <w:sz w:val="16"/>
          <w:szCs w:val="16"/>
          <w:i w:val="1"/>
          <w:iCs w:val="1"/>
          <w:color w:val="auto"/>
        </w:rPr>
        <w:t>Income Statement—Reporting Comprehensive Income—Expense Disaggregation Disclosures (Subtopic 220-40):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Disaggregation of Income Statement Expenses: Clarifying the Effective Date </w:t>
      </w:r>
      <w:r>
        <w:rPr>
          <w:rFonts w:ascii="Times New Roman" w:cs="Times New Roman" w:eastAsia="Times New Roman" w:hAnsi="Times New Roman"/>
          <w:sz w:val="16"/>
          <w:szCs w:val="16"/>
          <w:color w:val="auto"/>
        </w:rPr>
        <w:t>to clarify that all public business entities are required to adopt the guidance in annual periods</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beginning after December 15, 2026, and interim periods within annual periods beginning after December 15, 2027. Early adoption is permitted. The amendments in ASU 2024-03, and its related clarifying ASU, should be applied prospectively, with retrospective application permitted. The Company is currently evaluating the impact this standard will have on its disclosures.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Earnings Per Share</w:t>
      </w:r>
    </w:p>
    <w:p>
      <w:pPr>
        <w:spacing w:after="0" w:line="11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underlying the Company’s earnings per share calculations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MasTec:</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income (loss) - basic </w:t>
            </w:r>
            <w:r>
              <w:rPr>
                <w:rFonts w:ascii="Times New Roman" w:cs="Times New Roman" w:eastAsia="Times New Roman" w:hAnsi="Times New Roman"/>
                <w:sz w:val="21"/>
                <w:szCs w:val="21"/>
                <w:color w:val="auto"/>
                <w:vertAlign w:val="superscript"/>
              </w:rPr>
              <w:t>(a)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33,354</w:t>
            </w:r>
          </w:p>
        </w:tc>
      </w:tr>
      <w:tr>
        <w:trPr>
          <w:trHeight w:val="216"/>
        </w:trPr>
        <w:tc>
          <w:tcPr>
            <w:tcW w:w="6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Fair value gain related to contingent payments </w:t>
            </w:r>
            <w:r>
              <w:rPr>
                <w:rFonts w:ascii="Times New Roman" w:cs="Times New Roman" w:eastAsia="Times New Roman" w:hAnsi="Times New Roman"/>
                <w:sz w:val="21"/>
                <w:szCs w:val="21"/>
                <w:color w:val="auto"/>
                <w:vertAlign w:val="superscript"/>
              </w:rPr>
              <w:t>(b)</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Net income (loss) - diluted </w:t>
            </w:r>
            <w:r>
              <w:rPr>
                <w:rFonts w:ascii="Times New Roman" w:cs="Times New Roman" w:eastAsia="Times New Roman" w:hAnsi="Times New Roman"/>
                <w:sz w:val="21"/>
                <w:szCs w:val="21"/>
                <w:color w:val="auto"/>
                <w:vertAlign w:val="superscript"/>
              </w:rPr>
              <w:t>(a)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162,788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(49,949)</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31,672</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6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outstanding - basic </w:t>
            </w:r>
            <w:r>
              <w:rPr>
                <w:rFonts w:ascii="Times New Roman" w:cs="Times New Roman" w:eastAsia="Times New Roman" w:hAnsi="Times New Roman"/>
                <w:sz w:val="21"/>
                <w:szCs w:val="21"/>
                <w:color w:val="auto"/>
                <w:vertAlign w:val="superscript"/>
              </w:rPr>
              <w:t>(c)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74,917</w:t>
            </w:r>
          </w:p>
        </w:tc>
      </w:tr>
      <w:tr>
        <w:trPr>
          <w:trHeight w:val="216"/>
        </w:trPr>
        <w:tc>
          <w:tcPr>
            <w:tcW w:w="686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Dilutive common stock equivalents </w:t>
            </w:r>
            <w:r>
              <w:rPr>
                <w:rFonts w:ascii="Times New Roman" w:cs="Times New Roman" w:eastAsia="Times New Roman" w:hAnsi="Times New Roman"/>
                <w:sz w:val="21"/>
                <w:szCs w:val="21"/>
                <w:color w:val="auto"/>
                <w:vertAlign w:val="superscript"/>
              </w:rPr>
              <w:t>(d)(e)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r>
      <w:tr>
        <w:trPr>
          <w:trHeight w:val="20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78,880</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77,535</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76,185</w:t>
            </w:r>
          </w:p>
        </w:tc>
      </w:tr>
    </w:tbl>
    <w:p>
      <w:pPr>
        <w:spacing w:after="0" w:line="180" w:lineRule="exact"/>
        <w:rPr>
          <w:sz w:val="20"/>
          <w:szCs w:val="20"/>
          <w:color w:val="auto"/>
        </w:rPr>
      </w:pPr>
    </w:p>
    <w:p>
      <w:pPr>
        <w:jc w:val="both"/>
        <w:ind w:left="340" w:hanging="332"/>
        <w:spacing w:after="0" w:line="281" w:lineRule="auto"/>
        <w:tabs>
          <w:tab w:leader="none" w:pos="34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Basic net income or loss is calculated as total net income or loss, less amounts attributable to non-controlling interests. Diluted net income or loss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Note 3 - Acquisitions, Goodwill and Other Intangible Assets, Net, for additional information.</w:t>
      </w:r>
    </w:p>
    <w:p>
      <w:pPr>
        <w:spacing w:after="0" w:line="1" w:lineRule="exact"/>
        <w:rPr>
          <w:rFonts w:ascii="Times New Roman" w:cs="Times New Roman" w:eastAsia="Times New Roman" w:hAnsi="Times New Roman"/>
          <w:sz w:val="14"/>
          <w:szCs w:val="14"/>
          <w:color w:val="auto"/>
        </w:rPr>
      </w:pPr>
    </w:p>
    <w:p>
      <w:pPr>
        <w:ind w:left="340" w:hanging="332"/>
        <w:spacing w:after="0" w:line="301" w:lineRule="auto"/>
        <w:tabs>
          <w:tab w:leader="none" w:pos="37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value gain related to additional contingent payments for the year ended December 31, 2022, the effect of which was dilutive as of December 31, 2022. See Note 3 - Acquisitions, Goodwill and Other Intangible Assets, Net, for additional information.</w:t>
      </w:r>
    </w:p>
    <w:p>
      <w:pPr>
        <w:spacing w:after="0" w:line="1" w:lineRule="exact"/>
        <w:rPr>
          <w:rFonts w:ascii="Times New Roman" w:cs="Times New Roman" w:eastAsia="Times New Roman" w:hAnsi="Times New Roman"/>
          <w:sz w:val="14"/>
          <w:szCs w:val="14"/>
          <w:color w:val="auto"/>
        </w:rPr>
      </w:pPr>
    </w:p>
    <w:p>
      <w:pPr>
        <w:ind w:left="340" w:hanging="332"/>
        <w:spacing w:after="0" w:line="301" w:lineRule="auto"/>
        <w:tabs>
          <w:tab w:leader="none" w:pos="39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2023 and 2022, basic shares include approximately 78,000, 88,000 and 127,000 weighted average shares, respectively, related to additional contingent payments.</w:t>
      </w:r>
    </w:p>
    <w:p>
      <w:pPr>
        <w:spacing w:after="0" w:line="1" w:lineRule="exact"/>
        <w:rPr>
          <w:rFonts w:ascii="Times New Roman" w:cs="Times New Roman" w:eastAsia="Times New Roman" w:hAnsi="Times New Roman"/>
          <w:sz w:val="14"/>
          <w:szCs w:val="14"/>
          <w:color w:val="auto"/>
        </w:rPr>
      </w:pPr>
    </w:p>
    <w:p>
      <w:pPr>
        <w:ind w:left="340" w:hanging="332"/>
        <w:spacing w:after="0" w:line="282" w:lineRule="auto"/>
        <w:tabs>
          <w:tab w:leader="none" w:pos="37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2023 and 2022, anti-dilutive common stock equivalents totaled approximately 16,000, 1,100,000 and 255,000, respectively, which, for the year ended December 31, 2022, included approximately 29,200 warrants associated with the Infrastructure and Energy Alternatives, Inc. (“IEA”) acquisition.</w:t>
      </w:r>
    </w:p>
    <w:p>
      <w:pPr>
        <w:spacing w:after="0" w:line="13" w:lineRule="exact"/>
        <w:rPr>
          <w:rFonts w:ascii="Times New Roman" w:cs="Times New Roman" w:eastAsia="Times New Roman" w:hAnsi="Times New Roman"/>
          <w:sz w:val="14"/>
          <w:szCs w:val="14"/>
          <w:color w:val="auto"/>
        </w:rPr>
      </w:pPr>
    </w:p>
    <w:p>
      <w:pPr>
        <w:ind w:left="340" w:hanging="332"/>
        <w:spacing w:after="0" w:line="302" w:lineRule="auto"/>
        <w:tabs>
          <w:tab w:leader="none" w:pos="39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2022, weighted average common stock equivalents related to additional contingent payments to the former owners of an acquired business totaled approximately 105,000, whereas for the years ended December 31, 2024 and 2023, there were no such weighted average common stock equivalents.</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Share repurchases</w:t>
      </w:r>
      <w:r>
        <w:rPr>
          <w:rFonts w:ascii="Times New Roman" w:cs="Times New Roman" w:eastAsia="Times New Roman" w:hAnsi="Times New Roman"/>
          <w:sz w:val="16"/>
          <w:szCs w:val="16"/>
          <w:color w:val="auto"/>
        </w:rPr>
        <w:t>. There were no share repurchases under the Company’s share repurchase program for the years ended December 31, 2024 or December 31,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For the year ended December 31, 2022, the Company repurchased approximately 1,124,000 shares of its common stock, the effect of which on the Company’s weighted average shares outstanding for the related period was a reduction of approximately 731,000 shares. See Note 11 - Equity for details of the Company’s share repurchase transactions.</w:t>
      </w:r>
    </w:p>
    <w:p>
      <w:pPr>
        <w:spacing w:after="0" w:line="11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Shares issued for acquisitions</w:t>
      </w:r>
      <w:r>
        <w:rPr>
          <w:rFonts w:ascii="Times New Roman" w:cs="Times New Roman" w:eastAsia="Times New Roman" w:hAnsi="Times New Roman"/>
          <w:sz w:val="16"/>
          <w:szCs w:val="16"/>
          <w:color w:val="auto"/>
        </w:rPr>
        <w:t>. The Company has issued shares of its common stock in connection with certain acquisitions. In the fourth quarter of 2024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second quarter of 2022, the Company issued approximately 93,000 shares and 133,000 shares, respectively, in connection with the acquisition of Henkels &amp; McCoy Holdings, Inc., formerly known as Henkels &amp; McCoy Group, Inc. (“HMG”). In 2022, the Company issued approximately 2,758,000 shares in connection with the acquisition of IEA, for which the effect in 2022 was an increase of approximately 637,000 weighted average shares. In 2023, the Company issued an additional 4,000 shares of its common stock in connection with this acquisition. See Note 3 - Acquisitions, Goodwill and Other Intangible Assets, Net for additional information.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color w:val="auto"/>
        </w:rPr>
        <w:t>Note 3 – Acquisitions, Goodwill and Other Intangible Assets,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goodwill by reportable segment for the periods indicated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Clean Energy and</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Pipeline</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12"/>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Infrastructure</w:t>
            </w: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Power Delivery</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Infrastructure</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Total Goodwill</w:t>
            </w:r>
          </w:p>
        </w:tc>
      </w:tr>
      <w:tr>
        <w:trPr>
          <w:trHeight w:val="21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2,161.7</w:t>
            </w:r>
          </w:p>
        </w:tc>
      </w:tr>
      <w:tr>
        <w:trPr>
          <w:trHeight w:val="216"/>
        </w:trPr>
        <w:tc>
          <w:tcPr>
            <w:tcW w:w="38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r>
      <w:tr>
        <w:trPr>
          <w:trHeight w:val="209"/>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2,045.0</w:t>
            </w:r>
          </w:p>
        </w:tc>
      </w:tr>
      <w:tr>
        <w:trPr>
          <w:trHeight w:val="20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9"/>
        </w:trPr>
        <w:tc>
          <w:tcPr>
            <w:tcW w:w="38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Measurement period adjustments </w:t>
            </w:r>
            <w:r>
              <w:rPr>
                <w:rFonts w:ascii="Times New Roman" w:cs="Times New Roman" w:eastAsia="Times New Roman" w:hAnsi="Times New Roman"/>
                <w:sz w:val="21"/>
                <w:szCs w:val="21"/>
                <w:color w:val="auto"/>
                <w:vertAlign w:val="superscript"/>
              </w:rPr>
              <w:t>(b)</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2,126.4</w:t>
            </w:r>
          </w:p>
        </w:tc>
      </w:tr>
      <w:tr>
        <w:trPr>
          <w:trHeight w:val="207"/>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19"/>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Measurement period adjustments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 as of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2,203.1</w:t>
            </w:r>
          </w:p>
        </w:tc>
      </w:tr>
      <w:tr>
        <w:trPr>
          <w:trHeight w:val="210"/>
        </w:trPr>
        <w:tc>
          <w:tcPr>
            <w:tcW w:w="380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 xml:space="preserve">Accumulated impairment loss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w:t>
            </w:r>
          </w:p>
        </w:tc>
      </w:tr>
      <w:tr>
        <w:trPr>
          <w:trHeight w:val="20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gross,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2,313.4</w:t>
            </w:r>
          </w:p>
        </w:tc>
      </w:tr>
    </w:tbl>
    <w:p>
      <w:pPr>
        <w:spacing w:after="0" w:line="166"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impairment loss includes the effects of currency translation gains and/or losses.</w:t>
      </w:r>
    </w:p>
    <w:p>
      <w:pPr>
        <w:spacing w:after="0" w:line="68" w:lineRule="exact"/>
        <w:rPr>
          <w:rFonts w:ascii="Times New Roman" w:cs="Times New Roman" w:eastAsia="Times New Roman" w:hAnsi="Times New Roman"/>
          <w:sz w:val="14"/>
          <w:szCs w:val="14"/>
          <w:color w:val="auto"/>
        </w:rPr>
      </w:pPr>
    </w:p>
    <w:p>
      <w:pPr>
        <w:jc w:val="both"/>
        <w:ind w:left="340" w:hanging="332"/>
        <w:spacing w:after="0" w:line="265" w:lineRule="auto"/>
        <w:tabs>
          <w:tab w:leader="none" w:pos="43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period adjustments represent adjustments, net, to preliminary estimates of fair value within the measurement period of up to one year from the date of acquisition. Measurement period adjustments, net, for the year ended December 31, 2023 were primarily the result of (i) updated valuations of, and estimated useful lives for, certain fixed assets, and (ii) updated estimates related to certain assets and liabilities, including contract assets and contingent liabilities. For the year ended December 31, 2023, these updates resulted in (i) related to fixed assets, a decrease in depreciation expense of approximately $6 million, and (ii) related to contracts assets and liabilities, an increase in revenue of approximately $35 million and a decrease in costs of revenue, excluding depreciation and amortization, of approximately $8 million. Measurement period adjustments for the year ended December 31, 2023 also included a decrease in deferred tax liabilities of approximately $36 million, an increase in contingent liabilities of approximately $28 million, including for insurance, legal and other matters, and fair value increases of approximately $10 million for certain property and equipment.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a reconciliation of changes in other intangible assets, net, for the periods indicated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Other Intangible Assets,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Customer</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Relationships and</w:t>
            </w:r>
          </w:p>
        </w:tc>
        <w:tc>
          <w:tcPr>
            <w:tcW w:w="14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Trade Names </w:t>
            </w:r>
            <w:r>
              <w:rPr>
                <w:rFonts w:ascii="Times New Roman" w:cs="Times New Roman" w:eastAsia="Times New Roman" w:hAnsi="Times New Roman"/>
                <w:sz w:val="21"/>
                <w:szCs w:val="21"/>
                <w:b w:val="1"/>
                <w:bCs w:val="1"/>
                <w:color w:val="auto"/>
                <w:vertAlign w:val="superscript"/>
              </w:rPr>
              <w:t>(a)</w:t>
            </w:r>
          </w:p>
        </w:tc>
        <w:tc>
          <w:tcPr>
            <w:tcW w:w="260" w:type="dxa"/>
            <w:vAlign w:val="bottom"/>
          </w:tcPr>
          <w:p>
            <w:pPr>
              <w:spacing w:after="0"/>
              <w:rPr>
                <w:sz w:val="14"/>
                <w:szCs w:val="14"/>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1"/>
                <w:szCs w:val="21"/>
                <w:b w:val="1"/>
                <w:bCs w:val="1"/>
                <w:color w:val="auto"/>
                <w:vertAlign w:val="superscript"/>
              </w:rPr>
              <w:t>(b)</w:t>
            </w:r>
          </w:p>
        </w:tc>
        <w:tc>
          <w:tcPr>
            <w:tcW w:w="320" w:type="dxa"/>
            <w:vAlign w:val="bottom"/>
          </w:tcPr>
          <w:p>
            <w:pPr>
              <w:spacing w:after="0"/>
              <w:rPr>
                <w:sz w:val="14"/>
                <w:szCs w:val="14"/>
                <w:color w:val="auto"/>
              </w:rPr>
            </w:pPr>
          </w:p>
        </w:tc>
        <w:tc>
          <w:tcPr>
            <w:tcW w:w="11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Backlog</w:t>
            </w: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gross, as of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1,404.9</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07"/>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from new business combinations</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expense</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 as of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0" w:type="dxa"/>
            <w:vAlign w:val="bottom"/>
          </w:tcPr>
          <w:p>
            <w:pPr>
              <w:spacing w:after="0"/>
              <w:rPr>
                <w:sz w:val="1"/>
                <w:szCs w:val="1"/>
                <w:color w:val="auto"/>
              </w:rPr>
            </w:pPr>
          </w:p>
        </w:tc>
      </w:tr>
      <w:tr>
        <w:trPr>
          <w:trHeight w:val="20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Remaining weighted average amortization, in years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68" w:lineRule="auto"/>
        <w:tabs>
          <w:tab w:leader="none" w:pos="379"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$34.5 million of a non-amortizing trade name as of both December 31, 2023 and 2022. In connection with its fourth quarter 2024 assessment of goodwill and indefinite-lived intangible assets, management reassessed the indefinite-life classification of its $34.5 million non-amortizing trade name intangible asset. Management determined that, based on changes in the asset’s characteristics, a finite-life classification for this asset was more appropriate. As a result, the Company changed the classification of this intangible asset from indefinite-lived to finite-lived and began amortizing it in the fourth quarter of 2024, at which time its estimated remaining useful life was approximately 12 years.</w:t>
      </w:r>
    </w:p>
    <w:p>
      <w:pPr>
        <w:spacing w:after="0" w:line="2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principally of pre-qualifications and non-compete agreements.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0"/>
        </w:trPr>
        <w:tc>
          <w:tcPr>
            <w:tcW w:w="9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Expected future amortization expense as of December 31, 2024 is summarized in the following table (in millions):</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89"/>
        </w:trPr>
        <w:tc>
          <w:tcPr>
            <w:tcW w:w="9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4"/>
        </w:trPr>
        <w:tc>
          <w:tcPr>
            <w:tcW w:w="9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Expense</w:t>
            </w:r>
          </w:p>
        </w:tc>
      </w:tr>
      <w:tr>
        <w:trPr>
          <w:trHeight w:val="211"/>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r>
      <w:tr>
        <w:trPr>
          <w:trHeight w:val="213"/>
        </w:trPr>
        <w:tc>
          <w:tcPr>
            <w:tcW w:w="9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r>
      <w:tr>
        <w:trPr>
          <w:trHeight w:val="219"/>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13"/>
        </w:trPr>
        <w:tc>
          <w:tcPr>
            <w:tcW w:w="9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r>
      <w:tr>
        <w:trPr>
          <w:trHeight w:val="219"/>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213"/>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09"/>
        </w:trPr>
        <w:tc>
          <w:tcPr>
            <w:tcW w:w="9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r>
    </w:tbl>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Recent Acquisitions</w:t>
      </w:r>
    </w:p>
    <w:p>
      <w:pPr>
        <w:spacing w:after="0" w:line="11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seeks to grow and diversify its business both organically and through acquisitions and/or strategic arrangements in order to deepen its market presence and customer base, broaden its geographic reach and expand its service offerings. Acquisitions are funded with cash on hand, borrowings under the Company’s senior unsecured credit facility and other debt financing and, for certain acquisitions, with shares of the Company’s common stock, and are generally subject to customary purchase price adjustments. The goodwill balances for each of the respective acquisitions represent the estimated values of each acquired company’s geographic presence in key markets, assembled workforce, synergies expected to be achieved from the combined operations of each of the acquired companies and MasTec, as well as the acquired company’s industry-specific project management expertise.</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2024 Acquisitions</w:t>
      </w:r>
      <w:r>
        <w:rPr>
          <w:rFonts w:ascii="Times New Roman" w:cs="Times New Roman" w:eastAsia="Times New Roman" w:hAnsi="Times New Roman"/>
          <w:sz w:val="16"/>
          <w:szCs w:val="16"/>
          <w:b w:val="1"/>
          <w:bCs w:val="1"/>
          <w:i w:val="1"/>
          <w:iCs w:val="1"/>
          <w:color w:val="26282A"/>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26282A"/>
        </w:rPr>
        <w:t>During 2024, MasTec completed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three acquisitions, which included all of the equity interests of a construction company focused 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underground utility infrastructure for industrial and municipal projects, with expertise in data center utility systems, which acquisition is included within the Company’s Power Delivery segment, and was effective in July; the acquisition of certain operations of a heavy civil contractor specializing in transportation projects, which acquisition is included within the Company’s Clean Energy and Infrastructure segment and was effective in October; and effective in December, the acquisition of the equity interests of a company focused on pipeline infrastructure and heavy civil projects, which acquisition is included within the Company’s Pipeline Infrastructure segment. The Company expects these acquisitions will increase its service offerings and further advance its ability to meet increasing demand for data center infrastructure, in addition to expanding its heavy civil and pipeline infrastructure operations.</w:t>
      </w:r>
    </w:p>
    <w:p>
      <w:pPr>
        <w:spacing w:after="0" w:line="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aggregate purchase price of the Company’s 2024 acquisitions was composed of approximately $83 million in cash, net of cash acquired, and a five year earn-out liability valued at approximately $56 million with respect to one of such acquisitions. In connection with the acquisition within the Company’s Pipeline Infrastructure segment, MasTec acquired 60% of the equity interest of the company in exchange for consideration transferred of cash and a 40% equity interest in a MasTec Canadian subsidiary. Determination of the estimated fair values of net assets acquired and consideration transferred for these acquisitions, which have been accounted for as business combinations under ASC Topic 805, Business Combinations (“ASC 805”), was preliminary as of December 31, 2024; as a result, further adjustments to these estimates may occur. The Company expects to finalize the valuation and complete the purchase price consideration allocation no later than one year from the acquisition date. As of December 31, 2024, the remaining potential undiscounted earn-out liabilities for the 2024 acquisitions was estimated to be up to $73 million; however, there is no maximum payment amount. See Note 4 - Fair Value of Financial Instruments for fair value estimates and other details related to the Company’s earn-out arrangements. Approximately $56 million of the goodwill balance related to the 2024 acquisitions is expected to be tax deductible as of December 31, 2024.</w:t>
      </w:r>
    </w:p>
    <w:p>
      <w:pPr>
        <w:spacing w:after="0" w:line="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2023 Acquisitions. </w:t>
      </w:r>
      <w:r>
        <w:rPr>
          <w:rFonts w:ascii="Times New Roman" w:cs="Times New Roman" w:eastAsia="Times New Roman" w:hAnsi="Times New Roman"/>
          <w:sz w:val="16"/>
          <w:szCs w:val="16"/>
          <w:color w:val="auto"/>
        </w:rPr>
        <w:t>During 2023, MasTec completed four acquisitions, including the acquisition of certain assets of a telecommunications company specializing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wireless services, which acquisition was included within the Company’s Communications segment, and was effective in January; and, effective in July, the acquisition of the equity interests of a telecommunications construction company specializing in broadband and fiber-to-the-home initiatives in the New England area, which acquisition was included within the Company’s Communications segment. Determination of the estimated fair values of the net assets acquired and consideration transferred for these acquisitions, which have been accounted for as business combinations under ASC 805, was complete as of December 31, 2024. Additionally, effective in May 2023, MasTec acquired certain of the equity interests of two equipment companies which were accounted for as asset acquisitions under ASC 805 and were included within the Company’s Pipeline Infrastructure segment. In the fourth quarter of 2023, the Company sold certain of the equity interests of these equipment companies to members of subsidiary management. See Note 15 - Related Party Transactions. Based on an evaluation of the respective entities’ operating agreements, the Company determined that these entities are not VIEs; however, given that the Company has voting control with respect to the entities, the Company has consolidated these entities within the Company’s results of operations, with the other parties’ interests accounted for as non-controlling interests.</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aggregate purchase price of the Company’s 2023 acquisitions was composed of $70 million in cash, net of cash acquired, and an earn-out liability valued at $1 million. As of December 31, 2024, the remaining potential undiscounted earn-out liabilities for the 2023 acquisitions was estimated to be up to $1 million; however, there is no maximum payment amount. See Note 4 - Fair Value of Financial Instruments for fair value estimates and other details related to the Company’s earn-out arrangements. Approximately $42 million of the goodwill balance related to the 2023 acquisitions is expected to be tax deductible as of December 31, 2024.</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2022 Acquisitions. </w:t>
      </w:r>
      <w:r>
        <w:rPr>
          <w:rFonts w:ascii="Times New Roman" w:cs="Times New Roman" w:eastAsia="Times New Roman" w:hAnsi="Times New Roman"/>
          <w:sz w:val="16"/>
          <w:szCs w:val="16"/>
          <w:color w:val="auto"/>
        </w:rPr>
        <w:t>During 2022, MasTec completed five acquisitions, which included all of the equity interests of the following: (i) within the Company’s Clean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Energy and Infrastructure segment: IEA, a leading utility-scale infrastructure solutions provider in North America, with expertise in renewable energy and heavy civil projects, as well as rail and environmental remediation services, which acquisition was effective in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4" w:name="page75"/>
    <w:bookmarkEnd w:id="74"/>
    <w:p>
      <w:pPr>
        <w:jc w:val="both"/>
        <w:spacing w:after="0" w:line="263" w:lineRule="auto"/>
        <w:rPr>
          <w:sz w:val="20"/>
          <w:szCs w:val="20"/>
          <w:color w:val="auto"/>
        </w:rPr>
      </w:pPr>
      <w:r>
        <w:rPr>
          <w:rFonts w:ascii="Times New Roman" w:cs="Times New Roman" w:eastAsia="Times New Roman" w:hAnsi="Times New Roman"/>
          <w:sz w:val="16"/>
          <w:szCs w:val="16"/>
          <w:color w:val="auto"/>
        </w:rPr>
        <w:t>October; and a company specializing in the production of concrete and aggregate products, which acquisition was effective in August; (ii) within the Company’s Pipeline Infrastructure segment: an infrastructure construction company focusing on water, sewer and utility projects and with expertise in excavation and site work, which acquisition was effective in January; (iii) 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summarizes, as of December 31, 2023, the fair values of the consideration paid and net assets acquired, as adjusted, for the Company’s 2022 acquisitions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Acquisition consideration:</w:t>
            </w:r>
          </w:p>
        </w:tc>
        <w:tc>
          <w:tcPr>
            <w:tcW w:w="34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IEA</w:t>
            </w:r>
          </w:p>
        </w:tc>
        <w:tc>
          <w:tcPr>
            <w:tcW w:w="260" w:type="dxa"/>
            <w:vAlign w:val="bottom"/>
          </w:tcPr>
          <w:p>
            <w:pPr>
              <w:spacing w:after="0"/>
              <w:rPr>
                <w:sz w:val="18"/>
                <w:szCs w:val="18"/>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6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net of cash acquired</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transferred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Estimated fair value of warrants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Estimated fair value of contingent consideration</w:t>
            </w:r>
          </w:p>
        </w:tc>
        <w:tc>
          <w:tcPr>
            <w:tcW w:w="3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6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consideration</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r>
        <w:trPr>
          <w:trHeight w:val="19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8"/>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and contract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assets, primarily operating lease right-of-use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r>
      <w:tr>
        <w:trPr>
          <w:trHeight w:val="21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 primarily accrued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including finance 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liabilities, primarily operating lease liabilities and deferred income taxes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(105.5)</w:t>
            </w:r>
          </w:p>
        </w:tc>
      </w:tr>
      <w:tr>
        <w:trPr>
          <w:trHeight w:val="212"/>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215.8</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w:t>
            </w:r>
          </w:p>
        </w:tc>
      </w:tr>
      <w:tr>
        <w:trPr>
          <w:trHeight w:val="20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net assets acquired, including goodwill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r>
    </w:tbl>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 $42 million, with a weighted average life of approximately 1 year based on the estimated cash flows expected to be derived from future work on the acquired customer contracts. The weighted average life of amortizing intangible assets in the aggregate for the IEA acquisition was 13 years. Amortizing intangible assets related to “All other” acquisitions are primarily composed of customer relationships with an aggregate weighted average life of 9 years. Amortizing intangible assets are amortized in a manner consistent with the pattern in which the related benefits are expected to be consumed.</w:t>
      </w:r>
    </w:p>
    <w:p>
      <w:pPr>
        <w:spacing w:after="0" w:line="2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Consideration transferred for IEA in the table above includes approximately 2.7 million shares of MasTec common stock, valued at approximately $174 million based on the market price of MasTec common stock on the date of closing. Total cash paid for acquisitions, net, includes approximately $44 million of cash acquired. Long-term debt in the table above includes $300 million aggregate principal balance of 6.625% senior unsecured notes that were assumed in connection with the acquisition. Consideration transferred also includes the value of certain warrants that were originally issued by IEA, which entitled holders to receive an amount in cash and shares of MasTec common stock upon their exercise. In 2022, the Company issued 107,187 shares of MasTec common stock with a fair value of approximately $8.1 million, based on the market price of MasTec common stock on the date of exercise, and approximately $1.7 million of cash payments in connection with exercises of the IEA warrants. In 2023, such issuances were immaterial and all remaining IEA warrants expired unexercised on March 26, 2023. The Company recorded fair value gains of approximately $2.6 million in connection with the IEA warrants for the year ended December 31, 2023, primarily related to the expired warrants, and for the year ended December 31, 2022, the Company recorded fair value losses of approximately $2.7 million related to the warrants resulting from changes in their fair value. Fair value gains and losses are reflected in other income or expense, as appropriate.</w:t>
      </w:r>
    </w:p>
    <w:p>
      <w:pPr>
        <w:spacing w:after="0" w:line="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Contingent consideration included in the table above is composed of earn-out liabilities, which generally equal a portion of the acquired companies’ EBITDA in excess of thresholds agreed upon with the sellers, if applicable. The earn-out arrangements for the 2022 acquisitions are payable annually and have five-year terms, as set forth in the respective purchase agreements, and were valued at approximately $3 million in the aggregate. As of December 31, 2024, the remaining potential undiscounted earn-out liabilities for the 2022 acquisitions was estimated to be up to $1 million; however, there is no maximum payment amount. See Note 4 - Fair Value of Financial Instruments for fair value estimates and other details related to the Company’s earn-out arrangements. Current liabilities reflected in the table above also include operating lease liabilities and contingent liabilities for insurance, legal and other matters. Approximately $48 million of the goodwill balance related to the 2022 acquisitions is expected to be tax deductible as of December 31, 2024.</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5" w:name="page76"/>
    <w:bookmarkEnd w:id="75"/>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HMG Additional Payments</w:t>
      </w:r>
      <w:r>
        <w:rPr>
          <w:rFonts w:ascii="Times New Roman" w:cs="Times New Roman" w:eastAsia="Times New Roman" w:hAnsi="Times New Roman"/>
          <w:sz w:val="16"/>
          <w:szCs w:val="16"/>
          <w:color w:val="auto"/>
        </w:rPr>
        <w:t>. The 2021 HMG purchase agreement provides for certain additional payments to be made to the sellers if certain receivables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as unrealized gains or losses within other income or expense, as appropriate. As of December 31, 2024 and 2023, the estimated fair value of remaining Additional Payments totaled approximately $14 million and $34 million, respectively, which amounts are included within other current liabilities in the consolidated balance sheet. In November 2024 and May 2022, the Company made Additional Payments of approximately $26 million and $29 million, respectively, which were composed of cash payments of approximately $12 million and $18 million, respectively, and are reflected within financing activities in the consolidated statement of cash flows, and MasTec common stock totaling approximately 93,000 and 133,000 shares, respectively. For the year ended December 31, 2024, fair value adjustments related to the contingent shares totaled losses of approximately $5.5 million and for the years ended December 31, 2023 and 2022, fair value adjustments related to the contingent shares totaled gains of approximately $1.3 million and $2.2 million, respectively. The estimated number of shares that would be paid in connection with the remaining Additional Payment liability totaled approximately 50,000 and 160,000 shares as of December 31, 2024 and 2023, respectively. See Note 2 - Earnings Per Share for the effect of the above referenced shares on the Company’s earnings per share calculations.</w:t>
      </w:r>
    </w:p>
    <w:p>
      <w:pPr>
        <w:spacing w:after="0" w:line="27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Pro forma results</w:t>
      </w:r>
      <w:r>
        <w:rPr>
          <w:rFonts w:ascii="Times New Roman" w:cs="Times New Roman" w:eastAsia="Times New Roman" w:hAnsi="Times New Roman"/>
          <w:sz w:val="16"/>
          <w:szCs w:val="16"/>
          <w:color w:val="auto"/>
        </w:rPr>
        <w:t>. The Company’s unaudited pro forma financial results include the results of operations of acquired companies as if those companies had been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consolidated as of the beginning of the year prior to their acquisition, and are provided for illustrative purposes only. These unaudited pro forma financial results do not purport to be indicative of the actual results that would have been achieved by the combined companies for the periods indicated, or of the results that may be achieved by the combined companies in the future.</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unaudited supplemental pro forma results for the periods indicated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11,617.7</w:t>
            </w: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bl>
    <w:p>
      <w:pPr>
        <w:spacing w:after="0" w:line="194"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Supplemental pro forma information for the Company’s first quarter 2023 acquisition has not been presented for the pre-acquisition periods due to the impracticability of obtaining accurate or reliable historical financial information for the assets of the entity that was acquired.</w:t>
      </w:r>
    </w:p>
    <w:p>
      <w:pPr>
        <w:spacing w:after="0" w:line="7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Company’s unaudited pro forma financial results were prepared by adding the unaudited historical results of acquired businesses to the historical results of MasTec, and then adjusting those combined results for (i) acquisition costs; (ii) amortization expense from acquired intangible assets; (iii) interest expense from cash consideration paid; (iv) interest expense from debt repaid upon acquisition; and (iv) other purchase accounting related adjustments. These unaudited pro forma financial results do not include adjustments to reflect other cost savings or synergies that may have resulted from these acquisitions. Future results may vary significantly due to future events and other factors, many of which are beyond the Company’s control.</w:t>
      </w:r>
    </w:p>
    <w:p>
      <w:pPr>
        <w:spacing w:after="0" w:line="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Acquisition-related results</w:t>
      </w:r>
      <w:r>
        <w:rPr>
          <w:rFonts w:ascii="Times New Roman" w:cs="Times New Roman" w:eastAsia="Times New Roman" w:hAnsi="Times New Roman"/>
          <w:sz w:val="16"/>
          <w:szCs w:val="16"/>
          <w:color w:val="auto"/>
        </w:rPr>
        <w:t>. The Company defines “acquisition” results as results from acquired businesses for the first twelve months following the dates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respective acquisitions. For the years ended December 31, 2024, 2023 and 2022, the Company’s consolidated results of operations included acquisition-related revenue of approximately $42.8 million, $1,546.3 million and $2,990.1 million, respectively. Acquisition-related revenue for the year ended December 31, 2023 included approximately $1,374.6 million for IEA, and for the year ended December 31, 2022, such revenue included approximately $567.2 million for IEA and $1,902.4 million for HMG and INTREN, LLC in the aggregate. For the years ended December 31, 2024 and 2022, acquisition-related net income totaled approximately $0.1 million and $53.9 million, respectively, and for the year ended December 31, 2023, the Company’s consolidated results of operations included acquisition-related net losses of approximately $40.0 million, based on the Company’s consolidated effective tax rates. These acquisition-related results include amortization of acquired intangible assets and certain acquisition integration costs, and exclude the effects of interest expense associated with consideration paid for the related acquisitions.</w:t>
      </w:r>
    </w:p>
    <w:p>
      <w:pPr>
        <w:spacing w:after="0" w:line="7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Revenue and net income from the Company’s 2024 acquisitions included within the Company’s consolidated results of operations for the year ended December 31, 2024 totaled $37.0 million and $2.3 million, respectively.</w:t>
      </w:r>
    </w:p>
    <w:p>
      <w:pPr>
        <w:spacing w:after="0" w:line="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Acquisition and integration costs</w:t>
      </w:r>
      <w:r>
        <w:rPr>
          <w:rFonts w:ascii="Times New Roman" w:cs="Times New Roman" w:eastAsia="Times New Roman" w:hAnsi="Times New Roman"/>
          <w:sz w:val="16"/>
          <w:szCs w:val="16"/>
          <w:color w:val="auto"/>
        </w:rPr>
        <w:t>. In 2021, the Company initiated a significant transformation of its end-market business operations to position the Company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expected future growth opportunities. This transformation included significant business combination activity, including expansion of the Company’s scale and capacity in renewable energy, power delivery, heavy civil and telecommunications services, which activity resulted in significant acquisition and integration costs in prior periods. These acquisition and integration activities were completed in the fourth quarter of 2023. For the year ended December 31, 2023, such acquisition and integration costs totaled approximately $71.9 million, of which $64.1 million was included within general and administrative expenses, and of which $7.8 million was included within costs of revenue, excluding depreciation and amortization. Acquisition and integration costs for the year ended December 31, 2022 totaled approximately $86.0 million, of which $52.0 million was included within general and administrative expenses, and of which $29.3 million and $4.7 million were included within costs of revenue, excluding depreciation and amortization, and other expense, respectively. As of December 31, 2023, approximately $0.3 million was included within current liabilities within the consolidated balance sheets related to such costs.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color w:val="auto"/>
        </w:rPr>
        <w:t>Note 4 – Fair Value of Financial Instruments</w:t>
      </w:r>
    </w:p>
    <w:p>
      <w:pPr>
        <w:spacing w:after="0" w:line="1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Acquisition-Related Contingent Consideration</w:t>
      </w:r>
    </w:p>
    <w:p>
      <w:pPr>
        <w:spacing w:after="0" w:line="1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Acquisition-related contingent consideration is composed of earn-outs, which represent the estimated fair value of future amounts payable for businesses, which the Company refers to as “Earn-outs,” that are contingent upon the acquired businesses achieving certain levels of earnings in the future. As of December 31, 2024 and 2023, the estimated fair value of the Company’s Earn-out liabilities totaled $112.7 million and $77.4 million, respectively. Earn-out liabilities included within other current liabilities totaled approximately $70.0 million and $29.8 million as of December 31, 2024 and 2023,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as of December 31, 2024, ranged from 14.0% to 14.5%, with a weighted average rate of 14.2% based on the relative fair value of the respective Earn-out liabilities, and probability-weighted projections of EBITDA. Significant changes in any of these assumptions could result in significantly higher or lower estimated Earn-out liabilities. The ultimate payment amounts for the Company’s Earn-out liabilities will be determined based on the actual results achieved by the acquired businesses. As of December 31, 2024, the range of potential undiscounted Earn-out liabilities was estimated to be between $21 million and $138 million; however, there is no maximum payment amount.</w:t>
      </w:r>
    </w:p>
    <w:p>
      <w:pPr>
        <w:spacing w:after="0" w:line="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Earn-out activity consists primarily of additions from new business combinations; changes in the expected fair value of future payment obligations; and payments. For the years ended December 31, 2024, 2023 and 2022, additions from new business combinations totaled approximately $56.1 million, $1.4 million and $2.8 million, respectively. There were no measurement period adjustments in either of the years ended December 31, 2024 or 2023, and for the year ended December 31, 2022, measurement period adjustments totaled an increase, net, of approximately $3.3 million and related to a net increase in the Company’s Pipeline Infrastructure segment, partially offset by a decrease in its Communications segment. For the year ended December 31, 2024, fair value adjustments totaled an increase, net, of approximately $5.2 million and related to increases within the Company’s Clean Energy and Infrastructure, Power Delivery and Pipeline Infrastructure segments, which were partially offset by decreases related to acquisitions within the Company’s Communications segment. Fair value adjustments totaled a decrease, net, of approximately $12.6 million for the year ended December 31, 2023, and related to a net decrease in the Company’s Communications segment, partially offset by net increases, primarily within the Company’s Clean Energy and Infrastructure and Power Delivery segments. The decrease in the Communications segment for the year ended December 31, 2023 included a reduction of approximately $12.3 million related to mandatorily redeemable non-controlling interests. In 2023, the Company acquired the remaining interests of an entity with which it had a mandatorily redeemable non-controlling interest arrangement. For the year ended December 31, 2022, fair value adjustments totaled a decrease, net, of approximately $1.2 million and related primarily to the Company’s Communications segment. For the years ended December 31, 2024, 2023 and 2022, Earn-out payments totaled approximately $26.1 million, $38.8 million and $37.8 million, respectively, including approximately $1.7 million related to mandatorily redeemable non-controlling interests during 2023.</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equity investments as of December 31, 2024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2024 and 2023, the aggregate carrying value of the Company’s equity investments totaled approximately $330 million and $319 million, respectively. As of both December 31, 2024 and 2023, equity investments measured on an adjusted cost basis, including the Company’s $15 million investment in CCI, totaled approximately $18 million. Except for one investment for which the Company recorded an impairment loss totaling approximately $3 million in the third quarter of 2023, there were no impairments related to these investments in any of the years ended December 31, 2024, 2023 or 2022.</w:t>
      </w:r>
    </w:p>
    <w:p>
      <w:pPr>
        <w:spacing w:after="0" w:line="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Waha JVs. </w:t>
      </w:r>
      <w:r>
        <w:rPr>
          <w:rFonts w:ascii="Times New Roman" w:cs="Times New Roman" w:eastAsia="Times New Roman" w:hAnsi="Times New Roman"/>
          <w:sz w:val="16"/>
          <w:szCs w:val="16"/>
          <w:color w:val="auto"/>
        </w:rPr>
        <w:t>The Waha JVs own and operate certain pipeline infrastructure that transports natural gas to the Mexican border for export. The Company’s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investments in the Waha JVs are accounted for as equity method investments. Equity in earnings related to the Company’s proportionate share of income from the Waha JVs, which is included within the Company’s Other segment, totaled approximately $30.8 million, $30.3 million and $30.2 million for the years ended December 31, 2024, 2023 and 2022, respectively. Distributions of earnings from the Waha JVs, which are included within operating cash flows, totaled approximately $18.0 million, $15.4 million and $14.4 million for the years ended December 31, 2024, 2023 and 2022, respectively. Cumulative undistributed earnings from the Waha JVs, which represents cumulative equity in earnings for the Waha JVs less distributions of earnings, totaled $138.3 million as of December 31, 2024. The Company’s net investment in the Waha JVs, which differs from its proportionate share of the net assets of the Waha JVs due primarily to equity method goodwill associated with capitalized investment costs, totaled approximately $287 million and $274 million as of December 31, 2024 and 2023, respectively.</w:t>
      </w:r>
    </w:p>
    <w:p>
      <w:pPr>
        <w:spacing w:after="0" w:line="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years ended December 31, 2024 and 2022, the Company’s proportionate share of unrecognized unrealized activity on the Waha JV swaps totaled gains of approximately $0.5 million and $41.0 million, respectively, or $0.3 million and $30.9 million, net of tax, respectively, and for the year ended December 31, 2023, such activity totaled losses of approximately $5.0 million, or $3.7 million, net of tax.</w:t>
      </w:r>
    </w:p>
    <w:p>
      <w:pPr>
        <w:spacing w:after="0" w:line="6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Other Investments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equity interests in certain other entities that are accounted for as equity method investments. As of December 31, 2024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2023, the Company had an investment of approximately $17 million and $18 million, respectively, in FM Tech, which provides for additional funding upon the resolution of certain contingencies, which could range up to $7 million as of December 31, 2024. The fair</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77" w:name="page78"/>
    <w:bookmarkEnd w:id="77"/>
    <w:p>
      <w:pPr>
        <w:jc w:val="both"/>
        <w:spacing w:after="0" w:line="257" w:lineRule="auto"/>
        <w:rPr>
          <w:sz w:val="20"/>
          <w:szCs w:val="20"/>
          <w:color w:val="auto"/>
        </w:rPr>
      </w:pPr>
      <w:r>
        <w:rPr>
          <w:rFonts w:ascii="Times New Roman" w:cs="Times New Roman" w:eastAsia="Times New Roman" w:hAnsi="Times New Roman"/>
          <w:sz w:val="16"/>
          <w:szCs w:val="16"/>
          <w:color w:val="auto"/>
        </w:rPr>
        <w:t>value of the remaining contingent payments for FM Tech, which are included within other current liabilities, was estimated to be $3 million as of both December 31, 2024 and 2023. For the years ended December 31, 2024, 2023 and 2022, the Company made equity contributions of approximately $0.4 million, $0.2 million and $1.3 million, respectively, to these other entities. For the year ended December 31, 2024, distributions from these entities totaled approximately $1.9 million, and for both the years ended December 31, 2023 and 2022, there were no distributions from these entities. The Company has subcontracting arrangements with certain of these entities for the performance of construction services, and expenses recognized in connection with these arrangements totaled approximately $5.4 million, $2.7 million and $14.2 million for the years ended December 31, 2024, 2023 and 2022, respectively. As of December 31, 2024 and 2023, related amounts payable to these entities totaled approximately $0.3 million and $0.1 million, respectively. In addition, the Company has advanced amounts to certain of these entities, which for the years ended December 31, 2024, 2023 and 2022, totaled approximately $0.1 million, $0.7 million and $3.3 million, respectively. As of December 31, 2024 and 2023, receivables related to these arrangements totaled approximately $4.1 million and $4.0 million, respectively.</w:t>
      </w:r>
    </w:p>
    <w:p>
      <w:pPr>
        <w:spacing w:after="0" w:line="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Variable Interest Entities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has determined that certain of its investment arrangements are VIEs. See Note 1 - Business, Basis of Presentation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Significant Accounting Policies for additional information. As of December 31, 2024, management determined that the Company is the primary beneficiary of two of its VIEs, and accordingly, has consolidated these entities within the Company’s financial statements, with the other parties’ interests accounted for as non-controlling interests.</w:t>
      </w:r>
    </w:p>
    <w:p>
      <w:pPr>
        <w:spacing w:after="0" w:line="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Company’s consolidated VIEs include an electric utility contractor in which the Company acquired a 49% interest in the first quarter of 2024. As of December 31, 2024 and 2023, the carrying values of assets associated with the Company’s consolidated VIEs totaled approximately $134.8 million and $1.7 million, respectively, which amounts consisted primarily of accounts receivable, net of allowance and contract assets. The carrying values of liabilities associated with the Company’s consolidated VIEs totaled approximately $132.8 million and $1.6 million as of December 31, 2024 and 2023, respectively, which amounts consisted primarily of accounts payable. The Company has not provided, nor is it obligated to provide, any financial support to any of its consolidated VIEs.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carrying values of the Company’s VIEs that are not consolidated totaled approximately $23 million as of both December 31, 2024 and 2023, which amounts are recorded within other long-term assets in the consolidated balance sheets. Management believes that the Company’s maximum exposure to loss for its non-consolidated VIEs, inclusive of additional financing commitments, approximated $34 million and $35 million as of December 31, 2024 and 2023, respectively.</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Senior Notes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the first quarter of 2024, management reevaluated its fair value hierarchy determination for its senior notes to better align with the valuation hierarchy of the fair value guidance, which resulted in an update of the Level determination from Level 1 inputs to Level 2 inputs. The update had no effect on the reported fair values of the related senior notes. As of December 31, 2024, the estimated fair values of the Company’s senior notes were determined based on an exit price approach using Level 2 inputs. See Note 7 - Debt for additional information pertaining to the Company’s senior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Accounts Receivable, Net of Allowance, and Contract Assets and Liabilities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accounts receivable, net of allowance, and contract assets (together “accounts receivable, net”) as of the dates indicated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 billings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1,385.2</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Less allowance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0"/>
        </w:trPr>
        <w:tc>
          <w:tcPr>
            <w:tcW w:w="8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w:t>
            </w:r>
          </w:p>
        </w:tc>
      </w:tr>
      <w:tr>
        <w:trPr>
          <w:trHeight w:val="239"/>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6"/>
        </w:trPr>
        <w:tc>
          <w:tcPr>
            <w:tcW w:w="8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Retainage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w:t>
            </w:r>
          </w:p>
        </w:tc>
      </w:tr>
      <w:tr>
        <w:trPr>
          <w:trHeight w:val="213"/>
        </w:trPr>
        <w:tc>
          <w:tcPr>
            <w:tcW w:w="8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Unbilled receivables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20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w:t>
            </w:r>
          </w:p>
        </w:tc>
      </w:tr>
    </w:tbl>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Unbilled receivables, which are included in contract assets, include amounts for work performed for which the Company has an unconditional right to receive payment and that are not subject to the completion of any other specific task, other than the billing itself. Retainage represents a portion of the contract amount that has been billed, but for which the contract allows the customer to retain a portion of the billed amount until final contract settlement, which is generally from 5% to 10% of contract billings. Retainage is not considered to be a significant financing component because the intent is to protect the customer. Unbilled receivables and retainage amounts are generally classified as current assets within the Company’s consolidated balance sheets. Retainage that has been billed, but is not due until completion of performance and acceptance by customers, is generally expected to be collected within one year. Accounts receivable balances expected to be collected beyond one year are recorded within other long-term assets. As of December 31, 2024, 2023 and 2022, contract assets totaled approximately $1,555.8 million, $1,756.4 million and $1,729.9 million, respectively.</w:t>
      </w:r>
    </w:p>
    <w:p>
      <w:pPr>
        <w:spacing w:after="0" w:line="76"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For the years ended December 31, 2024 and 2023, provisions for credit losses, including certain project-specific reserves, totaled approximately $4.8 million and $9.5 million, respectively, and amounts charged against the allowance, including direct write-offs, totaled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16"/>
          <w:szCs w:val="16"/>
          <w:color w:val="auto"/>
        </w:rPr>
        <w:t>approximately $0.8 million and $2.8 million, respectively. Impairment losses on contract assets were not material in any of the years ended December 31, 2024, 2023 or 2022.</w:t>
      </w:r>
    </w:p>
    <w:p>
      <w:pPr>
        <w:spacing w:after="0" w:line="3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Contract liabilities, which are generally classified within current liabilities on the Company’s consolidated balance sheets,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Deferred revenue is not considered to be a significant financing component because it is generally used to meet working capital demands that can be higher in the early stages of a contract. Contract liabilities also include the amount of any accrued project losses. Total contract liabilities, including accrued project losses, totaled approximately $735.6 million, $481.0 million and $406.2 million as of December 31, 2024, 2023 and 2022, respectively, of which deferred revenue comprised approximately $725.1 million, $475.2 million and $390.3 million, respectively. The increase in contract liabilities as of December 31, 2024 was driven primarily by ordinary course project activity, primarily in connection with new project starts within the Company’s Clean Energy and Infrastructure segment. For the years ended December 31, 2024, 2023 and 2022, the Company recognized revenue of approximately $416.8 million, $363.3 million and $270.7 million, respectively, related to amounts that were included in deferred revenue as of December 31, 2023, 2022 and 2021, respectively, resulting primarily from the advancement of physical progress on the related projects during the respective periods.</w:t>
      </w:r>
    </w:p>
    <w:p>
      <w:pPr>
        <w:spacing w:after="0" w:line="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is party to certain non-recourse financing arrangements in the ordinary course of business, under which certain receivables are sold to a financial institution in return for a nominal fee. The Company has certain additional non-recourse financing arrangements under which it continues to manage collections for the transferred receivables, and for which the corresponding servicing assets or liabilities are not material. For the years ended December 31, 2024 and 2023, the Company sold approximately $442 million and $131 million, respectively, of receivables under financing arrangements for which it continues to manage collections for the transferred receivable, and, as of December 31, 2024 and 2023, outstanding sold receivables related thereto totaled approximately $84 million and $64 million, respectively, which amounts are excluded from accounts receivable, net of allowance, in the consolidated balance sheets. The Company’s involvement in the collection process for these receivables is not considered to constitute significant continuing involvement, and, therefore, the receivables are accounted for as a sale under ASC Topic 860, Transfers and Servicing. Cash collections from the sale of receivables are reflected within operating activities in the consolidated statements of cash flows. The Company is also party to arrangements with certain customers that allow for early collection of receivables for a nominal fee, at the Company’s option. Discount charges related to the above described financing arrangements, which are included within interest expense, net, totaled approximately $20.7 million, $12.9 million and $9.0 million for the years ended December 31, 2024, 2023 and 2022,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Property and Equipment, Net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property and equipment, net, including property and equipment held under finance leases as of the dates indicated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Estimated Useful Lives</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Land</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Machinery, equipment and vehicles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- 20</w:t>
            </w:r>
          </w:p>
        </w:tc>
        <w:tc>
          <w:tcPr>
            <w:tcW w:w="0" w:type="dxa"/>
            <w:vAlign w:val="bottom"/>
          </w:tcPr>
          <w:p>
            <w:pPr>
              <w:spacing w:after="0"/>
              <w:rPr>
                <w:sz w:val="1"/>
                <w:szCs w:val="1"/>
                <w:color w:val="auto"/>
              </w:rPr>
            </w:pPr>
          </w:p>
        </w:tc>
      </w:tr>
      <w:tr>
        <w:trPr>
          <w:trHeight w:val="213"/>
        </w:trPr>
        <w:tc>
          <w:tcPr>
            <w:tcW w:w="56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Office equipment, furniture and internal-use software</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Construction in progress</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3,572.0</w:t>
            </w:r>
          </w:p>
        </w:tc>
        <w:tc>
          <w:tcPr>
            <w:tcW w:w="120" w:type="dxa"/>
            <w:vAlign w:val="bottom"/>
          </w:tcPr>
          <w:p>
            <w:pPr>
              <w:spacing w:after="0"/>
              <w:rPr>
                <w:sz w:val="17"/>
                <w:szCs w:val="17"/>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3,559.3</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(2,023.1)</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(1,907.8)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1,651.5</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80" w:firstLine="648"/>
        <w:spacing w:after="0" w:line="272" w:lineRule="auto"/>
        <w:rPr>
          <w:sz w:val="20"/>
          <w:szCs w:val="20"/>
          <w:color w:val="auto"/>
        </w:rPr>
      </w:pPr>
      <w:r>
        <w:rPr>
          <w:rFonts w:ascii="Times New Roman" w:cs="Times New Roman" w:eastAsia="Times New Roman" w:hAnsi="Times New Roman"/>
          <w:sz w:val="16"/>
          <w:szCs w:val="16"/>
          <w:color w:val="auto"/>
        </w:rPr>
        <w:t>As of December 31, 2024 and 2023, the gross amount of capitalized internal-use software totaled $228.2 million and $212.7 million, respectively, and, net of accumulated amortization, totaled $51.1 million and $49.8 million, respectively. Accrued capital expenditures, the effects of which are excluded from capital expenditures in the Company’s consolidated statements of cash flows given their non-cash nature, totaled $7.0 million and $4.4 million as of December 31, 2024 and 2023,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color w:val="auto"/>
        </w:rPr>
        <w:t>Note 7 – Debt</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provides details of the carrying values of debt as of the dates indicated (in millions):</w:t>
      </w:r>
    </w:p>
    <w:p>
      <w:pPr>
        <w:spacing w:after="0" w:line="57"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credit facility:</w:t>
            </w:r>
          </w:p>
        </w:tc>
        <w:tc>
          <w:tcPr>
            <w:tcW w:w="12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1, 2026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loans</w:t>
            </w:r>
          </w:p>
        </w:tc>
        <w:tc>
          <w:tcPr>
            <w:tcW w:w="3880" w:type="dxa"/>
            <w:vAlign w:val="bottom"/>
            <w:gridSpan w:val="3"/>
          </w:tcPr>
          <w:p>
            <w:pPr>
              <w:ind w:left="36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4.500% Senior Notes</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5.900% Senior Notes</w:t>
            </w:r>
          </w:p>
        </w:tc>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15, 2029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6.625% Senior Notes</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August 15, 2029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Five-Year Term Loan Facility</w:t>
            </w:r>
          </w:p>
        </w:tc>
        <w:tc>
          <w:tcPr>
            <w:tcW w:w="38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7, 2027</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114"/>
        </w:trPr>
        <w:tc>
          <w:tcPr>
            <w:tcW w:w="5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80" w:type="dxa"/>
            <w:vAlign w:val="bottom"/>
            <w:gridSpan w:val="3"/>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Three-Year Term Loan Facility</w:t>
            </w:r>
          </w:p>
        </w:tc>
        <w:tc>
          <w:tcPr>
            <w:tcW w:w="3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October 7, 2025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 lease and other obligations</w:t>
            </w:r>
          </w:p>
        </w:tc>
        <w:tc>
          <w:tcPr>
            <w:tcW w:w="3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380.3</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obligations</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Less unamortized deferred financing costs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debt, net of deferred financing costs</w:t>
            </w:r>
          </w:p>
        </w:tc>
        <w:tc>
          <w:tcPr>
            <w:tcW w:w="3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2,224.1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3,065.3</w:t>
            </w:r>
          </w:p>
        </w:tc>
        <w:tc>
          <w:tcPr>
            <w:tcW w:w="0" w:type="dxa"/>
            <w:vAlign w:val="bottom"/>
          </w:tcPr>
          <w:p>
            <w:pPr>
              <w:spacing w:after="0"/>
              <w:rPr>
                <w:sz w:val="1"/>
                <w:szCs w:val="1"/>
                <w:color w:val="auto"/>
              </w:rPr>
            </w:pPr>
          </w:p>
        </w:tc>
      </w:tr>
      <w:tr>
        <w:trPr>
          <w:trHeight w:val="212"/>
        </w:trPr>
        <w:tc>
          <w:tcPr>
            <w:tcW w:w="5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0" w:type="dxa"/>
            <w:vAlign w:val="bottom"/>
          </w:tcPr>
          <w:p>
            <w:pPr>
              <w:spacing w:after="0"/>
              <w:rPr>
                <w:sz w:val="1"/>
                <w:szCs w:val="1"/>
                <w:color w:val="auto"/>
              </w:rPr>
            </w:pPr>
          </w:p>
        </w:tc>
      </w:tr>
      <w:tr>
        <w:trPr>
          <w:trHeight w:val="207"/>
        </w:trPr>
        <w:tc>
          <w:tcPr>
            <w:tcW w:w="5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Long-term debt</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Credit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Company maintains a $2.25 billion senior unsecured credit facility (the “Credit Facility”), which is composed of $1.9 billion of revolving commitments and a term loan with an original principal amount of $350.0 million (the “Term Loan”). Borrowings under the Credit Facility will be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 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both December 31, 2024 and 2023, the fair values of the Credit Facility and Term Loan, as estimated based on an income approach utilizing significant unobservable Level 3 inputs including discount rate assumptions, approximated their carrying values.</w:t>
      </w:r>
    </w:p>
    <w:p>
      <w:pPr>
        <w:spacing w:after="0" w:line="2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Credit Facility allows the Company to borrow up to an aggregate equivalent amount of $300 million in revolving advances in either Canadian dollars and/or Mexican pesos. The maximum amount available for letters of credit under the Credit Facility is $650 million, of which up to $200 million can be denominated in either Canadian dollars and/or Mexican pesos. The Credit Facility also provides for swing line loans of up to $125 million, and, subject to certain conditions, the Company has the option to increase revolving commitments and/or establish additional term loan tranches, as defined in the Credit Facility. Subject to certain limitations described in the Credit Facility, these additional term loan tranches may have terms and pricing that differ from the Credit Facility.</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Outstanding revolving loans and the Term Loan under the Credit Facility bear interest, at the Company’s option, at a rate equal to either (a) Term SOFR, as defined in the Credit Facility, plus a margin of 1.125% to 1.625%, or (b) a Base Rate, as defined in the Credit Facility, plus a margin of 0.125% to 0.625%. The Base Rate equals the highest of (i) the Federal Funds Rate, as defined in the Credit Facility, plus 0.50%, (ii) Bank of America’s prime rate, and (iii) Term SOFR plus 1.00%. Financial standby letters of credit and commercial letters of credit issued under the Credit Facility are subject to a letter of credit fee ranging from 1.125% to 1.625%, and performance standby letters of credit issued under the Credit Facility are subject to a letter of credit fee ranging from 0.3125% to 0.6875%. The Company must also pay a commitment fee to the lenders ranging from 0.150% to 0.225% on any unused availability under the Credit Facility. In each of the foregoing cases, the applicable margin or fee is based on the Company’s Consolidated Leverage Ratio, as defined in the Credit Facility, as of the then most recent fiscal quarter. On December 9, 2024, the Company entered into the Second Amendment to its Credit Facility, which among other things, replaced the interest rate benchmark for borrowings denominated in Canadian dollars from the Canadian Dollar Offered Rate (“CDOR”) to a rate based on the Canadian Overnight Repo Rate Average (“CORRA”).</w:t>
      </w:r>
    </w:p>
    <w:p>
      <w:pPr>
        <w:spacing w:after="0" w:line="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Revolving loans accrued interest at weighted average rates of approximately 4.97% and 7.71% per annum as of December 31, 2024 and 2023, respectively. The Term Loan accrued interest at rates of 6.22% and 7.08% as of December 31, 2024 and 2023, respectively. Letters of credit of approximately $64.3 million and $64.9 million were issued as of December 31, 2024 and 2023, respectively. As of December 31, 2024 and 2023, letter of credit fees accrued at 0.5625% and 0.6875% per annum, respectively, for performance standby letters of credit, and for financial standby letters of credit, accrued at 1.375% and 1.625% per annum, respectively. Outstanding letters of credit mature at various dates and most have automatic renewal provisions, subject to prior notice of cancellation. As of December 31, 2024 and 2023, availability for revolving loans totaled $1,792.6 million and $1,062.1 million, respectively, or up to $585.7 million and $585.1 million, respectively, for new letters of credit. As of December 31, 2024, outstanding revolving borrowings denominated in foreign currencies totaled $43.1 million and accrued interest at a weighted average rate of approximately 4.970% per annum, and as of December 31, 2023, there were no outstanding revolving borrowings denominated in foreign currencies. Revolving loan borrowing capacity included $256.9 million and $300.0 million of availability in either Canadian dollars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80" w:name="page81"/>
    <w:bookmarkEnd w:id="80"/>
    <w:p>
      <w:pPr>
        <w:jc w:val="both"/>
        <w:spacing w:after="0" w:line="280" w:lineRule="auto"/>
        <w:rPr>
          <w:sz w:val="20"/>
          <w:szCs w:val="20"/>
          <w:color w:val="auto"/>
        </w:rPr>
      </w:pPr>
      <w:r>
        <w:rPr>
          <w:rFonts w:ascii="Times New Roman" w:cs="Times New Roman" w:eastAsia="Times New Roman" w:hAnsi="Times New Roman"/>
          <w:sz w:val="16"/>
          <w:szCs w:val="16"/>
          <w:color w:val="auto"/>
        </w:rPr>
        <w:t>Mexican pesos as of December 31, 2024 and 2023, respectively. The unused facility fee as of December 31, 2024 and 2023 accrued at rates of 0.200% and 0.225% per annum, respectively.</w:t>
      </w:r>
    </w:p>
    <w:p>
      <w:pPr>
        <w:spacing w:after="0" w:line="7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Credit Facility requires that the Company maintain a maximum Consolidated Leverage Ratio, as defined in the Credit Facility, of not more than 3.50 as of the end of any fiscal quarter, subject to the Acquisition Adjustment described below. The Credit Facility also requires that the Company maintain a minimum Consolidated Interest Coverage Ratio, as defined in the Credit Facility, of at least 3.00. Additionally, subject to certain conditions, if a Permitted Acquisition, as defined in the Credit Facility, or series of Permitted Acquisitions having consideration exceeding $100 million occurs during a fiscal quarter, the maximum Consolidated Leverage Ratio may be temporarily increased to up to 4.00 during such fiscal quarter and the subsequent four fiscal quarters (the “Acquisition Adjustment”). Such right may be exercised no more than two times during the term of the Credit Facility. Subject to customary exceptions, the Credit Facility limits the Company’s ability to engage in certain activities, including, but not limited to, acquisitions, mergers and consolidations, debt incurrence, investments, asset sales, debt prepayments, lien incurrence and the making of distributions or repurchases of the Company’s capital stock. However, distributions payable solely in common stock are permitted. The Credit Facility 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 and other remedies.</w:t>
      </w:r>
    </w:p>
    <w:p>
      <w:pPr>
        <w:spacing w:after="0" w:line="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Other Credit Facilities</w:t>
      </w:r>
      <w:r>
        <w:rPr>
          <w:rFonts w:ascii="Times New Roman" w:cs="Times New Roman" w:eastAsia="Times New Roman" w:hAnsi="Times New Roman"/>
          <w:sz w:val="16"/>
          <w:szCs w:val="16"/>
          <w:color w:val="auto"/>
        </w:rPr>
        <w:t>. The Company has other credit facilities that support the working capital requirements of its foreign operations and certain letter of credit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issuances. Borrowings under the Company’s foreign credit facilities, which have varying dates of maturity and are generally renewed on an annual basis, are denominated in Canadian dollars. Maximum borrowing capacity under these credit facilities totaled Canadian $20.0 million as of both December 31, 2024 and 2023, or approximately $13.9 million and $15.1 million, respectively. There were no outstanding borrowings under the Company’s other credit facilities as of either December 31, 2024 or 2023. Outstanding borrowings that are not renewed are repaid with borrowings under the Credit Facility. Accordingly, the carrying amounts of the Company’s borrowings under its other credit facilities, if any, are included within other debt obligations in the table above and classified within long-term debt in the Company’s consolidated balance sheets. Additionally, the Company has a separate credit facility, which is renewable on an annual basis, under which it may issue up to $50.0 million of performance standby letters of credit. As of December 31, 2024 and 2023, letters of credit issued under this facility totaled $17.4 million and $17.2 million, respectively, which accrued fees at 0.75% and 0.90% per annum, respectively. The Company’s other credit facilities are subject to customary provisions and covenants.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4.500% 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$600 million aggregate principal amount of senior unsecured notes due August 15, 2028, which bear interest at a rate of 4.500% (the “4.500% Senior Notes”), which were issued at par in a private offering. Interest on the 4.500% Senior Notes is payable semiannually in arrears on February 15 and August 15 of each year. As of December 31, 2024 and 2023, the fair value of the Company’s 4.500% Senior Notes totaled approximately $581.9 million and $565.2 million, respectively.</w:t>
      </w:r>
    </w:p>
    <w:p>
      <w:pPr>
        <w:spacing w:after="0" w:line="8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4.500% Senior Notes at the redemption prices specified in the indenture that governs the 4.500% Senior Notes (the “4.500% Senior Notes Indenture”), plus accrued and unpaid interest, if any, to, but excluding, the redemption date. If a change of control, as defined in the 4.500% Senior Notes Indenture, occurs, the Company must make an offer to repurchase all of the 4.500% Senior Notes then outstanding at a price equal to 101% of their principal amount, plus accrued and unpaid interest, if any, to, but excluding, the date of repurchase.</w:t>
      </w:r>
    </w:p>
    <w:p>
      <w:pPr>
        <w:spacing w:after="0" w:line="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4.500% Senior Notes Indenture, among other things, generally limits the ability of the Company and certain of its subsidiaries to create liens and effect mergers, subject to certain exceptions. The 4.500% Senior Notes Indenture provides for customary events of default, subject to customary grace and cure periods. Generally, if an event of default occurs and is continuing, the trustee or holders of at least 30% of the 4.500% Senior Notes then outstanding may declare the principal of, premium, if any, and accrued interest on all of the 4.500% Senior Notes immediately due and payable.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5.900% Senior Notes</w:t>
      </w:r>
    </w:p>
    <w:p>
      <w:pPr>
        <w:spacing w:after="0" w:line="11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On June 10, 2024, the Company completed an offering of $550 million aggregate principal amount of 5.900% senior notes due June 15, 2029 (the “5.900% Senior Notes”). Interest on the 5.900% Senior Notes is payable semiannually in arrears on June 15 and December 15 of each year, which commenced on December 15, 2024. The 5.900% Senior Notes are general senior unsecured obligations of the Company, and rank equal in right of payment with all of the Company’s existing and future senior unsecured indebtedness and senior in right of payment to all of the Company’s future subordinated indebtedness. The 5.900% Senior Notes are effectively subordinated to all secured indebtedness of the Company, to the extent of the value of the assets securing such indebtedness, and structurally subordinated to all of the obligations of the subsidiaries of the Company, including trade payables. Financing costs incurred in connection with the issuance of the 5.900% Senior Notes totaled approximately $5.9 million, which will be amortized over the term of the 5.900% Senior Notes using the effective interest method. As of December 31, 2024, the fair value of the Company’s 5.900% Senior Notes totaled approximately $558.8 million.</w:t>
      </w:r>
    </w:p>
    <w:p>
      <w:pPr>
        <w:spacing w:after="0" w:line="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has the option to redeem all or a portion of the 5.900% Senior Notes at the redemption prices specified in the indenture that governs the 5.900% Senior Notes (the “5.900% Senior Notes Indenture”), plus accrued and unpaid interest, if any, to, but excluding, the redemption date. If a change of control triggering event, as defined in the 5.900% Senior Notes Indenture, occurs, each holder of the 5.900% Senior Notes will have the right to require the Company to repurchase all or any portion of such holder’s 5.900% Senior Notes then outstanding at a price equal to 101% of the principal amount of the 5.900% Senior Notes, plus accrued and unpaid interest, if any, to, but excluding, the date of repurchase, subject to the right of holders of 5.900% Senior Notes on the relevant record date to receive interest due on the relevant interest payment date.</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5.900% Senior Notes Indenture, among other things, generally limits the ability of the Company and certain of its subsidiaries to create liens, enter into sale and leaseback transactions and effect mergers, subject to certain exceptions. The 5.900% Senior Notes Indenture provides for customary events of default, which include, subject, in certain cases, to customary grace and cure periods, among others, nonpayment of principal or interest; breach of other covenants or agreements in the 5.900% Senior Notes Indenture; failure to pay certain other indebtedness; and certain events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1" w:name="page82"/>
    <w:bookmarkEnd w:id="81"/>
    <w:p>
      <w:pPr>
        <w:jc w:val="both"/>
        <w:spacing w:after="0" w:line="280" w:lineRule="auto"/>
        <w:rPr>
          <w:sz w:val="20"/>
          <w:szCs w:val="20"/>
          <w:color w:val="auto"/>
        </w:rPr>
      </w:pPr>
      <w:r>
        <w:rPr>
          <w:rFonts w:ascii="Times New Roman" w:cs="Times New Roman" w:eastAsia="Times New Roman" w:hAnsi="Times New Roman"/>
          <w:sz w:val="16"/>
          <w:szCs w:val="16"/>
          <w:color w:val="auto"/>
        </w:rPr>
        <w:t>of bankruptcy or insolvency. Generally, if an event of default occurs and is continuing, the trustee or holders of at least 25% of the 5.900% Senior Notes then outstanding may declare the principal amount, premium, if any, and accrued interest on all of the 5.900% Senior Notes to be immediately due and payable.</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further described below, the Company used a portion of the proceeds from the 5.900% Senior Notes offering to purchase $203.7 million in aggregate principal amount of 6.625% IEA Senior Notes (as defined below). The remaining net proceeds from the 5.900% Senior Notes offering were used, along with available cash, for the repayment of the Company’s $400.0 million Three-Year Term Loan Facility. The Company recorded a pre-tax debt extinguishment loss of approximately $11.3 million in the second quarter of 2024 in connection with these transactions, which is separately presented within the Company’s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6.625% Senior Notes</w:t>
      </w:r>
    </w:p>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has $74.9 million aggregate principal amount of 6.625% senior unsecured notes due August 15, 2029 (the “6.625% Senior Notes”), with a carrying value of $71.6 million and $70.9 million as of December 31, 2024 and 2023, respectively. Interest on the 6.625% Senior Notes is payable semiannually in arrears on February 15 and August 15 of each year. The 6.625% Senior Notes were previously composed of $225.1 million aggregate principal amount of 6.625% IEA senior notes (the “6.625% IEA Senior Notes”) and $74.9 million aggregate principal amount of 6.625% MasTec senior notes (the “6.625% MasTec Senior Notes”).</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Concurrently with the Company’s offering of the 5.900% Senior Notes, IEA Energy Services LLC (“IEA LLC”), a wholly-owned subsidiary of the Company, launched a tender offer and consent solicitation (the “IEA Tender”) for the 6.625% IEA Senior Notes due 2029. The Company used a portion of the proceeds from the 5.900% Senior Notes offering to purchase $203.7 million in aggregate principal amount of 6.625% IEA Senior Notes tendered at a price equal to 100.0% of the principal amount of the 6.625% IEA Senior Notes, plus accrued and unpaid interest to, but excluding, the payment date. In July 2024, subsequent to the IEA Tender, IEA LLC exercised its right under the indenture that governs the 6.625% IEA Senior Notes to redeem the remaining $21.4 million in aggregate principal amount of the 6.625% IEA Senior Notes at a price equal to 95.0% of the principal amount of the 6.625% IEA Senior Notes redeemed, which amount approximated their carrying value, plus accrued and unpaid interest to, but excluding, the redemption date. As of both December 31, 2024 and 2023, the fair value of the Company’s remaining 6.625% Senior Notes approximated their carrying value.</w:t>
      </w:r>
    </w:p>
    <w:p>
      <w:pPr>
        <w:spacing w:after="0" w:line="27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The 6.625% Senior Notes are general senior unsecured obligations of the Company, and rank equal in right of payment with all of the Company’s existing and future senior unsecured indebtedness and senior in right of payment to any of the Company’s future subordinated indebtedness. The 6.625% Senior Notes are effectively subordinated to all secured indebtedness of the Company to the extent of the value of the assets securing such indebtedness and are structurally subordinated to all obligations of the subsidiaries of the Company, including trade payables.</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6.625% Senior Notes Indenture provides for customary events of default, which include, subject, in certain cases, to customary grace and cure periods, among others, nonpayment of principal or interest; breach of other covenants or agreements in the 6.625% Senior Notes Indenture; failure to pay certain other indebtedness; and certain events of bankruptcy or insolvency. Generally, if an event of default occurs and is continuing, the trustee or holders of at least 30% of the 6.625% Senior Notes then outstanding may declare the principal of, premium, if any, and accrued interest on all of the 6.625% Senior Notes immediately due and payable.</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If a Change of Control, as defined in the 6.625% Senior Notes Indenture, occurs, the Company must make an offer to repurchase all of the 6.625% Senior Notes, then outstanding at a price equal to 101% of their principal amount, plus accrued and unpaid interest, if any, to, but not including, the date of repurchase.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Five-Year Term Loan Facility</w:t>
      </w:r>
    </w:p>
    <w:p>
      <w:pPr>
        <w:spacing w:after="0" w:line="13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As of December 31, 2024, the Company had $285.0 million outstanding under an unsecured five-year term loan (the “Five-Year Term Loan”) maturing on October 7, 2027, for which the original principal amount totaled $300.0 million. The Five-Year Term Loan is subject to amortization in quarterly principal installments of approximately $3.75 million, which installments commenced on March 31, 2024 and will increase to $7.5 million on March 31, 2026, until maturity, subject to the application of certain prepayments. The fair value of the Five-Year Term Loan as of both December 31, 2024 and 2023, as estimated based on an income approach utilizing significant unobservable Level 3 inputs including discount rate assumptions, approximated its carrying value.</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The Five-Year Term Loan bears interest, at the Company’s option, at a rate equal to either (a) Term SOFR plus a margin of 1.250% to 1.625%, or (b) a Base Rate, plus a margin of 0.250% to 0.625%. The Base Rate equals the highest of (i) the Federal Funds Rate, as defined in the Five-Year Term Loan Facility, plus 0.50%, (ii) Bank of America’s prime rate, and (iii) Term SOFR plus 1.00%. The applicable margin is based on the Company’s Consolidated Leverage Ratio and Debt Rating, each as defined in the Five-Year Term Loan Facility, as of the then most recent fiscal quarter. As of December 31, 2024 and 2023, the Five-Year Term Loan accrued interest at rates of 6.253% and 6.958%, respectively.</w:t>
      </w:r>
    </w:p>
    <w:p>
      <w:pPr>
        <w:spacing w:after="0" w:line="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obligations under the Five-Year Term Loan are unsecured and are not guaranteed by any of the Company or its subsidiaries. The Five-Year Term Loan requires the Company to maintain a Consolidated Leverage Ratio, as defined in the Five-Year Term Loan, of not more than 3.50 as of the end of any fiscal quarter, subject to the Acquisition Adjustment described below. The Five-Year Term Loan also requires the Company to maintain a Consolidated Interest Coverage Ratio, as defined in the Amended Credit Facility, of at least 3.00. The Five-Year Term Loan provides that, for purposes of calculating the Consolidated Leverage Ratio, funded indebtedness excludes undrawn standby performance letters of credit included in the calculation of Consolidated Funded Indebtedness, as defined in the Five-Year Term Loan. Notwithstanding the terms discussed above, subject to certain conditions, if a permitted acquisition or series of permitted acquisitions having consideration exceeding $100 million occurs during a fiscal quarter, the Consolidated Leverage Ratio may be temporarily increased to up to 4.00 during such fiscal quarter and the subsequent four fiscal quarters (the “Acquisition Adjustment”). Such right may be exercised no more than two times during the term of the Five-Year Term Loan. Subject to customary exceptions, the Five-Year Term Loan limits the borrowers’ ability to engage in certain activities, including but not limited to acquisitions, mergers and consolidations, debt incurrence, investments, asset sales, debt prepayments, lien incurrence and the making of distributions on or repurchases of capital stock. However, distributions payable solely in capital stock are permitted. The Five-Year Term Loan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2" w:name="page83"/>
    <w:bookmarkEnd w:id="82"/>
    <w:p>
      <w:pPr>
        <w:jc w:val="both"/>
        <w:spacing w:after="0" w:line="280" w:lineRule="auto"/>
        <w:rPr>
          <w:sz w:val="20"/>
          <w:szCs w:val="20"/>
          <w:color w:val="auto"/>
        </w:rPr>
      </w:pPr>
      <w:r>
        <w:rPr>
          <w:rFonts w:ascii="Times New Roman" w:cs="Times New Roman" w:eastAsia="Times New Roman" w:hAnsi="Times New Roman"/>
          <w:sz w:val="16"/>
          <w:szCs w:val="16"/>
          <w:color w:val="auto"/>
        </w:rPr>
        <w:t>provides for customary events of default and carries cross-default provisions with the Company’s other significant debt instruments, including the Company’s indemnity agreement with its surety provider, as well as customary remedies, including the acceleration of repayment of outstanding amounts.</w:t>
      </w:r>
    </w:p>
    <w:p>
      <w:pPr>
        <w:spacing w:after="0" w:line="6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Selected Transaction Costs. </w:t>
      </w:r>
      <w:r>
        <w:rPr>
          <w:rFonts w:ascii="Times New Roman" w:cs="Times New Roman" w:eastAsia="Times New Roman" w:hAnsi="Times New Roman"/>
          <w:sz w:val="16"/>
          <w:szCs w:val="16"/>
          <w:color w:val="auto"/>
        </w:rPr>
        <w:t>In connection with the 2022 acquisition of IEA, the Company incurred approximately $2.9 million of fees and expenses for bridge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term loan facility commitments, which commitments were subsequently terminated upon the Company having entered into the Five-Year and Three-Year Term Loan Facilities. The Company also incurred approximately $1.9 million of fees and expenses in connection with the 6.625% MasTec Senior Notes. These amounts are primarily reflected within acquisition and integration costs within other expense in the Company’s consolidated statements of operations for the year ended December 31,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Debt Covenants</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10"/>
        </w:trPr>
        <w:tc>
          <w:tcPr>
            <w:tcW w:w="9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MasTec was in compliance with the provisions and covenants of its outstanding debt instruments as of both December 31, 2024 and 2023.</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98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Maturities of Debt</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9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Contractual maturities of MasTec’s debt, which includes finance lease obligations, as of December 31, 2024 were as follows (in millions):</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8"/>
        </w:trPr>
        <w:tc>
          <w:tcPr>
            <w:tcW w:w="9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487.3</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w:t>
            </w:r>
          </w:p>
        </w:tc>
      </w:tr>
      <w:tr>
        <w:trPr>
          <w:trHeight w:val="213"/>
        </w:trPr>
        <w:tc>
          <w:tcPr>
            <w:tcW w:w="9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1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630.1</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9"/>
        </w:trPr>
        <w:tc>
          <w:tcPr>
            <w:tcW w:w="9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2,238.7</w:t>
            </w:r>
          </w:p>
        </w:tc>
      </w:tr>
    </w:tbl>
    <w:p>
      <w:pPr>
        <w:spacing w:after="0" w:line="189"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As of December 31, 2024 and 2023, accrued interest payable, which is recorded within other accrued expenses in the consolidated balance sheets, totaled $20.8 million and $24.1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Lease Obligations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Finance Leases</w:t>
      </w:r>
    </w:p>
    <w:p>
      <w:pPr>
        <w:spacing w:after="0" w:line="11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gross amount of assets held under finance leases as of December 31, 2024 and 2023 totaled $713.9 million and $679.9 million, respectively. Assets held under finance leases, net of accumulated depreciation, totaled $473.0 million and $473.3 million as of December 31, 2024 and 2023, respectively. Depreciation expense associated with finance leases totaled $81.7 million, $103.0 million and $91.7 million for the years ended December 31, 2024, 2023 and 2022, respectively.</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Operating Leases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Operating lease additions for the years ended December 31, 2024, 2023 and 2022 totaled $166.8 million, $224.6 million and $119.1 million,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Acquisition-related additions totaled $32.4 million for the year ended December 31, 2022.</w:t>
      </w:r>
    </w:p>
    <w:p>
      <w:pPr>
        <w:spacing w:after="0" w:line="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For the years ended December 31, 2024, 2023 and 2022, rent expense for leases that have terms in excess of one year totaled approximately $195.8 million, $162.1 million and $134.1 million, respectively, of which $17.8 million, $15.8 million and $11.1 million, respectively, represented variable lease costs. The Company also incurred rent expense for leases with terms of one year or less totaling approximately $547.0 million, $608.2 million and $377.8 million for the years ended December 31, 2024, 2023, and 2022, respectively. Rent expense for operating leases is generally consistent with the amount of the related payments, which payments are included within operating activities in the consolidated statements of cash flows.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4"/>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Additional Lease Information</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9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Future minimum lease commitments as of December 31, 2024 were as follows (in millions):</w:t>
            </w: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9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14"/>
        </w:trPr>
        <w:tc>
          <w:tcPr>
            <w:tcW w:w="79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2"/>
        </w:trPr>
        <w:tc>
          <w:tcPr>
            <w:tcW w:w="7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0" w:type="dxa"/>
            <w:vAlign w:val="bottom"/>
          </w:tcPr>
          <w:p>
            <w:pPr>
              <w:spacing w:after="0"/>
              <w:rPr>
                <w:sz w:val="1"/>
                <w:szCs w:val="1"/>
                <w:color w:val="auto"/>
              </w:rPr>
            </w:pPr>
          </w:p>
        </w:tc>
      </w:tr>
      <w:tr>
        <w:trPr>
          <w:trHeight w:val="207"/>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amounts representing interest</w:t>
            </w:r>
          </w:p>
        </w:tc>
        <w:tc>
          <w:tcPr>
            <w:tcW w:w="1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2"/>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obligations, net of interest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current portion</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portion of lease obligations, net of interest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table presents weighted average remaining lease terms and discount rates for finance and non-cancelable operating leases as of the dates indicated:</w:t>
      </w:r>
    </w:p>
    <w:p>
      <w:pPr>
        <w:spacing w:after="0" w:line="21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(in years):</w:t>
            </w: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3"/>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discount rate: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0"/>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Stock-Based Compensation and Other Employee Benefit Plans</w:t>
      </w:r>
    </w:p>
    <w:p>
      <w:pPr>
        <w:spacing w:after="0" w:line="1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The Company’s stock-based compensation plans, under which shares of the Company’s common stock are reserved for issuance, include: the MasTec, Inc. Amended and Restated 2013 Incentive Compensation Plan (as amended from time to time, the “2013 Incentive Plan”), the MasTec, Inc. Amended and Restated Bargaining Units Employee Stock Purchase Plan (the “2013 Bargaining Units ESPP”) and the MasTec, Inc. Amended and Restated 2011 Employee Stock Purchase Plan (the “2011 ESPP,” and, together with the 2013 Bargaining Units ESPP, the “ESPPs”). In May 2024, MasTec’s shareholders approved amendments to the 2013 Incentive Plan and the 2011 ESPP, which included the authorization to issue an additional 1,200,000 shares under the 2013 Incentive Plan and 1,000,000 shares under the 2011 ESPP. The 2013 Incentive Plan permits a total of approximately 9,741,000 shares of the Company’s common stock to be issued. Under the Company’s ESPPs, shares of the Company’s common stock are available for purchase by eligible participants, which collectively permit the issuance of up to 4,000,000 new shares of MasTec, Inc. common stock. Under all stock-based compensation plans in effect as of December 31, 2024, there were approximately 4,416,000 shares available for future grant.</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Non-cash stock-based compensation expense under all plans totaled approximately $32.7 million, $33.3 million and $27.4 million for the years ended December 31, 2024, 2023 and 2022, respectively. Income tax benefits associated with stock-based compensation arrangements totaled $7.6 million, $17.3 million and $5.9 million for the years ended December 31, 2024, 2023 and 2022, respectively, including net tax benefits related to the vesting of share-based payment awards totaling approximately $1.5 million, $11.0 million and $0.9 million, respectively.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Restricted Shares</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December 31, 2024, total unearned compensation related to restricted shares was approximately $37.6 million, which amount is expected to be recognized over a weighted average period of approximately 1.7 years. The fair value of restricted shares that vested, which is based on the market price on the date of vesting, totaled approximately $37.2 million, $98.4 million and $19.7 million for the years ended December 31, 2024, 2023 and 2022,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0" w:type="dxa"/>
            <w:vAlign w:val="bottom"/>
          </w:tcPr>
          <w:p>
            <w:pPr>
              <w:spacing w:after="0"/>
              <w:rPr>
                <w:sz w:val="16"/>
                <w:szCs w:val="16"/>
                <w:color w:val="auto"/>
              </w:rPr>
            </w:pPr>
          </w:p>
        </w:tc>
        <w:tc>
          <w:tcPr>
            <w:tcW w:w="1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 Share Weighted</w:t>
            </w:r>
          </w:p>
        </w:tc>
        <w:tc>
          <w:tcPr>
            <w:tcW w:w="0" w:type="dxa"/>
            <w:vAlign w:val="bottom"/>
          </w:tcPr>
          <w:p>
            <w:pPr>
              <w:spacing w:after="0"/>
              <w:rPr>
                <w:sz w:val="1"/>
                <w:szCs w:val="1"/>
                <w:color w:val="auto"/>
              </w:rPr>
            </w:pPr>
          </w:p>
        </w:tc>
      </w:tr>
      <w:tr>
        <w:trPr>
          <w:trHeight w:val="162"/>
        </w:trPr>
        <w:tc>
          <w:tcPr>
            <w:tcW w:w="778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Activity, restricted shares: </w:t>
            </w:r>
            <w:r>
              <w:rPr>
                <w:rFonts w:ascii="Times New Roman" w:cs="Times New Roman" w:eastAsia="Times New Roman" w:hAnsi="Times New Roman"/>
                <w:sz w:val="21"/>
                <w:szCs w:val="21"/>
                <w:b w:val="1"/>
                <w:bCs w:val="1"/>
                <w:color w:val="auto"/>
                <w:vertAlign w:val="superscript"/>
              </w:rPr>
              <w:t>(a)</w:t>
            </w:r>
          </w:p>
        </w:tc>
        <w:tc>
          <w:tcPr>
            <w:tcW w:w="1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Average Grant Date</w:t>
            </w:r>
          </w:p>
        </w:tc>
        <w:tc>
          <w:tcPr>
            <w:tcW w:w="0" w:type="dxa"/>
            <w:vAlign w:val="bottom"/>
          </w:tcPr>
          <w:p>
            <w:pPr>
              <w:spacing w:after="0"/>
              <w:rPr>
                <w:sz w:val="1"/>
                <w:szCs w:val="1"/>
                <w:color w:val="auto"/>
              </w:rPr>
            </w:pPr>
          </w:p>
        </w:tc>
      </w:tr>
      <w:tr>
        <w:trPr>
          <w:trHeight w:val="216"/>
        </w:trPr>
        <w:tc>
          <w:tcPr>
            <w:tcW w:w="7780" w:type="dxa"/>
            <w:vAlign w:val="bottom"/>
            <w:vMerge w:val="continue"/>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5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09"/>
        </w:trPr>
        <w:tc>
          <w:tcPr>
            <w:tcW w:w="7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2022</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2,049,280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0" w:type="dxa"/>
            <w:vAlign w:val="bottom"/>
          </w:tcPr>
          <w:p>
            <w:pPr>
              <w:spacing w:after="0"/>
              <w:rPr>
                <w:sz w:val="1"/>
                <w:szCs w:val="1"/>
                <w:color w:val="auto"/>
              </w:rPr>
            </w:pPr>
          </w:p>
        </w:tc>
      </w:tr>
      <w:tr>
        <w:trPr>
          <w:trHeight w:val="207"/>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62.03</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(147,532)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1,505,996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w:t>
            </w:r>
          </w:p>
        </w:tc>
        <w:tc>
          <w:tcPr>
            <w:tcW w:w="0" w:type="dxa"/>
            <w:vAlign w:val="bottom"/>
          </w:tcPr>
          <w:p>
            <w:pPr>
              <w:spacing w:after="0"/>
              <w:rPr>
                <w:sz w:val="1"/>
                <w:szCs w:val="1"/>
                <w:color w:val="auto"/>
              </w:rPr>
            </w:pPr>
          </w:p>
        </w:tc>
      </w:tr>
      <w:tr>
        <w:trPr>
          <w:trHeight w:val="207"/>
        </w:trPr>
        <w:tc>
          <w:tcPr>
            <w:tcW w:w="7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88.76</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Canceled/forfeited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53.22</w:t>
            </w:r>
          </w:p>
        </w:tc>
        <w:tc>
          <w:tcPr>
            <w:tcW w:w="0" w:type="dxa"/>
            <w:vAlign w:val="bottom"/>
          </w:tcPr>
          <w:p>
            <w:pPr>
              <w:spacing w:after="0"/>
              <w:rPr>
                <w:sz w:val="1"/>
                <w:szCs w:val="1"/>
                <w:color w:val="auto"/>
              </w:rPr>
            </w:pPr>
          </w:p>
        </w:tc>
      </w:tr>
      <w:tr>
        <w:trPr>
          <w:trHeight w:val="209"/>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Non-vested restricted shares, as of December 31,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1,000 restricted stock units as of both December 31, 2024 and 2023, and 2,150 restricted stock units as of December 31, 2022.</w:t>
      </w:r>
    </w:p>
    <w:p>
      <w:pPr>
        <w:spacing w:after="0" w:line="168"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Employee Stock Purchase Plans. </w:t>
      </w:r>
      <w:r>
        <w:rPr>
          <w:rFonts w:ascii="Times New Roman" w:cs="Times New Roman" w:eastAsia="Times New Roman" w:hAnsi="Times New Roman"/>
          <w:sz w:val="16"/>
          <w:szCs w:val="16"/>
          <w:color w:val="auto"/>
        </w:rPr>
        <w:t>For the years ended December 31, 2024, 2023 and 2022, 95,374 shares, 119,450 shares and 112,341 shares, respectively, were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purchased by participants under the Company’s ESPPs for $8.2 million, $8.5 million and $7.4 million, respectively, which shares were delivered with shares reacquired by the Company on the open market. For both the years ended December 31, 2024 and 2023, compensation expense associated with the Company’s ESPPs totaled approximately $1.5 million, and for the year ended December 31, 2022, such compensation expense totaled approximately $1.3 million.</w:t>
      </w:r>
    </w:p>
    <w:p>
      <w:pPr>
        <w:spacing w:after="0" w:line="6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401(k) Plan. </w:t>
      </w:r>
      <w:r>
        <w:rPr>
          <w:rFonts w:ascii="Times New Roman" w:cs="Times New Roman" w:eastAsia="Times New Roman" w:hAnsi="Times New Roman"/>
          <w:sz w:val="16"/>
          <w:szCs w:val="16"/>
          <w:color w:val="auto"/>
        </w:rPr>
        <w:t>MasTec has a 401(k) plan covering all eligible employees, which allows participants to contribute up to 75% of their pre-tax annual compensation to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 subject to certain limitations. Company contributions under the plan are based upon a percentage of the employee’s salary, subject to certain limitations as defined by the plan. During the years ended December 31, 2024, 2023 and 2022, matching contributions totaled approximately $35.3 million, $36.1 million and $30.2 million, respectively.</w:t>
      </w:r>
    </w:p>
    <w:p>
      <w:pPr>
        <w:spacing w:after="0" w:line="2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Deferred Compensation Plans. </w:t>
      </w:r>
      <w:r>
        <w:rPr>
          <w:rFonts w:ascii="Times New Roman" w:cs="Times New Roman" w:eastAsia="Times New Roman" w:hAnsi="Times New Roman"/>
          <w:sz w:val="16"/>
          <w:szCs w:val="16"/>
          <w:color w:val="auto"/>
        </w:rPr>
        <w:t>MasTec offers a deferred compensation plan to eligible highly compensated employees. These employees are allowed to contribute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percentage of their pre-tax annual compensation to the deferred compensation plan. The Company also offers a deferred compensation plan to its Board of Directors, under which directors may elect to defer the receipt of compensation for their services. The Company also has remaining obligations under other deferred compensation plans, primarily related to acquired companies. Total deferred compensation plan assets, which are included within other long-term assets in the consolidated balance sheets, totaled $29.0 million and $26.0 million as of December 31, 2024 and 2023, respectively. Total deferred compensation plan liabilities, which are included within other long-term liabilities in the consolidated balance sheets, totaled $35.4 million and $32.7 million as of December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Other Retirement Plans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i w:val="1"/>
          <w:iCs w:val="1"/>
          <w:color w:val="auto"/>
        </w:rPr>
        <w:t>Multiemployer Plans</w:t>
      </w:r>
    </w:p>
    <w:p>
      <w:pPr>
        <w:spacing w:after="0" w:line="1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As discussed in Note 1 - Business, Basis of Presentation and Significant Accounting Policies, certain of MasTec’s subsidiaries are party to various collective bargaining agreements with unions representing certain of their employees, which require the Company to pay specified wages, provide certain benefits to their union employees and contribute certain amounts to MEPPs. The PPA defines the funding rules for defined benefit pension plans and establishes funding classifications for U.S.-registered multiemployer pension plans. Under the PPA, plans are classified into one of five categories based on multiple factors, which categories are also referred to as a plan’s “zone status”: Green (safe), Yellow (endangered), Orange (seriously endangered), and Red (critical or critical and declining). Factors included in the determination of a plan’s zone status include: funded percentage, cash flow position and whether the plan is projecting a minimum funding deficiency.</w:t>
      </w:r>
    </w:p>
    <w:p>
      <w:pPr>
        <w:spacing w:after="0" w:line="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A multiemployer plan that is so underfunded as to be in “endangered,” “seriously endangered,” “critical,” or “critical and declining” status, as determined under the PPA, is required to adopt a funding improvement plan (“FIP”) or a rehabilitation plan (“RP”), which, among other actions, could include decreased benefits and increased employer contributions, which could take the form of a surcharge on benefit contributions. These actions are intended to improve their funding status over a period of years. If a pension fund is in critical status, a participating employer must pay an automatic surcharge in addition to contributions otherwise required under the collective bargaining agreement (“CBA”). With some exceptions, the surcharge is equal to 5% of required contributions for the initial critical year and 10% for each succeeding plan year in which the plan remains in critical status. The surcharge ceases on the effective date of a CBA or other agreement that includes contribution and benefit terms consistent with the rehabilitation plan. Certain plans in which the Company participates are in “endangered,” “seriously endangered,” “critical,” or “critical and declining” status. The amount of additional funds, if any, that the Company could be obligated to contribute to these plans in the future cannot be estimated due to the uncertainty of the future levels of work that could be required of the union employees covered by these plans, as well as the required future contribution rates and possible surcharges applicable to these plans. See Note 14 - Commitments and Contingencies for additional information.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5" w:name="page86"/>
    <w:bookmarkEnd w:id="85"/>
    <w:p>
      <w:pPr>
        <w:ind w:firstLine="648"/>
        <w:spacing w:after="0" w:line="280" w:lineRule="auto"/>
        <w:rPr>
          <w:sz w:val="20"/>
          <w:szCs w:val="20"/>
          <w:color w:val="auto"/>
        </w:rPr>
      </w:pPr>
      <w:r>
        <w:rPr>
          <w:rFonts w:ascii="Times New Roman" w:cs="Times New Roman" w:eastAsia="Times New Roman" w:hAnsi="Times New Roman"/>
          <w:sz w:val="16"/>
          <w:szCs w:val="16"/>
          <w:color w:val="auto"/>
        </w:rPr>
        <w:t>Details of significant multiemployer pension plans as of and for the periods indicated, based upon information available to the Company from plan administrators, as well as publicly available information on the U.S. Department of Labor website, are provided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Contributions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8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Pension Protection Act Zone Status</w:t>
            </w:r>
          </w:p>
        </w:tc>
        <w:tc>
          <w:tcPr>
            <w:tcW w:w="300" w:type="dxa"/>
            <w:vAlign w:val="bottom"/>
            <w:tcBorders>
              <w:bottom w:val="single" w:sz="8" w:color="auto"/>
            </w:tcBorders>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Employer</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Identification</w:t>
            </w: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Multiemployer Pension Plan</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Date of CBA</w:t>
            </w:r>
          </w:p>
        </w:tc>
        <w:tc>
          <w:tcPr>
            <w:tcW w:w="48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FIP/RP Status</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Surcharge</w:t>
            </w:r>
          </w:p>
        </w:tc>
        <w:tc>
          <w:tcPr>
            <w:tcW w:w="0" w:type="dxa"/>
            <w:vAlign w:val="bottom"/>
          </w:tcPr>
          <w:p>
            <w:pPr>
              <w:spacing w:after="0"/>
              <w:rPr>
                <w:sz w:val="1"/>
                <w:szCs w:val="1"/>
                <w:color w:val="auto"/>
              </w:rPr>
            </w:pPr>
          </w:p>
        </w:tc>
      </w:tr>
      <w:tr>
        <w:trPr>
          <w:trHeight w:val="18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National Electrical Benefit Fund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530181657</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Varies through</w:t>
            </w:r>
          </w:p>
        </w:tc>
        <w:tc>
          <w:tcPr>
            <w:tcW w:w="48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4"/>
              </w:rPr>
              <w:t>12/31/2023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1"/>
        </w:trPr>
        <w:tc>
          <w:tcPr>
            <w:tcW w:w="19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6/3/2029</w:t>
            </w: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Central Pension Fund of the IUOE &amp;</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366052390</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40" w:type="dxa"/>
            <w:vAlign w:val="bottom"/>
          </w:tcPr>
          <w:p>
            <w:pPr>
              <w:spacing w:after="0"/>
              <w:rPr>
                <w:sz w:val="16"/>
                <w:szCs w:val="16"/>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19.2</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Varies through</w:t>
            </w:r>
          </w:p>
        </w:tc>
        <w:tc>
          <w:tcPr>
            <w:tcW w:w="48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tcPr>
          <w:p>
            <w:pPr>
              <w:jc w:val="center"/>
              <w:ind w:left="77"/>
              <w:spacing w:after="0"/>
              <w:rPr>
                <w:sz w:val="20"/>
                <w:szCs w:val="20"/>
                <w:color w:val="auto"/>
              </w:rPr>
            </w:pPr>
            <w:r>
              <w:rPr>
                <w:rFonts w:ascii="Times New Roman" w:cs="Times New Roman" w:eastAsia="Times New Roman" w:hAnsi="Times New Roman"/>
                <w:sz w:val="13"/>
                <w:szCs w:val="13"/>
                <w:color w:val="auto"/>
                <w:w w:val="98"/>
              </w:rPr>
              <w:t>1/31/2024</w:t>
            </w:r>
          </w:p>
        </w:tc>
        <w:tc>
          <w:tcPr>
            <w:tcW w:w="3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1/31/2023</w:t>
            </w:r>
          </w:p>
        </w:tc>
        <w:tc>
          <w:tcPr>
            <w:tcW w:w="30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Participating Employers</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6/30/2027</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456 Pension Plan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226238995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11/29/2025</w:t>
            </w:r>
          </w:p>
        </w:tc>
        <w:tc>
          <w:tcPr>
            <w:tcW w:w="48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4"/>
              </w:rPr>
              <w:t>12/31/2023</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89"/>
        </w:trPr>
        <w:tc>
          <w:tcPr>
            <w:tcW w:w="1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Pipeline Industry Pension Fund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736146433</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tcPr>
          <w:p>
            <w:pPr>
              <w:spacing w:after="0"/>
              <w:rPr>
                <w:sz w:val="16"/>
                <w:szCs w:val="16"/>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6.0</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Varies through</w:t>
            </w:r>
          </w:p>
        </w:tc>
        <w:tc>
          <w:tcPr>
            <w:tcW w:w="48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tcPr>
          <w:p>
            <w:pPr>
              <w:jc w:val="center"/>
              <w:ind w:left="77"/>
              <w:spacing w:after="0"/>
              <w:rPr>
                <w:sz w:val="20"/>
                <w:szCs w:val="20"/>
                <w:color w:val="auto"/>
              </w:rPr>
            </w:pPr>
            <w:r>
              <w:rPr>
                <w:rFonts w:ascii="Times New Roman" w:cs="Times New Roman" w:eastAsia="Times New Roman" w:hAnsi="Times New Roman"/>
                <w:sz w:val="13"/>
                <w:szCs w:val="13"/>
                <w:color w:val="auto"/>
                <w:w w:val="94"/>
              </w:rPr>
              <w:t>12/31/2023</w:t>
            </w:r>
          </w:p>
        </w:tc>
        <w:tc>
          <w:tcPr>
            <w:tcW w:w="3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30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2"/>
        </w:trPr>
        <w:tc>
          <w:tcPr>
            <w:tcW w:w="1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10/31/2026</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w w:val="99"/>
              </w:rPr>
              <w:t>Laborers' District Council of Virginia</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546117299</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4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5/31/2026</w:t>
            </w:r>
          </w:p>
        </w:tc>
        <w:tc>
          <w:tcPr>
            <w:tcW w:w="480" w:type="dxa"/>
            <w:vAlign w:val="bottom"/>
            <w:vMerge w:val="restart"/>
            <w:shd w:val="clear" w:color="auto" w:fill="CCEEFF"/>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vMerge w:val="restart"/>
            <w:shd w:val="clear" w:color="auto" w:fill="CCEEFF"/>
          </w:tcPr>
          <w:p>
            <w:pPr>
              <w:jc w:val="center"/>
              <w:ind w:left="77"/>
              <w:spacing w:after="0"/>
              <w:rPr>
                <w:sz w:val="20"/>
                <w:szCs w:val="20"/>
                <w:color w:val="auto"/>
              </w:rPr>
            </w:pPr>
            <w:r>
              <w:rPr>
                <w:rFonts w:ascii="Times New Roman" w:cs="Times New Roman" w:eastAsia="Times New Roman" w:hAnsi="Times New Roman"/>
                <w:sz w:val="13"/>
                <w:szCs w:val="13"/>
                <w:color w:val="auto"/>
                <w:w w:val="94"/>
              </w:rPr>
              <w:t>12/31/2023</w:t>
            </w:r>
          </w:p>
        </w:tc>
        <w:tc>
          <w:tcPr>
            <w:tcW w:w="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3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06"/>
        </w:trPr>
        <w:tc>
          <w:tcPr>
            <w:tcW w:w="1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Trust Fund</w:t>
            </w:r>
          </w:p>
        </w:tc>
        <w:tc>
          <w:tcPr>
            <w:tcW w:w="92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48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300" w:type="dxa"/>
            <w:vAlign w:val="bottom"/>
            <w:vMerge w:val="continue"/>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198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Heavy &amp; General Laborers' Local</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226032103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40" w:type="dxa"/>
            <w:vAlign w:val="bottom"/>
          </w:tcPr>
          <w:p>
            <w:pPr>
              <w:spacing w:after="0"/>
              <w:rPr>
                <w:sz w:val="10"/>
                <w:szCs w:val="10"/>
                <w:color w:val="auto"/>
              </w:rPr>
            </w:pPr>
          </w:p>
        </w:tc>
        <w:tc>
          <w:tcPr>
            <w:tcW w:w="56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Varies through</w:t>
            </w:r>
          </w:p>
        </w:tc>
        <w:tc>
          <w:tcPr>
            <w:tcW w:w="48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auto"/>
              </w:rPr>
              <w:t>Green</w:t>
            </w:r>
          </w:p>
        </w:tc>
        <w:tc>
          <w:tcPr>
            <w:tcW w:w="820" w:type="dxa"/>
            <w:vAlign w:val="bottom"/>
            <w:vMerge w:val="restart"/>
          </w:tcPr>
          <w:p>
            <w:pPr>
              <w:jc w:val="center"/>
              <w:ind w:left="77"/>
              <w:spacing w:after="0"/>
              <w:rPr>
                <w:sz w:val="20"/>
                <w:szCs w:val="20"/>
                <w:color w:val="auto"/>
              </w:rPr>
            </w:pPr>
            <w:r>
              <w:rPr>
                <w:rFonts w:ascii="Times New Roman" w:cs="Times New Roman" w:eastAsia="Times New Roman" w:hAnsi="Times New Roman"/>
                <w:sz w:val="13"/>
                <w:szCs w:val="13"/>
                <w:color w:val="auto"/>
                <w:w w:val="98"/>
              </w:rPr>
              <w:t>3/31/2024</w:t>
            </w:r>
          </w:p>
        </w:tc>
        <w:tc>
          <w:tcPr>
            <w:tcW w:w="30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3/31/2023</w:t>
            </w:r>
          </w:p>
        </w:tc>
        <w:tc>
          <w:tcPr>
            <w:tcW w:w="30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21"/>
        </w:trPr>
        <w:tc>
          <w:tcPr>
            <w:tcW w:w="198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Unions 472 and 172 of New Jersey</w:t>
            </w: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9"/>
                <w:szCs w:val="9"/>
                <w:color w:val="auto"/>
              </w:rPr>
              <w:t>(a)</w:t>
            </w: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Pension Fund</w:t>
            </w: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8"/>
              </w:rPr>
              <w:t>2/28/2027</w:t>
            </w:r>
          </w:p>
        </w:tc>
        <w:tc>
          <w:tcPr>
            <w:tcW w:w="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9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1111" w:right="339" w:bottom="1440" w:gutter="0" w:footer="0" w:header="0"/>
        </w:sectPr>
      </w:pPr>
    </w:p>
    <w:tbl>
      <w:tblPr>
        <w:tblLayout w:type="fixed"/>
        <w:tblInd w:w="20" w:type="dxa"/>
        <w:tblCellMar>
          <w:top w:w="0" w:type="dxa"/>
          <w:left w:w="0" w:type="dxa"/>
          <w:bottom w:w="0" w:type="dxa"/>
          <w:right w:w="0" w:type="dxa"/>
        </w:tblCellMar>
      </w:tblP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Local Union No. 9 IBEW and</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516077720</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10/31/2023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Outside Contractors Pension Fund</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5/31/2026</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IBEW Local 1249 Pension Plan</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156035161</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4"/>
              </w:rPr>
              <w:t>12/31/2025</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Central Laborers' Pension Fund</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376052379</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Yellow</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6/30/2027</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Teamsters National Pipe Line</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461102851</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Pension Plan</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6/30/2026</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Construction Laborers Pension Trust</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436159056</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for Southern California</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5/31/2028</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West Virginia Laborers' Pension</w:t>
            </w:r>
          </w:p>
        </w:tc>
        <w:tc>
          <w:tcPr>
            <w:tcW w:w="8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556026775</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5/31/2026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3/31/2024</w:t>
            </w:r>
          </w:p>
        </w:tc>
        <w:tc>
          <w:tcPr>
            <w:tcW w:w="0" w:type="dxa"/>
            <w:vAlign w:val="bottom"/>
          </w:tcPr>
          <w:p>
            <w:pPr>
              <w:spacing w:after="0"/>
              <w:rPr>
                <w:sz w:val="1"/>
                <w:szCs w:val="1"/>
                <w:color w:val="auto"/>
              </w:rPr>
            </w:pPr>
          </w:p>
        </w:tc>
      </w:tr>
      <w:tr>
        <w:trPr>
          <w:trHeight w:val="106"/>
        </w:trPr>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Trust Fund</w:t>
            </w:r>
          </w:p>
        </w:tc>
        <w:tc>
          <w:tcPr>
            <w:tcW w:w="8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Chicago &amp; Vicinity Laborers' District</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362514514</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002</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5/31/2023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Council Pension Plan</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6/30/2027</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Midwest Operating Engineers</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366140097</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3/31/2024</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Pension Trust Fund</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5/31/2027</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IUOE Local 132 Pension Fund</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556015364</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3/31/2024</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3/31/2029</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Laborers' National Pension Fund</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751280827</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5/31/2026</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San Diego County Construction</w:t>
            </w:r>
          </w:p>
        </w:tc>
        <w:tc>
          <w:tcPr>
            <w:tcW w:w="8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956090541</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6/30/2026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8"/>
              </w:rPr>
              <w:t>8/31/2023</w:t>
            </w:r>
          </w:p>
        </w:tc>
        <w:tc>
          <w:tcPr>
            <w:tcW w:w="0" w:type="dxa"/>
            <w:vAlign w:val="bottom"/>
          </w:tcPr>
          <w:p>
            <w:pPr>
              <w:spacing w:after="0"/>
              <w:rPr>
                <w:sz w:val="1"/>
                <w:szCs w:val="1"/>
                <w:color w:val="auto"/>
              </w:rPr>
            </w:pPr>
          </w:p>
        </w:tc>
      </w:tr>
      <w:tr>
        <w:trPr>
          <w:trHeight w:val="105"/>
        </w:trPr>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Laborers' Pension Trust Fund</w:t>
            </w:r>
          </w:p>
        </w:tc>
        <w:tc>
          <w:tcPr>
            <w:tcW w:w="8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Carpenters Pension Fund of Illinois</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366147396</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4/30/2025</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205"/>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Laborers' Local Union No. 158</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236580323</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Pension Plan</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8"/>
              </w:rPr>
              <w:t>5/31/2027</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20" w:type="dxa"/>
            <w:vAlign w:val="bottom"/>
          </w:tcPr>
          <w:p>
            <w:pPr>
              <w:spacing w:after="0" w:line="126" w:lineRule="exact"/>
              <w:rPr>
                <w:sz w:val="20"/>
                <w:szCs w:val="20"/>
                <w:color w:val="auto"/>
              </w:rPr>
            </w:pPr>
            <w:r>
              <w:rPr>
                <w:rFonts w:ascii="Times New Roman" w:cs="Times New Roman" w:eastAsia="Times New Roman" w:hAnsi="Times New Roman"/>
                <w:sz w:val="13"/>
                <w:szCs w:val="13"/>
                <w:color w:val="auto"/>
              </w:rPr>
              <w:t>Employer - Teamsters Local Nos.</w:t>
            </w:r>
          </w:p>
        </w:tc>
        <w:tc>
          <w:tcPr>
            <w:tcW w:w="88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556021850</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5/31/2026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Red</w:t>
            </w:r>
          </w:p>
        </w:tc>
        <w:tc>
          <w:tcPr>
            <w:tcW w:w="680" w:type="dxa"/>
            <w:vAlign w:val="bottom"/>
            <w:vMerge w:val="restart"/>
          </w:tcPr>
          <w:p>
            <w:pPr>
              <w:jc w:val="center"/>
              <w:ind w:left="57"/>
              <w:spacing w:after="0"/>
              <w:rPr>
                <w:sz w:val="20"/>
                <w:szCs w:val="20"/>
                <w:color w:val="auto"/>
              </w:rPr>
            </w:pPr>
            <w:r>
              <w:rPr>
                <w:rFonts w:ascii="Times New Roman" w:cs="Times New Roman" w:eastAsia="Times New Roman" w:hAnsi="Times New Roman"/>
                <w:sz w:val="13"/>
                <w:szCs w:val="13"/>
                <w:color w:val="auto"/>
                <w:w w:val="94"/>
              </w:rPr>
              <w:t>12/31/2023</w:t>
            </w:r>
          </w:p>
        </w:tc>
        <w:tc>
          <w:tcPr>
            <w:tcW w:w="0" w:type="dxa"/>
            <w:vAlign w:val="bottom"/>
          </w:tcPr>
          <w:p>
            <w:pPr>
              <w:spacing w:after="0"/>
              <w:rPr>
                <w:sz w:val="1"/>
                <w:szCs w:val="1"/>
                <w:color w:val="auto"/>
              </w:rPr>
            </w:pPr>
          </w:p>
        </w:tc>
      </w:tr>
      <w:tr>
        <w:trPr>
          <w:trHeight w:val="105"/>
        </w:trPr>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175 &amp; 505 Pension Trust Fund</w:t>
            </w:r>
          </w:p>
        </w:tc>
        <w:tc>
          <w:tcPr>
            <w:tcW w:w="88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20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IBEW Local 769 Management</w:t>
            </w: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866049763</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001</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Varies through</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Green</w:t>
            </w:r>
          </w:p>
        </w:tc>
        <w:tc>
          <w:tcPr>
            <w:tcW w:w="680" w:type="dxa"/>
            <w:vAlign w:val="bottom"/>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6/30/2023</w:t>
            </w:r>
          </w:p>
        </w:tc>
        <w:tc>
          <w:tcPr>
            <w:tcW w:w="0" w:type="dxa"/>
            <w:vAlign w:val="bottom"/>
          </w:tcPr>
          <w:p>
            <w:pPr>
              <w:spacing w:after="0"/>
              <w:rPr>
                <w:sz w:val="1"/>
                <w:szCs w:val="1"/>
                <w:color w:val="auto"/>
              </w:rPr>
            </w:pPr>
          </w:p>
        </w:tc>
      </w:tr>
      <w:tr>
        <w:trPr>
          <w:trHeight w:val="117"/>
        </w:trPr>
        <w:tc>
          <w:tcPr>
            <w:tcW w:w="20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Pension Plan A</w:t>
            </w: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7" w:lineRule="exact"/>
              <w:rPr>
                <w:sz w:val="20"/>
                <w:szCs w:val="20"/>
                <w:color w:val="auto"/>
              </w:rPr>
            </w:pPr>
            <w:r>
              <w:rPr>
                <w:rFonts w:ascii="Times New Roman" w:cs="Times New Roman" w:eastAsia="Times New Roman" w:hAnsi="Times New Roman"/>
                <w:sz w:val="13"/>
                <w:szCs w:val="13"/>
                <w:color w:val="auto"/>
                <w:w w:val="95"/>
              </w:rPr>
              <w:t>8/4/2026</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Other funds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00" w:type="dxa"/>
            <w:vAlign w:val="bottom"/>
            <w:gridSpan w:val="2"/>
          </w:tcPr>
          <w:p>
            <w:pPr>
              <w:ind w:left="220"/>
              <w:spacing w:after="0" w:line="146" w:lineRule="exact"/>
              <w:rPr>
                <w:sz w:val="20"/>
                <w:szCs w:val="20"/>
                <w:color w:val="auto"/>
              </w:rPr>
            </w:pPr>
            <w:r>
              <w:rPr>
                <w:rFonts w:ascii="Times New Roman" w:cs="Times New Roman" w:eastAsia="Times New Roman" w:hAnsi="Times New Roman"/>
                <w:sz w:val="13"/>
                <w:szCs w:val="13"/>
                <w:color w:val="auto"/>
              </w:rPr>
              <w:t>Total multiemployer pension plan contributions</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108.6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-3110865</wp:posOffset>
            </wp:positionV>
            <wp:extent cx="7132320" cy="197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-2717165</wp:posOffset>
            </wp:positionV>
            <wp:extent cx="713232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-2322830</wp:posOffset>
            </wp:positionV>
            <wp:extent cx="7132320" cy="1974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13232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713232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-1139190</wp:posOffset>
            </wp:positionV>
            <wp:extent cx="713232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-831215</wp:posOffset>
            </wp:positionV>
            <wp:extent cx="7132320" cy="196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96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(b)</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Yellow</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1"/>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3/31/2023</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3/31/2023</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3/31/2023</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243"/>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Red</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12/31/2022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(b)</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Implemented</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r>
        <w:trPr>
          <w:trHeight w:val="310"/>
        </w:trPr>
        <w:tc>
          <w:tcPr>
            <w:tcW w:w="220" w:type="dxa"/>
            <w:vAlign w:val="bottom"/>
          </w:tcPr>
          <w:p>
            <w:pPr>
              <w:spacing w:after="0"/>
              <w:rPr>
                <w:sz w:val="20"/>
                <w:szCs w:val="20"/>
                <w:color w:val="auto"/>
              </w:rPr>
            </w:pPr>
            <w:r>
              <w:rPr>
                <w:rFonts w:ascii="Times New Roman" w:cs="Times New Roman" w:eastAsia="Times New Roman" w:hAnsi="Times New Roman"/>
                <w:sz w:val="9"/>
                <w:szCs w:val="9"/>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Green</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6/30/2022</w:t>
            </w:r>
          </w:p>
        </w:tc>
        <w:tc>
          <w:tcPr>
            <w:tcW w:w="280" w:type="dxa"/>
            <w:vAlign w:val="bottom"/>
          </w:tcPr>
          <w:p>
            <w:pPr>
              <w:ind w:left="60"/>
              <w:spacing w:after="0"/>
              <w:rPr>
                <w:sz w:val="20"/>
                <w:szCs w:val="20"/>
                <w:color w:val="auto"/>
              </w:rPr>
            </w:pPr>
            <w:r>
              <w:rPr>
                <w:rFonts w:ascii="Times New Roman" w:cs="Times New Roman" w:eastAsia="Times New Roman" w:hAnsi="Times New Roman"/>
                <w:sz w:val="9"/>
                <w:szCs w:val="9"/>
                <w:color w:val="auto"/>
              </w:rPr>
              <w:t>(a)</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NA</w:t>
            </w:r>
          </w:p>
        </w:tc>
        <w:tc>
          <w:tcPr>
            <w:tcW w:w="38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87"/>
              </w:rPr>
              <w:t>No</w:t>
            </w:r>
          </w:p>
        </w:tc>
      </w:tr>
    </w:tbl>
    <w:p>
      <w:pPr>
        <w:spacing w:after="0" w:line="627" w:lineRule="exact"/>
        <w:rPr>
          <w:sz w:val="20"/>
          <w:szCs w:val="20"/>
          <w:color w:val="auto"/>
        </w:rPr>
      </w:pPr>
    </w:p>
    <w:p>
      <w:pPr>
        <w:sectPr>
          <w:pgSz w:w="11900" w:h="16838" w:orient="portrait"/>
          <w:cols w:equalWidth="0" w:num="2">
            <w:col w:w="7600" w:space="140"/>
            <w:col w:w="3500"/>
          </w:cols>
          <w:pgMar w:left="320" w:top="1111" w:right="339" w:bottom="1440" w:gutter="0" w:footer="0" w:header="0"/>
          <w:type w:val="continuous"/>
        </w:sect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contributions to this plan represent greater than 5% of the plan’s total contributions.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plan has utilized extended amortization provisions, which provide plans with extensions of time to amortize pension funding shortfalls.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86" w:name="page87"/>
    <w:bookmarkEnd w:id="86"/>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Multiemployer Plans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214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Covered Employees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Contributions</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214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1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Low</w:t>
            </w:r>
          </w:p>
        </w:tc>
        <w:tc>
          <w:tcPr>
            <w:tcW w:w="11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High</w:t>
            </w:r>
          </w:p>
        </w:tc>
        <w:tc>
          <w:tcPr>
            <w:tcW w:w="180" w:type="dxa"/>
            <w:vAlign w:val="bottom"/>
          </w:tcPr>
          <w:p>
            <w:pPr>
              <w:spacing w:after="0"/>
              <w:rPr>
                <w:sz w:val="13"/>
                <w:szCs w:val="13"/>
                <w:color w:val="auto"/>
              </w:rPr>
            </w:pPr>
          </w:p>
        </w:tc>
        <w:tc>
          <w:tcPr>
            <w:tcW w:w="12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80" w:type="dxa"/>
            <w:vAlign w:val="bottom"/>
          </w:tcPr>
          <w:p>
            <w:pPr>
              <w:spacing w:after="0"/>
              <w:rPr>
                <w:sz w:val="13"/>
                <w:szCs w:val="13"/>
                <w:color w:val="auto"/>
              </w:rPr>
            </w:pPr>
          </w:p>
        </w:tc>
        <w:tc>
          <w:tcPr>
            <w:tcW w:w="1040" w:type="dxa"/>
            <w:vAlign w:val="bottom"/>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800" w:type="dxa"/>
            <w:vAlign w:val="bottom"/>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Multiemployer</w:t>
            </w: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6,806</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fluctuations in the number of employees covered under multiemployer plans and associated contributions in the table above related primarily to the timing of activity for the Company’s union resource-based projects, as well as the effects of the Company’s acquisitions. For the year ended December 31, 2024, multiemployer plan activity was driven primarily by project work within the Company’s Power Delivery and Pipeline Infrastructure operations, whereas for the year ended December 31, 2023, activity was driven primarily by project work within the Company’s Power Delivery and Pipeline Infrastructure operations, and, to a lesser extent, by acquisition-related project work within the Company’s Clean Energy and Infrastructure operations. For the year ended December 31, 2022, activity was driven primarily by acquisition-related project work within the Company’s Power Delivery operations, and, to a lesser extent, its Pipeline Infrastructure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 – Equity</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Share Activity</w:t>
      </w:r>
    </w:p>
    <w:p>
      <w:pPr>
        <w:spacing w:after="0" w:line="11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Company’s share repurchase program provides for the repurchase, from time to time, of MasTec common shares in open market transactions or in privately negotiated transactions in accordance with applicable securities laws. The timing and the amount of any repurchases is determined based on market conditions, legal requirements, cash flow and liquidity needs, and other factors. The Company’s share repurchase program, under which the Company undertakes share repurchases for strategic purposes, including (i) when management believes that the market price of the Company’s stock is undervalued, (ii) such repurchases will enhance long-term shareholder value, (iii) the Company has adequate liquidity, and (iv) management believes that such repurchases are appropriate uses of capital, do not have an expiration date and may be modified or suspended at any time at the Company’s discretion. Share repurchases, which are recorded at cost and are held in the Company’s treasury, are funded with available cash or with availability under the Credit Facility. The Company may use either authorized and unissued shares or treasury shares to meet share issuance requirements. Treasury stock is recorded at cost. Share repurchases are recorded as of the trade date, whereas payments for share repurchases are made on the date the trade is settled.</w:t>
      </w:r>
    </w:p>
    <w:p>
      <w:pPr>
        <w:spacing w:after="0" w:line="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There were no share repurchases under the Company’s share repurchase program for either of the years ended December 31, 2024 or 2023. For the year ended December 31, 2022, the Company repurchased 1.1 million shares of its common stock for an aggregate purchase price of approximately $81.3 million. Of the total repurchased shares, 0.1 million were repurchased for $8.6 million under the Company’s December 2018 $100 million share repurchase program, which completed the program. The remaining 1.0 million shares were repurchased for $72.7 million under the Company’s March 2020 $150 million share repurchase program. As of December 31, 2024, $77.3 million was available for future share repurchases under the Company’s March 2020 share repurchase program.</w:t>
      </w:r>
    </w:p>
    <w:p>
      <w:pPr>
        <w:spacing w:after="0" w:line="72"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both the fourth quarter of 2024 and second quarter of 2022, the Company reissued approximately 0.1 million shares of its treasury stock with a cost basis of $3.1 million and $4.3 million, respectively, in settlement of certain Additional Payments in connection with the HMG acquisition. For additional information related to shares issued for acquisitions, see Note 2 - Earnings Per Share and Note 3 - Acquisitions, Goodwill and Other Intangible Assets, Net.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Accumulated Other Comprehensive Loss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rollforward of activity within accumulated other comprehensive income (loss) for the periods indicated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3"/>
                <w:szCs w:val="13"/>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3"/>
                <w:szCs w:val="13"/>
                <w:color w:val="auto"/>
              </w:rPr>
            </w:pP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3"/>
                <w:szCs w:val="13"/>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3"/>
                <w:szCs w:val="13"/>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(78,776)</w:t>
            </w:r>
          </w:p>
        </w:tc>
        <w:tc>
          <w:tcPr>
            <w:tcW w:w="0" w:type="dxa"/>
            <w:vAlign w:val="bottom"/>
          </w:tcPr>
          <w:p>
            <w:pPr>
              <w:spacing w:after="0"/>
              <w:rPr>
                <w:sz w:val="1"/>
                <w:szCs w:val="1"/>
                <w:color w:val="auto"/>
              </w:rPr>
            </w:pPr>
          </w:p>
        </w:tc>
      </w:tr>
      <w:tr>
        <w:trPr>
          <w:trHeight w:val="213"/>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(losses) gains, net of tax</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27,821</w:t>
            </w:r>
          </w:p>
        </w:tc>
        <w:tc>
          <w:tcPr>
            <w:tcW w:w="0" w:type="dxa"/>
            <w:vAlign w:val="bottom"/>
          </w:tcPr>
          <w:p>
            <w:pPr>
              <w:spacing w:after="0"/>
              <w:rPr>
                <w:sz w:val="1"/>
                <w:szCs w:val="1"/>
                <w:color w:val="auto"/>
              </w:rPr>
            </w:pPr>
          </w:p>
        </w:tc>
      </w:tr>
      <w:tr>
        <w:trPr>
          <w:trHeight w:val="165"/>
        </w:trPr>
        <w:tc>
          <w:tcPr>
            <w:tcW w:w="30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Consideration transferred in a foreign</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subsidiary</w:t>
            </w: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December 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(53,607)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(40,847)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(50,955)</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Unrealized foreign currency translation activity, net, for the three years in the period ended December 31, 2024 relates primarily to the Company’s activities in Canada and Mexico. Other unrealized activity within accumulated comprehensive loss for the three years in the period ended December 31, 2024 relates to unrealized investment gains or losses associated with interest rate swaps for the Waha JVs. See Note 4 - Fair Value of Financial Instruments for additional information. Consideration transferred in a foreign subsidiary relates to the 40% equity interest of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7" w:name="page88"/>
    <w:bookmarkEnd w:id="87"/>
    <w:p>
      <w:pPr>
        <w:spacing w:after="0" w:line="280" w:lineRule="auto"/>
        <w:rPr>
          <w:sz w:val="20"/>
          <w:szCs w:val="20"/>
          <w:color w:val="auto"/>
        </w:rPr>
      </w:pPr>
      <w:r>
        <w:rPr>
          <w:rFonts w:ascii="Times New Roman" w:cs="Times New Roman" w:eastAsia="Times New Roman" w:hAnsi="Times New Roman"/>
          <w:sz w:val="16"/>
          <w:szCs w:val="16"/>
          <w:color w:val="auto"/>
        </w:rPr>
        <w:t>MasTec subsidiary that was included as consideration transferred for a 2024 acquisition. See Note 3 - Acquisitions, Goodwill and Other Intangible Assets, Net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Income Taxes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components of income or loss before income taxes for the periods indicated were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Domestic</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2"/>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433"/>
        </w:trPr>
        <w:tc>
          <w:tcPr>
            <w:tcW w:w="6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The provision for income taxes for the periods indicated were as follows (in millions):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12"/>
        </w:trPr>
        <w:tc>
          <w:tcPr>
            <w:tcW w:w="68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19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local</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9"/>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436"/>
        </w:trPr>
        <w:tc>
          <w:tcPr>
            <w:tcW w:w="9840" w:type="dxa"/>
            <w:vAlign w:val="bottom"/>
            <w:gridSpan w:val="7"/>
          </w:tcPr>
          <w:p>
            <w:pPr>
              <w:ind w:left="660"/>
              <w:spacing w:after="0"/>
              <w:rPr>
                <w:sz w:val="20"/>
                <w:szCs w:val="20"/>
                <w:color w:val="auto"/>
              </w:rPr>
            </w:pPr>
            <w:r>
              <w:rPr>
                <w:rFonts w:ascii="Times New Roman" w:cs="Times New Roman" w:eastAsia="Times New Roman" w:hAnsi="Times New Roman"/>
                <w:sz w:val="16"/>
                <w:szCs w:val="16"/>
                <w:color w:val="auto"/>
              </w:rPr>
              <w:t>The tax effects of significant items comprising the Company’s net deferred tax liability as of the dates indicated were as follows (in millions):</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4"/>
        </w:trPr>
        <w:tc>
          <w:tcPr>
            <w:tcW w:w="6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Deferred tax assets:</w:t>
            </w: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insurance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loss carryforwards and tax credits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Bad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Capitalized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9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2"/>
        </w:trPr>
        <w:tc>
          <w:tcPr>
            <w:tcW w:w="6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r>
      <w:tr>
        <w:trPr>
          <w:trHeight w:val="193"/>
        </w:trPr>
        <w:tc>
          <w:tcPr>
            <w:tcW w:w="68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intangible assets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remeasurement of equity investee</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 recognition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7"/>
        </w:trPr>
        <w:tc>
          <w:tcPr>
            <w:tcW w:w="68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9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775.5</w:t>
            </w: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r>
      <w:tr>
        <w:trPr>
          <w:trHeight w:val="851"/>
        </w:trPr>
        <w:tc>
          <w:tcPr>
            <w:tcW w:w="6860" w:type="dxa"/>
            <w:vAlign w:val="bottom"/>
          </w:tcPr>
          <w:p>
            <w:pPr>
              <w:ind w:left="5540"/>
              <w:spacing w:after="0"/>
              <w:rPr>
                <w:sz w:val="20"/>
                <w:szCs w:val="20"/>
                <w:color w:val="auto"/>
              </w:rPr>
            </w:pPr>
            <w:r>
              <w:rPr>
                <w:rFonts w:ascii="Times New Roman" w:cs="Times New Roman" w:eastAsia="Times New Roman" w:hAnsi="Times New Roman"/>
                <w:sz w:val="16"/>
                <w:szCs w:val="16"/>
                <w:color w:val="auto"/>
              </w:rPr>
              <w:t>87</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68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88" w:name="page89"/>
    <w:bookmarkEnd w:id="88"/>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 assessing the ability to realize the Company’s deferred tax assets, management considers whether it is more likely than not that some portion, or all, of its deferred tax assets will not be realized. The ultimate realization of deferred tax assets is dependent upon the generation of future taxable income during the periods in which these temporary differences become deductible. Management considers the Company’s projected future taxable income and prudent and feasible tax planning strategies in making this assessment. The Company’s valuation allowances as of both December 31, 2024 and 2023 are related primarily to foreign and state net operating losses and deferred tax assets.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Company’s deferred tax assets for its state net operating loss carryforwards, which may be carried forward from 5 years to indefinitely, depending on the jurisdiction, totaled approximately $28.7 million and $24.7 million as of December 31, 2024 and 2023, respectively. The Company’s deferred tax assets for its foreign net operating loss carryforwards, which are primarily related to the Company’s Canadian operations, totaled approximately $56.0 million and $59.2 million as of December 31, 2024 and 2023, respectively. The Canadian net operating loss carryforwards, which make up the majority of the foreign net operating loss carryforwards, begin to expire in 2026. As of both December 31, 2024 and December 31, 2023, the Company had no deferred tax assets for its federal net operating loss carryforwards.</w:t>
      </w:r>
    </w:p>
    <w:p>
      <w:pPr>
        <w:spacing w:after="0" w:line="7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is generally free of additional U.S. federal tax consequences on distributed foreign subsidiary earnings due to a dividends received deduction implemented as part of the move to a territorial tax system in connection with the Tax Cuts and Jobs Act of 2017. The Company has generally not made a provision for income taxes on unremitted foreign earnings because such earnings are insignificant and are intended to be indefinitely reinvested outside the United States. The Company expects that domestic cash resources will be sufficient to fund its domestic operations and cash commitments in the future.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 reconciliation of the U.S. statutory federal income tax rate related to pretax income to the effective tax rate for the periods indicated is as follows:</w:t>
      </w:r>
    </w:p>
    <w:p>
      <w:pPr>
        <w:spacing w:after="0" w:line="16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U.S. statutory federal rate applied to pretax income</w:t>
            </w: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State and local income taxes, net of federal benefit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tax rate differential</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Non-deductible expenses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 in tax rate</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r>
      <w:tr>
        <w:trPr>
          <w:trHeight w:val="21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Tax credits</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1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r>
      <w:tr>
        <w:trPr>
          <w:trHeight w:val="219"/>
        </w:trPr>
        <w:tc>
          <w:tcPr>
            <w:tcW w:w="7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basis adjustment</w:t>
            </w: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w:t>
            </w:r>
          </w:p>
        </w:tc>
      </w:tr>
      <w:tr>
        <w:trPr>
          <w:trHeight w:val="213"/>
        </w:trPr>
        <w:tc>
          <w:tcPr>
            <w:tcW w:w="7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42.8 %</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r>
    </w:tbl>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 reconciliation of the beginning and ending amount of uncertain tax positions, excluding interest and penalties, follows in the table below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000" w:type="dxa"/>
            <w:vAlign w:val="bottom"/>
            <w:tcBorders>
              <w:bottom w:val="single" w:sz="8" w:color="auto"/>
            </w:tcBorders>
          </w:tcPr>
          <w:p>
            <w:pPr>
              <w:spacing w:after="0"/>
              <w:rPr>
                <w:sz w:val="18"/>
                <w:szCs w:val="18"/>
                <w:color w:val="auto"/>
              </w:rPr>
            </w:pPr>
          </w:p>
        </w:tc>
      </w:tr>
      <w:tr>
        <w:trPr>
          <w:trHeight w:val="211"/>
        </w:trPr>
        <w:tc>
          <w:tcPr>
            <w:tcW w:w="66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r>
      <w:tr>
        <w:trPr>
          <w:trHeight w:val="213"/>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based on tax positions related to the current year</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Lapse of statute of limitations</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color w:val="auto"/>
        </w:rPr>
        <w:t>The Company classifies interest, penalties and recoveries related to uncertain tax positions as a component of income tax expense in the consolidated statements of operations. For the years ended December 31, 2024, 2023 and 2022, interest and penalties totaled approximately $0.7 million, $2.6 million and $0.7 million, respectively. Accrued interest and penalties related to uncertain tax positions were $7.8 million and $5.9 million as of December 31, 2024 and 2023, respectively. The effect on the Company’s tax rate if it were to recognize its gross unrecognized tax benefits as of December 31, 2024 approximates $78.1 million, including interest and penalties. While it is possible that there could be audit settlements and/or lapses in certain statutes of limitation relating to uncertain tax positions, management has determined that it is too difficult to predict the outcome of such matters. During the next 12 months, the Company expects to settle state income tax audits and the applicable statutes of limitations may expire for federal and state uncertain tax positions, which may reduce uncertain tax positions. These reductions would be partially offset by additions, if any, of new uncertain tax positions expected in the next 12 months.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9" w:name="page90"/>
    <w:bookmarkEnd w:id="89"/>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IRS has examined the Company’s federal income tax returns through 2017. Certain foreign and state taxing authorities are examining various years. The final outcome of these examinations is not yet determinable. With few exceptions, as of December 31, 2024, the Company is no longer subject to state examinations by taxing authorities for years before 2016.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Segments and Related Information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b w:val="1"/>
          <w:bCs w:val="1"/>
          <w:i w:val="1"/>
          <w:iCs w:val="1"/>
          <w:color w:val="auto"/>
        </w:rPr>
        <w:t>Segment Discussion</w:t>
      </w:r>
    </w:p>
    <w:p>
      <w:pPr>
        <w:spacing w:after="0" w:line="11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manages its operations under five operating segments, which represent its five reportable segments: (1) Communications; (2) Clean Energy and Infrastructure; (3) Power Delivery; (4) Pipeline Infrastructure and (5) Other. The reportable segments comprise the structure used by the Company’s Chief Executive Officer who is determined to be the Chief Operating Decision Maker (“CODM”) to make key operating decisions and assess performance.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The Communications segment performs engineering, construction, maintenance and customer fulfillment activities related to communications infrastructure, primarily for wireless and wireline/fiber communications, wireless integration and optimization and install-to-the-home services,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systems for renewable energy; various types of heavy civil and industrial infrastructure services, including roads, bridges and rail; and environmental remediation services. The Power Delivery segment primarily serves the energy, utility and data center infrastructure industries through the engineering, construction and maintenance of power transmission and distribution infrastructure, including electrical and gas lines, power reserve and battery infrastructure, and distribution network systems, substations and grid modernization; emergency restoration services following natural disasters and accidents; and environmental planning and compliance services. The Pipeline Infrastructure segment performs engineering, construction, maintenance and other services for pipeline infrastructure, including natural gas, water and carbon capture sequestration pipelines, as well as pipeline integrity, including the repair of pipeline infrastructure and facilitating their safe use throughout their lifecycle, and other services for the energy and utilities industries. The Other segment includes certain equity investees, the services of which may vary from those provided by the Company’s primary segments, as well as other small business units with activities in certain international end-markets. In the first quarter of 2025, the Company made changes to its Communications and Power Delivery segment structure to more closely align with the segments’ end markets and to better correspond with the operational management reporting structure of both segments. These changes included moving a component with utility operations previously reported in the Communications segment to the Power Delivery segment; however, as the changes occurred in the first quarter of 2025, all periods presented in this Annual Report are reported under the historical segment structure. The impact of these changes to reportable segments, including historical financial information, will be reflected beginning with the Company’s Quarterly Report on Form 10-Q for the quarter ending March 31, 2025.</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accounting policies of the reportable segments are the same as those described in Note 1 - Business, Basis of Presentation and Significant Accounting Policies. Intercompany revenue and costs among the reportable segments are accounted for as if the sales were to third parties because these items are based on negotiated fees between the segments involved. All intercompany transactions and balances are eliminated in consolidation. Intercompany revenue and costs between entities within a reportable segment are eliminated to arrive at segment totals. Eliminations between segments are separately presented. Corporate results include amounts related to corporate functions, including treasury and administration functions, including for legal and professional matters, including certain settlements, as well as changes in the fair value of Earn-outs, other liabilities and certain investments, acquisition-related transaction costs and other discrete items, including certain integration activities and debt transaction costs. Segment results include certain allocations of centralized costs such as general liability, medical and workers’ compensation insurance and certain information technology and interest costs, as well as certain discrete items, including certain acquisition and business integration and/or streamlining costs. Income tax expense, which is recorded within Corporate results, is managed on a consolidated basis and is not allocated to the reportable segments.</w:t>
      </w:r>
    </w:p>
    <w:p>
      <w:pPr>
        <w:spacing w:after="0" w:line="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Earnings before interest, taxes, depreciation and amortization (“EBITDA”) is the measure of profitability used by the Company’s CODM to manage its segments and for segment reporting purposes.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used to allocate resources, such as employees, financial and capital resources, for each segment and management monitors segment results compared to prior period, forecasted results and the annual plan. Segment EBITDA is calculated in a manner consistent with consolidated EBITDA.</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0" w:name="page91"/>
    <w:bookmarkEnd w:id="90"/>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which may contain slight summation differences due to rounding, reflect certain financial data for each reportable segment.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Clean Energy</w:t>
            </w:r>
          </w:p>
        </w:tc>
        <w:tc>
          <w:tcPr>
            <w:tcW w:w="120" w:type="dxa"/>
            <w:vAlign w:val="bottom"/>
          </w:tcPr>
          <w:p>
            <w:pPr>
              <w:spacing w:after="0"/>
              <w:rPr>
                <w:sz w:val="16"/>
                <w:szCs w:val="16"/>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Power</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Pipeline</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140" w:type="dxa"/>
            <w:vAlign w:val="bottom"/>
          </w:tcPr>
          <w:p>
            <w:pPr>
              <w:spacing w:after="0"/>
              <w:rPr>
                <w:sz w:val="14"/>
                <w:szCs w:val="14"/>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 xml:space="preserve">Communications </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00" w:type="dxa"/>
            <w:vAlign w:val="bottom"/>
          </w:tcPr>
          <w:p>
            <w:pPr>
              <w:spacing w:after="0"/>
              <w:rPr>
                <w:sz w:val="14"/>
                <w:szCs w:val="14"/>
                <w:color w:val="auto"/>
              </w:rPr>
            </w:pPr>
          </w:p>
        </w:tc>
        <w:tc>
          <w:tcPr>
            <w:tcW w:w="92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Reportable</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Delivery</w:t>
            </w: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Infrastructure</w:t>
            </w:r>
          </w:p>
        </w:tc>
        <w:tc>
          <w:tcPr>
            <w:tcW w:w="6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12,303.5</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10,655.7</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11,995.9</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10,591.8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918.8</w:t>
            </w:r>
          </w:p>
        </w:tc>
        <w:tc>
          <w:tcPr>
            <w:tcW w:w="0" w:type="dxa"/>
            <w:vAlign w:val="bottom"/>
          </w:tcPr>
          <w:p>
            <w:pPr>
              <w:spacing w:after="0"/>
              <w:rPr>
                <w:sz w:val="1"/>
                <w:szCs w:val="1"/>
                <w:color w:val="auto"/>
              </w:rPr>
            </w:pPr>
          </w:p>
        </w:tc>
      </w:tr>
      <w:tr>
        <w:trPr>
          <w:trHeight w:val="239"/>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1"/>
                <w:szCs w:val="21"/>
                <w:color w:val="auto"/>
                <w:vertAlign w:val="superscript"/>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9,778.0</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Costs of revenue, excluding depreciation</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8,591.0</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and amortization</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(c)</w:t>
            </w: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hanging="332"/>
        <w:spacing w:after="0" w:line="291" w:lineRule="auto"/>
        <w:tabs>
          <w:tab w:leader="none" w:pos="368"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generated primarily by utilities customers represented 24.0%, 24.3% and 23.6% of Communications segment revenue for the years ended December 31, 2024, 2023 and 2022, respectively.</w:t>
      </w:r>
    </w:p>
    <w:p>
      <w:pPr>
        <w:spacing w:after="0" w:line="1" w:lineRule="exact"/>
        <w:rPr>
          <w:rFonts w:ascii="Times New Roman" w:cs="Times New Roman" w:eastAsia="Times New Roman" w:hAnsi="Times New Roman"/>
          <w:sz w:val="14"/>
          <w:szCs w:val="14"/>
          <w:color w:val="auto"/>
        </w:rPr>
      </w:pPr>
    </w:p>
    <w:p>
      <w:pPr>
        <w:ind w:left="340" w:hanging="332"/>
        <w:spacing w:after="0" w:line="301" w:lineRule="auto"/>
        <w:tabs>
          <w:tab w:leader="none" w:pos="359"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consolidated revenue equals total reportable segment revenue of $12,303.5 million, $11,995.9 million and $9,778.0 million for the years ended December 31, 2024, 2023 and 2022, respectively, as there is no revenue recorded within Corporate results.</w:t>
      </w:r>
    </w:p>
    <w:p>
      <w:pPr>
        <w:spacing w:after="0" w:line="1" w:lineRule="exact"/>
        <w:rPr>
          <w:rFonts w:ascii="Times New Roman" w:cs="Times New Roman" w:eastAsia="Times New Roman" w:hAnsi="Times New Roman"/>
          <w:sz w:val="14"/>
          <w:szCs w:val="14"/>
          <w:color w:val="auto"/>
        </w:rPr>
      </w:pPr>
    </w:p>
    <w:p>
      <w:pPr>
        <w:ind w:left="340" w:hanging="332"/>
        <w:spacing w:after="0" w:line="302" w:lineRule="auto"/>
        <w:tabs>
          <w:tab w:leader="none" w:pos="333"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of the years ended December 31, 2024, 2023 and 2022, other segment items for each reportable segment includes general and administrative expenses, equity in earnings or losses of unconsolidated affiliates, net, and other income or expense, net.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EBITDA Reconciliation: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433.9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w:t>
            </w:r>
          </w:p>
        </w:tc>
      </w:tr>
      <w:tr>
        <w:trPr>
          <w:trHeight w:val="21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r>
      <w:tr>
        <w:trPr>
          <w:trHeight w:val="21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163.9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EBITDA</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918.8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828.1</w:t>
            </w:r>
          </w:p>
        </w:tc>
      </w:tr>
    </w:tbl>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the year ended December 31, 2024, Corporate results included a loss on debt extinguishment of $11.3 million. In addition, for the year ended December 31, 2024, Corporate results included approximately $10.7 million of expenses related to changes in fair value of acquisition-related contingent items, and for the years ended December 31, 2023 and 2022, such activity included income of approximately $13.9 million and $3.4 million, respectively. For the year ended December 31, 2023, Communications, Clean Energy and Infrastructure and Power Delivery EBITDA included $22.5 million, $37.1 million and $8.5 million, respectively, of acquisition and integration costs related to certain transformative acquisitions, and Corporate results included $3.8 million of such costs. For the year ended December 31, 2022, Communications, Clean Energy and Infrastructure, Power Delivery and Pipeline Infrastructure EBITDA included $4.7 million, $6.4 million, $39.0 million and $8.0 million, respectively, of acquisition and integration costs related to certain transformative acquisitions, and Corporate results included $27.9 million of such costs. Additionally, for the years ended December 31, 2023 and 2022, Corporate results included fair value losses related to an investment of $0.2 million and $7.7 million, respectively, and for the year ended December 31, 2022, Corporate results included bargain purchase gains of $0.2 million. In addition, for the year ended December 31, 2022, Other segment EBITDA included $2.8 million of project gains from a proportionately consolidated non-controlled Canadian joint venture.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depreciation and amortization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r>
    </w:tbl>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2,378.6</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1,967.9</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9,293.3</w:t>
            </w:r>
          </w:p>
        </w:tc>
      </w:tr>
    </w:tbl>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14"/>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Capital Expenditures: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Clean Energy and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Delivery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Pipeline Infrastructure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Consolidated capital expenditures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w:t>
            </w:r>
          </w:p>
        </w:tc>
      </w:tr>
    </w:tbl>
    <w:p>
      <w:pPr>
        <w:spacing w:after="0" w:line="23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Foreign Operations. </w:t>
      </w:r>
      <w:r>
        <w:rPr>
          <w:rFonts w:ascii="Times New Roman" w:cs="Times New Roman" w:eastAsia="Times New Roman" w:hAnsi="Times New Roman"/>
          <w:sz w:val="16"/>
          <w:szCs w:val="16"/>
          <w:color w:val="auto"/>
        </w:rPr>
        <w:t>MasTec operates primarily within the United States and Canada, and, to a far lesser extent, the Caribbean, India and Mexico. Revenue derived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foreign operations totaled $93.3 million, $95.1 million and $149.9 million for the years ended December 31, 2024, 2023 and 2022, respectively. Revenue from foreign operations was derived primarily from the Company’s Canadian operations in its Pipeline Infrastructure segment. As of December 31, 2024, 2023 and 2022, long-lived assets held by the Company’s businesses in foreign countries included property and equipment, net, of $25.3 million, $17.5 million and $21.0 million, respectively, and intangible assets and goodwill, net, of $108.8 million, $32.6 million and $35.5 million, for the respective periods. Substantially all of the Company’s long-lived and intangible assets and goodwill in foreign countries relate to its Canadian operations. As of each of December 31, 2024, 2023 and 2022, amounts due from customers from which foreign revenue was derived accounted for approximately 1% of the Company’s consolidated net accounts receivable position, which is calculated as accounts receivable, net, less deferred revenue.</w:t>
      </w:r>
    </w:p>
    <w:p>
      <w:pPr>
        <w:spacing w:after="0" w:line="72" w:lineRule="exact"/>
        <w:rPr>
          <w:sz w:val="20"/>
          <w:szCs w:val="20"/>
          <w:color w:val="auto"/>
        </w:rPr>
      </w:pPr>
    </w:p>
    <w:p>
      <w:pPr>
        <w:jc w:val="both"/>
        <w:ind w:firstLine="324"/>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Customers. </w:t>
      </w:r>
      <w:r>
        <w:rPr>
          <w:rFonts w:ascii="Times New Roman" w:cs="Times New Roman" w:eastAsia="Times New Roman" w:hAnsi="Times New Roman"/>
          <w:sz w:val="16"/>
          <w:szCs w:val="16"/>
          <w:color w:val="auto"/>
        </w:rPr>
        <w:t>No customer represented greater than 10% of the Company’s total consolidated revenue in any of the years ended December 31, 2024, 2023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2022. Revenue from governmental entities for the years ended December 31, 2024, 2023 and 2022 totaled approximately 13%, 11% and 7% of total revenue, respectively, substantially all of which was derived from its U.S.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14 – Commitments and Contingencies</w:t>
      </w:r>
    </w:p>
    <w:p>
      <w:pPr>
        <w:spacing w:after="0" w:line="12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8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Acquired Legacy Solar Matter. </w:t>
      </w:r>
      <w:r>
        <w:rPr>
          <w:rFonts w:ascii="Times New Roman" w:cs="Times New Roman" w:eastAsia="Times New Roman" w:hAnsi="Times New Roman"/>
          <w:sz w:val="16"/>
          <w:szCs w:val="16"/>
          <w:color w:val="auto"/>
        </w:rPr>
        <w:t>On April 28, 2023, a jury found IEA, its subsidiary, IEA Constructors, LLC (“IEAC” and, together with IEA, the “IEA Entities”),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IEAC’s customer, Silicon Ranch Corporation (“SRC”), liable to plaintiffs H&amp;L Farms LLC (“H&amp;L Farms”), Shaun Harris and Amie Harris following a trial in the U.S. District Court for the Middle District of Georgia, Columbus Division (the “Court”). The suit, filed in August 2021, arose out of a project that commenced in 2021 involving the construction by IEAC of a solar farm for SRC.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2" w:name="page93"/>
    <w:bookmarkEnd w:id="92"/>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plaintiffs brought various causes of action under Georgia law, arising out of the defendants’ alleged failure to exercise appropriate efforts to prevent and remediate soil erosion and sedimentary run-off that flowed from SRC’s property into a 21-acre lake on plaintiffs’ property. The trial resulted in a jury award to the various plaintiffs of compensatory damages aggregating $10.5 million, apportioned 30% to SRC, 40% to IEA and 30% to IEAC, and an award of $25 million in punitive damages against SRC and $50 million in punitive damages against each of the IEA Entities. The Court also issued an injunction requiring the defendants to eliminate the transport of sediment from SRC’s property to the plaintiffs’ property beyond what had been occurring naturally before construction of the solar farm.</w:t>
      </w:r>
    </w:p>
    <w:p>
      <w:pPr>
        <w:spacing w:after="0" w:line="72"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Following a series of post-trial motions, the Court ruled that the compensatory damages were excessive and ordered a new trial on the amount of compensatory and punitive damages unless plaintiffs agreed to significantly reduced damages.</w:t>
      </w:r>
    </w:p>
    <w:p>
      <w:pPr>
        <w:spacing w:after="0" w:line="7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the first quarter of 2024, the plaintiffs notified the Court that they did not agree to the reduced damages, and the Court scheduled a new trial to begin in April 2025. In January 2025, however, the parties agreed to a negotiated settlement and mutual releases in exchange for the payment to the plaintiffs by the IEA Entities of an immaterial amount of cash.</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3"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Leases. </w:t>
      </w:r>
      <w:r>
        <w:rPr>
          <w:rFonts w:ascii="Times New Roman" w:cs="Times New Roman" w:eastAsia="Times New Roman" w:hAnsi="Times New Roman"/>
          <w:sz w:val="16"/>
          <w:szCs w:val="16"/>
          <w:color w:val="auto"/>
        </w:rPr>
        <w:t>In the ordinary course of business, the Company enters into non-cancelable operating leases for certain of its facility, vehicle and equipment needs,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certain related party leases. See Note 8 - Lease Obligations and Note 15 - Related Party Transactions.</w:t>
      </w:r>
    </w:p>
    <w:p>
      <w:pPr>
        <w:spacing w:after="0" w:line="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Letters of Credit. </w:t>
      </w:r>
      <w:r>
        <w:rPr>
          <w:rFonts w:ascii="Times New Roman" w:cs="Times New Roman" w:eastAsia="Times New Roman" w:hAnsi="Times New Roman"/>
          <w:sz w:val="16"/>
          <w:szCs w:val="16"/>
          <w:color w:val="auto"/>
        </w:rPr>
        <w:t>In the ordinary course of business, the Company is required to post letters of credit for its insurance carriers and surety bond providers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December 31, 2024 and 2023, there were $81.7 million and $82.1 million, respectively, of letters of credit issued under the Company’s credit facilities. Letter of credit claims have historically not been material. The Company is not aware of any material claims relating to its outstanding letters of credit as of December 31, 2024 or 2023.</w:t>
      </w:r>
    </w:p>
    <w:p>
      <w:pPr>
        <w:spacing w:after="0" w:line="8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Performance and Payment Bonds. </w:t>
      </w:r>
      <w:r>
        <w:rPr>
          <w:rFonts w:ascii="Times New Roman" w:cs="Times New Roman" w:eastAsia="Times New Roman" w:hAnsi="Times New Roman"/>
          <w:sz w:val="16"/>
          <w:szCs w:val="16"/>
          <w:color w:val="auto"/>
        </w:rPr>
        <w:t>In the ordinary course of business, MasTec is required by certain customers to provide performance and payment bonds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December 31, 2024 and 2023, outstanding performance and payment bonds approximated $7.6 billion and $5.6 billion, respectively, and estimated costs to complete projects secured by these bonds totaled $2.2 billion and $1.6 billion as of December 31, 2024 and 2023, respectively. Included in these balances as of December 31, 2024 and 2023 are $838.7 million and $368.3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Investment and Strategic Arrangements. </w:t>
      </w:r>
      <w:r>
        <w:rPr>
          <w:rFonts w:ascii="Times New Roman" w:cs="Times New Roman" w:eastAsia="Times New Roman" w:hAnsi="Times New Roman"/>
          <w:sz w:val="16"/>
          <w:szCs w:val="16"/>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five civil construction projects. Income and/or loss incurred by these joint ventures is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December 31, 2024, the Company was not aware of material future claims against it in connection with these arrangements. For the year ended December 31, 2023, the Company provided $0.5 million of project-related financing to its contractual joint ventures, which amount was outstanding as of both the years ended December 31, 2024 and 2023.</w:t>
      </w:r>
    </w:p>
    <w:p>
      <w:pPr>
        <w:spacing w:after="0" w:line="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One of the Company’s subsidiaries has a subcontracting arrangement with a contractual joint venture in which it holds a 35% undivided interest, for which the related project was completed in 2022. Outstanding performance guarantees on behalf of this contractual joint venture totaled Canadian $9.7 million as of both December 31, 2024 and 2023, or approximately $6.7 million and $7.3 million, respectively. 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7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Self-Insurance. </w:t>
      </w:r>
      <w:r>
        <w:rPr>
          <w:rFonts w:ascii="Times New Roman" w:cs="Times New Roman" w:eastAsia="Times New Roman" w:hAnsi="Times New Roman"/>
          <w:sz w:val="16"/>
          <w:szCs w:val="16"/>
          <w:color w:val="auto"/>
        </w:rPr>
        <w:t>MasTec maintains insurance policies for workers’ compensation, general liability and automobile liability, which are subject to per claim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$2.2 million and $1.2 million as of December 31, 2024 and 2023, respectively, which amounts are generally not available for use in the Company’s other operations.</w:t>
      </w:r>
    </w:p>
    <w:p>
      <w:pPr>
        <w:spacing w:after="0" w:line="7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As of December 31, 2024 and 2023, MasTec’s estimated liability for unpaid claims and associated expenses, including incurred but not reported losses related to these policies, totaled $251.0 million and $209.7 million, respectively, of which $184.1 million and $141.0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$4.7 million and $4.1 million as of December 31, 2024 and 2023, respectively.</w:t>
      </w:r>
    </w:p>
    <w:p>
      <w:pPr>
        <w:spacing w:after="0" w:line="72"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93" w:name="page94"/>
    <w:bookmarkEnd w:id="93"/>
    <w:p>
      <w:pPr>
        <w:jc w:val="both"/>
        <w:spacing w:after="0" w:line="280" w:lineRule="auto"/>
        <w:rPr>
          <w:sz w:val="20"/>
          <w:szCs w:val="20"/>
          <w:color w:val="auto"/>
        </w:rPr>
      </w:pPr>
      <w:r>
        <w:rPr>
          <w:rFonts w:ascii="Times New Roman" w:cs="Times New Roman" w:eastAsia="Times New Roman" w:hAnsi="Times New Roman"/>
          <w:sz w:val="16"/>
          <w:szCs w:val="16"/>
          <w:color w:val="auto"/>
        </w:rPr>
        <w:t>$8.7 million and $9.6 million as of December 31, 2024 and 2023, respectively. Outstanding surety bonds related to self-insurance programs amounted to $196.3 million and $192.7 million as of December 31, 2024 and 2023, respectively.</w:t>
      </w:r>
    </w:p>
    <w:p>
      <w:pPr>
        <w:spacing w:after="0" w:line="6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Employment Agreements. </w:t>
      </w:r>
      <w:r>
        <w:rPr>
          <w:rFonts w:ascii="Times New Roman" w:cs="Times New Roman" w:eastAsia="Times New Roman" w:hAnsi="Times New Roman"/>
          <w:sz w:val="16"/>
          <w:szCs w:val="16"/>
          <w:color w:val="auto"/>
        </w:rPr>
        <w:t>The Company has employment agreements with certain executives and other employees, which provide for compensation and certain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 benefits and for severance payments under certain circumstances. Certain employment agreements also contain clauses that become effective upon a change in control of the Company. Upon the occurrence of any of the defined events in the various employment agreements, the Company would be obligated to pay certain amounts to the related employees, which vary with the level of the employees’ respective responsibility.</w:t>
      </w:r>
    </w:p>
    <w:p>
      <w:pPr>
        <w:spacing w:after="0" w:line="6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color w:val="auto"/>
        </w:rPr>
        <w:t xml:space="preserve">Collective Bargaining Agreements and Multiemployer Plans. </w:t>
      </w:r>
      <w:r>
        <w:rPr>
          <w:rFonts w:ascii="Times New Roman" w:cs="Times New Roman" w:eastAsia="Times New Roman" w:hAnsi="Times New Roman"/>
          <w:sz w:val="16"/>
          <w:szCs w:val="16"/>
          <w:color w:val="auto"/>
        </w:rPr>
        <w:t>As discussed in Note 1 - Business, Basis of Presentation and Significant Accounting Policies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Note 10 - Other Retirement Plans, certain of MasTec’s subsidiaries are party to 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The Company currently contributes, and in the past, has contributed, to plans that are underfunded, and, therefore, could have potential liability associated with a voluntary or involuntary withdrawal from, or termination of, these plans. As of December 31, 2024,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2022, the Company paid $2.8 million to settle a withdrawal liability assumed in connection with the HMG acquisition, for which it recognized a gain of $0.5 million for the year ended December 31, 2022. Additionally, in connection with the IEA acquisition, the Company assumed a multiemployer pension plan withdrawal liability (the “IEA withdrawal liability”), under which IEA was obligated to make monthly payments of approximately $10,000. As of December 31, 2024 and 2023, the remaining obligation approximated $1.3 million and $1.8 million, respectively. In January 2025, the Company settled its IEA withdrawal liability by issuing a lump-sum payment for the remaining obligation of $1.3 million.</w:t>
      </w:r>
    </w:p>
    <w:p>
      <w:pPr>
        <w:spacing w:after="0" w:line="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Indemnities. </w:t>
      </w:r>
      <w:r>
        <w:rPr>
          <w:rFonts w:ascii="Times New Roman" w:cs="Times New Roman" w:eastAsia="Times New Roman" w:hAnsi="Times New Roman"/>
          <w:sz w:val="16"/>
          <w:szCs w:val="16"/>
          <w:color w:val="auto"/>
        </w:rPr>
        <w:t>The Company generally indemnifies its customers for the services it provides under its contracts, as well as other specified liabilities, which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the Company to indemnity claims, liabilities and related litigation. As of both December 31, 2024 and 2023, the Company had accrued project close-out liabilities of approximately $20 million. The Company is not aware of any other material asserted or unasserted claims in connection with its potential indemnity obligations.</w:t>
      </w:r>
    </w:p>
    <w:p>
      <w:pPr>
        <w:spacing w:after="0" w:line="7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Other Guarantees. </w:t>
      </w:r>
      <w:r>
        <w:rPr>
          <w:rFonts w:ascii="Times New Roman" w:cs="Times New Roman" w:eastAsia="Times New Roman" w:hAnsi="Times New Roman"/>
          <w:sz w:val="16"/>
          <w:szCs w:val="16"/>
          <w:color w:val="auto"/>
        </w:rPr>
        <w:t>From time to time in the ordinary course of its business, MasTec guarantees the obligations of its subsidiaries, including obligations under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certain contracts with customers, certain lease obligations and in some states, obligations in connection with obtaining 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6"/>
          <w:szCs w:val="16"/>
          <w:b w:val="1"/>
          <w:bCs w:val="1"/>
          <w:color w:val="auto"/>
        </w:rPr>
        <w:t>Concentrations of Risk</w:t>
      </w:r>
      <w:r>
        <w:rPr>
          <w:rFonts w:ascii="Times New Roman" w:cs="Times New Roman" w:eastAsia="Times New Roman" w:hAnsi="Times New Roman"/>
          <w:sz w:val="16"/>
          <w:szCs w:val="16"/>
          <w:color w:val="auto"/>
        </w:rPr>
        <w:t>. The Company is subject to certain risk factors, including, but not limited to: risks related to market conditions, market uncertainty,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including from economic downturns or other economic factors, including levels of inflation and rates of interest; supply chain disruptions; governmental and/or regulatory changes, including governmental permitting, or from climate-related matters, or other factors affecting the industries in which the Company operates; changes in customers’ capital spending plans; the Company’s ability to manage projects effectively and in accordance with management’s estimates and resolution of unapproved change orders; risks related to the Company’s acquisitions, including acquisition integration and financing; availability of qualified employees; risks related to rapid technological changes or customer consolidation; competition; the nature of the Company’s contracts, which do not obligate its customers to undertake any infrastructure projects and may be canceled on short notice; customer disputes related to the performance of services; exposure to litigation; seasonality, adverse weather conditions and fluctuations in operational factors; potential exposure to environmental liabilities; exposure from system or information technology interruptions; recoverability of goodwill; collectibility of receivables; the adequacy of the Company’s reserves; public health matters; exposure related to strategic investments or foreign operations; and exposure to multiemployer pension plan liabilities. The Company grants credit, generally without collateral, to its customers. Consequently, the Company is subject to potential credit risk related to changes in business and economic factors, including from current economic uncertainty. However, MasTec generally has certain lien rights on that work and maintains a diverse customer base. The Company believes its billing and collection policies are adequate to minimize potential credit risk. MasTec’s customers include: wireless and wireline/fiber service providers; broadband operators; install-to-the-home service providers; public and private energy providers, including renewable and other energy providers; pipeline operators; civil, transportation and industrial infrastructure providers; and government entities. The industries served by MasTec’s customers include the communications, energy and utilities industries, including the power industry, among others.</w:t>
      </w:r>
    </w:p>
    <w:p>
      <w:pPr>
        <w:spacing w:after="0" w:line="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The Company had approximately 1,640 customers for the year ended December 31, 2024. As of December 31, 2024, no customer represented greater than 10% of the Company’s consolidated net accounts receivable position, which is calculated as accounts receivable, net, less deferred revenue. As of December 31, 2023, one customer accounted for approximately 10% of the Company’s consolidated net accounts receivable position. For the years ended December 31, 2024, 2023 and 2022, the Company derived 35%, 38% and 39%, respectively, of its revenue from its top ten customers.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Note 15 – Related Party Transactions</w:t>
      </w:r>
    </w:p>
    <w:p>
      <w:pPr>
        <w:spacing w:after="0" w:line="11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The Company rents and leases equipment and purchases certain supplies and servicing from CCI, an entity in which Juan Carlos Mas, who is an immediate family member of the Company’s CEO and its Chairman of the Board, serves as the chairman. Additionally, a member of management of a MasTec subsidiary and an entity that is owned by the Mas family are minority owners of CCI. For the years ended December 31, 2024, 2023 and 2022, MasTec paid CCI $11.7 million, $7.3 million and $4.0 million, respectively, for such services, and related amounts payable totaled approximately $0.7 million and $4.6 million as of December 31, 2024 and 2023, respectively. The Company also rents equipment to CCI and revenue from such rentals totaled approximately $0.5 million and $0.3 million for the years ended December 31, 2024 and 2022, respectively, and for the year ended December 31, 2023, there was no revenue from such arrangements.</w:t>
      </w:r>
    </w:p>
    <w:p>
      <w:pPr>
        <w:spacing w:after="0" w:line="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the years ended December 31, 2024, 2023 and 2022, MasTec incurred subcontracting expenses in connection with this arrangement of approximately $5.8 million, $8.7 million and $0.2 million, respectively. Related amounts payable were immaterial as of December 31, 2024, and totaled approximately $3.1 million as of December 31, 2023.</w:t>
      </w:r>
    </w:p>
    <w:p>
      <w:pPr>
        <w:spacing w:after="0" w:line="7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MasTec has an aircraft leasing arrangement with an entity that is owned by Jorge Mas. For the years ended December 31, 2024, 2023 and 2022, MasTec paid approximately $6.3 million, $2.7 million and $2.6 million, respectively, related to this leasing arrangement. Related amounts payable were immaterial as of December 31, 2024, and totaled approximately $0.2 million as of December 31, 2023.</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MasTec performs construction services on behalf of a professional Miami soccer franchise (the “Franchise”) in which Jorge Mas and José R. Mas are majority owners. Construction services include, and have included, the construction of a soccer facility and stadium as well as wireless infrastructure services. In the third quarter of 2023, construction services related to site preparation for a new soccer complex began. For the years ended December 31, 2024 and 2023, revenue under these arrangements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totaled approximately $24.9 million and $10.7 million, respectively, and related amounts receivable totaled approximately $12.8 million and $4.1 million as of December 31, 2024 and 2023, respectively. Payments for other expenses related to the Franchise totaled $0.9 million, $1.2 million and $0.5 million for the years ended December 31, 2024, 2023 and 2022, respectively. There were no related amounts payable as of either December 31, 2024 or 2023.</w:t>
      </w:r>
    </w:p>
    <w:p>
      <w:pPr>
        <w:spacing w:after="0" w:line="87"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MasTec has a subcontracting arrangement to perform construction services for an entity in which José R. Mas had a minority interest, and a member of management of a MasTec subsidiary owned the remaining interest. On January 1, 2024, MasTec acquired José R. Mas’ interest in this entity for approximately $0.7 million.</w:t>
      </w:r>
    </w:p>
    <w:p>
      <w:pPr>
        <w:spacing w:after="0" w:line="7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Jorge Mas and José R. Mas previously owned a majority interest of a customer to which MasTec leased employees and provided satellite communication services, which interests were sold in 2022. Charges to this customer under these arrangements totaled approximately $1.1 million for the year ended December 31, 2022.</w:t>
      </w:r>
    </w:p>
    <w:p>
      <w:pPr>
        <w:spacing w:after="0" w:line="5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previously acquired a construction management firm specializing in steel building systems, of which Juan Carlos Mas was a minority owner at the time of acquisition. In 2023, the Company paid $16.1 million of contingent consideration in connection with the finalization of the earn-out arrangement, of which approximately 25% was paid to Juan Carlos Mas pursuant to the terms of the purchase agreement.</w:t>
      </w:r>
    </w:p>
    <w:p>
      <w:pPr>
        <w:spacing w:after="0" w:line="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6"/>
          <w:szCs w:val="16"/>
          <w:color w:val="auto"/>
        </w:rPr>
        <w:t>MasTec has an amended and restated split dollar life insurance agreement with (i) Jorge Mas, and José R. Mas and Juan Carlos Mas, as trustees of the Jorge Mas Irrevocable Trust (the “Jorge Mas trust”); and (ii) José R. Mas, and Jorge Mas, Juan Carlos Mas and Patricia Mas, as trustees of the José Ramon Mas Irrevocable Trust (the “José R. Mas trust”). The Company is the sole owner of each of the policies and is designated as the named fiduciary under each split dollar agreement, and the policies subject to the split dollar agreement may not be surrendered without the express written consent of the applicable trust. The total maximum face amount of the insurance policies subject to the split dollar agreements is capped at $200 million in the case of Jorge Mas and $75 million in the case of José R. Mas. Upon the death of the applicable executive or the survivor of the applicable executive and his wife, the Company is entitled to receive a portion of the death benefit under the policy equal to the greater of (i) premiums paid by the Company on the policy and (ii) the then cash value of the policy, excluding surrender charges or other similar charges or reductions, immediately before the triggering death. In addition, each executive is entitled to purchase the applicable policy under certain events, including a change in control of the Company. The company paid approximately $0.4 million, $1.4 million and $1.8 million, net, in connection with these agreements for the years ended December 31, 2024, 2023 and 2022, respectively. Life insurance assets associated with these agreements, which amounts are included within other long-term assets, totaled approximately $27.5 million and $27.2 million as of December 31, 2024 and 2023, respectively.</w:t>
      </w:r>
    </w:p>
    <w:p>
      <w:pPr>
        <w:spacing w:after="0" w:line="9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In any given year, the Company may engage in certain transactions on behalf of or to former owners of acquired businesses (“former owners”) and/or entities in which members of subsidiary management have ownership or commercial interests (“related entities or entity”). A summary of these related party transactions for the years ended December 31, 2024, 2023 and 2022 is noted below.</w:t>
      </w:r>
    </w:p>
    <w:p>
      <w:pPr>
        <w:spacing w:after="0" w:line="6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6"/>
          <w:szCs w:val="16"/>
          <w:color w:val="auto"/>
        </w:rPr>
        <w:t>MasTec purchases, rents and leases equipment and purchases various types of supplies and services used in its business, and from time to time, rents equipment to, sells certain supplies, or performs construction services on behalf of, related entities. For the years ended December 31, 2024, 2023 and 2022, payments to these related entities totaled approximately $33.7 million, $42.5 million and $35.0 million, respectively, and revenue from such arrangements totaled approximately $18.4 million, $14.0 million and $10.4 million, respectively. Payables associated with such arrangements totaled approximately $2.8 million and $2.7 million as of December 31, 2024 and 2023, respectively. As of December 31, 2024, accounts receivable, net, less deferred revenue related to these arrangements totaled a receivable of approximately $3.9 million, and as of December 31, 2023, totaled a liability of approximately $0.4 million.</w:t>
      </w:r>
    </w:p>
    <w:p>
      <w:pPr>
        <w:spacing w:after="0" w:line="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The Company paid $0.3 million, $0.6 million and $1.5 million during the years ended December 31, 2024, 2023 and 2022, respectively, on behalf of or to former owners, which are obligated to be repaid under the provisions of the related purchase agreements. Amounts receivable for such payments totaled approximately $0.2 million and $2.6 million as of December 31, 2024 and 2023,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95" w:name="page96"/>
    <w:bookmarkEnd w:id="95"/>
    <w:p>
      <w:pPr>
        <w:jc w:val="both"/>
        <w:ind w:right="20" w:firstLine="648"/>
        <w:spacing w:after="0" w:line="272" w:lineRule="auto"/>
        <w:rPr>
          <w:sz w:val="20"/>
          <w:szCs w:val="20"/>
          <w:color w:val="auto"/>
        </w:rPr>
      </w:pPr>
      <w:r>
        <w:rPr>
          <w:rFonts w:ascii="Times New Roman" w:cs="Times New Roman" w:eastAsia="Times New Roman" w:hAnsi="Times New Roman"/>
          <w:sz w:val="16"/>
          <w:szCs w:val="16"/>
          <w:color w:val="auto"/>
        </w:rPr>
        <w:t>Additionally, the Company has certain arrangements with a related entity, including a fee arrangement totaling $0.8 million annually in each of the years ended December 31, 2024, 2023 and 2022 in conjunction with a $15.0 million letter of credit issued by the Company on behalf of the related entity. As of both December 31, 2024 and 2023, related amounts receivable totaled approximately $0.4 million.</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Non-controlling interests in entities consolidated by the Company represent ownership interests held by members of management of certain of the Company’s subsidiaries. In 2023, the Company sold certain minority interests in these entities to members of management of a MasTec subsidiary, within the Company’s Pipeline Infrastructure segment, for $7.1 million of notes receivable. These notes, of which approximately $3.2 million and $6.9 million was outstanding as of December 31, 2024 and 2023, respectively, bear interest at a rate of 5.0% per annum, and are recorded within other current or long-term assets, as appropriate, in the consolidated financial statements. See Note 3 - Acquisitions, Goodwill and Other Intangible Assets, Net for additional information. In 2023, the Company acquired the remaining 15% equity interests in one of its subsidiaries from two members of subsidiary management for $10.0 million in cash, plus 120,000 shares of MasTec common stock, valued at approximately $11.6 million.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96" w:name="page97"/>
    <w:bookmarkEnd w:id="96"/>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9.</w:t>
        <w:tab/>
        <w:t>CHANGES IN AND DISAGREEMENTS WITH ACCOUNTANTS ON ACCOUNTING AND FINANCIAL DISCLOSURE</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None</w:t>
      </w:r>
    </w:p>
    <w:p>
      <w:pPr>
        <w:spacing w:after="0" w:line="2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9A.</w:t>
        <w:tab/>
        <w:t>CONTROLS AND PROCEDURES</w:t>
      </w:r>
    </w:p>
    <w:p>
      <w:pPr>
        <w:spacing w:after="0" w:line="111"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Form 10-K, our management, with the participation of our Chief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w:t>
      </w:r>
    </w:p>
    <w:p>
      <w:pPr>
        <w:spacing w:after="0" w:line="6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63"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Based on management’s evaluation, our Chief Executive Officer and Chief Financial Officer concluded that our disclosure controls and procedures were effective at the reasonable assurance level as of December 31, 2024.</w:t>
      </w:r>
    </w:p>
    <w:p>
      <w:pPr>
        <w:spacing w:after="0" w:line="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over financial reporting as defined in Exchange Act Rule 13a-15(f). Internal control over financial reporting is a process designed by, or under the supervision of, our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68" w:lineRule="exact"/>
        <w:rPr>
          <w:sz w:val="20"/>
          <w:szCs w:val="20"/>
          <w:color w:val="auto"/>
        </w:rPr>
      </w:pPr>
    </w:p>
    <w:p>
      <w:pPr>
        <w:ind w:left="840" w:hanging="184"/>
        <w:spacing w:after="0"/>
        <w:tabs>
          <w:tab w:leader="none" w:pos="8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pertain to the maintenance of records that, in reasonable detail, accurately and fairly reflect the transactions and dispositions of our assets;</w:t>
      </w:r>
    </w:p>
    <w:p>
      <w:pPr>
        <w:spacing w:after="0" w:line="113" w:lineRule="exact"/>
        <w:rPr>
          <w:rFonts w:ascii="Times New Roman" w:cs="Times New Roman" w:eastAsia="Times New Roman" w:hAnsi="Times New Roman"/>
          <w:sz w:val="16"/>
          <w:szCs w:val="16"/>
          <w:color w:val="auto"/>
        </w:rPr>
      </w:pPr>
    </w:p>
    <w:p>
      <w:pPr>
        <w:ind w:firstLine="656"/>
        <w:spacing w:after="0" w:line="298" w:lineRule="auto"/>
        <w:tabs>
          <w:tab w:leader="none" w:pos="89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directors; and</w:t>
      </w:r>
    </w:p>
    <w:p>
      <w:pPr>
        <w:spacing w:after="0" w:line="42" w:lineRule="exact"/>
        <w:rPr>
          <w:rFonts w:ascii="Times New Roman" w:cs="Times New Roman" w:eastAsia="Times New Roman" w:hAnsi="Times New Roman"/>
          <w:sz w:val="16"/>
          <w:szCs w:val="16"/>
          <w:color w:val="auto"/>
        </w:rPr>
      </w:pPr>
    </w:p>
    <w:p>
      <w:pPr>
        <w:ind w:firstLine="656"/>
        <w:spacing w:after="0" w:line="298" w:lineRule="auto"/>
        <w:tabs>
          <w:tab w:leader="none" w:pos="93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reasonable assurance regarding prevention or timely detection of unauthorized acquisition, use or disposition of our assets that could have a material effect on the financial statements.</w:t>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w:t>
      </w:r>
    </w:p>
    <w:p>
      <w:pPr>
        <w:spacing w:after="0" w:line="11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6"/>
          <w:szCs w:val="16"/>
          <w:color w:val="auto"/>
        </w:rPr>
        <w:t>Management’s assessment of the effectiveness of internal control over financial reporting did not include the internal control over financial reporting of two entities we acquired in 2024, related to a July acquisition in our Power Delivery segment and a December acquisition in our Pipeline Infrastructure segment. Both of these acquisitions are included in the 2024 consolidated financial statements in this Form 10-K. Collectively, these two acquisitions’ total assets constituted approximately 2% of the Company’s total assets as of December 31, 2024 and less than 1% of the Company’s revenue for the year then ended.</w:t>
      </w:r>
    </w:p>
    <w:p>
      <w:pPr>
        <w:spacing w:after="0" w:line="6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Management, including our Chief Executive Officer and Chief Financial Officer, evaluated the effectiveness of our internal control over financial reporting as of the end of the period covered by this report. In making this assessment, management used the criteria set forth by the Committee of Sponsoring Organizations of the Treadway Commission (“COSO criteria”) in “Internal Control-Integrated Framework” (2013). Based on this assessment, management has concluded that our internal control over financial reporting was effective as of December 31, 2024.</w:t>
      </w:r>
    </w:p>
    <w:p>
      <w:pPr>
        <w:spacing w:after="0" w:line="8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PricewaterhouseCoopers LLP, an independent registered public accounting firm, has audited our internal control over financial reporting as of December 31, 2024 and has expressed an unqualified opinion thereon, as stated in their report that is included in </w:t>
      </w:r>
      <w:r>
        <w:rPr>
          <w:rFonts w:ascii="Times New Roman" w:cs="Times New Roman" w:eastAsia="Times New Roman" w:hAnsi="Times New Roman"/>
          <w:sz w:val="16"/>
          <w:szCs w:val="16"/>
          <w:u w:val="single" w:color="auto"/>
          <w:color w:val="0000FF"/>
        </w:rPr>
        <w:t>Item 8</w:t>
      </w:r>
      <w:r>
        <w:rPr>
          <w:rFonts w:ascii="Times New Roman" w:cs="Times New Roman" w:eastAsia="Times New Roman" w:hAnsi="Times New Roman"/>
          <w:sz w:val="16"/>
          <w:szCs w:val="16"/>
          <w:color w:val="auto"/>
        </w:rPr>
        <w:t>.</w:t>
      </w:r>
    </w:p>
    <w:p>
      <w:pPr>
        <w:spacing w:after="0" w:line="53"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the Company’s internal control over financial reporting during the fourth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quarter ended December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97" w:name="page98"/>
    <w:bookmarkEnd w:id="97"/>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9B.</w:t>
        <w:tab/>
        <w:t>OTHER INFORMATION</w:t>
      </w:r>
    </w:p>
    <w:p>
      <w:pPr>
        <w:spacing w:after="0" w:line="11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During the three month period ended December 31, 2024, except as provided below, no director or officer (as defined in Rule 16a-1(f) of the Exchange Act) adopted, modified or terminated a contract, instruction or written plan for the purchase or sale of our securities that was intended to satisfy the affirmative defense conditions of Rule 10b5-1(c) or a “non-Rule 10b5-1 trading arrangement,” as defined in Item 408(c) of Regulation S-K:</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Type of Plan</w:t>
            </w: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 of Action</w:t>
            </w:r>
          </w:p>
        </w:tc>
        <w:tc>
          <w:tcPr>
            <w:tcW w:w="2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Duration of Plan</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Securities</w:t>
            </w:r>
          </w:p>
        </w:tc>
        <w:tc>
          <w:tcPr>
            <w:tcW w:w="0" w:type="dxa"/>
            <w:vAlign w:val="bottom"/>
          </w:tcPr>
          <w:p>
            <w:pPr>
              <w:spacing w:after="0"/>
              <w:rPr>
                <w:sz w:val="1"/>
                <w:szCs w:val="1"/>
                <w:color w:val="auto"/>
              </w:rPr>
            </w:pPr>
          </w:p>
        </w:tc>
      </w:tr>
      <w:tr>
        <w:trPr>
          <w:trHeight w:val="109"/>
        </w:trPr>
        <w:tc>
          <w:tcPr>
            <w:tcW w:w="1960" w:type="dxa"/>
            <w:vAlign w:val="bottom"/>
            <w:gridSpan w:val="2"/>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 Under the Plan</w:t>
            </w: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 Robert Campbell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Rule 10b5-1</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Terminated</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11/26/2024</w:t>
            </w:r>
          </w:p>
        </w:tc>
        <w:tc>
          <w:tcPr>
            <w:tcW w:w="80" w:type="dxa"/>
            <w:vAlign w:val="bottom"/>
            <w:shd w:val="clear" w:color="auto" w:fill="CCEEFF"/>
          </w:tcPr>
          <w:p>
            <w:pPr>
              <w:spacing w:after="0"/>
              <w:rPr>
                <w:sz w:val="17"/>
                <w:szCs w:val="17"/>
                <w:color w:val="auto"/>
              </w:rPr>
            </w:pPr>
          </w:p>
        </w:tc>
        <w:tc>
          <w:tcPr>
            <w:tcW w:w="22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line="302"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26, 2024, C. Robert Campbell, a member of our Board, terminated a Rule 10b5-1 plan, which was previously adopted on September 30, 2024. The terminated trading plan provided for the potential sale of up to 15,000 shares of our common stock, and was scheduled to be effective from December 29, 2024 until September 30, 2026.</w:t>
      </w:r>
    </w:p>
    <w:p>
      <w:pPr>
        <w:spacing w:after="0" w:line="22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6"/>
          <w:szCs w:val="16"/>
          <w:b w:val="1"/>
          <w:bCs w:val="1"/>
          <w:color w:val="auto"/>
        </w:rPr>
        <w:t>ITEM 9C.</w:t>
        <w:tab/>
        <w:t>DISCLOSURE REGARDING FOREIGN JURISDICTIONS THAT PREVENT INSPECTIONS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10.</w:t>
        <w:tab/>
        <w:t>DIRECTORS, EXECUTIVE OFFICERS AND CORPORATE GOVERNANCE</w:t>
      </w:r>
    </w:p>
    <w:p>
      <w:pPr>
        <w:spacing w:after="0" w:line="115"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Except as set forth below, the information about directors, executive officers and corporate governance required for this item is incorporated by reference from our Proxy Statement to be filed in connection with our 2025 Annual Meeting of Shareholders.</w:t>
      </w:r>
    </w:p>
    <w:p>
      <w:pPr>
        <w:spacing w:after="0" w:line="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color w:val="auto"/>
        </w:rPr>
        <w:t xml:space="preserve">We have adopted a code of business conduct and ethics, called the Code of Business Conduct and Ethics, that applies to all of our directors, officers, including our principal executive, financial and accounting officers, and employees and includes additional criteria that are applicable to our Chief Executive Officer, Chief Operating Officer, Chief Financial Officer and senior financial and other officers. The full text of the Code of Business Conduct and Ethics is available in the Investor section of MasTec’s website at </w:t>
      </w:r>
      <w:r>
        <w:rPr>
          <w:rFonts w:ascii="Times New Roman" w:cs="Times New Roman" w:eastAsia="Times New Roman" w:hAnsi="Times New Roman"/>
          <w:sz w:val="16"/>
          <w:szCs w:val="16"/>
          <w:u w:val="single" w:color="auto"/>
          <w:color w:val="auto"/>
        </w:rPr>
        <w:t>www.mastec.com</w:t>
      </w:r>
      <w:r>
        <w:rPr>
          <w:rFonts w:ascii="Times New Roman" w:cs="Times New Roman" w:eastAsia="Times New Roman" w:hAnsi="Times New Roman"/>
          <w:sz w:val="16"/>
          <w:szCs w:val="16"/>
          <w:color w:val="auto"/>
        </w:rPr>
        <w:t xml:space="preserve"> under the tab “Corporate Governance” and is available in print to any shareholder who requests it. See also </w:t>
      </w:r>
      <w:r>
        <w:rPr>
          <w:rFonts w:ascii="Times New Roman" w:cs="Times New Roman" w:eastAsia="Times New Roman" w:hAnsi="Times New Roman"/>
          <w:sz w:val="16"/>
          <w:szCs w:val="16"/>
          <w:u w:val="single" w:color="auto"/>
          <w:color w:val="0000FF"/>
        </w:rPr>
        <w:t>Item 1.</w:t>
      </w:r>
      <w:r>
        <w:rPr>
          <w:rFonts w:ascii="Times New Roman" w:cs="Times New Roman" w:eastAsia="Times New Roman" w:hAnsi="Times New Roman"/>
          <w:sz w:val="16"/>
          <w:szCs w:val="16"/>
          <w:color w:val="auto"/>
        </w:rPr>
        <w:t xml:space="preserve"> “Business - Available Information.” We intend to provide amendments or waivers to our Code of Business Conduct and Ethics for any of our directors and principal officers on our website within four business days after such amendment or waiver. The reference to our website address does not constitute incorporation by reference of any of the information contained on the website, and such information is not a part of this Annual Report.</w:t>
      </w:r>
    </w:p>
    <w:p>
      <w:pPr>
        <w:spacing w:after="0" w:line="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 xml:space="preserve">We have an insider trading policy governing the purchase, sale and other dispositions of MasTec’s securities that applies to all personnel of MasTec and our subsidiaries, including directors, officers, employees and certain other persons associated with the foregoing categories of persons. The policy also applies to the securities of other companies with which we have a business relationship, such as customers, suppliers or vendors of MasTec and those with which we may be negotiating transactions, such as an acquisition, investment or sale. We believe that our insider trading policy is reasonably designed to promote compliance with insider trading laws, rules and regulations, as well as applicable listing standards. A copy of MasTec’s insider trading policy is included in </w:t>
      </w:r>
      <w:r>
        <w:rPr>
          <w:rFonts w:ascii="Times New Roman" w:cs="Times New Roman" w:eastAsia="Times New Roman" w:hAnsi="Times New Roman"/>
          <w:sz w:val="16"/>
          <w:szCs w:val="16"/>
          <w:u w:val="single" w:color="auto"/>
          <w:color w:val="0000FF"/>
        </w:rPr>
        <w:t>Exhibit 19.1</w:t>
      </w:r>
      <w:r>
        <w:rPr>
          <w:rFonts w:ascii="Times New Roman" w:cs="Times New Roman" w:eastAsia="Times New Roman" w:hAnsi="Times New Roman"/>
          <w:sz w:val="16"/>
          <w:szCs w:val="16"/>
          <w:color w:val="auto"/>
        </w:rPr>
        <w:t xml:space="preserve"> to this Annual Report on Form 10-K.</w:t>
      </w: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11.</w:t>
        <w:tab/>
        <w:t>EXECUTIVE COMPENSATION</w:t>
      </w:r>
    </w:p>
    <w:p>
      <w:pPr>
        <w:spacing w:after="0" w:line="115"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2025 Annual Meeting of Shareholders.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98" w:name="page99"/>
    <w:bookmarkEnd w:id="98"/>
    <w:p>
      <w:pPr>
        <w:ind w:right="680"/>
        <w:spacing w:after="0" w:line="397" w:lineRule="auto"/>
        <w:rPr>
          <w:sz w:val="20"/>
          <w:szCs w:val="20"/>
          <w:color w:val="auto"/>
        </w:rPr>
      </w:pPr>
      <w:r>
        <w:rPr>
          <w:rFonts w:ascii="Times New Roman" w:cs="Times New Roman" w:eastAsia="Times New Roman" w:hAnsi="Times New Roman"/>
          <w:sz w:val="16"/>
          <w:szCs w:val="16"/>
          <w:b w:val="1"/>
          <w:bCs w:val="1"/>
          <w:color w:val="auto"/>
        </w:rPr>
        <w:t xml:space="preserve">ITEM 12. SECURITY OWNERSHIP OF CERTAIN BENEFICIAL OWNERS AND MANAGEMENT AND RELATED SHAREHOLDER MATTERS </w:t>
      </w:r>
      <w:r>
        <w:rPr>
          <w:rFonts w:ascii="Times New Roman" w:cs="Times New Roman" w:eastAsia="Times New Roman" w:hAnsi="Times New Roman"/>
          <w:sz w:val="16"/>
          <w:szCs w:val="16"/>
          <w:b w:val="1"/>
          <w:bCs w:val="1"/>
          <w:i w:val="1"/>
          <w:iCs w:val="1"/>
          <w:color w:val="auto"/>
        </w:rPr>
        <w:t>Equity Compensation Plans</w:t>
      </w:r>
    </w:p>
    <w:p>
      <w:pPr>
        <w:spacing w:after="0" w:line="1"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The following table sets forth information about our common stock that may be issued under all of our equity compensation plans as of December 31, 2024, which included: the 2013 Incentive Plan; the 2011 ESPP; and the 2013 Bargaining Units ESPP.</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80" w:type="dxa"/>
            <w:vAlign w:val="bottom"/>
            <w:gridSpan w:val="2"/>
          </w:tcPr>
          <w:p>
            <w:pPr>
              <w:jc w:val="center"/>
              <w:ind w:right="267"/>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67"/>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w:t>
            </w: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39"/>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 to</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be Issued Upon Exercise of</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 Exercise</w:t>
            </w:r>
          </w:p>
        </w:tc>
        <w:tc>
          <w:tcPr>
            <w:tcW w:w="2380" w:type="dxa"/>
            <w:vAlign w:val="bottom"/>
            <w:gridSpan w:val="2"/>
          </w:tcPr>
          <w:p>
            <w:pPr>
              <w:jc w:val="center"/>
              <w:ind w:right="247"/>
              <w:spacing w:after="0" w:line="162" w:lineRule="exact"/>
              <w:rPr>
                <w:sz w:val="20"/>
                <w:szCs w:val="20"/>
                <w:color w:val="auto"/>
              </w:rPr>
            </w:pPr>
            <w:r>
              <w:rPr>
                <w:rFonts w:ascii="Times New Roman" w:cs="Times New Roman" w:eastAsia="Times New Roman" w:hAnsi="Times New Roman"/>
                <w:sz w:val="16"/>
                <w:szCs w:val="16"/>
                <w:b w:val="1"/>
                <w:bCs w:val="1"/>
                <w:color w:val="auto"/>
              </w:rPr>
              <w:t>(Excluding</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040" w:type="dxa"/>
            <w:vAlign w:val="bottom"/>
          </w:tcPr>
          <w:p>
            <w:pPr>
              <w:jc w:val="center"/>
              <w:ind w:left="19"/>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380" w:type="dxa"/>
            <w:vAlign w:val="bottom"/>
            <w:gridSpan w:val="2"/>
          </w:tcPr>
          <w:p>
            <w:pPr>
              <w:jc w:val="center"/>
              <w:ind w:right="267"/>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54"/>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04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380" w:type="dxa"/>
            <w:vAlign w:val="bottom"/>
            <w:gridSpan w:val="2"/>
          </w:tcPr>
          <w:p>
            <w:pPr>
              <w:jc w:val="center"/>
              <w:ind w:right="247"/>
              <w:spacing w:after="0"/>
              <w:rPr>
                <w:sz w:val="20"/>
                <w:szCs w:val="20"/>
                <w:color w:val="auto"/>
              </w:rPr>
            </w:pPr>
            <w:r>
              <w:rPr>
                <w:rFonts w:ascii="Times New Roman" w:cs="Times New Roman" w:eastAsia="Times New Roman" w:hAnsi="Times New Roman"/>
                <w:sz w:val="16"/>
                <w:szCs w:val="16"/>
                <w:b w:val="1"/>
                <w:bCs w:val="1"/>
                <w:color w:val="auto"/>
              </w:rPr>
              <w:t>Column (a))</w:t>
            </w:r>
          </w:p>
        </w:tc>
        <w:tc>
          <w:tcPr>
            <w:tcW w:w="0" w:type="dxa"/>
            <w:vAlign w:val="bottom"/>
          </w:tcPr>
          <w:p>
            <w:pPr>
              <w:spacing w:after="0"/>
              <w:rPr>
                <w:sz w:val="1"/>
                <w:szCs w:val="1"/>
                <w:color w:val="auto"/>
              </w:rPr>
            </w:pPr>
          </w:p>
        </w:tc>
      </w:tr>
      <w:tr>
        <w:trPr>
          <w:trHeight w:val="212"/>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204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4,416,066</w:t>
            </w:r>
          </w:p>
        </w:tc>
        <w:tc>
          <w:tcPr>
            <w:tcW w:w="300" w:type="dxa"/>
            <w:vAlign w:val="bottom"/>
            <w:tcBorders>
              <w:top w:val="single" w:sz="8" w:color="CCEEFF"/>
            </w:tcBorders>
            <w:shd w:val="clear" w:color="auto" w:fill="CCEEFF"/>
          </w:tcPr>
          <w:p>
            <w:pPr>
              <w:jc w:val="right"/>
              <w:ind w:right="107"/>
              <w:spacing w:after="0" w:line="121" w:lineRule="exact"/>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040" w:type="dxa"/>
            <w:vAlign w:val="bottom"/>
            <w:vMerge w:val="restart"/>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8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6"/>
                <w:szCs w:val="16"/>
                <w:color w:val="auto"/>
              </w:rPr>
              <w:t>N/A</w:t>
            </w:r>
          </w:p>
        </w:tc>
        <w:tc>
          <w:tcPr>
            <w:tcW w:w="2380" w:type="dxa"/>
            <w:vAlign w:val="bottom"/>
            <w:gridSpan w:val="2"/>
            <w:vMerge w:val="restart"/>
          </w:tcPr>
          <w:p>
            <w:pPr>
              <w:jc w:val="right"/>
              <w:ind w:right="267"/>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4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w w:val="94"/>
              </w:rPr>
              <w:t>N/A</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4,416,066</w:t>
            </w: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420" w:hanging="332"/>
        <w:spacing w:after="0" w:line="30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2013 Incentive Plan, 2,379,047 shares were available for issuance as of December 31, 2024. Under the 2011 ESPP and 2013 Bargaining Units ESPP, 1,150,466 shares and 886,553 shares, respectively, were available for issuance as of December 31, 2024.</w:t>
      </w:r>
    </w:p>
    <w:p>
      <w:pPr>
        <w:spacing w:after="0" w:line="117"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The other information required by this item is incorporated by reference from our Proxy Statement to be filed in connection with our 2025 Annual Meeting of Shareholders.</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13.</w:t>
        <w:tab/>
        <w:t>CERTAIN RELATIONSHIPS AND RELATED TRANSACTIONS, AND DIRECTOR INDEPENDENCE</w:t>
      </w:r>
    </w:p>
    <w:p>
      <w:pPr>
        <w:spacing w:after="0" w:line="115"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2025 Annual Meeting of Shareholders.</w:t>
      </w:r>
    </w:p>
    <w:p>
      <w:pPr>
        <w:spacing w:after="0" w:line="23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14.</w:t>
        <w:tab/>
        <w:t>PRINCIPAL ACCOUNTING FEES AND SERVICES</w:t>
      </w:r>
    </w:p>
    <w:p>
      <w:pPr>
        <w:spacing w:after="0" w:line="115"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The information required for this item is incorporated by reference from our Proxy Statement to be filed in connection with our 2025 Annual Meeting of Shareholders.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7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15.</w:t>
        <w:tab/>
        <w:t>EXHIBITS AND FINANCIAL STATEMENT SCHEDULES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financial statements, schedules and exhibits are filed as part of this Form 10-K:</w:t>
      </w:r>
    </w:p>
    <w:p>
      <w:pPr>
        <w:spacing w:after="0" w:line="111" w:lineRule="exact"/>
        <w:rPr>
          <w:sz w:val="20"/>
          <w:szCs w:val="20"/>
          <w:color w:val="auto"/>
        </w:rPr>
      </w:pPr>
    </w:p>
    <w:p>
      <w:pPr>
        <w:ind w:left="1300" w:hanging="644"/>
        <w:spacing w:after="0" w:line="301" w:lineRule="auto"/>
        <w:tabs>
          <w:tab w:leader="none" w:pos="101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 </w:t>
      </w:r>
      <w:r>
        <w:rPr>
          <w:rFonts w:ascii="Times New Roman" w:cs="Times New Roman" w:eastAsia="Times New Roman" w:hAnsi="Times New Roman"/>
          <w:sz w:val="16"/>
          <w:szCs w:val="16"/>
          <w:i w:val="1"/>
          <w:iCs w:val="1"/>
          <w:color w:val="auto"/>
        </w:rPr>
        <w:t>Financial Statements</w:t>
      </w:r>
      <w:r>
        <w:rPr>
          <w:rFonts w:ascii="Times New Roman" w:cs="Times New Roman" w:eastAsia="Times New Roman" w:hAnsi="Times New Roman"/>
          <w:sz w:val="16"/>
          <w:szCs w:val="16"/>
          <w:color w:val="auto"/>
        </w:rPr>
        <w:t xml:space="preserve"> – the consolidated financial statements and the reports of the Independent Registered Public Accounting firms are listed on pages </w:t>
      </w:r>
      <w:r>
        <w:rPr>
          <w:rFonts w:ascii="Times New Roman" w:cs="Times New Roman" w:eastAsia="Times New Roman" w:hAnsi="Times New Roman"/>
          <w:sz w:val="16"/>
          <w:szCs w:val="16"/>
          <w:u w:val="single" w:color="auto"/>
          <w:color w:val="0000FF"/>
        </w:rPr>
        <w:t>51</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through</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u w:val="single" w:color="auto"/>
          <w:color w:val="0000FF"/>
        </w:rPr>
        <w:t>96</w:t>
      </w:r>
      <w:r>
        <w:rPr>
          <w:rFonts w:ascii="Times New Roman" w:cs="Times New Roman" w:eastAsia="Times New Roman" w:hAnsi="Times New Roman"/>
          <w:sz w:val="16"/>
          <w:szCs w:val="16"/>
          <w:color w:val="000000"/>
        </w:rPr>
        <w:t>.</w:t>
      </w:r>
    </w:p>
    <w:p>
      <w:pPr>
        <w:spacing w:after="0" w:line="38" w:lineRule="exact"/>
        <w:rPr>
          <w:rFonts w:ascii="Times New Roman" w:cs="Times New Roman" w:eastAsia="Times New Roman" w:hAnsi="Times New Roman"/>
          <w:sz w:val="16"/>
          <w:szCs w:val="16"/>
          <w:color w:val="auto"/>
        </w:rPr>
      </w:pPr>
    </w:p>
    <w:p>
      <w:pPr>
        <w:ind w:left="1260" w:hanging="280"/>
        <w:spacing w:after="0"/>
        <w:tabs>
          <w:tab w:leader="none" w:pos="12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Financial Statement Schedules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0000FF"/>
        </w:rPr>
        <w:t>Schedule II - Valuation and Qualifying Accounts</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1260" w:hanging="280"/>
        <w:spacing w:after="0"/>
        <w:tabs>
          <w:tab w:leader="none" w:pos="12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Exhibits including those incorporated by reference </w:t>
      </w:r>
      <w:r>
        <w:rPr>
          <w:rFonts w:ascii="Times New Roman" w:cs="Times New Roman" w:eastAsia="Times New Roman" w:hAnsi="Times New Roman"/>
          <w:sz w:val="16"/>
          <w:szCs w:val="16"/>
          <w:color w:val="auto"/>
        </w:rPr>
        <w:t>– The Exhibit Index below contains a list of exhibits filed or furnished with this Form 10-K.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Exhibits</w:t>
            </w:r>
          </w:p>
        </w:tc>
        <w:tc>
          <w:tcPr>
            <w:tcW w:w="140" w:type="dxa"/>
            <w:vAlign w:val="bottom"/>
          </w:tcPr>
          <w:p>
            <w:pPr>
              <w:spacing w:after="0"/>
              <w:rPr>
                <w:sz w:val="24"/>
                <w:szCs w:val="24"/>
                <w:color w:val="auto"/>
              </w:rPr>
            </w:pPr>
          </w:p>
        </w:tc>
        <w:tc>
          <w:tcPr>
            <w:tcW w:w="101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Description (1)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8"/>
          </w:tcPr>
          <w:p>
            <w:pPr>
              <w:spacing w:after="0"/>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Composite Articles of Incorporation of MasTec, Inc.</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Annual Report on Form 10-K filed with the SEC on February 25, 2010</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27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3.2</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8"/>
          </w:tcPr>
          <w:p>
            <w:pPr>
              <w:spacing w:after="0" w:line="176"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Amended and Restated By-laws of MasTec, Inc., amended and restated as of January 22, 2010</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3.1 to our Current Report on Form 8-K</w:t>
            </w: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4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January 28, 2010 and incorporated by reference herein.</w:t>
            </w:r>
          </w:p>
        </w:tc>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4.1</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8"/>
          </w:tcPr>
          <w:p>
            <w:pPr>
              <w:spacing w:after="0" w:line="176"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Indenture, dated June 5, 2009, by and among MasTec, Inc., MasTec Inc.’s subsidiaries party thereto, as guarantors, and U.S. Bank National Association,</w:t>
              </w:r>
            </w:hyperlink>
          </w:p>
        </w:tc>
      </w:tr>
      <w:tr>
        <w:trPr>
          <w:trHeight w:val="142"/>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80" w:type="dxa"/>
            <w:vAlign w:val="bottom"/>
            <w:tcBorders>
              <w:top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as trustee</w:t>
              </w:r>
              <w:r>
                <w:rPr>
                  <w:rFonts w:ascii="Times New Roman" w:cs="Times New Roman" w:eastAsia="Times New Roman" w:hAnsi="Times New Roman"/>
                  <w:sz w:val="16"/>
                  <w:szCs w:val="16"/>
                  <w:color w:val="000000"/>
                </w:rPr>
                <w:t>, filed as Exhibit 4.2 to our Current Report on Form 8-K filed with the SEC on June 5, 2009 and incorporated by reference herein.</w:t>
              </w:r>
            </w:hyperlink>
          </w:p>
        </w:tc>
        <w:tc>
          <w:tcPr>
            <w:tcW w:w="160" w:type="dxa"/>
            <w:vAlign w:val="bottom"/>
          </w:tcPr>
          <w:p>
            <w:pPr>
              <w:spacing w:after="0"/>
              <w:rPr>
                <w:sz w:val="12"/>
                <w:szCs w:val="12"/>
                <w:color w:val="auto"/>
              </w:rPr>
            </w:pPr>
          </w:p>
        </w:tc>
      </w:tr>
      <w:tr>
        <w:trPr>
          <w:trHeight w:val="20"/>
        </w:trPr>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196"/>
        </w:trPr>
        <w:tc>
          <w:tcPr>
            <w:tcW w:w="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gridSpan w:val="8"/>
          </w:tcPr>
          <w:p>
            <w:pPr>
              <w:spacing w:after="0"/>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Twenty-First Supplemental Indenture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dated as of June 10, 2024, between MasTec, Inc. and U.S. Bank Trust Company, National Association, as trustee,</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8"/>
          </w:tcPr>
          <w:p>
            <w:pPr>
              <w:spacing w:after="0" w:line="182" w:lineRule="exact"/>
              <w:rPr>
                <w:sz w:val="20"/>
                <w:szCs w:val="20"/>
                <w:color w:val="auto"/>
              </w:rPr>
            </w:pPr>
            <w:r>
              <w:rPr>
                <w:rFonts w:ascii="Times New Roman" w:cs="Times New Roman" w:eastAsia="Times New Roman" w:hAnsi="Times New Roman"/>
                <w:sz w:val="16"/>
                <w:szCs w:val="16"/>
                <w:color w:val="auto"/>
              </w:rPr>
              <w:t>filed as Exhibit 4.2 to our Current Report on Form 8-K filed with the SEC on June 10, 2024 and incorporated by reference herein.</w:t>
            </w:r>
          </w:p>
        </w:tc>
      </w:tr>
      <w:tr>
        <w:trPr>
          <w:trHeight w:val="176"/>
        </w:trPr>
        <w:tc>
          <w:tcPr>
            <w:tcW w:w="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40" w:type="dxa"/>
            <w:vAlign w:val="bottom"/>
            <w:gridSpan w:val="8"/>
          </w:tcPr>
          <w:p>
            <w:pPr>
              <w:spacing w:after="0" w:line="176" w:lineRule="exact"/>
              <w:rPr>
                <w:rFonts w:ascii="Times New Roman" w:cs="Times New Roman" w:eastAsia="Times New Roman" w:hAnsi="Times New Roman"/>
                <w:sz w:val="16"/>
                <w:szCs w:val="16"/>
                <w:color w:val="0000FF"/>
              </w:rPr>
            </w:pPr>
            <w:hyperlink r:id="rId122">
              <w:r>
                <w:rPr>
                  <w:rFonts w:ascii="Times New Roman" w:cs="Times New Roman" w:eastAsia="Times New Roman" w:hAnsi="Times New Roman"/>
                  <w:sz w:val="16"/>
                  <w:szCs w:val="16"/>
                  <w:color w:val="0000FF"/>
                </w:rPr>
                <w:t>Form of 5.900% Senior Note due 2029</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incorporated by reference to Exhibit A of Exhibit 4.2 and filed as Exhibit 4.3 to our Current Report on Form 8-K</w:t>
            </w:r>
          </w:p>
        </w:tc>
      </w:tr>
      <w:tr>
        <w:trPr>
          <w:trHeight w:val="204"/>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auto"/>
              </w:rPr>
              <w:t>filed with the SEC on June 10, 2024.</w:t>
            </w:r>
          </w:p>
        </w:tc>
        <w:tc>
          <w:tcPr>
            <w:tcW w:w="7580" w:type="dxa"/>
            <w:vAlign w:val="bottom"/>
            <w:gridSpan w:val="4"/>
          </w:tcPr>
          <w:p>
            <w:pPr>
              <w:spacing w:after="0"/>
              <w:rPr>
                <w:sz w:val="17"/>
                <w:szCs w:val="17"/>
                <w:color w:val="auto"/>
              </w:rPr>
            </w:pPr>
          </w:p>
        </w:tc>
      </w:tr>
      <w:tr>
        <w:trPr>
          <w:trHeight w:val="83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gridSpan w:val="7"/>
          </w:tcPr>
          <w:p>
            <w:pPr>
              <w:jc w:val="right"/>
              <w:ind w:right="1640"/>
              <w:spacing w:after="0"/>
              <w:rPr>
                <w:sz w:val="20"/>
                <w:szCs w:val="20"/>
                <w:color w:val="auto"/>
              </w:rPr>
            </w:pPr>
            <w:r>
              <w:rPr>
                <w:rFonts w:ascii="Times New Roman" w:cs="Times New Roman" w:eastAsia="Times New Roman" w:hAnsi="Times New Roman"/>
                <w:sz w:val="16"/>
                <w:szCs w:val="16"/>
                <w:color w:val="auto"/>
              </w:rPr>
              <w:t>98</w:t>
            </w: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9"/>
        </w:trPr>
        <w:tc>
          <w:tcPr>
            <w:tcW w:w="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44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2780" w:type="dxa"/>
            <w:vAlign w:val="bottom"/>
            <w:tcBorders>
              <w:bottom w:val="single" w:sz="8" w:color="9A9A9A"/>
            </w:tcBorders>
          </w:tcPr>
          <w:p>
            <w:pPr>
              <w:spacing w:after="0"/>
              <w:rPr>
                <w:sz w:val="19"/>
                <w:szCs w:val="19"/>
                <w:color w:val="auto"/>
              </w:rPr>
            </w:pPr>
          </w:p>
        </w:tc>
        <w:tc>
          <w:tcPr>
            <w:tcW w:w="37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10160" w:type="dxa"/>
            <w:vAlign w:val="bottom"/>
            <w:gridSpan w:val="33"/>
          </w:tcPr>
          <w:p>
            <w:pPr>
              <w:spacing w:after="0"/>
              <w:rPr>
                <w:rFonts w:ascii="Times New Roman" w:cs="Times New Roman" w:eastAsia="Times New Roman" w:hAnsi="Times New Roman"/>
                <w:sz w:val="16"/>
                <w:szCs w:val="16"/>
                <w:color w:val="0000FF"/>
              </w:rPr>
            </w:pPr>
            <w:hyperlink r:id="rId125">
              <w:r>
                <w:rPr>
                  <w:rFonts w:ascii="Times New Roman" w:cs="Times New Roman" w:eastAsia="Times New Roman" w:hAnsi="Times New Roman"/>
                  <w:sz w:val="16"/>
                  <w:szCs w:val="16"/>
                  <w:color w:val="0000FF"/>
                </w:rPr>
                <w:t>Indenture, dated August 4, 2020, by and among the Company, certain of the Company’s subsidiaries and U.S. Bank National Association, as trustee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w:t>
            </w:r>
          </w:p>
        </w:tc>
      </w:tr>
      <w:tr>
        <w:trPr>
          <w:trHeight w:val="182"/>
        </w:trPr>
        <w:tc>
          <w:tcPr>
            <w:tcW w:w="1100" w:type="dxa"/>
            <w:vAlign w:val="bottom"/>
          </w:tcPr>
          <w:p>
            <w:pPr>
              <w:spacing w:after="0"/>
              <w:rPr>
                <w:sz w:val="15"/>
                <w:szCs w:val="15"/>
                <w:color w:val="auto"/>
              </w:rPr>
            </w:pPr>
          </w:p>
        </w:tc>
        <w:tc>
          <w:tcPr>
            <w:tcW w:w="9680" w:type="dxa"/>
            <w:vAlign w:val="bottom"/>
            <w:tcBorders>
              <w:top w:val="single" w:sz="8" w:color="0000FF"/>
            </w:tcBorders>
            <w:gridSpan w:val="27"/>
          </w:tcPr>
          <w:p>
            <w:pPr>
              <w:spacing w:after="0" w:line="182" w:lineRule="exact"/>
              <w:rPr>
                <w:sz w:val="20"/>
                <w:szCs w:val="20"/>
                <w:color w:val="auto"/>
              </w:rPr>
            </w:pPr>
            <w:r>
              <w:rPr>
                <w:rFonts w:ascii="Times New Roman" w:cs="Times New Roman" w:eastAsia="Times New Roman" w:hAnsi="Times New Roman"/>
                <w:sz w:val="16"/>
                <w:szCs w:val="16"/>
                <w:color w:val="auto"/>
              </w:rPr>
              <w:t>as Exhibit 4.2 to our Current Report on Form 8-K filed with the SEC on August 4, 2020 and incorporated by reference herein.</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4.5</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26">
              <w:r>
                <w:rPr>
                  <w:rFonts w:ascii="Times New Roman" w:cs="Times New Roman" w:eastAsia="Times New Roman" w:hAnsi="Times New Roman"/>
                  <w:sz w:val="16"/>
                  <w:szCs w:val="16"/>
                  <w:color w:val="0000FF"/>
                </w:rPr>
                <w:t>Form of 4.500% Senior Note due 2028</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incorporated by reference to Exhibit A of Exhibit 4.2 and filed as Exhibit 4.1 to our Current Report on Form 8-K</w:t>
            </w:r>
          </w:p>
        </w:tc>
      </w:tr>
      <w:tr>
        <w:trPr>
          <w:trHeight w:val="204"/>
        </w:trPr>
        <w:tc>
          <w:tcPr>
            <w:tcW w:w="1100" w:type="dxa"/>
            <w:vAlign w:val="bottom"/>
          </w:tcPr>
          <w:p>
            <w:pPr>
              <w:spacing w:after="0"/>
              <w:rPr>
                <w:sz w:val="17"/>
                <w:szCs w:val="17"/>
                <w:color w:val="auto"/>
              </w:rPr>
            </w:pPr>
          </w:p>
        </w:tc>
        <w:tc>
          <w:tcPr>
            <w:tcW w:w="25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filed with the SEC on August 4, 2020.</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w:t>
            </w:r>
          </w:p>
        </w:tc>
        <w:tc>
          <w:tcPr>
            <w:tcW w:w="10160" w:type="dxa"/>
            <w:vAlign w:val="bottom"/>
            <w:gridSpan w:val="33"/>
          </w:tcPr>
          <w:p>
            <w:pPr>
              <w:spacing w:after="0"/>
              <w:rPr>
                <w:rFonts w:ascii="Times New Roman" w:cs="Times New Roman" w:eastAsia="Times New Roman" w:hAnsi="Times New Roman"/>
                <w:sz w:val="16"/>
                <w:szCs w:val="16"/>
                <w:color w:val="0000FF"/>
              </w:rPr>
            </w:pPr>
            <w:hyperlink r:id="rId127">
              <w:r>
                <w:rPr>
                  <w:rFonts w:ascii="Times New Roman" w:cs="Times New Roman" w:eastAsia="Times New Roman" w:hAnsi="Times New Roman"/>
                  <w:sz w:val="16"/>
                  <w:szCs w:val="16"/>
                  <w:color w:val="0000FF"/>
                </w:rPr>
                <w:t>Description of Capital Stock</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4.17 to our Annual Report on Form 10-K filed with the SEC on February 27, 2020 and incorporated by</w:t>
            </w:r>
          </w:p>
        </w:tc>
      </w:tr>
      <w:tr>
        <w:trPr>
          <w:trHeight w:val="182"/>
        </w:trPr>
        <w:tc>
          <w:tcPr>
            <w:tcW w:w="1100" w:type="dxa"/>
            <w:vAlign w:val="bottom"/>
          </w:tcPr>
          <w:p>
            <w:pPr>
              <w:spacing w:after="0"/>
              <w:rPr>
                <w:sz w:val="15"/>
                <w:szCs w:val="15"/>
                <w:color w:val="auto"/>
              </w:rPr>
            </w:pPr>
          </w:p>
        </w:tc>
        <w:tc>
          <w:tcPr>
            <w:tcW w:w="1880" w:type="dxa"/>
            <w:vAlign w:val="bottom"/>
            <w:tcBorders>
              <w:top w:val="single" w:sz="8" w:color="0000FF"/>
            </w:tcBorders>
          </w:tcPr>
          <w:p>
            <w:pPr>
              <w:spacing w:after="0" w:line="182" w:lineRule="exact"/>
              <w:rPr>
                <w:sz w:val="20"/>
                <w:szCs w:val="20"/>
                <w:color w:val="auto"/>
              </w:rPr>
            </w:pPr>
            <w:r>
              <w:rPr>
                <w:rFonts w:ascii="Times New Roman" w:cs="Times New Roman" w:eastAsia="Times New Roman" w:hAnsi="Times New Roman"/>
                <w:sz w:val="16"/>
                <w:szCs w:val="16"/>
                <w:color w:val="auto"/>
              </w:rPr>
              <w:t>reference herein.</w:t>
            </w:r>
          </w:p>
        </w:tc>
        <w:tc>
          <w:tcPr>
            <w:tcW w:w="20" w:type="dxa"/>
            <w:vAlign w:val="bottom"/>
          </w:tcPr>
          <w:p>
            <w:pPr>
              <w:spacing w:after="0"/>
              <w:rPr>
                <w:sz w:val="15"/>
                <w:szCs w:val="15"/>
                <w:color w:val="auto"/>
              </w:rPr>
            </w:pPr>
          </w:p>
        </w:tc>
        <w:tc>
          <w:tcPr>
            <w:tcW w:w="13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Split Dollar Agreement, dated as of February 26, 2018, by and between MasTec, Inc., Jorge Mas, and José Ramon Mas and Juan Carlos Mas, as Trustees</w:t>
              </w:r>
            </w:hyperlink>
          </w:p>
        </w:tc>
      </w:tr>
      <w:tr>
        <w:trPr>
          <w:trHeight w:val="142"/>
        </w:trPr>
        <w:tc>
          <w:tcPr>
            <w:tcW w:w="1100" w:type="dxa"/>
            <w:vAlign w:val="bottom"/>
          </w:tcPr>
          <w:p>
            <w:pPr>
              <w:spacing w:after="0"/>
              <w:rPr>
                <w:sz w:val="12"/>
                <w:szCs w:val="12"/>
                <w:color w:val="auto"/>
              </w:rPr>
            </w:pPr>
          </w:p>
        </w:tc>
        <w:tc>
          <w:tcPr>
            <w:tcW w:w="10100" w:type="dxa"/>
            <w:vAlign w:val="bottom"/>
            <w:tcBorders>
              <w:top w:val="single" w:sz="8" w:color="0000FF"/>
            </w:tcBorders>
            <w:gridSpan w:val="30"/>
          </w:tcPr>
          <w:p>
            <w:pPr>
              <w:spacing w:after="0" w:line="142" w:lineRule="exact"/>
              <w:rPr>
                <w:rFonts w:ascii="Times New Roman" w:cs="Times New Roman" w:eastAsia="Times New Roman" w:hAnsi="Times New Roman"/>
                <w:sz w:val="16"/>
                <w:szCs w:val="16"/>
                <w:color w:val="0000FF"/>
              </w:rPr>
            </w:pPr>
            <w:hyperlink r:id="rId128">
              <w:r>
                <w:rPr>
                  <w:rFonts w:ascii="Times New Roman" w:cs="Times New Roman" w:eastAsia="Times New Roman" w:hAnsi="Times New Roman"/>
                  <w:sz w:val="16"/>
                  <w:szCs w:val="16"/>
                  <w:color w:val="0000FF"/>
                </w:rPr>
                <w:t>of the Jorge Mas Irrevocable Trust, dated June 1, 2012</w:t>
              </w:r>
              <w:r>
                <w:rPr>
                  <w:rFonts w:ascii="Times New Roman" w:cs="Times New Roman" w:eastAsia="Times New Roman" w:hAnsi="Times New Roman"/>
                  <w:sz w:val="16"/>
                  <w:szCs w:val="16"/>
                  <w:color w:val="000000"/>
                </w:rPr>
                <w:t>, filed as Exhibit 10.1 to our Annual Report on Form 10-K filed with the SEC on February 27, 2018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2"/>
        </w:trPr>
        <w:tc>
          <w:tcPr>
            <w:tcW w:w="1100" w:type="dxa"/>
            <w:vAlign w:val="bottom"/>
          </w:tcPr>
          <w:p>
            <w:pPr>
              <w:spacing w:after="0"/>
              <w:rPr>
                <w:sz w:val="15"/>
                <w:szCs w:val="15"/>
                <w:color w:val="auto"/>
              </w:rPr>
            </w:pPr>
          </w:p>
        </w:tc>
        <w:tc>
          <w:tcPr>
            <w:tcW w:w="356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Split Dollar Agreement, dated as of February 26, 2018, by and between MasTec, Inc., José Ramon Mas, and Patricia C. Mas, Jorge Mas and Juan Carlos</w:t>
              </w:r>
            </w:hyperlink>
          </w:p>
        </w:tc>
      </w:tr>
      <w:tr>
        <w:trPr>
          <w:trHeight w:val="142"/>
        </w:trPr>
        <w:tc>
          <w:tcPr>
            <w:tcW w:w="1100" w:type="dxa"/>
            <w:vAlign w:val="bottom"/>
          </w:tcPr>
          <w:p>
            <w:pPr>
              <w:spacing w:after="0"/>
              <w:rPr>
                <w:sz w:val="12"/>
                <w:szCs w:val="12"/>
                <w:color w:val="auto"/>
              </w:rPr>
            </w:pPr>
          </w:p>
        </w:tc>
        <w:tc>
          <w:tcPr>
            <w:tcW w:w="101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129">
              <w:r>
                <w:rPr>
                  <w:rFonts w:ascii="Times New Roman" w:cs="Times New Roman" w:eastAsia="Times New Roman" w:hAnsi="Times New Roman"/>
                  <w:sz w:val="16"/>
                  <w:szCs w:val="16"/>
                  <w:color w:val="0000FF"/>
                </w:rPr>
                <w:t>Mas, as Trustees of the José Ramon Mas Irrevocable Trust, dated December 7, 2012</w:t>
              </w:r>
              <w:r>
                <w:rPr>
                  <w:rFonts w:ascii="Times New Roman" w:cs="Times New Roman" w:eastAsia="Times New Roman" w:hAnsi="Times New Roman"/>
                  <w:sz w:val="16"/>
                  <w:szCs w:val="16"/>
                  <w:color w:val="000000"/>
                </w:rPr>
                <w:t>, filed as Exhibit 10.2 to our Annual Report on Form 10-K filed with</w:t>
              </w:r>
            </w:hyperlink>
          </w:p>
        </w:tc>
        <w:tc>
          <w:tcPr>
            <w:tcW w:w="20" w:type="dxa"/>
            <w:vAlign w:val="bottom"/>
          </w:tcPr>
          <w:p>
            <w:pPr>
              <w:spacing w:after="0"/>
              <w:rPr>
                <w:sz w:val="12"/>
                <w:szCs w:val="12"/>
                <w:color w:val="auto"/>
              </w:rPr>
            </w:pPr>
          </w:p>
        </w:tc>
      </w:tr>
      <w:tr>
        <w:trPr>
          <w:trHeight w:val="182"/>
        </w:trPr>
        <w:tc>
          <w:tcPr>
            <w:tcW w:w="1100" w:type="dxa"/>
            <w:vAlign w:val="bottom"/>
          </w:tcPr>
          <w:p>
            <w:pPr>
              <w:spacing w:after="0"/>
              <w:rPr>
                <w:sz w:val="15"/>
                <w:szCs w:val="15"/>
                <w:color w:val="auto"/>
              </w:rPr>
            </w:pPr>
          </w:p>
        </w:tc>
        <w:tc>
          <w:tcPr>
            <w:tcW w:w="554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6"/>
                <w:szCs w:val="16"/>
                <w:color w:val="auto"/>
              </w:rPr>
              <w:t>the SEC on February 27, 2018 and incorporated by reference herein.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10.3+</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0">
              <w:r>
                <w:rPr>
                  <w:rFonts w:ascii="Times New Roman" w:cs="Times New Roman" w:eastAsia="Times New Roman" w:hAnsi="Times New Roman"/>
                  <w:sz w:val="16"/>
                  <w:szCs w:val="16"/>
                  <w:color w:val="0000FF"/>
                </w:rPr>
                <w:t>Employment Agreement, dated April 18, 2007, by and between MasTec, Inc. and José R. Mas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Current Report on Form 8-K</w:t>
            </w:r>
          </w:p>
        </w:tc>
      </w:tr>
      <w:tr>
        <w:trPr>
          <w:trHeight w:val="182"/>
        </w:trPr>
        <w:tc>
          <w:tcPr>
            <w:tcW w:w="1100" w:type="dxa"/>
            <w:vAlign w:val="bottom"/>
          </w:tcPr>
          <w:p>
            <w:pPr>
              <w:spacing w:after="0"/>
              <w:rPr>
                <w:sz w:val="15"/>
                <w:szCs w:val="15"/>
                <w:color w:val="auto"/>
              </w:rPr>
            </w:pPr>
          </w:p>
        </w:tc>
        <w:tc>
          <w:tcPr>
            <w:tcW w:w="618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April 20, 2007 and incorporated by reference herein.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10.4+</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1">
              <w:r>
                <w:rPr>
                  <w:rFonts w:ascii="Times New Roman" w:cs="Times New Roman" w:eastAsia="Times New Roman" w:hAnsi="Times New Roman"/>
                  <w:sz w:val="16"/>
                  <w:szCs w:val="16"/>
                  <w:color w:val="0000FF"/>
                </w:rPr>
                <w:t>First Amendment to the Employment Agreement between MasTec, Inc. and Jose R. Mas, dated March 31, 2014</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w:t>
            </w:r>
          </w:p>
        </w:tc>
      </w:tr>
      <w:tr>
        <w:trPr>
          <w:trHeight w:val="182"/>
        </w:trPr>
        <w:tc>
          <w:tcPr>
            <w:tcW w:w="1100" w:type="dxa"/>
            <w:vAlign w:val="bottom"/>
          </w:tcPr>
          <w:p>
            <w:pPr>
              <w:spacing w:after="0"/>
              <w:rPr>
                <w:sz w:val="15"/>
                <w:szCs w:val="15"/>
                <w:color w:val="auto"/>
              </w:rPr>
            </w:pPr>
          </w:p>
        </w:tc>
        <w:tc>
          <w:tcPr>
            <w:tcW w:w="75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April 4, 2014 and incorporated by reference herein.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10.5+</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2">
              <w:r>
                <w:rPr>
                  <w:rFonts w:ascii="Times New Roman" w:cs="Times New Roman" w:eastAsia="Times New Roman" w:hAnsi="Times New Roman"/>
                  <w:sz w:val="16"/>
                  <w:szCs w:val="16"/>
                  <w:color w:val="0000FF"/>
                </w:rPr>
                <w:t>Employment Agreement, effective as of January 1, 2010, between MasTec, Inc. and Robert Apple</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 Current Report on Form 8-</w:t>
            </w:r>
          </w:p>
        </w:tc>
      </w:tr>
      <w:tr>
        <w:trPr>
          <w:trHeight w:val="182"/>
        </w:trPr>
        <w:tc>
          <w:tcPr>
            <w:tcW w:w="1100" w:type="dxa"/>
            <w:vAlign w:val="bottom"/>
          </w:tcPr>
          <w:p>
            <w:pPr>
              <w:spacing w:after="0"/>
              <w:rPr>
                <w:sz w:val="15"/>
                <w:szCs w:val="15"/>
                <w:color w:val="auto"/>
              </w:rPr>
            </w:pPr>
          </w:p>
        </w:tc>
        <w:tc>
          <w:tcPr>
            <w:tcW w:w="63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6"/>
                <w:szCs w:val="16"/>
                <w:color w:val="auto"/>
              </w:rPr>
              <w:t>K filed with the SEC on January 28, 2010 and incorporated by reference herein.</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10.6+</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3">
              <w:r>
                <w:rPr>
                  <w:rFonts w:ascii="Times New Roman" w:cs="Times New Roman" w:eastAsia="Times New Roman" w:hAnsi="Times New Roman"/>
                  <w:sz w:val="16"/>
                  <w:szCs w:val="16"/>
                  <w:color w:val="0000FF"/>
                </w:rPr>
                <w:t>First Amendment to the Employment Agreement between MasTec, Inc. and Robert Apple, dated March 31, 2014</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10.4 to our Current</w:t>
            </w:r>
          </w:p>
        </w:tc>
      </w:tr>
      <w:tr>
        <w:trPr>
          <w:trHeight w:val="182"/>
        </w:trPr>
        <w:tc>
          <w:tcPr>
            <w:tcW w:w="1100" w:type="dxa"/>
            <w:vAlign w:val="bottom"/>
          </w:tcPr>
          <w:p>
            <w:pPr>
              <w:spacing w:after="0"/>
              <w:rPr>
                <w:sz w:val="15"/>
                <w:szCs w:val="15"/>
                <w:color w:val="auto"/>
              </w:rPr>
            </w:pPr>
          </w:p>
        </w:tc>
        <w:tc>
          <w:tcPr>
            <w:tcW w:w="7580" w:type="dxa"/>
            <w:vAlign w:val="bottom"/>
            <w:tcBorders>
              <w:top w:val="single" w:sz="8" w:color="0000FF"/>
            </w:tcBorders>
            <w:gridSpan w:val="20"/>
          </w:tcPr>
          <w:p>
            <w:pPr>
              <w:spacing w:after="0" w:line="182" w:lineRule="exact"/>
              <w:rPr>
                <w:sz w:val="20"/>
                <w:szCs w:val="20"/>
                <w:color w:val="auto"/>
              </w:rPr>
            </w:pPr>
            <w:r>
              <w:rPr>
                <w:rFonts w:ascii="Times New Roman" w:cs="Times New Roman" w:eastAsia="Times New Roman" w:hAnsi="Times New Roman"/>
                <w:sz w:val="16"/>
                <w:szCs w:val="16"/>
                <w:color w:val="auto"/>
              </w:rPr>
              <w:t>Report on Form 8-K filed with the SEC on April 4, 2014 and incorporated by reference herein.</w:t>
            </w: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10.7+</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4">
              <w:r>
                <w:rPr>
                  <w:rFonts w:ascii="Times New Roman" w:cs="Times New Roman" w:eastAsia="Times New Roman" w:hAnsi="Times New Roman"/>
                  <w:sz w:val="16"/>
                  <w:szCs w:val="16"/>
                  <w:color w:val="0000FF"/>
                </w:rPr>
                <w:t>Employment Agreement, dated as of March 31, 2014, by and between MasTec, Inc. and Alberto de Cardenas</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Current Report</w:t>
            </w:r>
          </w:p>
        </w:tc>
      </w:tr>
      <w:tr>
        <w:trPr>
          <w:trHeight w:val="182"/>
        </w:trPr>
        <w:tc>
          <w:tcPr>
            <w:tcW w:w="1100" w:type="dxa"/>
            <w:vAlign w:val="bottom"/>
          </w:tcPr>
          <w:p>
            <w:pPr>
              <w:spacing w:after="0"/>
              <w:rPr>
                <w:sz w:val="15"/>
                <w:szCs w:val="15"/>
                <w:color w:val="auto"/>
              </w:rPr>
            </w:pPr>
          </w:p>
        </w:tc>
        <w:tc>
          <w:tcPr>
            <w:tcW w:w="718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6"/>
                <w:szCs w:val="16"/>
                <w:color w:val="auto"/>
              </w:rPr>
              <w:t>on Form 8-K filed with the SEC on April 4, 2014 and incorporated by reference herein.</w:t>
            </w:r>
          </w:p>
        </w:tc>
        <w:tc>
          <w:tcPr>
            <w:tcW w:w="92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10.8+</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5">
              <w:r>
                <w:rPr>
                  <w:rFonts w:ascii="Times New Roman" w:cs="Times New Roman" w:eastAsia="Times New Roman" w:hAnsi="Times New Roman"/>
                  <w:sz w:val="16"/>
                  <w:szCs w:val="16"/>
                  <w:color w:val="0000FF"/>
                </w:rPr>
                <w:t>Employment Agreement, dated March 30, 2023, by and between MasTec, Inc. and Paul DiMarco</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Quarterly Report on Form</w:t>
            </w:r>
          </w:p>
        </w:tc>
      </w:tr>
      <w:tr>
        <w:trPr>
          <w:trHeight w:val="182"/>
        </w:trPr>
        <w:tc>
          <w:tcPr>
            <w:tcW w:w="1100" w:type="dxa"/>
            <w:vAlign w:val="bottom"/>
          </w:tcPr>
          <w:p>
            <w:pPr>
              <w:spacing w:after="0"/>
              <w:rPr>
                <w:sz w:val="15"/>
                <w:szCs w:val="15"/>
                <w:color w:val="auto"/>
              </w:rPr>
            </w:pPr>
          </w:p>
        </w:tc>
        <w:tc>
          <w:tcPr>
            <w:tcW w:w="64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6"/>
                <w:szCs w:val="16"/>
                <w:color w:val="auto"/>
              </w:rPr>
              <w:t>10-Q filed with the SEC on May 4, 2023 and incorporated by reference herein.</w:t>
            </w:r>
          </w:p>
        </w:tc>
        <w:tc>
          <w:tcPr>
            <w:tcW w:w="1680" w:type="dxa"/>
            <w:vAlign w:val="bottom"/>
            <w:gridSpan w:val="4"/>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10.9+</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Amended and Restated Employment Agreement, dated March 31, 2023, by and between MasTec, Inc. and George Pita</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10.2 to our</w:t>
            </w:r>
          </w:p>
        </w:tc>
      </w:tr>
      <w:tr>
        <w:trPr>
          <w:trHeight w:val="182"/>
        </w:trPr>
        <w:tc>
          <w:tcPr>
            <w:tcW w:w="1100" w:type="dxa"/>
            <w:vAlign w:val="bottom"/>
          </w:tcPr>
          <w:p>
            <w:pPr>
              <w:spacing w:after="0"/>
              <w:rPr>
                <w:sz w:val="15"/>
                <w:szCs w:val="15"/>
                <w:color w:val="auto"/>
              </w:rPr>
            </w:pPr>
          </w:p>
        </w:tc>
        <w:tc>
          <w:tcPr>
            <w:tcW w:w="8100" w:type="dxa"/>
            <w:vAlign w:val="bottom"/>
            <w:tcBorders>
              <w:top w:val="single" w:sz="8" w:color="0000FF"/>
            </w:tcBorders>
            <w:gridSpan w:val="21"/>
          </w:tcPr>
          <w:p>
            <w:pPr>
              <w:spacing w:after="0" w:line="182" w:lineRule="exact"/>
              <w:rPr>
                <w:sz w:val="20"/>
                <w:szCs w:val="20"/>
                <w:color w:val="auto"/>
              </w:rPr>
            </w:pPr>
            <w:r>
              <w:rPr>
                <w:rFonts w:ascii="Times New Roman" w:cs="Times New Roman" w:eastAsia="Times New Roman" w:hAnsi="Times New Roman"/>
                <w:sz w:val="16"/>
                <w:szCs w:val="16"/>
                <w:color w:val="auto"/>
              </w:rPr>
              <w:t>Quarterly Report on Form 10-Q filed with the SEC on May 4, 2023 and incorporated by reference herein.</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10.10+</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MasTec, Inc. Deferred Fee Plan for Directors (as amended and restated)</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10.38 to our Form 8-K filed with the SEC on December 23, 2005</w:t>
            </w:r>
          </w:p>
        </w:tc>
      </w:tr>
      <w:tr>
        <w:trPr>
          <w:trHeight w:val="182"/>
        </w:trPr>
        <w:tc>
          <w:tcPr>
            <w:tcW w:w="1100" w:type="dxa"/>
            <w:vAlign w:val="bottom"/>
          </w:tcPr>
          <w:p>
            <w:pPr>
              <w:spacing w:after="0"/>
              <w:rPr>
                <w:sz w:val="15"/>
                <w:szCs w:val="15"/>
                <w:color w:val="auto"/>
              </w:rPr>
            </w:pPr>
          </w:p>
        </w:tc>
        <w:tc>
          <w:tcPr>
            <w:tcW w:w="46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6"/>
                <w:szCs w:val="16"/>
                <w:color w:val="auto"/>
              </w:rPr>
              <w:t>and incorporated by reference herein.</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10.11+</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MasTec, Inc. Amended and Restated Deferred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10.3 to our Annual Report on Form 10-K filed with the SEC on</w:t>
            </w:r>
          </w:p>
        </w:tc>
      </w:tr>
      <w:tr>
        <w:trPr>
          <w:trHeight w:val="182"/>
        </w:trPr>
        <w:tc>
          <w:tcPr>
            <w:tcW w:w="1100" w:type="dxa"/>
            <w:vAlign w:val="bottom"/>
          </w:tcPr>
          <w:p>
            <w:pPr>
              <w:spacing w:after="0"/>
              <w:rPr>
                <w:sz w:val="15"/>
                <w:szCs w:val="15"/>
                <w:color w:val="auto"/>
              </w:rPr>
            </w:pPr>
          </w:p>
        </w:tc>
        <w:tc>
          <w:tcPr>
            <w:tcW w:w="444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6"/>
                <w:szCs w:val="16"/>
                <w:color w:val="auto"/>
              </w:rPr>
              <w:t>February 25, 2021 and incorporated by reference herein.</w:t>
            </w: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10.12+</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39">
              <w:r>
                <w:rPr>
                  <w:rFonts w:ascii="Times New Roman" w:cs="Times New Roman" w:eastAsia="Times New Roman" w:hAnsi="Times New Roman"/>
                  <w:sz w:val="16"/>
                  <w:szCs w:val="16"/>
                  <w:color w:val="0000FF"/>
                </w:rPr>
                <w:t>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10.12 to our Annual Report on Form 10-K filed with the SEC on February</w:t>
            </w:r>
          </w:p>
        </w:tc>
      </w:tr>
      <w:tr>
        <w:trPr>
          <w:trHeight w:val="182"/>
        </w:trPr>
        <w:tc>
          <w:tcPr>
            <w:tcW w:w="1100" w:type="dxa"/>
            <w:vAlign w:val="bottom"/>
          </w:tcPr>
          <w:p>
            <w:pPr>
              <w:spacing w:after="0"/>
              <w:rPr>
                <w:sz w:val="15"/>
                <w:szCs w:val="15"/>
                <w:color w:val="auto"/>
              </w:rPr>
            </w:pPr>
          </w:p>
        </w:tc>
        <w:tc>
          <w:tcPr>
            <w:tcW w:w="400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6"/>
                <w:szCs w:val="16"/>
                <w:color w:val="auto"/>
              </w:rPr>
              <w:t>25, 2021 and incorporated by reference herein.</w:t>
            </w:r>
          </w:p>
        </w:tc>
        <w:tc>
          <w:tcPr>
            <w:tcW w:w="500" w:type="dxa"/>
            <w:vAlign w:val="bottom"/>
            <w:gridSpan w:val="2"/>
          </w:tcPr>
          <w:p>
            <w:pPr>
              <w:spacing w:after="0"/>
              <w:rPr>
                <w:sz w:val="15"/>
                <w:szCs w:val="15"/>
                <w:color w:val="auto"/>
              </w:rPr>
            </w:pPr>
          </w:p>
        </w:tc>
        <w:tc>
          <w:tcPr>
            <w:tcW w:w="22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10.13+</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Amendment to the 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 to our Quarterly Report on Form 10-Q filed with the</w:t>
            </w:r>
          </w:p>
        </w:tc>
      </w:tr>
      <w:tr>
        <w:trPr>
          <w:trHeight w:val="182"/>
        </w:trPr>
        <w:tc>
          <w:tcPr>
            <w:tcW w:w="1100" w:type="dxa"/>
            <w:vAlign w:val="bottom"/>
          </w:tcPr>
          <w:p>
            <w:pPr>
              <w:spacing w:after="0"/>
              <w:rPr>
                <w:sz w:val="15"/>
                <w:szCs w:val="15"/>
                <w:color w:val="auto"/>
              </w:rPr>
            </w:pPr>
          </w:p>
        </w:tc>
        <w:tc>
          <w:tcPr>
            <w:tcW w:w="52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6"/>
                <w:szCs w:val="16"/>
                <w:color w:val="auto"/>
              </w:rPr>
              <w:t>SEC on May 5, 2022 and incorporated by reference herein.</w:t>
            </w:r>
          </w:p>
        </w:tc>
        <w:tc>
          <w:tcPr>
            <w:tcW w:w="960" w:type="dxa"/>
            <w:vAlign w:val="bottom"/>
            <w:gridSpan w:val="2"/>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10.14+</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Amendment to the MasTec, Inc. Amended and Restated Bargaining Units ESPP</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10.4 to our Quarterly Report on Form 10-Q filed with the</w:t>
            </w:r>
          </w:p>
        </w:tc>
      </w:tr>
      <w:tr>
        <w:trPr>
          <w:trHeight w:val="182"/>
        </w:trPr>
        <w:tc>
          <w:tcPr>
            <w:tcW w:w="1100" w:type="dxa"/>
            <w:vAlign w:val="bottom"/>
          </w:tcPr>
          <w:p>
            <w:pPr>
              <w:spacing w:after="0"/>
              <w:rPr>
                <w:sz w:val="15"/>
                <w:szCs w:val="15"/>
                <w:color w:val="auto"/>
              </w:rPr>
            </w:pPr>
          </w:p>
        </w:tc>
        <w:tc>
          <w:tcPr>
            <w:tcW w:w="520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6"/>
                <w:szCs w:val="16"/>
                <w:color w:val="auto"/>
              </w:rPr>
              <w:t>SEC on May 4, 2023 and incorporated by reference herein.</w:t>
            </w:r>
          </w:p>
        </w:tc>
        <w:tc>
          <w:tcPr>
            <w:tcW w:w="960" w:type="dxa"/>
            <w:vAlign w:val="bottom"/>
            <w:gridSpan w:val="2"/>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10.15+</w:t>
            </w:r>
          </w:p>
        </w:tc>
        <w:tc>
          <w:tcPr>
            <w:tcW w:w="10160" w:type="dxa"/>
            <w:vAlign w:val="bottom"/>
            <w:gridSpan w:val="33"/>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MasTec, Inc. Amended and Restated 2011 Employee Stock Purchase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B to our Definitive Proxy Statement filed with the SEC on</w:t>
            </w:r>
          </w:p>
        </w:tc>
      </w:tr>
      <w:tr>
        <w:trPr>
          <w:trHeight w:val="182"/>
        </w:trPr>
        <w:tc>
          <w:tcPr>
            <w:tcW w:w="1100" w:type="dxa"/>
            <w:vAlign w:val="bottom"/>
          </w:tcPr>
          <w:p>
            <w:pPr>
              <w:spacing w:after="0"/>
              <w:rPr>
                <w:sz w:val="15"/>
                <w:szCs w:val="15"/>
                <w:color w:val="auto"/>
              </w:rPr>
            </w:pPr>
          </w:p>
        </w:tc>
        <w:tc>
          <w:tcPr>
            <w:tcW w:w="49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6"/>
                <w:szCs w:val="16"/>
                <w:color w:val="auto"/>
              </w:rPr>
              <w:t>April 4, 2024 and incorporated by reference herein.</w:t>
            </w:r>
          </w:p>
        </w:tc>
        <w:tc>
          <w:tcPr>
            <w:tcW w:w="1240" w:type="dxa"/>
            <w:vAlign w:val="bottom"/>
            <w:gridSpan w:val="3"/>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10.16+</w:t>
            </w:r>
          </w:p>
        </w:tc>
        <w:tc>
          <w:tcPr>
            <w:tcW w:w="10160" w:type="dxa"/>
            <w:vAlign w:val="bottom"/>
            <w:gridSpan w:val="33"/>
          </w:tcPr>
          <w:p>
            <w:pPr>
              <w:spacing w:after="0"/>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Annex A to our Definitive Proxy Statement filed with the SEC on April</w:t>
            </w:r>
          </w:p>
        </w:tc>
      </w:tr>
      <w:tr>
        <w:trPr>
          <w:trHeight w:val="182"/>
        </w:trPr>
        <w:tc>
          <w:tcPr>
            <w:tcW w:w="1100" w:type="dxa"/>
            <w:vAlign w:val="bottom"/>
          </w:tcPr>
          <w:p>
            <w:pPr>
              <w:spacing w:after="0"/>
              <w:rPr>
                <w:sz w:val="15"/>
                <w:szCs w:val="15"/>
                <w:color w:val="auto"/>
              </w:rPr>
            </w:pPr>
          </w:p>
        </w:tc>
        <w:tc>
          <w:tcPr>
            <w:tcW w:w="47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6"/>
                <w:szCs w:val="16"/>
                <w:color w:val="auto"/>
              </w:rPr>
              <w:t>4, 2024 and incorporated by reference herein.</w:t>
            </w:r>
          </w:p>
        </w:tc>
        <w:tc>
          <w:tcPr>
            <w:tcW w:w="1440" w:type="dxa"/>
            <w:vAlign w:val="bottom"/>
            <w:gridSpan w:val="4"/>
          </w:tcPr>
          <w:p>
            <w:pPr>
              <w:spacing w:after="0"/>
              <w:rPr>
                <w:sz w:val="15"/>
                <w:szCs w:val="15"/>
                <w:color w:val="auto"/>
              </w:rPr>
            </w:pPr>
          </w:p>
        </w:tc>
        <w:tc>
          <w:tcPr>
            <w:tcW w:w="2240" w:type="dxa"/>
            <w:vAlign w:val="bottom"/>
            <w:gridSpan w:val="8"/>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10.17+</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 xml:space="preserve">Form of Executive Restricted Stock Agreement for the MasTec, Inc. Amended and Restated 2013 Incentive Compensation Plan </w:t>
              </w:r>
            </w:hyperlink>
            <w:r>
              <w:rPr>
                <w:rFonts w:ascii="Times New Roman" w:cs="Times New Roman" w:eastAsia="Times New Roman" w:hAnsi="Times New Roman"/>
                <w:sz w:val="16"/>
                <w:szCs w:val="16"/>
                <w:color w:val="000000"/>
              </w:rPr>
              <w:t>(for</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awards made after</w:t>
            </w:r>
          </w:p>
        </w:tc>
      </w:tr>
      <w:tr>
        <w:trPr>
          <w:trHeight w:val="20"/>
        </w:trPr>
        <w:tc>
          <w:tcPr>
            <w:tcW w:w="110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100" w:type="dxa"/>
            <w:vAlign w:val="bottom"/>
          </w:tcPr>
          <w:p>
            <w:pPr>
              <w:spacing w:after="0"/>
              <w:rPr>
                <w:sz w:val="15"/>
                <w:szCs w:val="15"/>
                <w:color w:val="auto"/>
              </w:rPr>
            </w:pPr>
          </w:p>
        </w:tc>
        <w:tc>
          <w:tcPr>
            <w:tcW w:w="10160" w:type="dxa"/>
            <w:vAlign w:val="bottom"/>
            <w:gridSpan w:val="33"/>
          </w:tcPr>
          <w:p>
            <w:pPr>
              <w:spacing w:after="0" w:line="182" w:lineRule="exact"/>
              <w:rPr>
                <w:sz w:val="20"/>
                <w:szCs w:val="20"/>
                <w:color w:val="auto"/>
              </w:rPr>
            </w:pPr>
            <w:r>
              <w:rPr>
                <w:rFonts w:ascii="Times New Roman" w:cs="Times New Roman" w:eastAsia="Times New Roman" w:hAnsi="Times New Roman"/>
                <w:sz w:val="16"/>
                <w:szCs w:val="16"/>
                <w:color w:val="auto"/>
              </w:rPr>
              <w:t>May 14, 2020), filed as Exhibit 10.1 to our Quarterly Report on Form 10-Q filed with the SEC on July 31, 2020 and incorporated by reference herein.</w:t>
            </w: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10.18+</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Form of Executive (Jorge Mas)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w:t>
            </w:r>
          </w:p>
        </w:tc>
      </w:tr>
      <w:tr>
        <w:trPr>
          <w:trHeight w:val="182"/>
        </w:trPr>
        <w:tc>
          <w:tcPr>
            <w:tcW w:w="1100" w:type="dxa"/>
            <w:vAlign w:val="bottom"/>
          </w:tcPr>
          <w:p>
            <w:pPr>
              <w:spacing w:after="0"/>
              <w:rPr>
                <w:sz w:val="15"/>
                <w:szCs w:val="15"/>
                <w:color w:val="auto"/>
              </w:rPr>
            </w:pPr>
          </w:p>
        </w:tc>
        <w:tc>
          <w:tcPr>
            <w:tcW w:w="9480" w:type="dxa"/>
            <w:vAlign w:val="bottom"/>
            <w:tcBorders>
              <w:top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6"/>
                <w:szCs w:val="16"/>
                <w:color w:val="auto"/>
              </w:rPr>
              <w:t>Exhibit 10.2 to our Quarterly Report on Form 10-Q filed with the SEC on July 31, 2020 and incorporated by reference herein.</w:t>
            </w:r>
          </w:p>
        </w:tc>
        <w:tc>
          <w:tcPr>
            <w:tcW w:w="5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10.19+</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Form of 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10.18 to</w:t>
            </w:r>
          </w:p>
        </w:tc>
      </w:tr>
      <w:tr>
        <w:trPr>
          <w:trHeight w:val="182"/>
        </w:trPr>
        <w:tc>
          <w:tcPr>
            <w:tcW w:w="1100" w:type="dxa"/>
            <w:vAlign w:val="bottom"/>
          </w:tcPr>
          <w:p>
            <w:pPr>
              <w:spacing w:after="0"/>
              <w:rPr>
                <w:sz w:val="15"/>
                <w:szCs w:val="15"/>
                <w:color w:val="auto"/>
              </w:rPr>
            </w:pPr>
          </w:p>
        </w:tc>
        <w:tc>
          <w:tcPr>
            <w:tcW w:w="8400" w:type="dxa"/>
            <w:vAlign w:val="bottom"/>
            <w:tcBorders>
              <w:top w:val="single" w:sz="8" w:color="0000FF"/>
            </w:tcBorders>
            <w:gridSpan w:val="22"/>
          </w:tcPr>
          <w:p>
            <w:pPr>
              <w:spacing w:after="0" w:line="182" w:lineRule="exact"/>
              <w:rPr>
                <w:sz w:val="20"/>
                <w:szCs w:val="20"/>
                <w:color w:val="auto"/>
              </w:rPr>
            </w:pPr>
            <w:r>
              <w:rPr>
                <w:rFonts w:ascii="Times New Roman" w:cs="Times New Roman" w:eastAsia="Times New Roman" w:hAnsi="Times New Roman"/>
                <w:sz w:val="16"/>
                <w:szCs w:val="16"/>
                <w:color w:val="auto"/>
              </w:rPr>
              <w:t>our Annual Report on Form 10-K filed with the SEC on March 16, 2023 and incorporated by reference herein.</w:t>
            </w:r>
          </w:p>
        </w:tc>
        <w:tc>
          <w:tcPr>
            <w:tcW w:w="5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10.20+</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Form of Non-Employee Restricted Stock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w:t>
            </w:r>
          </w:p>
        </w:tc>
      </w:tr>
      <w:tr>
        <w:trPr>
          <w:trHeight w:val="182"/>
        </w:trPr>
        <w:tc>
          <w:tcPr>
            <w:tcW w:w="1100" w:type="dxa"/>
            <w:vAlign w:val="bottom"/>
          </w:tcPr>
          <w:p>
            <w:pPr>
              <w:spacing w:after="0"/>
              <w:rPr>
                <w:sz w:val="15"/>
                <w:szCs w:val="15"/>
                <w:color w:val="auto"/>
              </w:rPr>
            </w:pPr>
          </w:p>
        </w:tc>
        <w:tc>
          <w:tcPr>
            <w:tcW w:w="8920" w:type="dxa"/>
            <w:vAlign w:val="bottom"/>
            <w:tcBorders>
              <w:top w:val="single" w:sz="8" w:color="0000FF"/>
            </w:tcBorders>
            <w:gridSpan w:val="24"/>
          </w:tcPr>
          <w:p>
            <w:pPr>
              <w:spacing w:after="0" w:line="182" w:lineRule="exact"/>
              <w:rPr>
                <w:sz w:val="20"/>
                <w:szCs w:val="20"/>
                <w:color w:val="auto"/>
              </w:rPr>
            </w:pPr>
            <w:r>
              <w:rPr>
                <w:rFonts w:ascii="Times New Roman" w:cs="Times New Roman" w:eastAsia="Times New Roman" w:hAnsi="Times New Roman"/>
                <w:sz w:val="16"/>
                <w:szCs w:val="16"/>
                <w:color w:val="auto"/>
              </w:rPr>
              <w:t>10.19 to our Annual Report on Form 10-K filed with the SEC on March 16, 2023 and incorporated by reference herein.</w:t>
            </w:r>
          </w:p>
        </w:tc>
        <w:tc>
          <w:tcPr>
            <w:tcW w:w="20" w:type="dxa"/>
            <w:vAlign w:val="bottom"/>
          </w:tcPr>
          <w:p>
            <w:pPr>
              <w:spacing w:after="0"/>
              <w:rPr>
                <w:sz w:val="15"/>
                <w:szCs w:val="15"/>
                <w:color w:val="auto"/>
              </w:rPr>
            </w:pPr>
          </w:p>
        </w:tc>
        <w:tc>
          <w:tcPr>
            <w:tcW w:w="1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10.21+</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Form of Employee Restricted Stock Units Agreement for the MasTec, Inc. Amended and Restated 2013 Incentive Compensation Plan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w:t>
            </w:r>
          </w:p>
        </w:tc>
      </w:tr>
      <w:tr>
        <w:trPr>
          <w:trHeight w:val="182"/>
        </w:trPr>
        <w:tc>
          <w:tcPr>
            <w:tcW w:w="1100" w:type="dxa"/>
            <w:vAlign w:val="bottom"/>
          </w:tcPr>
          <w:p>
            <w:pPr>
              <w:spacing w:after="0"/>
              <w:rPr>
                <w:sz w:val="15"/>
                <w:szCs w:val="15"/>
                <w:color w:val="auto"/>
              </w:rPr>
            </w:pPr>
          </w:p>
        </w:tc>
        <w:tc>
          <w:tcPr>
            <w:tcW w:w="8940" w:type="dxa"/>
            <w:vAlign w:val="bottom"/>
            <w:tcBorders>
              <w:top w:val="single" w:sz="8" w:color="0000FF"/>
            </w:tcBorders>
            <w:gridSpan w:val="25"/>
          </w:tcPr>
          <w:p>
            <w:pPr>
              <w:spacing w:after="0" w:line="182" w:lineRule="exact"/>
              <w:rPr>
                <w:sz w:val="20"/>
                <w:szCs w:val="20"/>
                <w:color w:val="auto"/>
              </w:rPr>
            </w:pPr>
            <w:r>
              <w:rPr>
                <w:rFonts w:ascii="Times New Roman" w:cs="Times New Roman" w:eastAsia="Times New Roman" w:hAnsi="Times New Roman"/>
                <w:sz w:val="16"/>
                <w:szCs w:val="16"/>
                <w:color w:val="auto"/>
              </w:rPr>
              <w:t>10.20 to our Annual Report on Form 10-K filed with the SEC on March 16, 2023 and incorporated by reference herein.</w:t>
            </w:r>
          </w:p>
        </w:tc>
        <w:tc>
          <w:tcPr>
            <w:tcW w:w="11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10.22</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Credit Agreement, dated as of November 1, 2021, by and among MasTec, Inc. and MasTec North America, Inc. as Borrowers, Bank of America, N.A., as</w:t>
              </w:r>
            </w:hyperlink>
          </w:p>
        </w:tc>
      </w:tr>
      <w:tr>
        <w:trPr>
          <w:trHeight w:val="142"/>
        </w:trPr>
        <w:tc>
          <w:tcPr>
            <w:tcW w:w="1100" w:type="dxa"/>
            <w:vAlign w:val="bottom"/>
          </w:tcPr>
          <w:p>
            <w:pPr>
              <w:spacing w:after="0"/>
              <w:rPr>
                <w:sz w:val="12"/>
                <w:szCs w:val="12"/>
                <w:color w:val="auto"/>
              </w:rPr>
            </w:pPr>
          </w:p>
        </w:tc>
        <w:tc>
          <w:tcPr>
            <w:tcW w:w="10060" w:type="dxa"/>
            <w:vAlign w:val="bottom"/>
            <w:tcBorders>
              <w:top w:val="single" w:sz="8" w:color="0000FF"/>
            </w:tcBorders>
            <w:gridSpan w:val="28"/>
          </w:tcPr>
          <w:p>
            <w:pPr>
              <w:spacing w:after="0" w:line="14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Administrative Agent, Swing Line Lender and L/C Issuer, and the other lenders party thereto</w:t>
              </w:r>
              <w:r>
                <w:rPr>
                  <w:rFonts w:ascii="Times New Roman" w:cs="Times New Roman" w:eastAsia="Times New Roman" w:hAnsi="Times New Roman"/>
                  <w:sz w:val="16"/>
                  <w:szCs w:val="16"/>
                  <w:color w:val="000000"/>
                </w:rPr>
                <w:t>, filed as Exhibit 10.7 to our Annual Report on Form 10-K</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82"/>
        </w:trPr>
        <w:tc>
          <w:tcPr>
            <w:tcW w:w="1100" w:type="dxa"/>
            <w:vAlign w:val="bottom"/>
          </w:tcPr>
          <w:p>
            <w:pPr>
              <w:spacing w:after="0"/>
              <w:rPr>
                <w:sz w:val="15"/>
                <w:szCs w:val="15"/>
                <w:color w:val="auto"/>
              </w:rPr>
            </w:pPr>
          </w:p>
        </w:tc>
        <w:tc>
          <w:tcPr>
            <w:tcW w:w="616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6"/>
                <w:szCs w:val="16"/>
                <w:color w:val="auto"/>
              </w:rPr>
              <w:t>filed with the SEC on March 1, 2022 and incorporated by reference herein.</w:t>
            </w:r>
          </w:p>
        </w:tc>
        <w:tc>
          <w:tcPr>
            <w:tcW w:w="3920" w:type="dxa"/>
            <w:vAlign w:val="bottom"/>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10.23*</w:t>
            </w:r>
          </w:p>
        </w:tc>
        <w:tc>
          <w:tcPr>
            <w:tcW w:w="10160" w:type="dxa"/>
            <w:vAlign w:val="bottom"/>
            <w:gridSpan w:val="33"/>
          </w:tcPr>
          <w:p>
            <w:pPr>
              <w:spacing w:after="0" w:line="176" w:lineRule="exact"/>
              <w:rPr>
                <w:sz w:val="20"/>
                <w:szCs w:val="20"/>
                <w:color w:val="auto"/>
              </w:rPr>
            </w:pPr>
            <w:r>
              <w:rPr>
                <w:rFonts w:ascii="Times New Roman" w:cs="Times New Roman" w:eastAsia="Times New Roman" w:hAnsi="Times New Roman"/>
                <w:sz w:val="16"/>
                <w:szCs w:val="16"/>
                <w:color w:val="0000FF"/>
              </w:rPr>
              <w:t>Amendment No. 2 to Credit Agreement, dated as of December 9, 2024, by and among MasTec, Inc. and MasTec North America, Inc. as Borrowers and</w:t>
            </w:r>
          </w:p>
        </w:tc>
      </w:tr>
      <w:tr>
        <w:trPr>
          <w:trHeight w:val="142"/>
        </w:trPr>
        <w:tc>
          <w:tcPr>
            <w:tcW w:w="1100" w:type="dxa"/>
            <w:vAlign w:val="bottom"/>
          </w:tcPr>
          <w:p>
            <w:pPr>
              <w:spacing w:after="0"/>
              <w:rPr>
                <w:sz w:val="12"/>
                <w:szCs w:val="12"/>
                <w:color w:val="auto"/>
              </w:rPr>
            </w:pPr>
          </w:p>
        </w:tc>
        <w:tc>
          <w:tcPr>
            <w:tcW w:w="10120" w:type="dxa"/>
            <w:vAlign w:val="bottom"/>
            <w:tcBorders>
              <w:top w:val="single" w:sz="8" w:color="0000FF"/>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FF"/>
              </w:rPr>
              <w:t>Bank of America, N.A., as Administrative Agent.</w:t>
            </w:r>
          </w:p>
        </w:tc>
        <w:tc>
          <w:tcPr>
            <w:tcW w:w="40" w:type="dxa"/>
            <w:vAlign w:val="bottom"/>
            <w:gridSpan w:val="2"/>
          </w:tcPr>
          <w:p>
            <w:pPr>
              <w:spacing w:after="0"/>
              <w:rPr>
                <w:sz w:val="12"/>
                <w:szCs w:val="12"/>
                <w:color w:val="auto"/>
              </w:rPr>
            </w:pPr>
          </w:p>
        </w:tc>
      </w:tr>
      <w:tr>
        <w:trPr>
          <w:trHeight w:val="20"/>
        </w:trPr>
        <w:tc>
          <w:tcPr>
            <w:tcW w:w="110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580" w:type="dxa"/>
            <w:vAlign w:val="bottom"/>
            <w:gridSpan w:val="21"/>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10.24</w:t>
            </w:r>
          </w:p>
        </w:tc>
        <w:tc>
          <w:tcPr>
            <w:tcW w:w="10160" w:type="dxa"/>
            <w:vAlign w:val="bottom"/>
            <w:gridSpan w:val="33"/>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Term Loan Agreement, dated as of September 1, 2022, by and among MasTec, Inc. and MasTec North America, Inc. as Borrowers, Bank of America,</w:t>
              </w:r>
            </w:hyperlink>
          </w:p>
        </w:tc>
      </w:tr>
      <w:tr>
        <w:trPr>
          <w:trHeight w:val="142"/>
        </w:trPr>
        <w:tc>
          <w:tcPr>
            <w:tcW w:w="1100" w:type="dxa"/>
            <w:vAlign w:val="bottom"/>
          </w:tcPr>
          <w:p>
            <w:pPr>
              <w:spacing w:after="0"/>
              <w:rPr>
                <w:sz w:val="12"/>
                <w:szCs w:val="12"/>
                <w:color w:val="auto"/>
              </w:rPr>
            </w:pPr>
          </w:p>
        </w:tc>
        <w:tc>
          <w:tcPr>
            <w:tcW w:w="10080" w:type="dxa"/>
            <w:vAlign w:val="bottom"/>
            <w:tcBorders>
              <w:top w:val="single" w:sz="8" w:color="0000FF"/>
            </w:tcBorders>
            <w:gridSpan w:val="29"/>
          </w:tcPr>
          <w:p>
            <w:pPr>
              <w:spacing w:after="0" w:line="14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N.A., as Administrative Agent, and the other lenders party thereto</w:t>
              </w:r>
              <w:r>
                <w:rPr>
                  <w:rFonts w:ascii="Times New Roman" w:cs="Times New Roman" w:eastAsia="Times New Roman" w:hAnsi="Times New Roman"/>
                  <w:sz w:val="16"/>
                  <w:szCs w:val="16"/>
                  <w:color w:val="000000"/>
                </w:rPr>
                <w:t>, filed as Exhibit 10.2 to our Current Report on Form 8-K filed with the SEC on</w:t>
              </w:r>
            </w:hyperlink>
          </w:p>
        </w:tc>
        <w:tc>
          <w:tcPr>
            <w:tcW w:w="80" w:type="dxa"/>
            <w:vAlign w:val="bottom"/>
            <w:gridSpan w:val="4"/>
          </w:tcPr>
          <w:p>
            <w:pPr>
              <w:spacing w:after="0"/>
              <w:rPr>
                <w:sz w:val="12"/>
                <w:szCs w:val="12"/>
                <w:color w:val="auto"/>
              </w:rPr>
            </w:pPr>
          </w:p>
        </w:tc>
      </w:tr>
      <w:tr>
        <w:trPr>
          <w:trHeight w:val="182"/>
        </w:trPr>
        <w:tc>
          <w:tcPr>
            <w:tcW w:w="1100" w:type="dxa"/>
            <w:vAlign w:val="bottom"/>
          </w:tcPr>
          <w:p>
            <w:pPr>
              <w:spacing w:after="0"/>
              <w:rPr>
                <w:sz w:val="15"/>
                <w:szCs w:val="15"/>
                <w:color w:val="auto"/>
              </w:rPr>
            </w:pPr>
          </w:p>
        </w:tc>
        <w:tc>
          <w:tcPr>
            <w:tcW w:w="450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6"/>
                <w:szCs w:val="16"/>
                <w:color w:val="auto"/>
              </w:rPr>
              <w:t>September 1, 2022 and incorporated by reference herein.</w:t>
            </w:r>
          </w:p>
        </w:tc>
        <w:tc>
          <w:tcPr>
            <w:tcW w:w="5660" w:type="dxa"/>
            <w:vAlign w:val="bottom"/>
            <w:gridSpan w:val="25"/>
          </w:tcPr>
          <w:p>
            <w:pPr>
              <w:spacing w:after="0"/>
              <w:rPr>
                <w:sz w:val="15"/>
                <w:szCs w:val="15"/>
                <w:color w:val="auto"/>
              </w:rPr>
            </w:pPr>
          </w:p>
        </w:tc>
      </w:tr>
      <w:tr>
        <w:trPr>
          <w:trHeight w:val="176"/>
        </w:trPr>
        <w:tc>
          <w:tcPr>
            <w:tcW w:w="1100" w:type="dxa"/>
            <w:vAlign w:val="bottom"/>
          </w:tcPr>
          <w:p>
            <w:pPr>
              <w:ind w:left="20"/>
              <w:spacing w:after="0" w:line="176" w:lineRule="exact"/>
              <w:rPr>
                <w:sz w:val="20"/>
                <w:szCs w:val="20"/>
                <w:color w:val="auto"/>
              </w:rPr>
            </w:pPr>
            <w:r>
              <w:rPr>
                <w:rFonts w:ascii="Times New Roman" w:cs="Times New Roman" w:eastAsia="Times New Roman" w:hAnsi="Times New Roman"/>
                <w:sz w:val="16"/>
                <w:szCs w:val="16"/>
                <w:color w:val="auto"/>
              </w:rPr>
              <w:t>16.1</w:t>
            </w:r>
          </w:p>
        </w:tc>
        <w:tc>
          <w:tcPr>
            <w:tcW w:w="10160" w:type="dxa"/>
            <w:vAlign w:val="bottom"/>
            <w:gridSpan w:val="33"/>
          </w:tcPr>
          <w:p>
            <w:pPr>
              <w:spacing w:after="0" w:line="176"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Letter from BDO USA, P.C.</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dated March 7, 2024, filed as Exhibit 16.1 to our Current Report on Form 8-K filed with the SEC on March 8, 2024 and</w:t>
            </w:r>
          </w:p>
        </w:tc>
      </w:tr>
      <w:tr>
        <w:trPr>
          <w:trHeight w:val="20"/>
        </w:trPr>
        <w:tc>
          <w:tcPr>
            <w:tcW w:w="1100" w:type="dxa"/>
            <w:vAlign w:val="bottom"/>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8260" w:type="dxa"/>
            <w:vAlign w:val="bottom"/>
            <w:gridSpan w:val="31"/>
          </w:tcPr>
          <w:p>
            <w:pPr>
              <w:spacing w:after="0" w:line="20" w:lineRule="exact"/>
              <w:rPr>
                <w:sz w:val="1"/>
                <w:szCs w:val="1"/>
                <w:color w:val="auto"/>
              </w:rPr>
            </w:pPr>
          </w:p>
        </w:tc>
      </w:tr>
      <w:tr>
        <w:trPr>
          <w:trHeight w:val="204"/>
        </w:trPr>
        <w:tc>
          <w:tcPr>
            <w:tcW w:w="1100" w:type="dxa"/>
            <w:vAlign w:val="bottom"/>
          </w:tcPr>
          <w:p>
            <w:pPr>
              <w:spacing w:after="0"/>
              <w:rPr>
                <w:sz w:val="17"/>
                <w:szCs w:val="17"/>
                <w:color w:val="auto"/>
              </w:rPr>
            </w:pPr>
          </w:p>
        </w:tc>
        <w:tc>
          <w:tcPr>
            <w:tcW w:w="10160" w:type="dxa"/>
            <w:vAlign w:val="bottom"/>
            <w:gridSpan w:val="33"/>
          </w:tcPr>
          <w:p>
            <w:pPr>
              <w:spacing w:after="0"/>
              <w:rPr>
                <w:sz w:val="20"/>
                <w:szCs w:val="20"/>
                <w:color w:val="auto"/>
              </w:rPr>
            </w:pPr>
            <w:r>
              <w:rPr>
                <w:rFonts w:ascii="Times New Roman" w:cs="Times New Roman" w:eastAsia="Times New Roman" w:hAnsi="Times New Roman"/>
                <w:sz w:val="16"/>
                <w:szCs w:val="16"/>
                <w:color w:val="auto"/>
              </w:rPr>
              <w:t>incorporated by reference herein.</w:t>
            </w:r>
          </w:p>
        </w:tc>
      </w:tr>
      <w:tr>
        <w:trPr>
          <w:trHeight w:val="837"/>
        </w:trPr>
        <w:tc>
          <w:tcPr>
            <w:tcW w:w="1100" w:type="dxa"/>
            <w:vAlign w:val="bottom"/>
          </w:tcPr>
          <w:p>
            <w:pPr>
              <w:spacing w:after="0"/>
              <w:rPr>
                <w:sz w:val="24"/>
                <w:szCs w:val="24"/>
                <w:color w:val="auto"/>
              </w:rPr>
            </w:pPr>
          </w:p>
        </w:tc>
        <w:tc>
          <w:tcPr>
            <w:tcW w:w="4680" w:type="dxa"/>
            <w:vAlign w:val="bottom"/>
            <w:gridSpan w:val="9"/>
          </w:tcPr>
          <w:p>
            <w:pPr>
              <w:ind w:left="4440"/>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100" w:type="dxa"/>
            <w:vAlign w:val="bottom"/>
            <w:tcBorders>
              <w:bottom w:val="single" w:sz="8" w:color="9A9A9A"/>
            </w:tcBorders>
          </w:tcPr>
          <w:p>
            <w:pPr>
              <w:spacing w:after="0"/>
              <w:rPr>
                <w:sz w:val="19"/>
                <w:szCs w:val="19"/>
                <w:color w:val="auto"/>
              </w:rPr>
            </w:pPr>
          </w:p>
        </w:tc>
        <w:tc>
          <w:tcPr>
            <w:tcW w:w="18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4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6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2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Policy Regarding Insider Trading.</w:t>
            </w:r>
          </w:p>
        </w:tc>
        <w:tc>
          <w:tcPr>
            <w:tcW w:w="7840" w:type="dxa"/>
            <w:vAlign w:val="bottom"/>
            <w:gridSpan w:val="8"/>
          </w:tcPr>
          <w:p>
            <w:pPr>
              <w:spacing w:after="0"/>
              <w:rPr>
                <w:sz w:val="16"/>
                <w:szCs w:val="16"/>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1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Subsidiaries of MasTec, Inc.</w:t>
            </w:r>
          </w:p>
        </w:tc>
        <w:tc>
          <w:tcPr>
            <w:tcW w:w="8200" w:type="dxa"/>
            <w:vAlign w:val="bottom"/>
            <w:gridSpan w:val="9"/>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Consent of BDO USA, P.C.</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Consent of Deloitte &amp; Touche LLP</w:t>
            </w:r>
          </w:p>
        </w:tc>
      </w:tr>
      <w:tr>
        <w:trPr>
          <w:trHeight w:val="20"/>
        </w:trPr>
        <w:tc>
          <w:tcPr>
            <w:tcW w:w="10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2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Consent of PricewaterhouseCoopers LLP</w:t>
            </w:r>
          </w:p>
        </w:tc>
        <w:tc>
          <w:tcPr>
            <w:tcW w:w="7360" w:type="dxa"/>
            <w:vAlign w:val="bottom"/>
            <w:gridSpan w:val="6"/>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5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c>
          <w:tcPr>
            <w:tcW w:w="5040" w:type="dxa"/>
            <w:vAlign w:val="bottom"/>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Certifications required by Section 302(a) of the Sarbanes-Oxley Act of 2002.</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8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5060" w:type="dxa"/>
            <w:vAlign w:val="bottom"/>
            <w:gridSpan w:val="2"/>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Certifications required by Section 906 of the Sarbanes-Oxley Act of 2002.</w:t>
            </w: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95.1*</w:t>
            </w:r>
          </w:p>
        </w:tc>
        <w:tc>
          <w:tcPr>
            <w:tcW w:w="15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Mine Safety Disclosure.</w:t>
            </w:r>
          </w:p>
        </w:tc>
        <w:tc>
          <w:tcPr>
            <w:tcW w:w="3240" w:type="dxa"/>
            <w:vAlign w:val="bottom"/>
            <w:tcBorders>
              <w:top w:val="single" w:sz="8" w:color="0000FF"/>
            </w:tcBorders>
            <w:gridSpan w:val="7"/>
          </w:tcPr>
          <w:p>
            <w:pPr>
              <w:spacing w:after="0"/>
              <w:rPr>
                <w:sz w:val="17"/>
                <w:szCs w:val="17"/>
                <w:color w:val="auto"/>
              </w:rPr>
            </w:pPr>
          </w:p>
        </w:tc>
        <w:tc>
          <w:tcPr>
            <w:tcW w:w="5240" w:type="dxa"/>
            <w:vAlign w:val="bottom"/>
            <w:gridSpan w:val="4"/>
          </w:tcPr>
          <w:p>
            <w:pPr>
              <w:spacing w:after="0"/>
              <w:rPr>
                <w:sz w:val="17"/>
                <w:szCs w:val="17"/>
                <w:color w:val="auto"/>
              </w:rPr>
            </w:pPr>
          </w:p>
        </w:tc>
      </w:tr>
      <w:tr>
        <w:trPr>
          <w:trHeight w:val="19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10060" w:type="dxa"/>
            <w:vAlign w:val="bottom"/>
            <w:gridSpan w:val="12"/>
          </w:tcPr>
          <w:p>
            <w:pPr>
              <w:spacing w:after="0"/>
              <w:rPr>
                <w:rFonts w:ascii="Times New Roman" w:cs="Times New Roman" w:eastAsia="Times New Roman" w:hAnsi="Times New Roman"/>
                <w:sz w:val="16"/>
                <w:szCs w:val="16"/>
                <w:color w:val="0000FF"/>
              </w:rPr>
            </w:pPr>
            <w:hyperlink r:id="rId153">
              <w:r>
                <w:rPr>
                  <w:rFonts w:ascii="Times New Roman" w:cs="Times New Roman" w:eastAsia="Times New Roman" w:hAnsi="Times New Roman"/>
                  <w:sz w:val="16"/>
                  <w:szCs w:val="16"/>
                  <w:color w:val="0000FF"/>
                </w:rPr>
                <w:t>Policy Regarding the Mandatory Recovery of Compensation</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filed as Exhibit 97.1 to our Annual Report on Form 10-K filed with the SEC on March 1,</w:t>
            </w:r>
          </w:p>
        </w:tc>
      </w:tr>
      <w:tr>
        <w:trPr>
          <w:trHeight w:val="182"/>
        </w:trPr>
        <w:tc>
          <w:tcPr>
            <w:tcW w:w="1080" w:type="dxa"/>
            <w:vAlign w:val="bottom"/>
          </w:tcPr>
          <w:p>
            <w:pPr>
              <w:spacing w:after="0"/>
              <w:rPr>
                <w:sz w:val="15"/>
                <w:szCs w:val="15"/>
                <w:color w:val="auto"/>
              </w:rPr>
            </w:pPr>
          </w:p>
        </w:tc>
        <w:tc>
          <w:tcPr>
            <w:tcW w:w="400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6"/>
                <w:szCs w:val="16"/>
                <w:color w:val="auto"/>
              </w:rPr>
              <w:t>2024 and incorporated by reference herein.</w:t>
            </w:r>
          </w:p>
        </w:tc>
        <w:tc>
          <w:tcPr>
            <w:tcW w:w="6060" w:type="dxa"/>
            <w:vAlign w:val="bottom"/>
            <w:gridSpan w:val="5"/>
          </w:tcPr>
          <w:p>
            <w:pPr>
              <w:spacing w:after="0"/>
              <w:rPr>
                <w:sz w:val="15"/>
                <w:szCs w:val="15"/>
                <w:color w:val="auto"/>
              </w:rPr>
            </w:pPr>
          </w:p>
        </w:tc>
      </w:tr>
      <w:tr>
        <w:trPr>
          <w:trHeight w:val="162"/>
        </w:trPr>
        <w:tc>
          <w:tcPr>
            <w:tcW w:w="108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10060" w:type="dxa"/>
            <w:vAlign w:val="bottom"/>
            <w:gridSpan w:val="12"/>
          </w:tcPr>
          <w:p>
            <w:pPr>
              <w:spacing w:after="0" w:line="162" w:lineRule="exact"/>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1080" w:type="dxa"/>
            <w:vAlign w:val="bottom"/>
          </w:tcPr>
          <w:p>
            <w:pPr>
              <w:spacing w:after="0"/>
              <w:rPr>
                <w:sz w:val="18"/>
                <w:szCs w:val="18"/>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Schema</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w:t>
            </w:r>
          </w:p>
        </w:tc>
      </w:tr>
      <w:tr>
        <w:trPr>
          <w:trHeight w:val="25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060" w:type="dxa"/>
            <w:vAlign w:val="bottom"/>
            <w:gridSpan w:val="12"/>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w:t>
            </w:r>
          </w:p>
        </w:tc>
      </w:tr>
    </w:tbl>
    <w:p>
      <w:pPr>
        <w:spacing w:after="0" w:line="6" w:lineRule="exact"/>
        <w:rPr>
          <w:sz w:val="20"/>
          <w:szCs w:val="20"/>
          <w:color w:val="auto"/>
        </w:rPr>
      </w:pPr>
    </w:p>
    <w:p>
      <w:pPr>
        <w:ind w:left="1100" w:hanging="1074"/>
        <w:spacing w:after="0" w:line="245" w:lineRule="auto"/>
        <w:tabs>
          <w:tab w:leader="none" w:pos="11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of MasTec, Inc.’s Annual Report on Form 10-K for the year ended December 31, 2024, formatted in Inline XBRL (included with the Exhibit 101 attachments).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113" w:lineRule="exact"/>
        <w:rPr>
          <w:sz w:val="20"/>
          <w:szCs w:val="20"/>
          <w:color w:val="auto"/>
        </w:rPr>
      </w:pPr>
    </w:p>
    <w:p>
      <w:pPr>
        <w:ind w:right="4280" w:firstLine="8"/>
        <w:spacing w:after="0" w:line="325" w:lineRule="auto"/>
        <w:tabs>
          <w:tab w:leader="none" w:pos="351"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file number for all Securities Exchange Act reports referenced in the exhibit list is 001 - 08106. * Filed herewith.</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59"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compensation plan arrangement.</w:t>
      </w:r>
    </w:p>
    <w:p>
      <w:pPr>
        <w:spacing w:after="0" w:line="28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16.</w:t>
        <w:tab/>
        <w:t>FORM 10-K SUMMARY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4" w:right="419" w:bottom="1440" w:gutter="0" w:footer="0" w:header="0"/>
        </w:sectPr>
      </w:pPr>
    </w:p>
    <w:bookmarkStart w:id="101" w:name="page102"/>
    <w:bookmarkEnd w:id="101"/>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II – VALUATION AND QUALIFYING ACCOUNTS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140" w:type="dxa"/>
            <w:vAlign w:val="bottom"/>
          </w:tcPr>
          <w:p>
            <w:pPr>
              <w:spacing w:after="0"/>
              <w:rPr>
                <w:sz w:val="14"/>
                <w:szCs w:val="14"/>
                <w:color w:val="auto"/>
              </w:rPr>
            </w:pPr>
          </w:p>
        </w:tc>
        <w:tc>
          <w:tcPr>
            <w:tcW w:w="980" w:type="dxa"/>
            <w:vAlign w:val="bottom"/>
          </w:tcPr>
          <w:p>
            <w:pPr>
              <w:jc w:val="center"/>
              <w:ind w:right="79"/>
              <w:spacing w:after="0" w:line="161" w:lineRule="exact"/>
              <w:rPr>
                <w:sz w:val="20"/>
                <w:szCs w:val="20"/>
                <w:color w:val="auto"/>
              </w:rPr>
            </w:pPr>
            <w:r>
              <w:rPr>
                <w:rFonts w:ascii="Times New Roman" w:cs="Times New Roman" w:eastAsia="Times New Roman" w:hAnsi="Times New Roman"/>
                <w:sz w:val="16"/>
                <w:szCs w:val="16"/>
                <w:b w:val="1"/>
                <w:bCs w:val="1"/>
                <w:color w:val="auto"/>
                <w:w w:val="99"/>
              </w:rPr>
              <w:t>Charges to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40" w:type="dxa"/>
            <w:vAlign w:val="bottom"/>
          </w:tcPr>
          <w:p>
            <w:pPr>
              <w:spacing w:after="0"/>
              <w:rPr>
                <w:sz w:val="14"/>
                <w:szCs w:val="14"/>
                <w:color w:val="auto"/>
              </w:rPr>
            </w:pPr>
          </w:p>
        </w:tc>
        <w:tc>
          <w:tcPr>
            <w:tcW w:w="9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Cost and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7"/>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162"/>
        </w:trPr>
        <w:tc>
          <w:tcPr>
            <w:tcW w:w="440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0" w:type="dxa"/>
            <w:vAlign w:val="bottom"/>
          </w:tcPr>
          <w:p>
            <w:pPr>
              <w:spacing w:after="0"/>
              <w:rPr>
                <w:sz w:val="1"/>
                <w:szCs w:val="1"/>
                <w:color w:val="auto"/>
              </w:rPr>
            </w:pPr>
          </w:p>
        </w:tc>
      </w:tr>
      <w:tr>
        <w:trPr>
          <w:trHeight w:val="207"/>
        </w:trPr>
        <w:tc>
          <w:tcPr>
            <w:tcW w:w="440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193"/>
        </w:trPr>
        <w:tc>
          <w:tcPr>
            <w:tcW w:w="4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Year ended December 31, 2022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62"/>
        </w:trPr>
        <w:tc>
          <w:tcPr>
            <w:tcW w:w="440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Allowance for unbilled receivables and project close-out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(a)</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42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1"/>
                <w:szCs w:val="11"/>
                <w:color w:val="auto"/>
                <w:w w:val="97"/>
              </w:rPr>
              <w:t>(e)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13"/>
        </w:trPr>
        <w:tc>
          <w:tcPr>
            <w:tcW w:w="4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Valuation allowance for deferred tax assets</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1"/>
                <w:szCs w:val="11"/>
                <w:color w:val="auto"/>
                <w:w w:val="97"/>
              </w:rPr>
              <w:t>(e)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07"/>
        </w:trPr>
        <w:tc>
          <w:tcPr>
            <w:tcW w:w="44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for receivables and project close-out liabilities.</w:t>
      </w:r>
    </w:p>
    <w:p>
      <w:pPr>
        <w:spacing w:after="0" w:line="59"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Write-offs of and reversals for receivables and project close-out liabilities.</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related to federal, foreign and state attributes.</w:t>
      </w:r>
    </w:p>
    <w:p>
      <w:pPr>
        <w:spacing w:after="0" w:line="59"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Deductions related to federal, foreign and state attributes.</w:t>
      </w:r>
    </w:p>
    <w:p>
      <w:pPr>
        <w:spacing w:after="0" w:line="5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of acquisition-related balances.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sectPr>
      </w:pPr>
    </w:p>
    <w:bookmarkStart w:id="102" w:name="page103"/>
    <w:bookmarkEnd w:id="102"/>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66"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 in the City of Miami, State of Florida, on February 28, 2025.</w:t>
      </w:r>
    </w:p>
    <w:p>
      <w:pPr>
        <w:spacing w:after="0" w:line="19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MASTEC, INC.</w:t>
      </w:r>
    </w:p>
    <w:p>
      <w:pPr>
        <w:spacing w:after="0" w:line="24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854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José R. Mas</w:t>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Chief Executive Officer</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(Principal Executive Officer)</w:t>
      </w: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854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Paul DiMarco</w:t>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Executive Vice President and Chief Financial Officer</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i w:val="1"/>
          <w:iCs w:val="1"/>
          <w:color w:val="auto"/>
        </w:rPr>
        <w:t>(Principal Financial Officer)</w:t>
      </w:r>
    </w:p>
    <w:p>
      <w:pPr>
        <w:spacing w:after="0" w:line="333" w:lineRule="exact"/>
        <w:rPr>
          <w:sz w:val="20"/>
          <w:szCs w:val="20"/>
          <w:color w:val="auto"/>
        </w:rPr>
      </w:pPr>
    </w:p>
    <w:p>
      <w:pPr>
        <w:ind w:right="20"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28,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JORGE MAS</w:t>
            </w:r>
          </w:p>
        </w:tc>
        <w:tc>
          <w:tcPr>
            <w:tcW w:w="1000" w:type="dxa"/>
            <w:vAlign w:val="bottom"/>
            <w:tcBorders>
              <w:bottom w:val="single" w:sz="8" w:color="auto"/>
            </w:tcBorders>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Chairman of the Board of Directors</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Jorge Mas</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JOSÉ R. MAS</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212"/>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José R. Mas</w:t>
            </w:r>
          </w:p>
        </w:tc>
        <w:tc>
          <w:tcPr>
            <w:tcW w:w="1000" w:type="dxa"/>
            <w:vAlign w:val="bottom"/>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PAUL DIMARCO</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2"/>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Paul DiMarco</w:t>
            </w:r>
          </w:p>
        </w:tc>
        <w:tc>
          <w:tcPr>
            <w:tcW w:w="1000" w:type="dxa"/>
            <w:vAlign w:val="bottom"/>
          </w:tcPr>
          <w:p>
            <w:pPr>
              <w:spacing w:after="0"/>
              <w:rPr>
                <w:sz w:val="18"/>
                <w:szCs w:val="18"/>
                <w:color w:val="auto"/>
              </w:rPr>
            </w:pPr>
          </w:p>
        </w:tc>
        <w:tc>
          <w:tcPr>
            <w:tcW w:w="454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470"/>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rPr>
              <w:t>/s/ T. MICHAEL LOVE</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12"/>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T. Michael Love</w:t>
            </w:r>
          </w:p>
        </w:tc>
        <w:tc>
          <w:tcPr>
            <w:tcW w:w="1000" w:type="dxa"/>
            <w:vAlign w:val="bottom"/>
          </w:tcPr>
          <w:p>
            <w:pPr>
              <w:spacing w:after="0"/>
              <w:rPr>
                <w:sz w:val="18"/>
                <w:szCs w:val="18"/>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C. ROBERT CAMPBELL</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C. Robert Campbell</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ERNST N. CSISZAR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Ernst N. Csiszar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ROBERT J. DWYER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rPr>
              <w:t>Robert J. Dwyer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i w:val="1"/>
                <w:iCs w:val="1"/>
                <w:color w:val="auto"/>
              </w:rPr>
              <w:t>/s/ JULIA L. JOHNSON</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Julia L. Johnson</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9"/>
              </w:rPr>
              <w:t>/s/ JAVIER PALOMAREZ</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Javier Palomarez</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473"/>
        </w:trPr>
        <w:tc>
          <w:tcPr>
            <w:tcW w:w="4620" w:type="dxa"/>
            <w:vAlign w:val="bottom"/>
            <w:tcBorders>
              <w:bottom w:val="single" w:sz="8" w:color="auto"/>
            </w:tcBorders>
          </w:tcPr>
          <w:p>
            <w:pPr>
              <w:jc w:val="center"/>
              <w:ind w:left="919"/>
              <w:spacing w:after="0"/>
              <w:rPr>
                <w:sz w:val="20"/>
                <w:szCs w:val="20"/>
                <w:color w:val="auto"/>
              </w:rPr>
            </w:pPr>
            <w:r>
              <w:rPr>
                <w:rFonts w:ascii="Times New Roman" w:cs="Times New Roman" w:eastAsia="Times New Roman" w:hAnsi="Times New Roman"/>
                <w:sz w:val="16"/>
                <w:szCs w:val="16"/>
                <w:i w:val="1"/>
                <w:iCs w:val="1"/>
                <w:color w:val="auto"/>
                <w:w w:val="97"/>
              </w:rPr>
              <w:t>/s/ AVA L. PARKER</w:t>
            </w:r>
          </w:p>
        </w:tc>
        <w:tc>
          <w:tcPr>
            <w:tcW w:w="1000" w:type="dxa"/>
            <w:vAlign w:val="bottom"/>
            <w:tcBorders>
              <w:bottom w:val="single" w:sz="8" w:color="auto"/>
            </w:tcBorders>
          </w:tcPr>
          <w:p>
            <w:pPr>
              <w:spacing w:after="0"/>
              <w:rPr>
                <w:sz w:val="24"/>
                <w:szCs w:val="24"/>
                <w:color w:val="auto"/>
              </w:rPr>
            </w:pPr>
          </w:p>
        </w:tc>
        <w:tc>
          <w:tcPr>
            <w:tcW w:w="454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Director</w:t>
            </w:r>
          </w:p>
        </w:tc>
      </w:tr>
      <w:tr>
        <w:trPr>
          <w:trHeight w:val="209"/>
        </w:trPr>
        <w:tc>
          <w:tcPr>
            <w:tcW w:w="4620" w:type="dxa"/>
            <w:vAlign w:val="bottom"/>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Ava L. Parker</w:t>
            </w:r>
          </w:p>
        </w:tc>
        <w:tc>
          <w:tcPr>
            <w:tcW w:w="10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862"/>
        </w:trPr>
        <w:tc>
          <w:tcPr>
            <w:tcW w:w="4620" w:type="dxa"/>
            <w:vAlign w:val="bottom"/>
          </w:tcPr>
          <w:p>
            <w:pPr>
              <w:spacing w:after="0"/>
              <w:rPr>
                <w:sz w:val="24"/>
                <w:szCs w:val="24"/>
                <w:color w:val="auto"/>
              </w:rPr>
            </w:pPr>
          </w:p>
        </w:tc>
        <w:tc>
          <w:tcPr>
            <w:tcW w:w="5540" w:type="dxa"/>
            <w:vAlign w:val="bottom"/>
            <w:gridSpan w:val="2"/>
          </w:tcPr>
          <w:p>
            <w:pPr>
              <w:jc w:val="right"/>
              <w:ind w:right="4339"/>
              <w:spacing w:after="0"/>
              <w:rPr>
                <w:sz w:val="20"/>
                <w:szCs w:val="20"/>
                <w:color w:val="auto"/>
              </w:rPr>
            </w:pPr>
            <w:r>
              <w:rPr>
                <w:rFonts w:ascii="Times New Roman" w:cs="Times New Roman" w:eastAsia="Times New Roman" w:hAnsi="Times New Roman"/>
                <w:sz w:val="16"/>
                <w:szCs w:val="16"/>
                <w:color w:val="auto"/>
              </w:rPr>
              <w:t>102</w:t>
            </w:r>
          </w:p>
        </w:tc>
      </w:tr>
    </w:tbl>
    <w:p>
      <w:pPr>
        <w:sectPr>
          <w:pgSz w:w="11900" w:h="16838" w:orient="portrait"/>
          <w:cols w:equalWidth="0" w:num="1">
            <w:col w:w="11240"/>
          </w:cols>
          <w:pgMar w:left="320" w:top="1109"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6"/>
          <w:szCs w:val="16"/>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2 TO CREDIT AGREEMENT</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THIS AMENDMENT NO. 2 TO CREDIT AGREEMENT </w:t>
      </w:r>
      <w:r>
        <w:rPr>
          <w:rFonts w:ascii="Times New Roman" w:cs="Times New Roman" w:eastAsia="Times New Roman" w:hAnsi="Times New Roman"/>
          <w:sz w:val="22"/>
          <w:szCs w:val="22"/>
          <w:color w:val="auto"/>
        </w:rPr>
        <w:t>dated as of December 9, 2024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among </w:t>
      </w:r>
      <w:r>
        <w:rPr>
          <w:rFonts w:ascii="Times New Roman" w:cs="Times New Roman" w:eastAsia="Times New Roman" w:hAnsi="Times New Roman"/>
          <w:sz w:val="22"/>
          <w:szCs w:val="22"/>
          <w:b w:val="1"/>
          <w:bCs w:val="1"/>
          <w:color w:val="auto"/>
        </w:rPr>
        <w:t>MASTEC, INC.</w:t>
      </w:r>
      <w:r>
        <w:rPr>
          <w:rFonts w:ascii="Times New Roman" w:cs="Times New Roman" w:eastAsia="Times New Roman" w:hAnsi="Times New Roman"/>
          <w:sz w:val="22"/>
          <w:szCs w:val="22"/>
          <w:color w:val="auto"/>
        </w:rPr>
        <w:t>, a Florida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MASTEC NORTH AMERICA, INC.</w:t>
      </w:r>
      <w:r>
        <w:rPr>
          <w:rFonts w:ascii="Times New Roman" w:cs="Times New Roman" w:eastAsia="Times New Roman" w:hAnsi="Times New Roman"/>
          <w:sz w:val="22"/>
          <w:szCs w:val="22"/>
          <w:color w:val="auto"/>
        </w:rPr>
        <w:t xml:space="preserve">, a Florida corporation (together with the Company,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in its capacity as the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51" w:lineRule="exact"/>
        <w:rPr>
          <w:sz w:val="20"/>
          <w:szCs w:val="20"/>
          <w:color w:val="auto"/>
        </w:rPr>
      </w:pPr>
    </w:p>
    <w:p>
      <w:pPr>
        <w:jc w:val="both"/>
        <w:ind w:right="140" w:firstLine="656"/>
        <w:spacing w:after="0" w:line="259" w:lineRule="auto"/>
        <w:tabs>
          <w:tab w:leader="none" w:pos="129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the lenders party thereto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the Administrative Agent have entered into a Credit Agreement dated as of November 1, 2021 (as amended, restated, amended and restated, extended, supplemented or otherwise modified from time to time prior to giving effect to this Amendment,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Capitalized terms used and not otherwise defined herein shall have the meanings ascribed to them in the Credit Agreement (as defined below).</w:t>
      </w:r>
    </w:p>
    <w:p>
      <w:pPr>
        <w:spacing w:after="0" w:line="172" w:lineRule="exact"/>
        <w:rPr>
          <w:rFonts w:ascii="Times New Roman" w:cs="Times New Roman" w:eastAsia="Times New Roman" w:hAnsi="Times New Roman"/>
          <w:sz w:val="21"/>
          <w:szCs w:val="21"/>
          <w:color w:val="auto"/>
        </w:rPr>
      </w:pPr>
    </w:p>
    <w:p>
      <w:pPr>
        <w:ind w:right="120" w:firstLine="656"/>
        <w:spacing w:after="0" w:line="258" w:lineRule="auto"/>
        <w:tabs>
          <w:tab w:leader="none" w:pos="129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and the Administrative Agent have agreed that the Existing Credit Agreement should be amended as set forth below in a manner permitted by, and consistent with,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of the Existing Credit Agreement.</w:t>
      </w:r>
    </w:p>
    <w:p>
      <w:pPr>
        <w:spacing w:after="0" w:line="158" w:lineRule="exact"/>
        <w:rPr>
          <w:rFonts w:ascii="Times New Roman" w:cs="Times New Roman" w:eastAsia="Times New Roman" w:hAnsi="Times New Roman"/>
          <w:sz w:val="22"/>
          <w:szCs w:val="22"/>
          <w:color w:val="auto"/>
        </w:rPr>
      </w:pPr>
    </w:p>
    <w:p>
      <w:pPr>
        <w:ind w:right="140" w:firstLine="656"/>
        <w:spacing w:after="0" w:line="258" w:lineRule="auto"/>
        <w:tabs>
          <w:tab w:leader="none" w:pos="129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below, the parties hereto have agreed to so amend the Existing Credit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furtherance of the foregoing, the parties agree as follows:</w:t>
      </w:r>
    </w:p>
    <w:p>
      <w:pPr>
        <w:spacing w:after="0" w:line="229"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Section 1. </w:t>
      </w: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set forth herein and in reliance upon the representations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warranties set forth herein:</w:t>
      </w:r>
    </w:p>
    <w:p>
      <w:pPr>
        <w:spacing w:after="0" w:line="180" w:lineRule="exact"/>
        <w:rPr>
          <w:sz w:val="20"/>
          <w:szCs w:val="20"/>
          <w:color w:val="auto"/>
        </w:rPr>
      </w:pPr>
    </w:p>
    <w:p>
      <w:pPr>
        <w:jc w:val="both"/>
        <w:ind w:right="140" w:firstLine="656"/>
        <w:spacing w:after="0" w:line="243" w:lineRule="auto"/>
        <w:tabs>
          <w:tab w:leader="none" w:pos="129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Existing Credit Agreement (other than the schedules and exhibits thereto) is amended to (i)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(ii) add the double-underlined text (indicated textually in the same manner as the following example: </w:t>
      </w:r>
      <w:r>
        <w:rPr>
          <w:rFonts w:ascii="Times New Roman" w:cs="Times New Roman" w:eastAsia="Times New Roman" w:hAnsi="Times New Roman"/>
          <w:sz w:val="22"/>
          <w:szCs w:val="22"/>
          <w:u w:val="single" w:color="auto"/>
          <w:color w:val="006FBF"/>
        </w:rPr>
        <w:t>double-underlined text</w:t>
      </w:r>
      <w:r>
        <w:rPr>
          <w:rFonts w:ascii="Times New Roman" w:cs="Times New Roman" w:eastAsia="Times New Roman" w:hAnsi="Times New Roman"/>
          <w:sz w:val="22"/>
          <w:szCs w:val="22"/>
          <w:color w:val="auto"/>
        </w:rPr>
        <w:t xml:space="preserve">) and (iii) move the green double-underlined text (indicated textually in the same manner as the following example: </w:t>
      </w:r>
      <w:r>
        <w:rPr>
          <w:rFonts w:ascii="Times New Roman" w:cs="Times New Roman" w:eastAsia="Times New Roman" w:hAnsi="Times New Roman"/>
          <w:sz w:val="22"/>
          <w:szCs w:val="22"/>
          <w:u w:val="single" w:color="auto"/>
          <w:color w:val="92D04F"/>
        </w:rPr>
        <w:t>double-underlined text</w:t>
      </w:r>
      <w:r>
        <w:rPr>
          <w:rFonts w:ascii="Times New Roman" w:cs="Times New Roman" w:eastAsia="Times New Roman" w:hAnsi="Times New Roman"/>
          <w:sz w:val="22"/>
          <w:szCs w:val="22"/>
          <w:color w:val="auto"/>
        </w:rPr>
        <w:t xml:space="preserve">), in each case as set forth in the amended Credit Agreement attached as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 and</w:t>
      </w:r>
    </w:p>
    <w:p>
      <w:pPr>
        <w:spacing w:after="0" w:line="204" w:lineRule="exact"/>
        <w:rPr>
          <w:rFonts w:ascii="Times New Roman" w:cs="Times New Roman" w:eastAsia="Times New Roman" w:hAnsi="Times New Roman"/>
          <w:sz w:val="22"/>
          <w:szCs w:val="22"/>
          <w:color w:val="auto"/>
        </w:rPr>
      </w:pPr>
    </w:p>
    <w:p>
      <w:pPr>
        <w:ind w:right="140" w:firstLine="656"/>
        <w:spacing w:after="0" w:line="271" w:lineRule="auto"/>
        <w:tabs>
          <w:tab w:leader="none" w:pos="129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(Form of Loan Notice) to the Existing Credit Agreement is hereby amended in its entirety to read in the form of </w:t>
      </w:r>
      <w:r>
        <w:rPr>
          <w:rFonts w:ascii="Times New Roman" w:cs="Times New Roman" w:eastAsia="Times New Roman" w:hAnsi="Times New Roman"/>
          <w:sz w:val="22"/>
          <w:szCs w:val="22"/>
          <w:u w:val="single" w:color="auto"/>
          <w:color w:val="auto"/>
        </w:rPr>
        <w:t>Annex B</w:t>
      </w:r>
      <w:r>
        <w:rPr>
          <w:rFonts w:ascii="Times New Roman" w:cs="Times New Roman" w:eastAsia="Times New Roman" w:hAnsi="Times New Roman"/>
          <w:sz w:val="22"/>
          <w:szCs w:val="22"/>
          <w:color w:val="auto"/>
        </w:rPr>
        <w:t xml:space="preserve"> attached hereto.</w:t>
      </w:r>
    </w:p>
    <w:p>
      <w:pPr>
        <w:spacing w:after="0" w:line="185"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The amendments to (i) the Existing Credit Agreement and (ii)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thereto are limited to the extent specifically set forth above and no other terms, covenants or provisions of the Loan Documents are intended to be effected hereby.</w:t>
      </w:r>
    </w:p>
    <w:p>
      <w:pPr>
        <w:sectPr>
          <w:pgSz w:w="11900" w:h="16838" w:orient="portrait"/>
          <w:cols w:equalWidth="0" w:num="1">
            <w:col w:w="11240"/>
          </w:cols>
          <w:pgMar w:left="320" w:top="110" w:right="339" w:bottom="1440" w:gutter="0" w:footer="0" w:header="0"/>
        </w:sectPr>
      </w:pPr>
    </w:p>
    <w:bookmarkStart w:id="104" w:name="page105"/>
    <w:bookmarkEnd w:id="104"/>
    <w:p>
      <w:pPr>
        <w:spacing w:after="0" w:line="181" w:lineRule="exact"/>
        <w:rPr>
          <w:sz w:val="20"/>
          <w:szCs w:val="20"/>
          <w:color w:val="auto"/>
        </w:rPr>
      </w:pPr>
    </w:p>
    <w:p>
      <w:pPr>
        <w:jc w:val="both"/>
        <w:ind w:right="8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Section 2. </w:t>
      </w:r>
      <w:r>
        <w:rPr>
          <w:rFonts w:ascii="Times New Roman" w:cs="Times New Roman" w:eastAsia="Times New Roman" w:hAnsi="Times New Roman"/>
          <w:sz w:val="22"/>
          <w:szCs w:val="22"/>
          <w:b w:val="1"/>
          <w:bCs w:val="1"/>
          <w:u w:val="single" w:color="auto"/>
          <w:color w:val="auto"/>
        </w:rPr>
        <w:t>Conditions Precedent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that this Amendment shall be effective as of the date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above (such date,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upon the satisfaction of each of the following conditions precedent:</w:t>
      </w:r>
    </w:p>
    <w:p>
      <w:pPr>
        <w:spacing w:after="0" w:line="166" w:lineRule="exact"/>
        <w:rPr>
          <w:sz w:val="20"/>
          <w:szCs w:val="20"/>
          <w:color w:val="auto"/>
        </w:rPr>
      </w:pPr>
    </w:p>
    <w:p>
      <w:pPr>
        <w:ind w:left="80" w:firstLine="641"/>
        <w:spacing w:after="0" w:line="258" w:lineRule="auto"/>
        <w:tabs>
          <w:tab w:leader="none" w:pos="130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counterparts of this Amendment, duly executed by the Borrowers and the Administrative Agent.</w:t>
      </w:r>
    </w:p>
    <w:p>
      <w:pPr>
        <w:spacing w:after="0" w:line="171" w:lineRule="exact"/>
        <w:rPr>
          <w:rFonts w:ascii="Times New Roman" w:cs="Times New Roman" w:eastAsia="Times New Roman" w:hAnsi="Times New Roman"/>
          <w:sz w:val="22"/>
          <w:szCs w:val="22"/>
          <w:color w:val="auto"/>
        </w:rPr>
      </w:pPr>
    </w:p>
    <w:p>
      <w:pPr>
        <w:ind w:left="80" w:right="20" w:firstLine="641"/>
        <w:spacing w:after="0" w:line="258" w:lineRule="auto"/>
        <w:tabs>
          <w:tab w:leader="none" w:pos="13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5:00 pm on the date hereof the Administrative Agent has not received written notice from such Lenders constituting the Required (MC) Lenders that such Required (MC) Lenders object to this Amendment.</w:t>
      </w:r>
    </w:p>
    <w:p>
      <w:pPr>
        <w:spacing w:after="0" w:line="168"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u w:val="single" w:color="auto"/>
          <w:color w:val="auto"/>
        </w:rPr>
        <w:t xml:space="preserve"> </w:t>
      </w:r>
      <w:r>
        <w:rPr>
          <w:rFonts w:ascii="Times New Roman" w:cs="Times New Roman" w:eastAsia="Times New Roman" w:hAnsi="Times New Roman"/>
          <w:sz w:val="22"/>
          <w:szCs w:val="22"/>
          <w:color w:val="auto"/>
        </w:rPr>
        <w:t>In order to induce the Administrative Agent to enter into this</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Amendment, each Borrower represents and warrants to the Administrative Agent as follows:</w:t>
      </w:r>
    </w:p>
    <w:p>
      <w:pPr>
        <w:spacing w:after="0" w:line="236" w:lineRule="exact"/>
        <w:rPr>
          <w:sz w:val="20"/>
          <w:szCs w:val="20"/>
          <w:color w:val="auto"/>
        </w:rPr>
      </w:pPr>
    </w:p>
    <w:p>
      <w:pPr>
        <w:jc w:val="both"/>
        <w:ind w:left="80" w:firstLine="641"/>
        <w:spacing w:after="0" w:line="237" w:lineRule="auto"/>
        <w:tabs>
          <w:tab w:leader="none" w:pos="130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each Borrower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of the Credit Agreement and in each other Loan Document are true and correct in all material respects on and as of the date hereof, except that (x) if a qualifier relating to materiality, Material Adverse Effect or a similar concept applies, such representation or warranty is true and correct in all respects, (y) to the extent that such representations and warranties specifically refer to an earlier date, in which case they are true and correct in all material respects as of such earlier date (except that if a qualifier relating to materiality, Material Adverse Effect or a similar concept applies, such representation or warranty is true and correct in all respects as of such earlier date), and (z) for purposes of this Amendment, the representations and warranties contained in subsections (a), (b) and (c)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of the Credit Agreement shall be deemed to refer to the most recent statements furnished pursuant to clauses (a) and (b)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of the Credit Agreement, as applicable.</w:t>
      </w:r>
    </w:p>
    <w:p>
      <w:pPr>
        <w:spacing w:after="0" w:line="222" w:lineRule="exact"/>
        <w:rPr>
          <w:rFonts w:ascii="Times New Roman" w:cs="Times New Roman" w:eastAsia="Times New Roman" w:hAnsi="Times New Roman"/>
          <w:sz w:val="22"/>
          <w:szCs w:val="22"/>
          <w:color w:val="auto"/>
        </w:rPr>
      </w:pPr>
    </w:p>
    <w:p>
      <w:pPr>
        <w:ind w:left="80" w:firstLine="641"/>
        <w:spacing w:after="0" w:line="258" w:lineRule="auto"/>
        <w:tabs>
          <w:tab w:leader="none" w:pos="130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2023, there has been no event or circumstance, either individually or in the aggregate, that has had or could reasonably be expected to have a Material Adverse Effect.</w:t>
      </w:r>
    </w:p>
    <w:p>
      <w:pPr>
        <w:spacing w:after="0" w:line="198" w:lineRule="exact"/>
        <w:rPr>
          <w:rFonts w:ascii="Times New Roman" w:cs="Times New Roman" w:eastAsia="Times New Roman" w:hAnsi="Times New Roman"/>
          <w:sz w:val="22"/>
          <w:szCs w:val="22"/>
          <w:color w:val="auto"/>
        </w:rPr>
      </w:pPr>
    </w:p>
    <w:p>
      <w:pPr>
        <w:ind w:left="80" w:right="20" w:firstLine="641"/>
        <w:spacing w:after="0" w:line="258" w:lineRule="auto"/>
        <w:tabs>
          <w:tab w:leader="none" w:pos="130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has occurred and is continuing or will result from the consummation of the transactions contemplated by this Amendment.</w:t>
      </w:r>
    </w:p>
    <w:p>
      <w:pPr>
        <w:spacing w:after="0" w:line="198" w:lineRule="exact"/>
        <w:rPr>
          <w:rFonts w:ascii="Times New Roman" w:cs="Times New Roman" w:eastAsia="Times New Roman" w:hAnsi="Times New Roman"/>
          <w:sz w:val="22"/>
          <w:szCs w:val="22"/>
          <w:color w:val="auto"/>
        </w:rPr>
      </w:pPr>
    </w:p>
    <w:p>
      <w:pPr>
        <w:jc w:val="both"/>
        <w:ind w:left="80" w:right="20" w:firstLine="641"/>
        <w:spacing w:after="0" w:line="248" w:lineRule="auto"/>
        <w:tabs>
          <w:tab w:leader="none" w:pos="130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duly authorized by all necessary corporate or other organizational action of such Borrower and duly executed and delivered by it, and constitutes its legal, valid and binding obligation, except as may be limited by equitable principles relating to or limiting creditors’ rights generally or by bankruptcy, insolvency, reorganization, moratorium or similar laws.</w:t>
      </w:r>
    </w:p>
    <w:p>
      <w:pPr>
        <w:spacing w:after="0" w:line="196" w:lineRule="exact"/>
        <w:rPr>
          <w:rFonts w:ascii="Times New Roman" w:cs="Times New Roman" w:eastAsia="Times New Roman" w:hAnsi="Times New Roman"/>
          <w:sz w:val="22"/>
          <w:szCs w:val="22"/>
          <w:color w:val="auto"/>
        </w:rPr>
      </w:pPr>
    </w:p>
    <w:p>
      <w:pPr>
        <w:jc w:val="both"/>
        <w:ind w:left="80" w:firstLine="641"/>
        <w:spacing w:after="0" w:line="248" w:lineRule="auto"/>
        <w:tabs>
          <w:tab w:leader="none" w:pos="130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consents, licenses or approvals are required in connection with (i) the execution, delivery and performance by each Borrower and the validity against each Borrower of this Amendment or (ii) the performance by, or validity against, any Borrower of any Loan Document (after giving effect to this Amendment), in each case except those which have been obtained, taken, given or made.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180"/>
          </w:cols>
          <w:pgMar w:left="320" w:top="1440" w:right="399" w:bottom="1440" w:gutter="0" w:footer="0" w:header="0"/>
          <w:type w:val="continuous"/>
        </w:sectPr>
      </w:pPr>
    </w:p>
    <w:bookmarkStart w:id="105" w:name="page106"/>
    <w:bookmarkEnd w:id="105"/>
    <w:p>
      <w:pPr>
        <w:ind w:left="640"/>
        <w:spacing w:after="0"/>
        <w:tabs>
          <w:tab w:leader="none" w:pos="172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237" w:lineRule="exact"/>
        <w:rPr>
          <w:sz w:val="20"/>
          <w:szCs w:val="20"/>
          <w:color w:val="auto"/>
        </w:rPr>
      </w:pPr>
    </w:p>
    <w:p>
      <w:pPr>
        <w:jc w:val="both"/>
        <w:ind w:firstLine="641"/>
        <w:spacing w:after="0" w:line="252" w:lineRule="auto"/>
        <w:tabs>
          <w:tab w:leader="none" w:pos="122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Ratification and Confirmation of Loan Documents</w:t>
      </w:r>
      <w:r>
        <w:rPr>
          <w:rFonts w:ascii="Times New Roman" w:cs="Times New Roman" w:eastAsia="Times New Roman" w:hAnsi="Times New Roman"/>
          <w:sz w:val="21"/>
          <w:szCs w:val="21"/>
          <w:color w:val="auto"/>
        </w:rPr>
        <w:t>. Each Borrower hereby consents to, acknowledges and agrees to the amendments set forth herein and hereby confirms and ratifies in all respects the Loan Documents (including, without limitation, the continuation of such Borrower’s payment and performance obligations thereunder) to which such Borrower is a party (other than any Loan Document which has been terminated or has expired pursuant to its terms) and the enforceability of each such Loan Document against such Borrower in accordance with its terms (except as may be limited by equitable principles relating to or limiting creditors’ rights generally or by bankruptcy, insolvency, reorganization, moratorium or similar laws), in each case upon and after the effectiveness of this Amendment and the amendments contemplated hereby.</w:t>
      </w:r>
    </w:p>
    <w:p>
      <w:pPr>
        <w:spacing w:after="0" w:line="209" w:lineRule="exact"/>
        <w:rPr>
          <w:rFonts w:ascii="Times New Roman" w:cs="Times New Roman" w:eastAsia="Times New Roman" w:hAnsi="Times New Roman"/>
          <w:sz w:val="21"/>
          <w:szCs w:val="21"/>
          <w:color w:val="auto"/>
        </w:rPr>
      </w:pPr>
    </w:p>
    <w:p>
      <w:pPr>
        <w:jc w:val="both"/>
        <w:ind w:firstLine="641"/>
        <w:spacing w:after="0" w:line="259" w:lineRule="auto"/>
        <w:tabs>
          <w:tab w:leader="none" w:pos="122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xml:space="preserve">. The Company shall pay on demand all reasonable and documented costs and expenses of the Administrative Agent in connection with the preparation, negotiation, execution, and delivery of this Amendment and any other documents prepared in connection herewith, including, without limitation, the reasonable fees, charges and disbursements of counsel to the Administrative Agent (subject to the limitations set forth in </w:t>
      </w:r>
      <w:r>
        <w:rPr>
          <w:rFonts w:ascii="Times New Roman" w:cs="Times New Roman" w:eastAsia="Times New Roman" w:hAnsi="Times New Roman"/>
          <w:sz w:val="21"/>
          <w:szCs w:val="21"/>
          <w:u w:val="single" w:color="auto"/>
          <w:color w:val="auto"/>
        </w:rPr>
        <w:t>Section 10.04(a)</w:t>
      </w:r>
      <w:r>
        <w:rPr>
          <w:rFonts w:ascii="Times New Roman" w:cs="Times New Roman" w:eastAsia="Times New Roman" w:hAnsi="Times New Roman"/>
          <w:sz w:val="21"/>
          <w:szCs w:val="21"/>
          <w:color w:val="auto"/>
        </w:rPr>
        <w:t xml:space="preserve"> of the Credit Agreement).</w:t>
      </w:r>
    </w:p>
    <w:p>
      <w:pPr>
        <w:spacing w:after="0" w:line="199" w:lineRule="exact"/>
        <w:rPr>
          <w:rFonts w:ascii="Times New Roman" w:cs="Times New Roman" w:eastAsia="Times New Roman" w:hAnsi="Times New Roman"/>
          <w:sz w:val="21"/>
          <w:szCs w:val="21"/>
          <w:color w:val="auto"/>
        </w:rPr>
      </w:pPr>
    </w:p>
    <w:p>
      <w:pPr>
        <w:ind w:firstLine="641"/>
        <w:spacing w:after="0" w:line="258" w:lineRule="auto"/>
        <w:tabs>
          <w:tab w:leader="none" w:pos="122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and subsection headings in this Amendment are included herein for convenience of reference only and shall not constitute a part of this Amendment for any other purpose or be given any substantive effect.</w:t>
      </w:r>
    </w:p>
    <w:p>
      <w:pPr>
        <w:spacing w:after="0" w:line="198" w:lineRule="exact"/>
        <w:rPr>
          <w:rFonts w:ascii="Times New Roman" w:cs="Times New Roman" w:eastAsia="Times New Roman" w:hAnsi="Times New Roman"/>
          <w:sz w:val="22"/>
          <w:szCs w:val="22"/>
          <w:color w:val="auto"/>
        </w:rPr>
      </w:pPr>
    </w:p>
    <w:p>
      <w:pPr>
        <w:jc w:val="both"/>
        <w:ind w:firstLine="641"/>
        <w:spacing w:after="0" w:line="268" w:lineRule="auto"/>
        <w:tabs>
          <w:tab w:leader="none" w:pos="122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 Jurisdiction; Waiver of Jury Trial; Etc</w:t>
      </w:r>
      <w:r>
        <w:rPr>
          <w:rFonts w:ascii="Times New Roman" w:cs="Times New Roman" w:eastAsia="Times New Roman" w:hAnsi="Times New Roman"/>
          <w:sz w:val="21"/>
          <w:szCs w:val="21"/>
          <w:color w:val="auto"/>
        </w:rPr>
        <w:t xml:space="preserve">. This Amendment shall be governed by and construed in accordance with the laws of the State of New York without regard to conflicts of law that would require the application of the laws of another jurisdiction, and shall be further subject to the provisions of </w:t>
      </w:r>
      <w:r>
        <w:rPr>
          <w:rFonts w:ascii="Times New Roman" w:cs="Times New Roman" w:eastAsia="Times New Roman" w:hAnsi="Times New Roman"/>
          <w:sz w:val="21"/>
          <w:szCs w:val="21"/>
          <w:u w:val="single" w:color="auto"/>
          <w:color w:val="auto"/>
        </w:rPr>
        <w:t>Sections 10.14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10.15</w:t>
      </w:r>
      <w:r>
        <w:rPr>
          <w:rFonts w:ascii="Times New Roman" w:cs="Times New Roman" w:eastAsia="Times New Roman" w:hAnsi="Times New Roman"/>
          <w:sz w:val="21"/>
          <w:szCs w:val="21"/>
          <w:color w:val="auto"/>
        </w:rPr>
        <w:t xml:space="preserve"> of the Credit Agreement.</w:t>
      </w:r>
    </w:p>
    <w:p>
      <w:pPr>
        <w:spacing w:after="0" w:line="190" w:lineRule="exact"/>
        <w:rPr>
          <w:rFonts w:ascii="Times New Roman" w:cs="Times New Roman" w:eastAsia="Times New Roman" w:hAnsi="Times New Roman"/>
          <w:sz w:val="21"/>
          <w:szCs w:val="21"/>
          <w:color w:val="auto"/>
        </w:rPr>
      </w:pPr>
    </w:p>
    <w:p>
      <w:pPr>
        <w:jc w:val="both"/>
        <w:ind w:firstLine="641"/>
        <w:spacing w:after="0" w:line="244" w:lineRule="auto"/>
        <w:tabs>
          <w:tab w:leader="none" w:pos="122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213" w:lineRule="exact"/>
        <w:rPr>
          <w:rFonts w:ascii="Times New Roman" w:cs="Times New Roman" w:eastAsia="Times New Roman" w:hAnsi="Times New Roman"/>
          <w:sz w:val="22"/>
          <w:szCs w:val="22"/>
          <w:color w:val="auto"/>
        </w:rPr>
      </w:pPr>
    </w:p>
    <w:p>
      <w:pPr>
        <w:jc w:val="both"/>
        <w:ind w:firstLine="641"/>
        <w:spacing w:after="0" w:line="238" w:lineRule="auto"/>
        <w:tabs>
          <w:tab w:leader="none" w:pos="122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together with the other Loan Documents and any separate letter agreements with respect to fees payable to the Administrative Agent, the L/C Issuer or any Arranger (collectively, the “</w:t>
      </w:r>
      <w:r>
        <w:rPr>
          <w:rFonts w:ascii="Times New Roman" w:cs="Times New Roman" w:eastAsia="Times New Roman" w:hAnsi="Times New Roman"/>
          <w:sz w:val="22"/>
          <w:szCs w:val="22"/>
          <w:u w:val="single" w:color="auto"/>
          <w:color w:val="auto"/>
        </w:rPr>
        <w:t>Relevant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Documents</w:t>
      </w:r>
      <w:r>
        <w:rPr>
          <w:rFonts w:ascii="Times New Roman" w:cs="Times New Roman" w:eastAsia="Times New Roman" w:hAnsi="Times New Roman"/>
          <w:sz w:val="22"/>
          <w:szCs w:val="22"/>
          <w:color w:val="auto"/>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00"/>
          </w:cols>
          <w:pgMar w:left="400" w:top="1418" w:right="399" w:bottom="1440" w:gutter="0" w:footer="0" w:header="0"/>
        </w:sectPr>
      </w:pPr>
    </w:p>
    <w:bookmarkStart w:id="106" w:name="page107"/>
    <w:bookmarkEnd w:id="106"/>
    <w:p>
      <w:pPr>
        <w:spacing w:after="0" w:line="2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changed, modified, waived or canceled orally or otherwise except in writing in accordance with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of the Credit Agreement.</w:t>
      </w:r>
    </w:p>
    <w:p>
      <w:pPr>
        <w:spacing w:after="0" w:line="185" w:lineRule="exact"/>
        <w:rPr>
          <w:sz w:val="20"/>
          <w:szCs w:val="20"/>
          <w:color w:val="auto"/>
        </w:rPr>
      </w:pPr>
    </w:p>
    <w:p>
      <w:pPr>
        <w:jc w:val="both"/>
        <w:ind w:firstLine="641"/>
        <w:spacing w:after="0" w:line="244" w:lineRule="auto"/>
        <w:tabs>
          <w:tab w:leader="none" w:pos="122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213" w:lineRule="exact"/>
        <w:rPr>
          <w:rFonts w:ascii="Times New Roman" w:cs="Times New Roman" w:eastAsia="Times New Roman" w:hAnsi="Times New Roman"/>
          <w:sz w:val="22"/>
          <w:szCs w:val="22"/>
          <w:color w:val="auto"/>
        </w:rPr>
      </w:pPr>
    </w:p>
    <w:p>
      <w:pPr>
        <w:ind w:firstLine="641"/>
        <w:spacing w:after="0" w:line="271" w:lineRule="auto"/>
        <w:tabs>
          <w:tab w:leader="none" w:pos="122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Amendment shall be binding upon and inure to the benefit of the parties hereto, the Lenders and their respective successors and assigns (subject to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of the Credit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 Signature Pages Follow]</w:t>
      </w:r>
    </w:p>
    <w:p>
      <w:pPr>
        <w:sectPr>
          <w:pgSz w:w="11900" w:h="16838" w:orient="portrait"/>
          <w:cols w:equalWidth="0" w:num="1">
            <w:col w:w="11080"/>
          </w:cols>
          <w:pgMar w:left="40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080"/>
          </w:cols>
          <w:pgMar w:left="400" w:top="1440" w:right="4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The following parties have caused this Amendment to be executed as of the date first written above.</w:t>
      </w:r>
    </w:p>
    <w:p>
      <w:pPr>
        <w:sectPr>
          <w:pgSz w:w="11900" w:h="16838" w:orient="portrait"/>
          <w:cols w:equalWidth="0" w:num="1">
            <w:col w:w="9419"/>
          </w:cols>
          <w:pgMar w:left="1040" w:top="1422" w:right="1440" w:bottom="1440" w:gutter="0" w:footer="0" w:header="0"/>
        </w:sectPr>
      </w:pPr>
    </w:p>
    <w:p>
      <w:pPr>
        <w:spacing w:after="0" w:line="36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u w:val="single" w:color="auto"/>
          <w:color w:val="auto"/>
        </w:rPr>
        <w:t>BORROWERS:</w:t>
      </w:r>
    </w:p>
    <w:p>
      <w:pPr>
        <w:spacing w:after="0" w:line="31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MASTEC, INC.</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MASTEC NORTH AMERICA, INC.</w:t>
      </w:r>
    </w:p>
    <w:p>
      <w:pPr>
        <w:spacing w:after="0" w:line="2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/s/Paul D. Marco</w:t>
      </w:r>
    </w:p>
    <w:p>
      <w:pPr>
        <w:spacing w:after="0" w:line="18" w:lineRule="exact"/>
        <w:rPr>
          <w:sz w:val="20"/>
          <w:szCs w:val="20"/>
          <w:color w:val="auto"/>
        </w:rPr>
      </w:pPr>
    </w:p>
    <w:p>
      <w:pPr>
        <w:ind w:left="3180"/>
        <w:spacing w:after="0"/>
        <w:tabs>
          <w:tab w:leader="none" w:pos="39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Paul D. Marco</w:t>
      </w:r>
    </w:p>
    <w:p>
      <w:pPr>
        <w:ind w:left="3180"/>
        <w:spacing w:after="0"/>
        <w:tabs>
          <w:tab w:leader="none" w:pos="38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EVP &amp;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AMENDMENT NO. 2 TO CREDIT AGREEMENT</w:t>
      </w:r>
    </w:p>
    <w:p>
      <w:pPr>
        <w:spacing w:after="0" w:line="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419"/>
          </w:cols>
          <w:pgMar w:left="1040" w:top="1422" w:right="1440" w:bottom="1440" w:gutter="0" w:footer="0" w:header="0"/>
          <w:type w:val="continuous"/>
        </w:sectPr>
      </w:pPr>
    </w:p>
    <w:bookmarkStart w:id="108" w:name="page109"/>
    <w:bookmarkEnd w:id="108"/>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p>
    <w:p>
      <w:pPr>
        <w:spacing w:after="0" w:line="233" w:lineRule="exact"/>
        <w:rPr>
          <w:sz w:val="20"/>
          <w:szCs w:val="20"/>
          <w:color w:val="auto"/>
        </w:rPr>
      </w:pPr>
    </w:p>
    <w:p>
      <w:pPr>
        <w:jc w:val="right"/>
        <w:ind w:right="1399"/>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as Administrative Agent</w:t>
      </w:r>
    </w:p>
    <w:p>
      <w:pPr>
        <w:spacing w:after="0" w:line="21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/s/Felicia Brinson</w:t>
      </w:r>
    </w:p>
    <w:p>
      <w:pPr>
        <w:spacing w:after="0" w:line="1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Felicia Brinson</w:t>
      </w: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59"/>
        <w:spacing w:after="0"/>
        <w:rPr>
          <w:sz w:val="20"/>
          <w:szCs w:val="20"/>
          <w:color w:val="auto"/>
        </w:rPr>
      </w:pPr>
      <w:r>
        <w:rPr>
          <w:rFonts w:ascii="Times New Roman" w:cs="Times New Roman" w:eastAsia="Times New Roman" w:hAnsi="Times New Roman"/>
          <w:sz w:val="17"/>
          <w:szCs w:val="17"/>
          <w:color w:val="auto"/>
        </w:rPr>
        <w:t>AMENDMENT NO. 2 TO CREDIT AGREEMENT</w:t>
      </w:r>
    </w:p>
    <w:p>
      <w:pPr>
        <w:spacing w:after="0" w:line="27" w:lineRule="exact"/>
        <w:rPr>
          <w:sz w:val="20"/>
          <w:szCs w:val="20"/>
          <w:color w:val="auto"/>
        </w:rPr>
      </w:pPr>
    </w:p>
    <w:p>
      <w:pPr>
        <w:jc w:val="center"/>
        <w:ind w:right="135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18" w:right="1440" w:bottom="1440" w:gutter="0" w:footer="0" w:header="0"/>
        </w:sectPr>
      </w:pPr>
    </w:p>
    <w:bookmarkStart w:id="109" w:name="page110"/>
    <w:bookmarkEnd w:id="109"/>
    <w:p>
      <w:pPr>
        <w:spacing w:after="0" w:line="5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u w:val="single" w:color="auto"/>
          <w:color w:val="auto"/>
        </w:rPr>
        <w:t>Annex A</w:t>
      </w:r>
    </w:p>
    <w:p>
      <w:pPr>
        <w:spacing w:after="0" w:line="1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Credit Agreement</w:t>
      </w:r>
    </w:p>
    <w:p>
      <w:pPr>
        <w:spacing w:after="0" w:line="17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i w:val="1"/>
          <w:iCs w:val="1"/>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9019"/>
          </w:cols>
          <w:pgMar w:left="1440" w:top="1440" w:right="1440"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Annex A to Amendment No. </w:t>
      </w:r>
      <w:r>
        <w:rPr>
          <w:rFonts w:ascii="Times New Roman" w:cs="Times New Roman" w:eastAsia="Times New Roman" w:hAnsi="Times New Roman"/>
          <w:sz w:val="20"/>
          <w:szCs w:val="20"/>
          <w:b w:val="1"/>
          <w:bCs w:val="1"/>
          <w:i w:val="1"/>
          <w:iCs w:val="1"/>
          <w:color w:val="FF0000"/>
          <w:strike w:val="1"/>
        </w:rPr>
        <w:t>1</w:t>
      </w:r>
      <w:r>
        <w:rPr>
          <w:rFonts w:ascii="Times New Roman" w:cs="Times New Roman" w:eastAsia="Times New Roman" w:hAnsi="Times New Roman"/>
          <w:sz w:val="20"/>
          <w:szCs w:val="20"/>
          <w:b w:val="1"/>
          <w:bCs w:val="1"/>
          <w:i w:val="1"/>
          <w:iCs w:val="1"/>
          <w:u w:val="single" w:color="auto"/>
          <w:color w:val="0000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711835</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788670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0"/>
          <w:szCs w:val="20"/>
          <w:color w:val="auto"/>
        </w:rPr>
        <w:t>Published CUSIP Number: 57632EAR6</w:t>
      </w:r>
    </w:p>
    <w:p>
      <w:pPr>
        <w:ind w:left="5200"/>
        <w:spacing w:after="0" w:line="207" w:lineRule="auto"/>
        <w:rPr>
          <w:sz w:val="20"/>
          <w:szCs w:val="20"/>
          <w:color w:val="auto"/>
        </w:rPr>
      </w:pPr>
      <w:r>
        <w:rPr>
          <w:rFonts w:ascii="Times New Roman" w:cs="Times New Roman" w:eastAsia="Times New Roman" w:hAnsi="Times New Roman"/>
          <w:sz w:val="19"/>
          <w:szCs w:val="19"/>
          <w:color w:val="auto"/>
        </w:rPr>
        <w:t>Published Committed (USD) Facility CUSIP Number: 57632EAT2</w:t>
      </w:r>
    </w:p>
    <w:p>
      <w:pPr>
        <w:jc w:val="right"/>
        <w:ind w:right="60"/>
        <w:spacing w:after="0" w:line="211" w:lineRule="auto"/>
        <w:rPr>
          <w:sz w:val="20"/>
          <w:szCs w:val="20"/>
          <w:color w:val="auto"/>
        </w:rPr>
      </w:pPr>
      <w:r>
        <w:rPr>
          <w:rFonts w:ascii="Times New Roman" w:cs="Times New Roman" w:eastAsia="Times New Roman" w:hAnsi="Times New Roman"/>
          <w:sz w:val="20"/>
          <w:szCs w:val="20"/>
          <w:color w:val="auto"/>
        </w:rPr>
        <w:t>Published Committed (MC) Facility CUSIP Number: 57632EAS4</w:t>
      </w:r>
    </w:p>
    <w:p>
      <w:pPr>
        <w:spacing w:after="0" w:line="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Published Term Loan Facility CUSIP Number: 57632EAU9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Florida documentary stamp tax required by law in the amount of $2,450 has been paid or will be paid directly to the Department of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Registration No. 26-8000694050-8.</w:t>
      </w:r>
    </w:p>
    <w:p>
      <w:pPr>
        <w:spacing w:after="0" w:line="30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8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Dated as of November 1, 2021</w:t>
      </w:r>
    </w:p>
    <w:p>
      <w:pPr>
        <w:spacing w:after="0" w:line="8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among</w:t>
      </w:r>
    </w:p>
    <w:p>
      <w:pPr>
        <w:spacing w:after="0" w:line="20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MASTEC, INC.</w:t>
      </w:r>
    </w:p>
    <w:p>
      <w:pPr>
        <w:jc w:val="center"/>
        <w:ind w:right="640"/>
        <w:spacing w:after="0" w:line="222" w:lineRule="auto"/>
        <w:rPr>
          <w:sz w:val="20"/>
          <w:szCs w:val="20"/>
          <w:color w:val="auto"/>
        </w:rPr>
      </w:pPr>
      <w:r>
        <w:rPr>
          <w:rFonts w:ascii="Times New Roman" w:cs="Times New Roman" w:eastAsia="Times New Roman" w:hAnsi="Times New Roman"/>
          <w:sz w:val="22"/>
          <w:szCs w:val="22"/>
          <w:color w:val="auto"/>
        </w:rPr>
        <w:t>and</w:t>
      </w:r>
    </w:p>
    <w:p>
      <w:pPr>
        <w:jc w:val="center"/>
        <w:ind w:right="640"/>
        <w:spacing w:after="0" w:line="230" w:lineRule="auto"/>
        <w:rPr>
          <w:sz w:val="20"/>
          <w:szCs w:val="20"/>
          <w:color w:val="auto"/>
        </w:rPr>
      </w:pPr>
      <w:r>
        <w:rPr>
          <w:rFonts w:ascii="Times New Roman" w:cs="Times New Roman" w:eastAsia="Times New Roman" w:hAnsi="Times New Roman"/>
          <w:sz w:val="22"/>
          <w:szCs w:val="22"/>
          <w:b w:val="1"/>
          <w:bCs w:val="1"/>
          <w:color w:val="auto"/>
        </w:rPr>
        <w:t>MASTEC NORTH AMERICA, INC.,</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as Borrowers,</w:t>
      </w:r>
    </w:p>
    <w:p>
      <w:pPr>
        <w:spacing w:after="0" w:line="16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spacing w:after="0" w:line="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as Administrative Agent, Swing Line Lender and L/C Issuer,</w:t>
      </w:r>
    </w:p>
    <w:p>
      <w:pPr>
        <w:spacing w:after="0" w:line="18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and</w:t>
      </w:r>
    </w:p>
    <w:p>
      <w:pPr>
        <w:spacing w:after="0" w:line="18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THE OTHER LENDERS PARTY HERETO</w:t>
      </w:r>
    </w:p>
    <w:p>
      <w:pPr>
        <w:spacing w:after="0" w:line="30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BOFA SECURITIES, INC.,</w:t>
      </w:r>
    </w:p>
    <w:p>
      <w:pPr>
        <w:ind w:left="3580"/>
        <w:spacing w:after="0" w:line="234" w:lineRule="auto"/>
        <w:rPr>
          <w:sz w:val="20"/>
          <w:szCs w:val="20"/>
          <w:color w:val="auto"/>
        </w:rPr>
      </w:pPr>
      <w:r>
        <w:rPr>
          <w:rFonts w:ascii="Times New Roman" w:cs="Times New Roman" w:eastAsia="Times New Roman" w:hAnsi="Times New Roman"/>
          <w:sz w:val="22"/>
          <w:szCs w:val="22"/>
          <w:b w:val="1"/>
          <w:bCs w:val="1"/>
          <w:color w:val="auto"/>
        </w:rPr>
        <w:t>TRUIST SECURITIES, INC.,</w:t>
      </w:r>
    </w:p>
    <w:p>
      <w:pPr>
        <w:jc w:val="center"/>
        <w:ind w:right="640"/>
        <w:spacing w:after="0" w:line="218" w:lineRule="auto"/>
        <w:rPr>
          <w:sz w:val="20"/>
          <w:szCs w:val="20"/>
          <w:color w:val="auto"/>
        </w:rPr>
      </w:pPr>
      <w:r>
        <w:rPr>
          <w:rFonts w:ascii="Times New Roman" w:cs="Times New Roman" w:eastAsia="Times New Roman" w:hAnsi="Times New Roman"/>
          <w:sz w:val="22"/>
          <w:szCs w:val="22"/>
          <w:b w:val="1"/>
          <w:bCs w:val="1"/>
          <w:color w:val="auto"/>
        </w:rPr>
        <w:t>PNC CAPITAL MARKETS LLC,</w:t>
      </w:r>
    </w:p>
    <w:p>
      <w:pPr>
        <w:jc w:val="center"/>
        <w:ind w:right="640"/>
        <w:spacing w:after="0" w:line="231" w:lineRule="auto"/>
        <w:rPr>
          <w:sz w:val="20"/>
          <w:szCs w:val="20"/>
          <w:color w:val="auto"/>
        </w:rPr>
      </w:pPr>
      <w:r>
        <w:rPr>
          <w:rFonts w:ascii="Times New Roman" w:cs="Times New Roman" w:eastAsia="Times New Roman" w:hAnsi="Times New Roman"/>
          <w:sz w:val="22"/>
          <w:szCs w:val="22"/>
          <w:b w:val="1"/>
          <w:bCs w:val="1"/>
          <w:color w:val="auto"/>
        </w:rPr>
        <w:t>WELLS FARGO SECURITIES, LLC,</w:t>
      </w:r>
    </w:p>
    <w:p>
      <w:pPr>
        <w:jc w:val="center"/>
        <w:ind w:right="640"/>
        <w:spacing w:after="0" w:line="217" w:lineRule="auto"/>
        <w:rPr>
          <w:sz w:val="20"/>
          <w:szCs w:val="20"/>
          <w:color w:val="auto"/>
        </w:rPr>
      </w:pPr>
      <w:r>
        <w:rPr>
          <w:rFonts w:ascii="Times New Roman" w:cs="Times New Roman" w:eastAsia="Times New Roman" w:hAnsi="Times New Roman"/>
          <w:sz w:val="22"/>
          <w:szCs w:val="22"/>
          <w:b w:val="1"/>
          <w:bCs w:val="1"/>
          <w:color w:val="auto"/>
        </w:rPr>
        <w:t>BMO CAPITAL MARKETS CORP.,</w:t>
      </w:r>
    </w:p>
    <w:p>
      <w:pPr>
        <w:jc w:val="center"/>
        <w:ind w:right="640"/>
        <w:spacing w:after="0" w:line="218" w:lineRule="auto"/>
        <w:rPr>
          <w:sz w:val="20"/>
          <w:szCs w:val="20"/>
          <w:color w:val="auto"/>
        </w:rPr>
      </w:pPr>
      <w:r>
        <w:rPr>
          <w:rFonts w:ascii="Times New Roman" w:cs="Times New Roman" w:eastAsia="Times New Roman" w:hAnsi="Times New Roman"/>
          <w:sz w:val="22"/>
          <w:szCs w:val="22"/>
          <w:color w:val="auto"/>
        </w:rPr>
        <w:t>and</w:t>
      </w:r>
    </w:p>
    <w:p>
      <w:pPr>
        <w:jc w:val="center"/>
        <w:ind w:right="640"/>
        <w:spacing w:after="0" w:line="231" w:lineRule="auto"/>
        <w:rPr>
          <w:sz w:val="20"/>
          <w:szCs w:val="20"/>
          <w:color w:val="auto"/>
        </w:rPr>
      </w:pPr>
      <w:r>
        <w:rPr>
          <w:rFonts w:ascii="Times New Roman" w:cs="Times New Roman" w:eastAsia="Times New Roman" w:hAnsi="Times New Roman"/>
          <w:sz w:val="22"/>
          <w:szCs w:val="22"/>
          <w:b w:val="1"/>
          <w:bCs w:val="1"/>
          <w:color w:val="auto"/>
        </w:rPr>
        <w:t>JPMORGAN CHASE BANK, N.A.,</w:t>
      </w:r>
    </w:p>
    <w:p>
      <w:pPr>
        <w:jc w:val="center"/>
        <w:ind w:right="64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7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b w:val="1"/>
          <w:bCs w:val="1"/>
          <w:color w:val="auto"/>
        </w:rPr>
        <w:t>TRUIST BANK,</w:t>
      </w:r>
    </w:p>
    <w:p>
      <w:pPr>
        <w:jc w:val="center"/>
        <w:ind w:right="640"/>
        <w:spacing w:after="0" w:line="234" w:lineRule="auto"/>
        <w:rPr>
          <w:sz w:val="20"/>
          <w:szCs w:val="20"/>
          <w:color w:val="auto"/>
        </w:rPr>
      </w:pPr>
      <w:r>
        <w:rPr>
          <w:rFonts w:ascii="Times New Roman" w:cs="Times New Roman" w:eastAsia="Times New Roman" w:hAnsi="Times New Roman"/>
          <w:sz w:val="22"/>
          <w:szCs w:val="22"/>
          <w:b w:val="1"/>
          <w:bCs w:val="1"/>
          <w:color w:val="auto"/>
        </w:rPr>
        <w:t>PNC CAPITAL MARKETS LLC,</w:t>
      </w:r>
    </w:p>
    <w:p>
      <w:pPr>
        <w:jc w:val="center"/>
        <w:ind w:right="640"/>
        <w:spacing w:after="0" w:line="218" w:lineRule="auto"/>
        <w:rPr>
          <w:sz w:val="20"/>
          <w:szCs w:val="20"/>
          <w:color w:val="auto"/>
        </w:rPr>
      </w:pPr>
      <w:r>
        <w:rPr>
          <w:rFonts w:ascii="Times New Roman" w:cs="Times New Roman" w:eastAsia="Times New Roman" w:hAnsi="Times New Roman"/>
          <w:sz w:val="22"/>
          <w:szCs w:val="22"/>
          <w:b w:val="1"/>
          <w:bCs w:val="1"/>
          <w:color w:val="auto"/>
        </w:rPr>
        <w:t>WELLS FARGO SECURITIES, LLC,</w:t>
      </w:r>
    </w:p>
    <w:p>
      <w:pPr>
        <w:jc w:val="center"/>
        <w:ind w:right="640"/>
        <w:spacing w:after="0" w:line="218" w:lineRule="auto"/>
        <w:rPr>
          <w:sz w:val="20"/>
          <w:szCs w:val="20"/>
          <w:color w:val="auto"/>
        </w:rPr>
      </w:pPr>
      <w:r>
        <w:rPr>
          <w:rFonts w:ascii="Times New Roman" w:cs="Times New Roman" w:eastAsia="Times New Roman" w:hAnsi="Times New Roman"/>
          <w:sz w:val="22"/>
          <w:szCs w:val="22"/>
          <w:b w:val="1"/>
          <w:bCs w:val="1"/>
          <w:color w:val="auto"/>
        </w:rPr>
        <w:t>BMO CAPITAL MARKETS CORP.,</w:t>
      </w:r>
    </w:p>
    <w:p>
      <w:pPr>
        <w:jc w:val="center"/>
        <w:ind w:right="640"/>
        <w:spacing w:after="0" w:line="230" w:lineRule="auto"/>
        <w:rPr>
          <w:sz w:val="20"/>
          <w:szCs w:val="20"/>
          <w:color w:val="auto"/>
        </w:rPr>
      </w:pPr>
      <w:r>
        <w:rPr>
          <w:rFonts w:ascii="Times New Roman" w:cs="Times New Roman" w:eastAsia="Times New Roman" w:hAnsi="Times New Roman"/>
          <w:sz w:val="22"/>
          <w:szCs w:val="22"/>
          <w:color w:val="auto"/>
        </w:rPr>
        <w:t>and</w:t>
      </w:r>
    </w:p>
    <w:p>
      <w:pPr>
        <w:jc w:val="center"/>
        <w:ind w:right="640"/>
        <w:spacing w:after="0" w:line="218" w:lineRule="auto"/>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as Co-Syndication Agents</w:t>
      </w:r>
    </w:p>
    <w:p>
      <w:pPr>
        <w:spacing w:after="0" w:line="27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CAPITAL ONE, NATIONAL ASSOCIATION,</w:t>
      </w:r>
    </w:p>
    <w:p>
      <w:pPr>
        <w:ind w:left="2340"/>
        <w:spacing w:after="0" w:line="234" w:lineRule="auto"/>
        <w:rPr>
          <w:sz w:val="20"/>
          <w:szCs w:val="20"/>
          <w:color w:val="auto"/>
        </w:rPr>
      </w:pPr>
      <w:r>
        <w:rPr>
          <w:rFonts w:ascii="Times New Roman" w:cs="Times New Roman" w:eastAsia="Times New Roman" w:hAnsi="Times New Roman"/>
          <w:sz w:val="22"/>
          <w:szCs w:val="22"/>
          <w:b w:val="1"/>
          <w:bCs w:val="1"/>
          <w:color w:val="auto"/>
        </w:rPr>
        <w:t>MORGAN STANLEY MUFG LOAN PARTNERS, LLC,</w:t>
      </w:r>
    </w:p>
    <w:p>
      <w:pPr>
        <w:jc w:val="center"/>
        <w:ind w:right="640"/>
        <w:spacing w:after="0" w:line="218" w:lineRule="auto"/>
        <w:rPr>
          <w:sz w:val="20"/>
          <w:szCs w:val="20"/>
          <w:color w:val="auto"/>
        </w:rPr>
      </w:pPr>
      <w:r>
        <w:rPr>
          <w:rFonts w:ascii="Times New Roman" w:cs="Times New Roman" w:eastAsia="Times New Roman" w:hAnsi="Times New Roman"/>
          <w:sz w:val="22"/>
          <w:szCs w:val="22"/>
          <w:b w:val="1"/>
          <w:bCs w:val="1"/>
          <w:color w:val="auto"/>
        </w:rPr>
        <w:t>HSBC BANK USA, N.A. ,</w:t>
      </w:r>
    </w:p>
    <w:p>
      <w:pPr>
        <w:jc w:val="center"/>
        <w:ind w:right="640"/>
        <w:spacing w:after="0" w:line="231" w:lineRule="auto"/>
        <w:rPr>
          <w:sz w:val="20"/>
          <w:szCs w:val="20"/>
          <w:color w:val="auto"/>
        </w:rPr>
      </w:pPr>
      <w:r>
        <w:rPr>
          <w:rFonts w:ascii="Times New Roman" w:cs="Times New Roman" w:eastAsia="Times New Roman" w:hAnsi="Times New Roman"/>
          <w:sz w:val="22"/>
          <w:szCs w:val="22"/>
          <w:color w:val="auto"/>
        </w:rPr>
        <w:t>and</w:t>
      </w:r>
    </w:p>
    <w:p>
      <w:pPr>
        <w:jc w:val="center"/>
        <w:ind w:right="640"/>
        <w:spacing w:after="0" w:line="217" w:lineRule="auto"/>
        <w:rPr>
          <w:sz w:val="20"/>
          <w:szCs w:val="20"/>
          <w:color w:val="auto"/>
        </w:rPr>
      </w:pPr>
      <w:r>
        <w:rPr>
          <w:rFonts w:ascii="Times New Roman" w:cs="Times New Roman" w:eastAsia="Times New Roman" w:hAnsi="Times New Roman"/>
          <w:sz w:val="22"/>
          <w:szCs w:val="22"/>
          <w:b w:val="1"/>
          <w:bCs w:val="1"/>
          <w:color w:val="auto"/>
        </w:rPr>
        <w:t>CITIZENS BANK, N.A.,</w:t>
      </w:r>
    </w:p>
    <w:p>
      <w:pPr>
        <w:spacing w:after="0" w:line="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2"/>
          <w:szCs w:val="22"/>
          <w:color w:val="auto"/>
        </w:rPr>
        <w:t>as Co-Documentation Agents</w:t>
      </w:r>
    </w:p>
    <w:p>
      <w:pPr>
        <w:sectPr>
          <w:pgSz w:w="11900" w:h="16838" w:orient="portrait"/>
          <w:cols w:equalWidth="0" w:num="1">
            <w:col w:w="10580"/>
          </w:cols>
          <w:pgMar w:left="980" w:top="111" w:right="339" w:bottom="1440" w:gutter="0" w:footer="0" w:header="0"/>
        </w:sectPr>
      </w:pPr>
    </w:p>
    <w:bookmarkStart w:id="111" w:name="page112"/>
    <w:bookmarkEnd w:id="111"/>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u w:val="single" w:color="auto"/>
          <w:color w:val="auto"/>
        </w:rPr>
        <w:t>Section</w:t>
      </w:r>
      <w:r>
        <w:rPr>
          <w:sz w:val="20"/>
          <w:szCs w:val="20"/>
          <w:color w:val="auto"/>
        </w:rPr>
        <w:tab/>
      </w:r>
      <w:r>
        <w:rPr>
          <w:rFonts w:ascii="Times New Roman" w:cs="Times New Roman" w:eastAsia="Times New Roman" w:hAnsi="Times New Roman"/>
          <w:sz w:val="21"/>
          <w:szCs w:val="21"/>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I.</w:t>
            </w:r>
          </w:p>
        </w:tc>
        <w:tc>
          <w:tcPr>
            <w:tcW w:w="488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DEFINITIONS AND ACCOUNTING TERMS  1</w:t>
            </w:r>
          </w:p>
        </w:tc>
        <w:tc>
          <w:tcPr>
            <w:tcW w:w="2380" w:type="dxa"/>
            <w:vAlign w:val="bottom"/>
          </w:tcPr>
          <w:p>
            <w:pPr>
              <w:spacing w:after="0"/>
              <w:rPr>
                <w:sz w:val="24"/>
                <w:szCs w:val="24"/>
                <w:color w:val="auto"/>
              </w:rPr>
            </w:pPr>
          </w:p>
        </w:tc>
      </w:tr>
      <w:tr>
        <w:trPr>
          <w:trHeight w:val="339"/>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Defined Terms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70"/>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w:t>
            </w: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Other Interpretive Provisions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1.03</w:t>
            </w:r>
          </w:p>
        </w:tc>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Accounting Terms</w:t>
            </w:r>
          </w:p>
        </w:tc>
        <w:tc>
          <w:tcPr>
            <w:tcW w:w="14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44</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1.04</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4"/>
              </w:rPr>
              <w:t>Rounding</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1.05</w:t>
            </w:r>
          </w:p>
        </w:tc>
        <w:tc>
          <w:tcPr>
            <w:tcW w:w="388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Exchange Rates; Currency Equivalents  45</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1.06</w:t>
            </w: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w w:val="97"/>
              </w:rPr>
              <w:t>Change of Currency</w:t>
            </w:r>
          </w:p>
        </w:tc>
        <w:tc>
          <w:tcPr>
            <w:tcW w:w="88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45</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1.07</w:t>
            </w:r>
          </w:p>
        </w:tc>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Times of Day</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1.08</w:t>
            </w: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Letter of Credit Amounts  46</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1.09</w:t>
            </w:r>
          </w:p>
        </w:tc>
        <w:tc>
          <w:tcPr>
            <w:tcW w:w="388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rPr>
              <w:t>Making Calculations on a Pro Forma Basis</w:t>
            </w:r>
          </w:p>
        </w:tc>
        <w:tc>
          <w:tcPr>
            <w:tcW w:w="100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46</w:t>
            </w: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1.10</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Interest Rates</w:t>
            </w:r>
          </w:p>
        </w:tc>
        <w:tc>
          <w:tcPr>
            <w:tcW w:w="2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46</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1.11</w:t>
            </w:r>
          </w:p>
        </w:tc>
        <w:tc>
          <w:tcPr>
            <w:tcW w:w="296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Currency Equivalents Generally</w:t>
            </w:r>
          </w:p>
        </w:tc>
        <w:tc>
          <w:tcPr>
            <w:tcW w:w="9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47</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8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1.12</w:t>
            </w:r>
          </w:p>
        </w:tc>
        <w:tc>
          <w:tcPr>
            <w:tcW w:w="296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Limited Condition Transactions</w:t>
            </w:r>
          </w:p>
        </w:tc>
        <w:tc>
          <w:tcPr>
            <w:tcW w:w="92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9"/>
              </w:rPr>
              <w:t>47</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II.</w:t>
            </w:r>
          </w:p>
        </w:tc>
        <w:tc>
          <w:tcPr>
            <w:tcW w:w="7260" w:type="dxa"/>
            <w:vAlign w:val="bottom"/>
            <w:gridSpan w:val="11"/>
          </w:tcPr>
          <w:p>
            <w:pPr>
              <w:ind w:left="140"/>
              <w:spacing w:after="0"/>
              <w:rPr>
                <w:sz w:val="20"/>
                <w:szCs w:val="20"/>
                <w:color w:val="auto"/>
              </w:rPr>
            </w:pPr>
            <w:r>
              <w:rPr>
                <w:rFonts w:ascii="Times New Roman" w:cs="Times New Roman" w:eastAsia="Times New Roman" w:hAnsi="Times New Roman"/>
                <w:sz w:val="22"/>
                <w:szCs w:val="22"/>
                <w:color w:val="auto"/>
              </w:rPr>
              <w:t>COMMITMENTS AND CREDIT EXTENSIONS  48</w:t>
            </w:r>
          </w:p>
        </w:tc>
      </w:tr>
      <w:tr>
        <w:trPr>
          <w:trHeight w:val="35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2.01</w:t>
            </w:r>
          </w:p>
        </w:tc>
        <w:tc>
          <w:tcPr>
            <w:tcW w:w="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Loans</w:t>
            </w:r>
          </w:p>
        </w:tc>
        <w:tc>
          <w:tcPr>
            <w:tcW w:w="80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49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2.02</w:t>
            </w:r>
          </w:p>
        </w:tc>
        <w:tc>
          <w:tcPr>
            <w:tcW w:w="488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Borrowings, Conversions and Continuations of Loans</w:t>
            </w:r>
          </w:p>
        </w:tc>
        <w:tc>
          <w:tcPr>
            <w:tcW w:w="2380" w:type="dxa"/>
            <w:vAlign w:val="bottom"/>
          </w:tcPr>
          <w:p>
            <w:pPr>
              <w:jc w:val="right"/>
              <w:ind w:right="2052"/>
              <w:spacing w:after="0"/>
              <w:rPr>
                <w:sz w:val="20"/>
                <w:szCs w:val="20"/>
                <w:color w:val="auto"/>
              </w:rPr>
            </w:pPr>
            <w:r>
              <w:rPr>
                <w:rFonts w:ascii="Times New Roman" w:cs="Times New Roman" w:eastAsia="Times New Roman" w:hAnsi="Times New Roman"/>
                <w:sz w:val="22"/>
                <w:szCs w:val="22"/>
                <w:color w:val="auto"/>
                <w:w w:val="90"/>
              </w:rPr>
              <w:t>49</w:t>
            </w: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2.03</w:t>
            </w:r>
          </w:p>
        </w:tc>
        <w:tc>
          <w:tcPr>
            <w:tcW w:w="3880" w:type="dxa"/>
            <w:vAlign w:val="bottom"/>
            <w:gridSpan w:val="9"/>
          </w:tcPr>
          <w:p>
            <w:pPr>
              <w:ind w:left="20"/>
              <w:spacing w:after="0"/>
              <w:rPr>
                <w:sz w:val="20"/>
                <w:szCs w:val="20"/>
                <w:color w:val="auto"/>
              </w:rPr>
            </w:pPr>
            <w:r>
              <w:rPr>
                <w:rFonts w:ascii="Times New Roman" w:cs="Times New Roman" w:eastAsia="Times New Roman" w:hAnsi="Times New Roman"/>
                <w:sz w:val="22"/>
                <w:szCs w:val="22"/>
                <w:color w:val="auto"/>
                <w:w w:val="99"/>
              </w:rPr>
              <w:t>Letters of Credit and Bankers’ Acceptances</w:t>
            </w:r>
          </w:p>
        </w:tc>
        <w:tc>
          <w:tcPr>
            <w:tcW w:w="100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52</w:t>
            </w: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2.04</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w w:val="99"/>
              </w:rPr>
              <w:t>Swing Line Loans</w:t>
            </w:r>
          </w:p>
        </w:tc>
        <w:tc>
          <w:tcPr>
            <w:tcW w:w="14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81"/>
              </w:rPr>
              <w:t>65</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2.05</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Prepayments  68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2.06</w:t>
            </w:r>
          </w:p>
        </w:tc>
        <w:tc>
          <w:tcPr>
            <w:tcW w:w="388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Termination or Reduction of Commitments</w:t>
            </w:r>
          </w:p>
        </w:tc>
        <w:tc>
          <w:tcPr>
            <w:tcW w:w="10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69</w:t>
            </w: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2.07</w:t>
            </w:r>
          </w:p>
        </w:tc>
        <w:tc>
          <w:tcPr>
            <w:tcW w:w="202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Repayment of Loans</w:t>
            </w:r>
          </w:p>
        </w:tc>
        <w:tc>
          <w:tcPr>
            <w:tcW w:w="6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0"/>
              </w:rPr>
              <w:t>70</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2.08</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Interest</w:t>
            </w:r>
          </w:p>
        </w:tc>
        <w:tc>
          <w:tcPr>
            <w:tcW w:w="5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w w:val="90"/>
              </w:rPr>
              <w:t>70</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2.09</w:t>
            </w:r>
          </w:p>
        </w:tc>
        <w:tc>
          <w:tcPr>
            <w:tcW w:w="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Fees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2.10</w:t>
            </w:r>
          </w:p>
        </w:tc>
        <w:tc>
          <w:tcPr>
            <w:tcW w:w="726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auto"/>
                <w:w w:val="99"/>
              </w:rPr>
              <w:t>Computation of Interest and Fees; Retroactive Adjustments of Applicable Rate  72</w:t>
            </w: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2.11</w:t>
            </w:r>
          </w:p>
        </w:tc>
        <w:tc>
          <w:tcPr>
            <w:tcW w:w="16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Evidence of Debt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73</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2.12</w:t>
            </w:r>
          </w:p>
        </w:tc>
        <w:tc>
          <w:tcPr>
            <w:tcW w:w="488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w w:val="98"/>
              </w:rPr>
              <w:t>Payments Generally; Administrative Agent’s Clawback</w:t>
            </w:r>
          </w:p>
        </w:tc>
        <w:tc>
          <w:tcPr>
            <w:tcW w:w="238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rPr>
              <w:t>73</w:t>
            </w: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2.13</w:t>
            </w:r>
          </w:p>
        </w:tc>
        <w:tc>
          <w:tcPr>
            <w:tcW w:w="296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Sharing of Payments by Lenders</w:t>
            </w: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75</w:t>
            </w: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2.14</w:t>
            </w:r>
          </w:p>
        </w:tc>
        <w:tc>
          <w:tcPr>
            <w:tcW w:w="726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auto"/>
              </w:rPr>
              <w:t>Company as Borrowing Agent; Joint and Several Liability  76</w:t>
            </w: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2.15</w:t>
            </w:r>
          </w:p>
        </w:tc>
        <w:tc>
          <w:tcPr>
            <w:tcW w:w="2020" w:type="dxa"/>
            <w:vAlign w:val="bottom"/>
            <w:gridSpan w:val="6"/>
          </w:tcPr>
          <w:p>
            <w:pPr>
              <w:ind w:left="20"/>
              <w:spacing w:after="0"/>
              <w:rPr>
                <w:sz w:val="20"/>
                <w:szCs w:val="20"/>
                <w:color w:val="auto"/>
              </w:rPr>
            </w:pPr>
            <w:r>
              <w:rPr>
                <w:rFonts w:ascii="Times New Roman" w:cs="Times New Roman" w:eastAsia="Times New Roman" w:hAnsi="Times New Roman"/>
                <w:sz w:val="22"/>
                <w:szCs w:val="22"/>
                <w:color w:val="auto"/>
              </w:rPr>
              <w:t>Incremental Increases</w:t>
            </w:r>
          </w:p>
        </w:tc>
        <w:tc>
          <w:tcPr>
            <w:tcW w:w="6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80</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2.16</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w w:val="98"/>
              </w:rPr>
              <w:t>Cash Collateral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2.17</w:t>
            </w:r>
          </w:p>
        </w:tc>
        <w:tc>
          <w:tcPr>
            <w:tcW w:w="1780" w:type="dxa"/>
            <w:vAlign w:val="bottom"/>
            <w:gridSpan w:val="5"/>
          </w:tcPr>
          <w:p>
            <w:pPr>
              <w:ind w:left="20"/>
              <w:spacing w:after="0"/>
              <w:rPr>
                <w:sz w:val="20"/>
                <w:szCs w:val="20"/>
                <w:color w:val="auto"/>
              </w:rPr>
            </w:pPr>
            <w:r>
              <w:rPr>
                <w:rFonts w:ascii="Times New Roman" w:cs="Times New Roman" w:eastAsia="Times New Roman" w:hAnsi="Times New Roman"/>
                <w:sz w:val="22"/>
                <w:szCs w:val="22"/>
                <w:color w:val="auto"/>
              </w:rPr>
              <w:t>Defaulting Lenders</w:t>
            </w:r>
          </w:p>
        </w:tc>
        <w:tc>
          <w:tcPr>
            <w:tcW w:w="880" w:type="dxa"/>
            <w:vAlign w:val="bottom"/>
            <w:gridSpan w:val="2"/>
          </w:tcPr>
          <w:p>
            <w:pPr>
              <w:jc w:val="right"/>
              <w:ind w:right="432"/>
              <w:spacing w:after="0"/>
              <w:rPr>
                <w:sz w:val="20"/>
                <w:szCs w:val="20"/>
                <w:color w:val="auto"/>
              </w:rPr>
            </w:pPr>
            <w:r>
              <w:rPr>
                <w:rFonts w:ascii="Times New Roman" w:cs="Times New Roman" w:eastAsia="Times New Roman" w:hAnsi="Times New Roman"/>
                <w:sz w:val="22"/>
                <w:szCs w:val="22"/>
                <w:color w:val="auto"/>
              </w:rPr>
              <w:t>84</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7"/>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2.18</w:t>
            </w: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Extensions of Maturity Date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87</w:t>
            </w: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2.19</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ESG Adjustments</w:t>
            </w:r>
          </w:p>
        </w:tc>
        <w:tc>
          <w:tcPr>
            <w:tcW w:w="14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89</w:t>
            </w: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8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2.20</w:t>
            </w:r>
          </w:p>
        </w:tc>
        <w:tc>
          <w:tcPr>
            <w:tcW w:w="488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w w:val="98"/>
              </w:rPr>
              <w:t>Designation of Restricted and Unrestricted Subsidiaries</w:t>
            </w:r>
          </w:p>
        </w:tc>
        <w:tc>
          <w:tcPr>
            <w:tcW w:w="2380" w:type="dxa"/>
            <w:vAlign w:val="bottom"/>
          </w:tcPr>
          <w:p>
            <w:pPr>
              <w:jc w:val="right"/>
              <w:ind w:right="1912"/>
              <w:spacing w:after="0"/>
              <w:rPr>
                <w:sz w:val="20"/>
                <w:szCs w:val="20"/>
                <w:color w:val="auto"/>
              </w:rPr>
            </w:pPr>
            <w:r>
              <w:rPr>
                <w:rFonts w:ascii="Times New Roman" w:cs="Times New Roman" w:eastAsia="Times New Roman" w:hAnsi="Times New Roman"/>
                <w:sz w:val="22"/>
                <w:szCs w:val="22"/>
                <w:color w:val="auto"/>
              </w:rPr>
              <w:t>90</w:t>
            </w:r>
          </w:p>
        </w:tc>
      </w:tr>
      <w:tr>
        <w:trPr>
          <w:trHeight w:val="47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w w:val="96"/>
              </w:rPr>
              <w:t>ARTICLE III.</w:t>
            </w:r>
          </w:p>
        </w:tc>
        <w:tc>
          <w:tcPr>
            <w:tcW w:w="4880" w:type="dxa"/>
            <w:vAlign w:val="bottom"/>
            <w:gridSpan w:val="10"/>
          </w:tcPr>
          <w:p>
            <w:pPr>
              <w:ind w:left="200"/>
              <w:spacing w:after="0"/>
              <w:rPr>
                <w:sz w:val="20"/>
                <w:szCs w:val="20"/>
                <w:color w:val="auto"/>
              </w:rPr>
            </w:pPr>
            <w:r>
              <w:rPr>
                <w:rFonts w:ascii="Times New Roman" w:cs="Times New Roman" w:eastAsia="Times New Roman" w:hAnsi="Times New Roman"/>
                <w:sz w:val="22"/>
                <w:szCs w:val="22"/>
                <w:color w:val="auto"/>
                <w:w w:val="97"/>
              </w:rPr>
              <w:t>TAXES, YIELD PROTECTION AND ILLEGALITY</w:t>
            </w:r>
          </w:p>
        </w:tc>
        <w:tc>
          <w:tcPr>
            <w:tcW w:w="23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91</w:t>
            </w:r>
          </w:p>
        </w:tc>
      </w:tr>
      <w:tr>
        <w:trPr>
          <w:trHeight w:val="35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3.01</w:t>
            </w:r>
          </w:p>
        </w:tc>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Taxes</w:t>
            </w:r>
          </w:p>
        </w:tc>
        <w:tc>
          <w:tcPr>
            <w:tcW w:w="80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rPr>
              <w:t>91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3.02</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Illegality</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97</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56"/>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3.03</w:t>
            </w:r>
          </w:p>
        </w:tc>
        <w:tc>
          <w:tcPr>
            <w:tcW w:w="2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Inability to Determine Rates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98</w:t>
            </w: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82"/>
        </w:trPr>
        <w:tc>
          <w:tcPr>
            <w:tcW w:w="12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3.04</w:t>
            </w: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Increased Costs.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101</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5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581" w:right="1440" w:bottom="1440" w:gutter="0" w:footer="0" w:header="0"/>
          <w:type w:val="continuous"/>
        </w:sectPr>
      </w:pPr>
    </w:p>
    <w:bookmarkStart w:id="112" w:name="page113"/>
    <w:bookmarkEnd w:id="112"/>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u w:val="single" w:color="auto"/>
          <w:color w:val="auto"/>
        </w:rPr>
        <w:t>Section</w:t>
      </w:r>
      <w:r>
        <w:rPr>
          <w:sz w:val="20"/>
          <w:szCs w:val="20"/>
          <w:color w:val="auto"/>
        </w:rPr>
        <w:tab/>
      </w:r>
      <w:r>
        <w:rPr>
          <w:rFonts w:ascii="Times New Roman" w:cs="Times New Roman" w:eastAsia="Times New Roman" w:hAnsi="Times New Roman"/>
          <w:sz w:val="21"/>
          <w:szCs w:val="21"/>
          <w:b w:val="1"/>
          <w:bCs w:val="1"/>
          <w:u w:val="single" w:color="auto"/>
          <w:color w:val="auto"/>
        </w:rPr>
        <w:t>Page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3.05</w:t>
            </w: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w w:val="97"/>
              </w:rPr>
              <w:t>Compensation for Losses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3.06</w:t>
            </w:r>
          </w:p>
        </w:tc>
        <w:tc>
          <w:tcPr>
            <w:tcW w:w="44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116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104</w:t>
            </w:r>
          </w:p>
        </w:tc>
        <w:tc>
          <w:tcPr>
            <w:tcW w:w="480" w:type="dxa"/>
            <w:vAlign w:val="bottom"/>
          </w:tcPr>
          <w:p>
            <w:pPr>
              <w:spacing w:after="0"/>
              <w:rPr>
                <w:sz w:val="22"/>
                <w:szCs w:val="22"/>
                <w:color w:val="auto"/>
              </w:rPr>
            </w:pPr>
          </w:p>
        </w:tc>
      </w:tr>
      <w:tr>
        <w:trPr>
          <w:trHeight w:val="28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3.07</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Survival</w:t>
            </w:r>
          </w:p>
        </w:tc>
        <w:tc>
          <w:tcPr>
            <w:tcW w:w="5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0"/>
              </w:rPr>
              <w:t>104</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86"/>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w w:val="94"/>
              </w:rPr>
              <w:t>ARTICLE IV.</w:t>
            </w:r>
          </w:p>
        </w:tc>
        <w:tc>
          <w:tcPr>
            <w:tcW w:w="5560" w:type="dxa"/>
            <w:vAlign w:val="bottom"/>
            <w:gridSpan w:val="11"/>
          </w:tcPr>
          <w:p>
            <w:pPr>
              <w:ind w:left="220"/>
              <w:spacing w:after="0"/>
              <w:rPr>
                <w:sz w:val="20"/>
                <w:szCs w:val="20"/>
                <w:color w:val="auto"/>
              </w:rPr>
            </w:pPr>
            <w:r>
              <w:rPr>
                <w:rFonts w:ascii="Times New Roman" w:cs="Times New Roman" w:eastAsia="Times New Roman" w:hAnsi="Times New Roman"/>
                <w:sz w:val="22"/>
                <w:szCs w:val="22"/>
                <w:color w:val="auto"/>
              </w:rPr>
              <w:t>CONDITIONS PRECEDENT TO CREDIT EXTENSIONS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339"/>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4.01</w:t>
            </w:r>
          </w:p>
        </w:tc>
        <w:tc>
          <w:tcPr>
            <w:tcW w:w="414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Conditions of Initial Credit Extension  104</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4.02</w:t>
            </w: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8"/>
              </w:rPr>
              <w:t>Conditions to all Credit Extensions</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104</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ARTICLE V.</w:t>
            </w:r>
          </w:p>
        </w:tc>
        <w:tc>
          <w:tcPr>
            <w:tcW w:w="4140" w:type="dxa"/>
            <w:vAlign w:val="bottom"/>
            <w:gridSpan w:val="9"/>
          </w:tcPr>
          <w:p>
            <w:pPr>
              <w:jc w:val="center"/>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142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color w:val="auto"/>
              </w:rPr>
              <w:t>105</w:t>
            </w:r>
          </w:p>
        </w:tc>
        <w:tc>
          <w:tcPr>
            <w:tcW w:w="480" w:type="dxa"/>
            <w:vAlign w:val="bottom"/>
          </w:tcPr>
          <w:p>
            <w:pPr>
              <w:spacing w:after="0"/>
              <w:rPr>
                <w:sz w:val="24"/>
                <w:szCs w:val="24"/>
                <w:color w:val="auto"/>
              </w:rPr>
            </w:pPr>
          </w:p>
        </w:tc>
      </w:tr>
      <w:tr>
        <w:trPr>
          <w:trHeight w:val="35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5.01</w:t>
            </w: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7"/>
              </w:rPr>
              <w:t>Existence, Qualification and Power</w:t>
            </w: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105</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5.02</w:t>
            </w:r>
          </w:p>
        </w:tc>
        <w:tc>
          <w:tcPr>
            <w:tcW w:w="3100" w:type="dxa"/>
            <w:vAlign w:val="bottom"/>
            <w:gridSpan w:val="8"/>
          </w:tcPr>
          <w:p>
            <w:pPr>
              <w:ind w:left="20"/>
              <w:spacing w:after="0"/>
              <w:rPr>
                <w:sz w:val="20"/>
                <w:szCs w:val="20"/>
                <w:color w:val="auto"/>
              </w:rPr>
            </w:pPr>
            <w:r>
              <w:rPr>
                <w:rFonts w:ascii="Times New Roman" w:cs="Times New Roman" w:eastAsia="Times New Roman" w:hAnsi="Times New Roman"/>
                <w:sz w:val="22"/>
                <w:szCs w:val="22"/>
                <w:color w:val="auto"/>
              </w:rPr>
              <w:t>Authorization; No Contravention</w:t>
            </w: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w w:val="90"/>
              </w:rPr>
              <w:t>106</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5.03</w:t>
            </w:r>
          </w:p>
        </w:tc>
        <w:tc>
          <w:tcPr>
            <w:tcW w:w="414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Governmental Authorization; Other Consents</w:t>
            </w:r>
          </w:p>
        </w:tc>
        <w:tc>
          <w:tcPr>
            <w:tcW w:w="1420" w:type="dxa"/>
            <w:vAlign w:val="bottom"/>
            <w:gridSpan w:val="2"/>
          </w:tcPr>
          <w:p>
            <w:pPr>
              <w:jc w:val="right"/>
              <w:ind w:right="932"/>
              <w:spacing w:after="0"/>
              <w:rPr>
                <w:sz w:val="20"/>
                <w:szCs w:val="20"/>
                <w:color w:val="auto"/>
              </w:rPr>
            </w:pPr>
            <w:r>
              <w:rPr>
                <w:rFonts w:ascii="Times New Roman" w:cs="Times New Roman" w:eastAsia="Times New Roman" w:hAnsi="Times New Roman"/>
                <w:sz w:val="22"/>
                <w:szCs w:val="22"/>
                <w:color w:val="auto"/>
              </w:rPr>
              <w:t>106</w:t>
            </w: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5.04</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Binding Effect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5.05</w:t>
            </w:r>
          </w:p>
        </w:tc>
        <w:tc>
          <w:tcPr>
            <w:tcW w:w="440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w w:val="98"/>
              </w:rPr>
              <w:t>Financial Statements; No Material Adverse Effect</w:t>
            </w: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106</w:t>
            </w: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5.06</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Litigation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107</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5.07</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No Default</w:t>
            </w:r>
          </w:p>
        </w:tc>
        <w:tc>
          <w:tcPr>
            <w:tcW w:w="74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107</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5.08</w:t>
            </w: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Ownership of Property; Liens</w:t>
            </w:r>
          </w:p>
        </w:tc>
        <w:tc>
          <w:tcPr>
            <w:tcW w:w="13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108</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5.09</w:t>
            </w: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rPr>
              <w:t>Environmental Compliance  108</w:t>
            </w: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5.10</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5.11</w:t>
            </w:r>
          </w:p>
        </w:tc>
        <w:tc>
          <w:tcPr>
            <w:tcW w:w="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Taxes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108</w:t>
            </w: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5.12</w:t>
            </w: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ERISA Compliance</w:t>
            </w:r>
          </w:p>
        </w:tc>
        <w:tc>
          <w:tcPr>
            <w:tcW w:w="88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108</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5.13</w:t>
            </w: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Subsidiaries; Equity Interests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110</w:t>
            </w: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5.14</w:t>
            </w:r>
          </w:p>
        </w:tc>
        <w:tc>
          <w:tcPr>
            <w:tcW w:w="414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w w:val="98"/>
              </w:rPr>
              <w:t>Margin Regulations; Investment Company Act</w:t>
            </w:r>
          </w:p>
        </w:tc>
        <w:tc>
          <w:tcPr>
            <w:tcW w:w="142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110</w:t>
            </w: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5.15</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Disclosure</w:t>
            </w:r>
          </w:p>
        </w:tc>
        <w:tc>
          <w:tcPr>
            <w:tcW w:w="180" w:type="dxa"/>
            <w:vAlign w:val="bottom"/>
          </w:tcPr>
          <w:p>
            <w:pPr>
              <w:spacing w:after="0"/>
              <w:rPr>
                <w:sz w:val="22"/>
                <w:szCs w:val="22"/>
                <w:color w:val="auto"/>
              </w:rPr>
            </w:pPr>
          </w:p>
        </w:tc>
        <w:tc>
          <w:tcPr>
            <w:tcW w:w="74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w w:val="90"/>
              </w:rPr>
              <w:t>110</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5.16</w:t>
            </w: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Compliance with Laws</w:t>
            </w: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111</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5.17</w:t>
            </w:r>
          </w:p>
        </w:tc>
        <w:tc>
          <w:tcPr>
            <w:tcW w:w="5560" w:type="dxa"/>
            <w:vAlign w:val="bottom"/>
            <w:gridSpan w:val="11"/>
          </w:tcPr>
          <w:p>
            <w:pPr>
              <w:ind w:left="20"/>
              <w:spacing w:after="0"/>
              <w:rPr>
                <w:sz w:val="20"/>
                <w:szCs w:val="20"/>
                <w:color w:val="auto"/>
              </w:rPr>
            </w:pPr>
            <w:r>
              <w:rPr>
                <w:rFonts w:ascii="Times New Roman" w:cs="Times New Roman" w:eastAsia="Times New Roman" w:hAnsi="Times New Roman"/>
                <w:sz w:val="22"/>
                <w:szCs w:val="22"/>
                <w:color w:val="auto"/>
                <w:w w:val="98"/>
              </w:rPr>
              <w:t>Taxpayer Identification Number; Other Identifying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5.18</w:t>
            </w: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8"/>
              </w:rPr>
              <w:t>Intellectual Property; Licenses, Etc</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111</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5.19</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Solvency</w:t>
            </w:r>
          </w:p>
        </w:tc>
        <w:tc>
          <w:tcPr>
            <w:tcW w:w="50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111</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5.20</w:t>
            </w: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w w:val="93"/>
              </w:rPr>
              <w:t>Casualty, Etc</w:t>
            </w:r>
          </w:p>
        </w:tc>
        <w:tc>
          <w:tcPr>
            <w:tcW w:w="7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111</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5.21</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Labor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112</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5.22</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5"/>
              </w:rPr>
              <w:t>[Reserved]</w:t>
            </w:r>
          </w:p>
        </w:tc>
        <w:tc>
          <w:tcPr>
            <w:tcW w:w="180" w:type="dxa"/>
            <w:vAlign w:val="bottom"/>
          </w:tcPr>
          <w:p>
            <w:pPr>
              <w:spacing w:after="0"/>
              <w:rPr>
                <w:sz w:val="22"/>
                <w:szCs w:val="22"/>
                <w:color w:val="auto"/>
              </w:rPr>
            </w:pPr>
          </w:p>
        </w:tc>
        <w:tc>
          <w:tcPr>
            <w:tcW w:w="7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6"/>
              </w:rPr>
              <w:t>112</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70"/>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5.23</w:t>
            </w: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OFAC; Anti-Corruption Laws</w:t>
            </w:r>
          </w:p>
        </w:tc>
        <w:tc>
          <w:tcPr>
            <w:tcW w:w="13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112</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5.24</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5"/>
              </w:rPr>
              <w:t>[Reserved]</w:t>
            </w:r>
          </w:p>
        </w:tc>
        <w:tc>
          <w:tcPr>
            <w:tcW w:w="180" w:type="dxa"/>
            <w:vAlign w:val="bottom"/>
          </w:tcPr>
          <w:p>
            <w:pPr>
              <w:spacing w:after="0"/>
              <w:rPr>
                <w:sz w:val="22"/>
                <w:szCs w:val="22"/>
                <w:color w:val="auto"/>
              </w:rPr>
            </w:pPr>
          </w:p>
        </w:tc>
        <w:tc>
          <w:tcPr>
            <w:tcW w:w="7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6"/>
              </w:rPr>
              <w:t>112</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5.25</w:t>
            </w:r>
          </w:p>
        </w:tc>
        <w:tc>
          <w:tcPr>
            <w:tcW w:w="278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Affected Financial Institution</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112</w:t>
            </w: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7"/>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5.26</w:t>
            </w:r>
          </w:p>
        </w:tc>
        <w:tc>
          <w:tcPr>
            <w:tcW w:w="310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8"/>
              </w:rPr>
              <w:t>Beneficial Ownership Certification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112</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5.27</w:t>
            </w: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w w:val="96"/>
              </w:rPr>
              <w:t>Covered Entities</w:t>
            </w:r>
          </w:p>
        </w:tc>
        <w:tc>
          <w:tcPr>
            <w:tcW w:w="7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112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73"/>
        </w:trPr>
        <w:tc>
          <w:tcPr>
            <w:tcW w:w="432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ARTICLE VI.  AFFIRMATIVE COVENANTS</w:t>
            </w:r>
          </w:p>
        </w:tc>
        <w:tc>
          <w:tcPr>
            <w:tcW w:w="10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112</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5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6.01</w:t>
            </w: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Financial Statements</w:t>
            </w:r>
          </w:p>
        </w:tc>
        <w:tc>
          <w:tcPr>
            <w:tcW w:w="88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113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6.02</w:t>
            </w: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w w:val="99"/>
              </w:rPr>
              <w:t>Certificates; Other Information</w:t>
            </w:r>
          </w:p>
        </w:tc>
        <w:tc>
          <w:tcPr>
            <w:tcW w:w="1360" w:type="dxa"/>
            <w:vAlign w:val="bottom"/>
            <w:gridSpan w:val="2"/>
          </w:tcPr>
          <w:p>
            <w:pPr>
              <w:jc w:val="right"/>
              <w:ind w:right="792"/>
              <w:spacing w:after="0"/>
              <w:rPr>
                <w:sz w:val="20"/>
                <w:szCs w:val="20"/>
                <w:color w:val="auto"/>
              </w:rPr>
            </w:pPr>
            <w:r>
              <w:rPr>
                <w:rFonts w:ascii="Times New Roman" w:cs="Times New Roman" w:eastAsia="Times New Roman" w:hAnsi="Times New Roman"/>
                <w:sz w:val="22"/>
                <w:szCs w:val="22"/>
                <w:color w:val="auto"/>
              </w:rPr>
              <w:t>114</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6.03</w:t>
            </w:r>
          </w:p>
        </w:tc>
        <w:tc>
          <w:tcPr>
            <w:tcW w:w="7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Notices</w:t>
            </w:r>
          </w:p>
        </w:tc>
        <w:tc>
          <w:tcPr>
            <w:tcW w:w="760" w:type="dxa"/>
            <w:vAlign w:val="bottom"/>
            <w:gridSpan w:val="3"/>
          </w:tcPr>
          <w:p>
            <w:pPr>
              <w:jc w:val="right"/>
              <w:ind w:right="152"/>
              <w:spacing w:after="0"/>
              <w:rPr>
                <w:sz w:val="20"/>
                <w:szCs w:val="20"/>
                <w:color w:val="auto"/>
              </w:rPr>
            </w:pPr>
            <w:r>
              <w:rPr>
                <w:rFonts w:ascii="Times New Roman" w:cs="Times New Roman" w:eastAsia="Times New Roman" w:hAnsi="Times New Roman"/>
                <w:sz w:val="22"/>
                <w:szCs w:val="22"/>
                <w:color w:val="auto"/>
              </w:rPr>
              <w:t>116</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56"/>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6.04</w:t>
            </w: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Payment of Obligations</w:t>
            </w:r>
          </w:p>
        </w:tc>
        <w:tc>
          <w:tcPr>
            <w:tcW w:w="5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116</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82"/>
        </w:trPr>
        <w:tc>
          <w:tcPr>
            <w:tcW w:w="12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6.05</w:t>
            </w: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22"/>
                <w:szCs w:val="22"/>
                <w:color w:val="auto"/>
              </w:rPr>
              <w:t>Preservation of Existence, Etc</w:t>
            </w:r>
          </w:p>
        </w:tc>
        <w:tc>
          <w:tcPr>
            <w:tcW w:w="13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117</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5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581" w:right="1440" w:bottom="1440" w:gutter="0" w:footer="0" w:header="0"/>
          <w:type w:val="continuous"/>
        </w:sectPr>
      </w:pPr>
    </w:p>
    <w:bookmarkStart w:id="113" w:name="page114"/>
    <w:bookmarkEnd w:id="113"/>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u w:val="single" w:color="auto"/>
          <w:color w:val="auto"/>
        </w:rPr>
        <w:t>Section</w:t>
      </w:r>
      <w:r>
        <w:rPr>
          <w:sz w:val="20"/>
          <w:szCs w:val="20"/>
          <w:color w:val="auto"/>
        </w:rPr>
        <w:tab/>
      </w:r>
      <w:r>
        <w:rPr>
          <w:rFonts w:ascii="Times New Roman" w:cs="Times New Roman" w:eastAsia="Times New Roman" w:hAnsi="Times New Roman"/>
          <w:sz w:val="21"/>
          <w:szCs w:val="21"/>
          <w:b w:val="1"/>
          <w:bCs w:val="1"/>
          <w:u w:val="single" w:color="auto"/>
          <w:color w:val="auto"/>
        </w:rPr>
        <w:t>Page</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6.06</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Maintenance of Properties</w:t>
            </w: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117</w:t>
            </w: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6.07</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Maintenance of Insurance</w:t>
            </w:r>
          </w:p>
        </w:tc>
        <w:tc>
          <w:tcPr>
            <w:tcW w:w="5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117</w:t>
            </w: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6.08</w:t>
            </w: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6"/>
              </w:rPr>
              <w:t>Compliance with Laws</w:t>
            </w:r>
          </w:p>
        </w:tc>
        <w:tc>
          <w:tcPr>
            <w:tcW w:w="92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rPr>
              <w:t>117</w:t>
            </w: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6.09</w:t>
            </w: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Books and Records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117</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Inspection Rights</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117</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6.11</w:t>
            </w:r>
          </w:p>
        </w:tc>
        <w:tc>
          <w:tcPr>
            <w:tcW w:w="17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Use of Proceeds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118</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6.12</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6.13</w:t>
            </w:r>
          </w:p>
        </w:tc>
        <w:tc>
          <w:tcPr>
            <w:tcW w:w="34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w w:val="98"/>
              </w:rPr>
              <w:t>Compliance with Environmental Laws</w:t>
            </w:r>
          </w:p>
        </w:tc>
        <w:tc>
          <w:tcPr>
            <w:tcW w:w="2780" w:type="dxa"/>
            <w:vAlign w:val="bottom"/>
          </w:tcPr>
          <w:p>
            <w:pPr>
              <w:jc w:val="right"/>
              <w:ind w:right="2172"/>
              <w:spacing w:after="0"/>
              <w:rPr>
                <w:sz w:val="20"/>
                <w:szCs w:val="20"/>
                <w:color w:val="auto"/>
              </w:rPr>
            </w:pPr>
            <w:r>
              <w:rPr>
                <w:rFonts w:ascii="Times New Roman" w:cs="Times New Roman" w:eastAsia="Times New Roman" w:hAnsi="Times New Roman"/>
                <w:sz w:val="22"/>
                <w:szCs w:val="22"/>
                <w:color w:val="auto"/>
              </w:rPr>
              <w:t>118</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6.14</w:t>
            </w: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Further Assurances</w:t>
            </w: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118</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6.15</w:t>
            </w: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Material Contracts</w:t>
            </w: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6"/>
              </w:rPr>
              <w:t>118</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6.16</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w w:val="98"/>
              </w:rPr>
              <w:t>Designation as Senior Debt</w:t>
            </w:r>
          </w:p>
        </w:tc>
        <w:tc>
          <w:tcPr>
            <w:tcW w:w="5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118</w:t>
            </w: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6.18</w:t>
            </w:r>
          </w:p>
        </w:tc>
        <w:tc>
          <w:tcPr>
            <w:tcW w:w="3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rPr>
              <w:t>Foreign Finance Company Plan</w:t>
            </w:r>
          </w:p>
        </w:tc>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118</w:t>
            </w:r>
          </w:p>
        </w:tc>
        <w:tc>
          <w:tcPr>
            <w:tcW w:w="2780" w:type="dxa"/>
            <w:vAlign w:val="bottom"/>
          </w:tcPr>
          <w:p>
            <w:pPr>
              <w:spacing w:after="0"/>
              <w:rPr>
                <w:sz w:val="22"/>
                <w:szCs w:val="22"/>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6.19</w:t>
            </w:r>
          </w:p>
        </w:tc>
        <w:tc>
          <w:tcPr>
            <w:tcW w:w="626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w w:val="99"/>
              </w:rPr>
              <w:t>Anti-Corruption Laws; Anti-Money Laundering Laws; Sanctions  119</w:t>
            </w:r>
          </w:p>
        </w:tc>
      </w:tr>
      <w:tr>
        <w:trPr>
          <w:trHeight w:val="486"/>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w:t>
            </w:r>
          </w:p>
        </w:tc>
        <w:tc>
          <w:tcPr>
            <w:tcW w:w="2720" w:type="dxa"/>
            <w:vAlign w:val="bottom"/>
            <w:gridSpan w:val="6"/>
          </w:tcPr>
          <w:p>
            <w:pPr>
              <w:jc w:val="right"/>
              <w:ind w:right="112"/>
              <w:spacing w:after="0"/>
              <w:rPr>
                <w:sz w:val="20"/>
                <w:szCs w:val="20"/>
                <w:color w:val="auto"/>
              </w:rPr>
            </w:pPr>
            <w:r>
              <w:rPr>
                <w:rFonts w:ascii="Times New Roman" w:cs="Times New Roman" w:eastAsia="Times New Roman" w:hAnsi="Times New Roman"/>
                <w:sz w:val="22"/>
                <w:szCs w:val="22"/>
                <w:color w:val="auto"/>
                <w:w w:val="99"/>
              </w:rPr>
              <w:t>NEGATIVE COVENANTS</w:t>
            </w:r>
          </w:p>
        </w:tc>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119</w:t>
            </w:r>
          </w:p>
        </w:tc>
        <w:tc>
          <w:tcPr>
            <w:tcW w:w="2780" w:type="dxa"/>
            <w:vAlign w:val="bottom"/>
          </w:tcPr>
          <w:p>
            <w:pPr>
              <w:spacing w:after="0"/>
              <w:rPr>
                <w:sz w:val="24"/>
                <w:szCs w:val="24"/>
                <w:color w:val="auto"/>
              </w:rPr>
            </w:pPr>
          </w:p>
        </w:tc>
      </w:tr>
      <w:tr>
        <w:trPr>
          <w:trHeight w:val="339"/>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7.01</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Liens  119</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7.02</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Acquisitions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121</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7.03</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Indebtedness</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121</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7.04</w:t>
            </w: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Fundamental Changes</w:t>
            </w:r>
          </w:p>
        </w:tc>
        <w:tc>
          <w:tcPr>
            <w:tcW w:w="92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123</w:t>
            </w: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7.05</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Dispositions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124</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7.06</w:t>
            </w:r>
          </w:p>
        </w:tc>
        <w:tc>
          <w:tcPr>
            <w:tcW w:w="19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8"/>
              </w:rPr>
              <w:t>Restricted Payments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7.07</w:t>
            </w:r>
          </w:p>
        </w:tc>
        <w:tc>
          <w:tcPr>
            <w:tcW w:w="34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Change in Nature of Business  126</w:t>
            </w: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7.08</w:t>
            </w:r>
          </w:p>
        </w:tc>
        <w:tc>
          <w:tcPr>
            <w:tcW w:w="2520" w:type="dxa"/>
            <w:vAlign w:val="bottom"/>
            <w:gridSpan w:val="6"/>
          </w:tcPr>
          <w:p>
            <w:pPr>
              <w:ind w:left="100"/>
              <w:spacing w:after="0"/>
              <w:rPr>
                <w:sz w:val="20"/>
                <w:szCs w:val="20"/>
                <w:color w:val="auto"/>
              </w:rPr>
            </w:pPr>
            <w:r>
              <w:rPr>
                <w:rFonts w:ascii="Times New Roman" w:cs="Times New Roman" w:eastAsia="Times New Roman" w:hAnsi="Times New Roman"/>
                <w:sz w:val="22"/>
                <w:szCs w:val="22"/>
                <w:color w:val="auto"/>
                <w:w w:val="97"/>
              </w:rPr>
              <w:t>Transactions with Affiliates</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126</w:t>
            </w: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7.09</w:t>
            </w:r>
          </w:p>
        </w:tc>
        <w:tc>
          <w:tcPr>
            <w:tcW w:w="252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Burdensome Agreements</w:t>
            </w: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0"/>
              </w:rPr>
              <w:t>126</w:t>
            </w: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7.10</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Use of Proceeds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126</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7.11</w:t>
            </w:r>
          </w:p>
        </w:tc>
        <w:tc>
          <w:tcPr>
            <w:tcW w:w="19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9"/>
              </w:rPr>
              <w:t>Financial Covenants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127</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7.12</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7.13</w:t>
            </w:r>
          </w:p>
        </w:tc>
        <w:tc>
          <w:tcPr>
            <w:tcW w:w="6260" w:type="dxa"/>
            <w:vAlign w:val="bottom"/>
            <w:gridSpan w:val="9"/>
          </w:tcPr>
          <w:p>
            <w:pPr>
              <w:ind w:left="100"/>
              <w:spacing w:after="0"/>
              <w:rPr>
                <w:sz w:val="20"/>
                <w:szCs w:val="20"/>
                <w:color w:val="auto"/>
              </w:rPr>
            </w:pPr>
            <w:r>
              <w:rPr>
                <w:rFonts w:ascii="Times New Roman" w:cs="Times New Roman" w:eastAsia="Times New Roman" w:hAnsi="Times New Roman"/>
                <w:sz w:val="22"/>
                <w:szCs w:val="22"/>
                <w:color w:val="auto"/>
              </w:rPr>
              <w:t>Amendments of Organization Documents  127</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7.14</w:t>
            </w:r>
          </w:p>
        </w:tc>
        <w:tc>
          <w:tcPr>
            <w:tcW w:w="192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w w:val="97"/>
              </w:rPr>
              <w:t>Accounting Changes</w:t>
            </w:r>
          </w:p>
        </w:tc>
        <w:tc>
          <w:tcPr>
            <w:tcW w:w="2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127</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7.15</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127</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7.16</w:t>
            </w:r>
          </w:p>
        </w:tc>
        <w:tc>
          <w:tcPr>
            <w:tcW w:w="3040" w:type="dxa"/>
            <w:vAlign w:val="bottom"/>
            <w:gridSpan w:val="7"/>
          </w:tcPr>
          <w:p>
            <w:pPr>
              <w:ind w:left="100"/>
              <w:spacing w:after="0"/>
              <w:rPr>
                <w:sz w:val="20"/>
                <w:szCs w:val="20"/>
                <w:color w:val="auto"/>
              </w:rPr>
            </w:pPr>
            <w:r>
              <w:rPr>
                <w:rFonts w:ascii="Times New Roman" w:cs="Times New Roman" w:eastAsia="Times New Roman" w:hAnsi="Times New Roman"/>
                <w:sz w:val="22"/>
                <w:szCs w:val="22"/>
                <w:color w:val="auto"/>
                <w:w w:val="97"/>
              </w:rPr>
              <w:t>Amendment, Etc. of Indebtedness</w:t>
            </w:r>
          </w:p>
        </w:tc>
        <w:tc>
          <w:tcPr>
            <w:tcW w:w="3220" w:type="dxa"/>
            <w:vAlign w:val="bottom"/>
            <w:gridSpan w:val="2"/>
          </w:tcPr>
          <w:p>
            <w:pPr>
              <w:jc w:val="right"/>
              <w:ind w:right="2572"/>
              <w:spacing w:after="0"/>
              <w:rPr>
                <w:sz w:val="20"/>
                <w:szCs w:val="20"/>
                <w:color w:val="auto"/>
              </w:rPr>
            </w:pPr>
            <w:r>
              <w:rPr>
                <w:rFonts w:ascii="Times New Roman" w:cs="Times New Roman" w:eastAsia="Times New Roman" w:hAnsi="Times New Roman"/>
                <w:sz w:val="22"/>
                <w:szCs w:val="22"/>
                <w:color w:val="auto"/>
              </w:rPr>
              <w:t>128</w:t>
            </w: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7.17</w:t>
            </w:r>
          </w:p>
        </w:tc>
        <w:tc>
          <w:tcPr>
            <w:tcW w:w="3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9"/>
              </w:rPr>
              <w:t>Sale and Leaseback Transactions</w:t>
            </w:r>
          </w:p>
        </w:tc>
        <w:tc>
          <w:tcPr>
            <w:tcW w:w="3220" w:type="dxa"/>
            <w:vAlign w:val="bottom"/>
            <w:gridSpan w:val="2"/>
          </w:tcPr>
          <w:p>
            <w:pPr>
              <w:jc w:val="right"/>
              <w:ind w:right="2652"/>
              <w:spacing w:after="0"/>
              <w:rPr>
                <w:sz w:val="20"/>
                <w:szCs w:val="20"/>
                <w:color w:val="auto"/>
              </w:rPr>
            </w:pPr>
            <w:r>
              <w:rPr>
                <w:rFonts w:ascii="Times New Roman" w:cs="Times New Roman" w:eastAsia="Times New Roman" w:hAnsi="Times New Roman"/>
                <w:sz w:val="22"/>
                <w:szCs w:val="22"/>
                <w:color w:val="auto"/>
              </w:rPr>
              <w:t>128</w:t>
            </w: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7.18</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128</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57"/>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7.19</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6"/>
              </w:rPr>
              <w:t>Holding Company</w:t>
            </w:r>
          </w:p>
        </w:tc>
        <w:tc>
          <w:tcPr>
            <w:tcW w:w="200" w:type="dxa"/>
            <w:vAlign w:val="bottom"/>
          </w:tcPr>
          <w:p>
            <w:pPr>
              <w:spacing w:after="0"/>
              <w:rPr>
                <w:sz w:val="22"/>
                <w:szCs w:val="22"/>
                <w:color w:val="auto"/>
              </w:rPr>
            </w:pPr>
          </w:p>
        </w:tc>
        <w:tc>
          <w:tcPr>
            <w:tcW w:w="6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w w:val="96"/>
              </w:rPr>
              <w:t>128</w:t>
            </w: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80" w:type="dxa"/>
            <w:vAlign w:val="bottom"/>
          </w:tcPr>
          <w:p>
            <w:pPr>
              <w:spacing w:after="0"/>
              <w:rPr>
                <w:sz w:val="22"/>
                <w:szCs w:val="22"/>
                <w:color w:val="auto"/>
              </w:rPr>
            </w:pPr>
          </w:p>
        </w:tc>
      </w:tr>
      <w:tr>
        <w:trPr>
          <w:trHeight w:val="270"/>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7.20</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[Reserved]</w:t>
            </w:r>
          </w:p>
        </w:tc>
        <w:tc>
          <w:tcPr>
            <w:tcW w:w="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128</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780" w:type="dxa"/>
            <w:vAlign w:val="bottom"/>
          </w:tcPr>
          <w:p>
            <w:pPr>
              <w:spacing w:after="0"/>
              <w:rPr>
                <w:sz w:val="23"/>
                <w:szCs w:val="23"/>
                <w:color w:val="auto"/>
              </w:rPr>
            </w:pP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7.21</w:t>
            </w:r>
          </w:p>
        </w:tc>
        <w:tc>
          <w:tcPr>
            <w:tcW w:w="348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Operations of US Holdco and Luxco</w:t>
            </w:r>
          </w:p>
        </w:tc>
        <w:tc>
          <w:tcPr>
            <w:tcW w:w="2780" w:type="dxa"/>
            <w:vAlign w:val="bottom"/>
          </w:tcPr>
          <w:p>
            <w:pPr>
              <w:jc w:val="right"/>
              <w:ind w:right="2332"/>
              <w:spacing w:after="0"/>
              <w:rPr>
                <w:sz w:val="20"/>
                <w:szCs w:val="20"/>
                <w:color w:val="auto"/>
              </w:rPr>
            </w:pPr>
            <w:r>
              <w:rPr>
                <w:rFonts w:ascii="Times New Roman" w:cs="Times New Roman" w:eastAsia="Times New Roman" w:hAnsi="Times New Roman"/>
                <w:sz w:val="22"/>
                <w:szCs w:val="22"/>
                <w:color w:val="auto"/>
                <w:w w:val="96"/>
              </w:rPr>
              <w:t>128</w:t>
            </w:r>
          </w:p>
        </w:tc>
      </w:tr>
      <w:tr>
        <w:trPr>
          <w:trHeight w:val="473"/>
        </w:trPr>
        <w:tc>
          <w:tcPr>
            <w:tcW w:w="1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w:t>
            </w:r>
          </w:p>
        </w:tc>
        <w:tc>
          <w:tcPr>
            <w:tcW w:w="5940" w:type="dxa"/>
            <w:vAlign w:val="bottom"/>
            <w:gridSpan w:val="8"/>
          </w:tcPr>
          <w:p>
            <w:pPr>
              <w:jc w:val="right"/>
              <w:ind w:right="1332"/>
              <w:spacing w:after="0"/>
              <w:rPr>
                <w:sz w:val="20"/>
                <w:szCs w:val="20"/>
                <w:color w:val="auto"/>
              </w:rPr>
            </w:pPr>
            <w:r>
              <w:rPr>
                <w:rFonts w:ascii="Times New Roman" w:cs="Times New Roman" w:eastAsia="Times New Roman" w:hAnsi="Times New Roman"/>
                <w:sz w:val="22"/>
                <w:szCs w:val="22"/>
                <w:color w:val="auto"/>
              </w:rPr>
              <w:t>EVENTS OF DEFAULT AND REMEDIES  129</w:t>
            </w:r>
          </w:p>
        </w:tc>
      </w:tr>
      <w:tr>
        <w:trPr>
          <w:trHeight w:val="339"/>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8.01</w:t>
            </w: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Events of Default</w:t>
            </w: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129</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56"/>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8.02</w:t>
            </w:r>
          </w:p>
        </w:tc>
        <w:tc>
          <w:tcPr>
            <w:tcW w:w="3040" w:type="dxa"/>
            <w:vAlign w:val="bottom"/>
            <w:gridSpan w:val="7"/>
          </w:tcPr>
          <w:p>
            <w:pPr>
              <w:ind w:left="120"/>
              <w:spacing w:after="0"/>
              <w:rPr>
                <w:sz w:val="20"/>
                <w:szCs w:val="20"/>
                <w:color w:val="auto"/>
              </w:rPr>
            </w:pPr>
            <w:r>
              <w:rPr>
                <w:rFonts w:ascii="Times New Roman" w:cs="Times New Roman" w:eastAsia="Times New Roman" w:hAnsi="Times New Roman"/>
                <w:sz w:val="22"/>
                <w:szCs w:val="22"/>
                <w:color w:val="auto"/>
                <w:w w:val="98"/>
              </w:rPr>
              <w:t>Remedies Upon Event of Default</w:t>
            </w:r>
          </w:p>
        </w:tc>
        <w:tc>
          <w:tcPr>
            <w:tcW w:w="3220" w:type="dxa"/>
            <w:vAlign w:val="bottom"/>
            <w:gridSpan w:val="2"/>
          </w:tcPr>
          <w:p>
            <w:pPr>
              <w:jc w:val="right"/>
              <w:ind w:right="2632"/>
              <w:spacing w:after="0"/>
              <w:rPr>
                <w:sz w:val="20"/>
                <w:szCs w:val="20"/>
                <w:color w:val="auto"/>
              </w:rPr>
            </w:pPr>
            <w:r>
              <w:rPr>
                <w:rFonts w:ascii="Times New Roman" w:cs="Times New Roman" w:eastAsia="Times New Roman" w:hAnsi="Times New Roman"/>
                <w:sz w:val="22"/>
                <w:szCs w:val="22"/>
                <w:color w:val="auto"/>
              </w:rPr>
              <w:t>131</w:t>
            </w:r>
          </w:p>
        </w:tc>
      </w:tr>
      <w:tr>
        <w:trPr>
          <w:trHeight w:val="282"/>
        </w:trPr>
        <w:tc>
          <w:tcPr>
            <w:tcW w:w="11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8.03</w:t>
            </w:r>
          </w:p>
        </w:tc>
        <w:tc>
          <w:tcPr>
            <w:tcW w:w="212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Application of Funds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131</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5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581" w:right="1440" w:bottom="1440" w:gutter="0" w:footer="0" w:header="0"/>
          <w:type w:val="continuous"/>
        </w:sectPr>
      </w:pPr>
    </w:p>
    <w:bookmarkStart w:id="114" w:name="page115"/>
    <w:bookmarkEnd w:id="114"/>
    <w:p>
      <w:pPr>
        <w:ind w:left="44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b w:val="1"/>
          <w:bCs w:val="1"/>
          <w:u w:val="single" w:color="auto"/>
          <w:color w:val="auto"/>
        </w:rPr>
        <w:t>Section</w:t>
      </w:r>
      <w:r>
        <w:rPr>
          <w:sz w:val="20"/>
          <w:szCs w:val="20"/>
          <w:color w:val="auto"/>
        </w:rPr>
        <w:tab/>
      </w:r>
      <w:r>
        <w:rPr>
          <w:rFonts w:ascii="Times New Roman" w:cs="Times New Roman" w:eastAsia="Times New Roman" w:hAnsi="Times New Roman"/>
          <w:sz w:val="21"/>
          <w:szCs w:val="21"/>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2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ARTICLE IX.  ADMINISTRATIVE AGENT</w:t>
            </w:r>
          </w:p>
        </w:tc>
        <w:tc>
          <w:tcPr>
            <w:tcW w:w="8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132</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39"/>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9.01</w:t>
            </w: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9.02</w:t>
            </w: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Rights as a Lender</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133</w:t>
            </w: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9.03</w:t>
            </w: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Exculpatory Provisions</w:t>
            </w:r>
          </w:p>
        </w:tc>
        <w:tc>
          <w:tcPr>
            <w:tcW w:w="7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w w:val="96"/>
              </w:rPr>
              <w:t>133</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9.04</w:t>
            </w:r>
          </w:p>
        </w:tc>
        <w:tc>
          <w:tcPr>
            <w:tcW w:w="30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Reliance by Administrative Agent</w:t>
            </w:r>
          </w:p>
        </w:tc>
        <w:tc>
          <w:tcPr>
            <w:tcW w:w="8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134</w:t>
            </w: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9.05</w:t>
            </w: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Delegation of Duties</w:t>
            </w:r>
          </w:p>
        </w:tc>
        <w:tc>
          <w:tcPr>
            <w:tcW w:w="140" w:type="dxa"/>
            <w:vAlign w:val="bottom"/>
          </w:tcPr>
          <w:p>
            <w:pPr>
              <w:spacing w:after="0"/>
              <w:rPr>
                <w:sz w:val="22"/>
                <w:szCs w:val="22"/>
                <w:color w:val="auto"/>
              </w:rPr>
            </w:pPr>
          </w:p>
        </w:tc>
        <w:tc>
          <w:tcPr>
            <w:tcW w:w="54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134</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9.06</w:t>
            </w:r>
          </w:p>
        </w:tc>
        <w:tc>
          <w:tcPr>
            <w:tcW w:w="390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Resignation of Administrative Agent  134</w:t>
            </w: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9.07</w:t>
            </w:r>
          </w:p>
        </w:tc>
        <w:tc>
          <w:tcPr>
            <w:tcW w:w="754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w w:val="99"/>
              </w:rPr>
              <w:t>Non-Reliance on the Administrative Agent, any Arranger and the Other Lenders  136</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9.08</w:t>
            </w: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No Other Duties, Etc</w:t>
            </w:r>
          </w:p>
        </w:tc>
        <w:tc>
          <w:tcPr>
            <w:tcW w:w="140" w:type="dxa"/>
            <w:vAlign w:val="bottom"/>
          </w:tcPr>
          <w:p>
            <w:pPr>
              <w:spacing w:after="0"/>
              <w:rPr>
                <w:sz w:val="22"/>
                <w:szCs w:val="22"/>
                <w:color w:val="auto"/>
              </w:rPr>
            </w:pPr>
          </w:p>
        </w:tc>
        <w:tc>
          <w:tcPr>
            <w:tcW w:w="5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137</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9.09</w:t>
            </w:r>
          </w:p>
        </w:tc>
        <w:tc>
          <w:tcPr>
            <w:tcW w:w="7540" w:type="dxa"/>
            <w:vAlign w:val="bottom"/>
            <w:gridSpan w:val="9"/>
          </w:tcPr>
          <w:p>
            <w:pPr>
              <w:ind w:left="40"/>
              <w:spacing w:after="0"/>
              <w:rPr>
                <w:sz w:val="20"/>
                <w:szCs w:val="20"/>
                <w:color w:val="auto"/>
              </w:rPr>
            </w:pPr>
            <w:r>
              <w:rPr>
                <w:rFonts w:ascii="Times New Roman" w:cs="Times New Roman" w:eastAsia="Times New Roman" w:hAnsi="Times New Roman"/>
                <w:sz w:val="22"/>
                <w:szCs w:val="22"/>
                <w:color w:val="auto"/>
              </w:rPr>
              <w:t>Administrative Agent May File Proofs of Claim  137</w:t>
            </w: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9.10</w:t>
            </w:r>
          </w:p>
        </w:tc>
        <w:tc>
          <w:tcPr>
            <w:tcW w:w="22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Certain ERISA Matters</w:t>
            </w:r>
          </w:p>
        </w:tc>
        <w:tc>
          <w:tcPr>
            <w:tcW w:w="780" w:type="dxa"/>
            <w:vAlign w:val="bottom"/>
            <w:gridSpan w:val="2"/>
          </w:tcPr>
          <w:p>
            <w:pPr>
              <w:jc w:val="right"/>
              <w:ind w:right="332"/>
              <w:spacing w:after="0"/>
              <w:rPr>
                <w:sz w:val="20"/>
                <w:szCs w:val="20"/>
                <w:color w:val="auto"/>
              </w:rPr>
            </w:pPr>
            <w:r>
              <w:rPr>
                <w:rFonts w:ascii="Times New Roman" w:cs="Times New Roman" w:eastAsia="Times New Roman" w:hAnsi="Times New Roman"/>
                <w:sz w:val="22"/>
                <w:szCs w:val="22"/>
                <w:color w:val="auto"/>
                <w:w w:val="96"/>
              </w:rPr>
              <w:t>137</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9.11</w:t>
            </w:r>
          </w:p>
        </w:tc>
        <w:tc>
          <w:tcPr>
            <w:tcW w:w="306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Recovery of Erroneous Payments</w:t>
            </w: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139</w:t>
            </w: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7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w w:val="98"/>
              </w:rPr>
              <w:t>ARTICLE X.</w:t>
            </w:r>
          </w:p>
        </w:tc>
        <w:tc>
          <w:tcPr>
            <w:tcW w:w="202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9"/>
              </w:rPr>
              <w:t>MISCELLANEOUS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5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10.01</w:t>
            </w: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Amendments, Etc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10.02</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Notices; Effectiveness; Electronic Communication</w:t>
            </w:r>
          </w:p>
        </w:tc>
        <w:tc>
          <w:tcPr>
            <w:tcW w:w="2980" w:type="dxa"/>
            <w:vAlign w:val="bottom"/>
          </w:tcPr>
          <w:p>
            <w:pPr>
              <w:jc w:val="right"/>
              <w:ind w:right="2352"/>
              <w:spacing w:after="0"/>
              <w:rPr>
                <w:sz w:val="20"/>
                <w:szCs w:val="20"/>
                <w:color w:val="auto"/>
              </w:rPr>
            </w:pPr>
            <w:r>
              <w:rPr>
                <w:rFonts w:ascii="Times New Roman" w:cs="Times New Roman" w:eastAsia="Times New Roman" w:hAnsi="Times New Roman"/>
                <w:sz w:val="22"/>
                <w:szCs w:val="22"/>
                <w:color w:val="auto"/>
              </w:rPr>
              <w:t>141</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10.03</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No Waiver; Cumulative Remedies; Enforcement</w:t>
            </w:r>
          </w:p>
        </w:tc>
        <w:tc>
          <w:tcPr>
            <w:tcW w:w="2980" w:type="dxa"/>
            <w:vAlign w:val="bottom"/>
          </w:tcPr>
          <w:p>
            <w:pPr>
              <w:jc w:val="right"/>
              <w:ind w:right="2532"/>
              <w:spacing w:after="0"/>
              <w:rPr>
                <w:sz w:val="20"/>
                <w:szCs w:val="20"/>
                <w:color w:val="auto"/>
              </w:rPr>
            </w:pPr>
            <w:r>
              <w:rPr>
                <w:rFonts w:ascii="Times New Roman" w:cs="Times New Roman" w:eastAsia="Times New Roman" w:hAnsi="Times New Roman"/>
                <w:sz w:val="22"/>
                <w:szCs w:val="22"/>
                <w:color w:val="auto"/>
                <w:w w:val="96"/>
              </w:rPr>
              <w:t>143</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10.04</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Expenses; Indemnity; Damage Waiver  144</w:t>
            </w: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10.05</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Payments Set Aside</w:t>
            </w:r>
          </w:p>
        </w:tc>
        <w:tc>
          <w:tcPr>
            <w:tcW w:w="54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147</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10.06</w:t>
            </w:r>
          </w:p>
        </w:tc>
        <w:tc>
          <w:tcPr>
            <w:tcW w:w="22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Successors and Assigns</w:t>
            </w:r>
          </w:p>
        </w:tc>
        <w:tc>
          <w:tcPr>
            <w:tcW w:w="7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147</w:t>
            </w:r>
          </w:p>
        </w:tc>
        <w:tc>
          <w:tcPr>
            <w:tcW w:w="8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10.07</w:t>
            </w:r>
          </w:p>
        </w:tc>
        <w:tc>
          <w:tcPr>
            <w:tcW w:w="456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9"/>
              </w:rPr>
              <w:t>Treatment of Certain Information; Confidentiality</w:t>
            </w:r>
          </w:p>
        </w:tc>
        <w:tc>
          <w:tcPr>
            <w:tcW w:w="2980" w:type="dxa"/>
            <w:vAlign w:val="bottom"/>
          </w:tcPr>
          <w:p>
            <w:pPr>
              <w:jc w:val="right"/>
              <w:ind w:right="2432"/>
              <w:spacing w:after="0"/>
              <w:rPr>
                <w:sz w:val="20"/>
                <w:szCs w:val="20"/>
                <w:color w:val="auto"/>
              </w:rPr>
            </w:pPr>
            <w:r>
              <w:rPr>
                <w:rFonts w:ascii="Times New Roman" w:cs="Times New Roman" w:eastAsia="Times New Roman" w:hAnsi="Times New Roman"/>
                <w:sz w:val="22"/>
                <w:szCs w:val="22"/>
                <w:color w:val="auto"/>
              </w:rPr>
              <w:t>152</w:t>
            </w: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10.08</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Right of Setoff  153</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10.09</w:t>
            </w:r>
          </w:p>
        </w:tc>
        <w:tc>
          <w:tcPr>
            <w:tcW w:w="22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9"/>
              </w:rPr>
              <w:t>Interest Rate Limitation</w:t>
            </w:r>
          </w:p>
        </w:tc>
        <w:tc>
          <w:tcPr>
            <w:tcW w:w="7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153</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10.10</w:t>
            </w: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Integration; Effectiveness</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154</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10.11</w:t>
            </w:r>
          </w:p>
        </w:tc>
        <w:tc>
          <w:tcPr>
            <w:tcW w:w="390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w w:val="96"/>
              </w:rPr>
              <w:t>Survival of Representations and Warranties</w:t>
            </w: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154</w:t>
            </w:r>
          </w:p>
        </w:tc>
        <w:tc>
          <w:tcPr>
            <w:tcW w:w="2980" w:type="dxa"/>
            <w:vAlign w:val="bottom"/>
          </w:tcPr>
          <w:p>
            <w:pPr>
              <w:spacing w:after="0"/>
              <w:rPr>
                <w:sz w:val="23"/>
                <w:szCs w:val="23"/>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10.12</w:t>
            </w:r>
          </w:p>
        </w:tc>
        <w:tc>
          <w:tcPr>
            <w:tcW w:w="1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10.13</w:t>
            </w:r>
          </w:p>
        </w:tc>
        <w:tc>
          <w:tcPr>
            <w:tcW w:w="22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7"/>
              </w:rPr>
              <w:t>Replacement of Lenders</w:t>
            </w:r>
          </w:p>
        </w:tc>
        <w:tc>
          <w:tcPr>
            <w:tcW w:w="78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154</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10.14</w:t>
            </w:r>
          </w:p>
        </w:tc>
        <w:tc>
          <w:tcPr>
            <w:tcW w:w="306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7"/>
              </w:rPr>
              <w:t>Governing Law; Jurisdiction; Etc</w:t>
            </w:r>
          </w:p>
        </w:tc>
        <w:tc>
          <w:tcPr>
            <w:tcW w:w="8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156</w:t>
            </w: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10.15</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Waiver of Jury Trial</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157</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10.16</w:t>
            </w:r>
          </w:p>
        </w:tc>
        <w:tc>
          <w:tcPr>
            <w:tcW w:w="390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No Advisory or Fiduciary Responsibility</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6"/>
              </w:rPr>
              <w:t>157</w:t>
            </w:r>
          </w:p>
        </w:tc>
        <w:tc>
          <w:tcPr>
            <w:tcW w:w="2980" w:type="dxa"/>
            <w:vAlign w:val="bottom"/>
          </w:tcPr>
          <w:p>
            <w:pPr>
              <w:spacing w:after="0"/>
              <w:rPr>
                <w:sz w:val="22"/>
                <w:szCs w:val="22"/>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10.17</w:t>
            </w:r>
          </w:p>
        </w:tc>
        <w:tc>
          <w:tcPr>
            <w:tcW w:w="754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Electronic Execution; Electronic Records; Counterparts  158</w:t>
            </w: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10.18</w:t>
            </w: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7"/>
              </w:rPr>
              <w:t>USA PATRIOT Act Notice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10.19</w:t>
            </w:r>
          </w:p>
        </w:tc>
        <w:tc>
          <w:tcPr>
            <w:tcW w:w="18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8"/>
              </w:rPr>
              <w:t>Judgment Currency</w:t>
            </w:r>
          </w:p>
        </w:tc>
        <w:tc>
          <w:tcPr>
            <w:tcW w:w="140" w:type="dxa"/>
            <w:vAlign w:val="bottom"/>
          </w:tcPr>
          <w:p>
            <w:pPr>
              <w:spacing w:after="0"/>
              <w:rPr>
                <w:sz w:val="22"/>
                <w:szCs w:val="22"/>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159</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7"/>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10.20</w:t>
            </w: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8"/>
              </w:rPr>
              <w:t>Designation as Senior Debt</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w:t>
            </w: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56"/>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10.21</w:t>
            </w:r>
          </w:p>
        </w:tc>
        <w:tc>
          <w:tcPr>
            <w:tcW w:w="1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[Reserved.]</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160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270"/>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10.22</w:t>
            </w:r>
          </w:p>
        </w:tc>
        <w:tc>
          <w:tcPr>
            <w:tcW w:w="754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Acknowledgement and Consent to Bail-In of Affected Financial Institutions  160</w:t>
            </w:r>
          </w:p>
        </w:tc>
      </w:tr>
      <w:tr>
        <w:trPr>
          <w:trHeight w:val="282"/>
        </w:trPr>
        <w:tc>
          <w:tcPr>
            <w:tcW w:w="1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10.23</w:t>
            </w:r>
          </w:p>
        </w:tc>
        <w:tc>
          <w:tcPr>
            <w:tcW w:w="7540" w:type="dxa"/>
            <w:vAlign w:val="bottom"/>
            <w:gridSpan w:val="9"/>
          </w:tcPr>
          <w:p>
            <w:pPr>
              <w:ind w:left="140"/>
              <w:spacing w:after="0"/>
              <w:rPr>
                <w:sz w:val="20"/>
                <w:szCs w:val="20"/>
                <w:color w:val="auto"/>
              </w:rPr>
            </w:pPr>
            <w:r>
              <w:rPr>
                <w:rFonts w:ascii="Times New Roman" w:cs="Times New Roman" w:eastAsia="Times New Roman" w:hAnsi="Times New Roman"/>
                <w:sz w:val="22"/>
                <w:szCs w:val="22"/>
                <w:color w:val="auto"/>
              </w:rPr>
              <w:t>Acknowledgement Regarding Any Supported QFCs  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581"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auto"/>
        </w:rPr>
        <w:t>ANNEXES</w:t>
      </w:r>
    </w:p>
    <w:p>
      <w:pPr>
        <w:spacing w:after="0" w:line="224" w:lineRule="exact"/>
        <w:rPr>
          <w:sz w:val="20"/>
          <w:szCs w:val="20"/>
          <w:color w:val="auto"/>
        </w:rPr>
      </w:pPr>
    </w:p>
    <w:p>
      <w:pPr>
        <w:ind w:left="1160" w:hanging="504"/>
        <w:spacing w:after="0"/>
        <w:tabs>
          <w:tab w:leader="none" w:pos="1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Letters of Credit</w:t>
      </w:r>
    </w:p>
    <w:p>
      <w:pPr>
        <w:spacing w:after="0" w:line="28"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II-A</w:t>
      </w:r>
      <w:r>
        <w:rPr>
          <w:sz w:val="20"/>
          <w:szCs w:val="20"/>
          <w:color w:val="auto"/>
        </w:rPr>
        <w:tab/>
      </w:r>
      <w:r>
        <w:rPr>
          <w:rFonts w:ascii="Times New Roman" w:cs="Times New Roman" w:eastAsia="Times New Roman" w:hAnsi="Times New Roman"/>
          <w:sz w:val="21"/>
          <w:szCs w:val="21"/>
          <w:color w:val="auto"/>
        </w:rPr>
        <w:t>Commitments and Applicable Percentages</w:t>
      </w:r>
    </w:p>
    <w:p>
      <w:pPr>
        <w:spacing w:after="0" w:line="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II-B</w:t>
      </w:r>
      <w:r>
        <w:rPr>
          <w:sz w:val="20"/>
          <w:szCs w:val="20"/>
          <w:color w:val="auto"/>
        </w:rPr>
        <w:tab/>
      </w:r>
      <w:r>
        <w:rPr>
          <w:rFonts w:ascii="Times New Roman" w:cs="Times New Roman" w:eastAsia="Times New Roman" w:hAnsi="Times New Roman"/>
          <w:sz w:val="21"/>
          <w:szCs w:val="21"/>
          <w:color w:val="auto"/>
        </w:rPr>
        <w:t>Swing Line Commitments</w:t>
      </w:r>
    </w:p>
    <w:p>
      <w:pPr>
        <w:spacing w:after="0" w:line="15"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22"/>
          <w:szCs w:val="22"/>
          <w:color w:val="auto"/>
        </w:rPr>
        <w:t>II-C</w:t>
      </w:r>
      <w:r>
        <w:rPr>
          <w:sz w:val="20"/>
          <w:szCs w:val="20"/>
          <w:color w:val="auto"/>
        </w:rPr>
        <w:tab/>
      </w:r>
      <w:r>
        <w:rPr>
          <w:rFonts w:ascii="Times New Roman" w:cs="Times New Roman" w:eastAsia="Times New Roman" w:hAnsi="Times New Roman"/>
          <w:sz w:val="21"/>
          <w:szCs w:val="21"/>
          <w:color w:val="auto"/>
        </w:rPr>
        <w:t>Letter of Credit Commitments</w:t>
      </w:r>
    </w:p>
    <w:p>
      <w:pPr>
        <w:spacing w:after="0" w:line="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Term Loan Facility Amortization Schedule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SCHEDULES</w:t>
      </w:r>
    </w:p>
    <w:p>
      <w:pPr>
        <w:spacing w:after="0" w:line="22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5.05</w:t>
      </w:r>
      <w:r>
        <w:rPr>
          <w:sz w:val="20"/>
          <w:szCs w:val="20"/>
          <w:color w:val="auto"/>
        </w:rPr>
        <w:tab/>
      </w:r>
      <w:r>
        <w:rPr>
          <w:rFonts w:ascii="Times New Roman" w:cs="Times New Roman" w:eastAsia="Times New Roman" w:hAnsi="Times New Roman"/>
          <w:sz w:val="21"/>
          <w:szCs w:val="21"/>
          <w:color w:val="auto"/>
        </w:rPr>
        <w:t>Supplement to Interim Financial Statements</w:t>
      </w:r>
    </w:p>
    <w:p>
      <w:pPr>
        <w:spacing w:after="0" w:line="29"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22"/>
          <w:szCs w:val="22"/>
          <w:color w:val="auto"/>
        </w:rPr>
        <w:t>5.12(c)</w:t>
      </w:r>
      <w:r>
        <w:rPr>
          <w:sz w:val="20"/>
          <w:szCs w:val="20"/>
          <w:color w:val="auto"/>
        </w:rPr>
        <w:tab/>
      </w:r>
      <w:r>
        <w:rPr>
          <w:rFonts w:ascii="Times New Roman" w:cs="Times New Roman" w:eastAsia="Times New Roman" w:hAnsi="Times New Roman"/>
          <w:sz w:val="21"/>
          <w:szCs w:val="21"/>
          <w:color w:val="auto"/>
        </w:rPr>
        <w:t>Closing Date ERISA Events</w:t>
      </w:r>
    </w:p>
    <w:p>
      <w:pPr>
        <w:spacing w:after="0" w:line="15"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5.12(d)</w:t>
      </w:r>
      <w:r>
        <w:rPr>
          <w:sz w:val="20"/>
          <w:szCs w:val="20"/>
          <w:color w:val="auto"/>
        </w:rPr>
        <w:tab/>
      </w:r>
      <w:r>
        <w:rPr>
          <w:rFonts w:ascii="Times New Roman" w:cs="Times New Roman" w:eastAsia="Times New Roman" w:hAnsi="Times New Roman"/>
          <w:sz w:val="21"/>
          <w:szCs w:val="21"/>
          <w:color w:val="auto"/>
        </w:rPr>
        <w:t>Closing Date Pension Plans</w:t>
      </w:r>
    </w:p>
    <w:p>
      <w:pPr>
        <w:spacing w:after="0" w:line="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5.13</w:t>
      </w:r>
      <w:r>
        <w:rPr>
          <w:sz w:val="20"/>
          <w:szCs w:val="20"/>
          <w:color w:val="auto"/>
        </w:rPr>
        <w:tab/>
      </w:r>
      <w:r>
        <w:rPr>
          <w:rFonts w:ascii="Times New Roman" w:cs="Times New Roman" w:eastAsia="Times New Roman" w:hAnsi="Times New Roman"/>
          <w:sz w:val="21"/>
          <w:szCs w:val="21"/>
          <w:color w:val="auto"/>
        </w:rPr>
        <w:t>Subsidiaries; Other Equity Investments</w:t>
      </w:r>
    </w:p>
    <w:p>
      <w:pPr>
        <w:spacing w:after="0" w:line="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5.21</w:t>
      </w:r>
      <w:r>
        <w:rPr>
          <w:sz w:val="20"/>
          <w:szCs w:val="20"/>
          <w:color w:val="auto"/>
        </w:rPr>
        <w:tab/>
      </w:r>
      <w:r>
        <w:rPr>
          <w:rFonts w:ascii="Times New Roman" w:cs="Times New Roman" w:eastAsia="Times New Roman" w:hAnsi="Times New Roman"/>
          <w:sz w:val="21"/>
          <w:szCs w:val="21"/>
          <w:color w:val="auto"/>
        </w:rPr>
        <w:t>Labor Matters</w:t>
      </w:r>
    </w:p>
    <w:p>
      <w:pPr>
        <w:spacing w:after="0" w:line="4"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22"/>
          <w:szCs w:val="22"/>
          <w:color w:val="auto"/>
        </w:rPr>
        <w:t>7.01(b)</w:t>
      </w:r>
      <w:r>
        <w:rPr>
          <w:sz w:val="20"/>
          <w:szCs w:val="20"/>
          <w:color w:val="auto"/>
        </w:rPr>
        <w:tab/>
      </w:r>
      <w:r>
        <w:rPr>
          <w:rFonts w:ascii="Times New Roman" w:cs="Times New Roman" w:eastAsia="Times New Roman" w:hAnsi="Times New Roman"/>
          <w:sz w:val="21"/>
          <w:szCs w:val="21"/>
          <w:color w:val="auto"/>
        </w:rPr>
        <w:t>Existing Liens</w:t>
      </w:r>
    </w:p>
    <w:p>
      <w:pPr>
        <w:spacing w:after="0" w:line="4"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7.03</w:t>
      </w:r>
      <w:r>
        <w:rPr>
          <w:sz w:val="20"/>
          <w:szCs w:val="20"/>
          <w:color w:val="auto"/>
        </w:rPr>
        <w:tab/>
      </w:r>
      <w:r>
        <w:rPr>
          <w:rFonts w:ascii="Times New Roman" w:cs="Times New Roman" w:eastAsia="Times New Roman" w:hAnsi="Times New Roman"/>
          <w:sz w:val="21"/>
          <w:szCs w:val="21"/>
          <w:color w:val="auto"/>
        </w:rPr>
        <w:t>Existing Indebtedness</w:t>
      </w:r>
    </w:p>
    <w:p>
      <w:pPr>
        <w:spacing w:after="0" w:line="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7.08</w:t>
      </w:r>
      <w:r>
        <w:rPr>
          <w:sz w:val="20"/>
          <w:szCs w:val="20"/>
          <w:color w:val="auto"/>
        </w:rPr>
        <w:tab/>
      </w:r>
      <w:r>
        <w:rPr>
          <w:rFonts w:ascii="Times New Roman" w:cs="Times New Roman" w:eastAsia="Times New Roman" w:hAnsi="Times New Roman"/>
          <w:sz w:val="21"/>
          <w:szCs w:val="21"/>
          <w:color w:val="auto"/>
        </w:rPr>
        <w:t>Existing Transactions with Affiliates</w:t>
      </w:r>
    </w:p>
    <w:p>
      <w:pPr>
        <w:spacing w:after="0" w:line="15"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2"/>
          <w:szCs w:val="22"/>
          <w:color w:val="auto"/>
        </w:rPr>
        <w:t>7.09</w:t>
      </w:r>
      <w:r>
        <w:rPr>
          <w:sz w:val="20"/>
          <w:szCs w:val="20"/>
          <w:color w:val="auto"/>
        </w:rPr>
        <w:tab/>
      </w:r>
      <w:r>
        <w:rPr>
          <w:rFonts w:ascii="Times New Roman" w:cs="Times New Roman" w:eastAsia="Times New Roman" w:hAnsi="Times New Roman"/>
          <w:sz w:val="21"/>
          <w:szCs w:val="21"/>
          <w:color w:val="auto"/>
        </w:rPr>
        <w:t>Existing Burdensome Agreements</w:t>
      </w:r>
    </w:p>
    <w:p>
      <w:pPr>
        <w:spacing w:after="0" w:line="4"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22"/>
          <w:szCs w:val="22"/>
          <w:color w:val="auto"/>
        </w:rPr>
        <w:t>10.02</w:t>
      </w:r>
      <w:r>
        <w:rPr>
          <w:sz w:val="20"/>
          <w:szCs w:val="20"/>
          <w:color w:val="auto"/>
        </w:rPr>
        <w:tab/>
      </w:r>
      <w:r>
        <w:rPr>
          <w:rFonts w:ascii="Times New Roman" w:cs="Times New Roman" w:eastAsia="Times New Roman" w:hAnsi="Times New Roman"/>
          <w:sz w:val="21"/>
          <w:szCs w:val="21"/>
          <w:color w:val="auto"/>
        </w:rPr>
        <w:t>Administrative Agent’s Office; Certain Addresses for Notices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i w:val="1"/>
          <w:iCs w:val="1"/>
          <w:color w:val="auto"/>
        </w:rPr>
        <w:t>Form of</w:t>
      </w:r>
    </w:p>
    <w:p>
      <w:pPr>
        <w:spacing w:after="0" w:line="239" w:lineRule="exact"/>
        <w:rPr>
          <w:sz w:val="20"/>
          <w:szCs w:val="20"/>
          <w:color w:val="auto"/>
        </w:rPr>
      </w:pPr>
    </w:p>
    <w:p>
      <w:pPr>
        <w:ind w:left="1240" w:hanging="584"/>
        <w:spacing w:after="0"/>
        <w:tabs>
          <w:tab w:leader="none" w:pos="12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Notice</w:t>
      </w:r>
    </w:p>
    <w:p>
      <w:pPr>
        <w:spacing w:after="0" w:line="28" w:lineRule="exact"/>
        <w:rPr>
          <w:sz w:val="20"/>
          <w:szCs w:val="20"/>
          <w:color w:val="auto"/>
        </w:rPr>
      </w:pPr>
    </w:p>
    <w:p>
      <w:pPr>
        <w:ind w:left="1240" w:hanging="584"/>
        <w:spacing w:after="0"/>
        <w:tabs>
          <w:tab w:leader="none" w:pos="12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Swing Line Loan Notice</w:t>
      </w:r>
    </w:p>
    <w:p>
      <w:pPr>
        <w:spacing w:after="0" w:line="4" w:lineRule="exact"/>
        <w:rPr>
          <w:sz w:val="20"/>
          <w:szCs w:val="20"/>
          <w:color w:val="auto"/>
        </w:rPr>
      </w:pPr>
    </w:p>
    <w:p>
      <w:pPr>
        <w:ind w:left="1240" w:hanging="584"/>
        <w:spacing w:after="0"/>
        <w:tabs>
          <w:tab w:leader="none" w:pos="12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w:t>
      </w:r>
    </w:p>
    <w:p>
      <w:pPr>
        <w:spacing w:after="0" w:line="4" w:lineRule="exact"/>
        <w:rPr>
          <w:sz w:val="20"/>
          <w:szCs w:val="20"/>
          <w:color w:val="auto"/>
        </w:rPr>
      </w:pPr>
    </w:p>
    <w:p>
      <w:pPr>
        <w:ind w:left="1240" w:hanging="584"/>
        <w:spacing w:after="0"/>
        <w:tabs>
          <w:tab w:leader="none" w:pos="12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w:t>
      </w:r>
    </w:p>
    <w:p>
      <w:pPr>
        <w:spacing w:after="0" w:line="4" w:lineRule="exact"/>
        <w:rPr>
          <w:sz w:val="20"/>
          <w:szCs w:val="20"/>
          <w:color w:val="auto"/>
        </w:rPr>
      </w:pPr>
    </w:p>
    <w:p>
      <w:pPr>
        <w:ind w:left="1200" w:hanging="544"/>
        <w:spacing w:after="0"/>
        <w:tabs>
          <w:tab w:leader="none" w:pos="12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and Assumption</w:t>
      </w:r>
    </w:p>
    <w:p>
      <w:pPr>
        <w:spacing w:after="0" w:line="250" w:lineRule="exact"/>
        <w:rPr>
          <w:sz w:val="20"/>
          <w:szCs w:val="20"/>
          <w:color w:val="auto"/>
        </w:rPr>
      </w:pPr>
    </w:p>
    <w:p>
      <w:pPr>
        <w:ind w:left="660" w:right="6299" w:hanging="4"/>
        <w:spacing w:after="0" w:line="254" w:lineRule="auto"/>
        <w:tabs>
          <w:tab w:leader="none" w:pos="124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Acceptance Request H Letter of Credit Report</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21"/>
          <w:szCs w:val="21"/>
          <w:color w:val="auto"/>
        </w:rPr>
        <w:t>Notice of Loan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0139"/>
          </w:cols>
          <w:pgMar w:left="320" w:top="1418"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2"/>
          <w:szCs w:val="22"/>
          <w:b w:val="1"/>
          <w:bCs w:val="1"/>
          <w:color w:val="auto"/>
        </w:rPr>
        <w:t>CREDIT AGREEMENT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CREDIT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is entered into as of November 1, 2021, among </w:t>
      </w:r>
      <w:r>
        <w:rPr>
          <w:rFonts w:ascii="Times New Roman" w:cs="Times New Roman" w:eastAsia="Times New Roman" w:hAnsi="Times New Roman"/>
          <w:sz w:val="22"/>
          <w:szCs w:val="22"/>
          <w:b w:val="1"/>
          <w:bCs w:val="1"/>
          <w:color w:val="auto"/>
        </w:rPr>
        <w:t>MASTEC, INC</w:t>
      </w:r>
      <w:r>
        <w:rPr>
          <w:rFonts w:ascii="Times New Roman" w:cs="Times New Roman" w:eastAsia="Times New Roman" w:hAnsi="Times New Roman"/>
          <w:sz w:val="22"/>
          <w:szCs w:val="22"/>
          <w:color w:val="auto"/>
        </w:rPr>
        <w:t>., a Florida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MASTEC NORTH AMERICA, INC.</w:t>
      </w:r>
      <w:r>
        <w:rPr>
          <w:rFonts w:ascii="Times New Roman" w:cs="Times New Roman" w:eastAsia="Times New Roman" w:hAnsi="Times New Roman"/>
          <w:sz w:val="22"/>
          <w:szCs w:val="22"/>
          <w:color w:val="auto"/>
        </w:rPr>
        <w:t>, a Florida corporation (“</w:t>
      </w:r>
      <w:r>
        <w:rPr>
          <w:rFonts w:ascii="Times New Roman" w:cs="Times New Roman" w:eastAsia="Times New Roman" w:hAnsi="Times New Roman"/>
          <w:sz w:val="22"/>
          <w:szCs w:val="22"/>
          <w:b w:val="1"/>
          <w:bCs w:val="1"/>
          <w:i w:val="1"/>
          <w:iCs w:val="1"/>
          <w:color w:val="auto"/>
        </w:rPr>
        <w:t>MasTec NA</w:t>
      </w:r>
      <w:r>
        <w:rPr>
          <w:rFonts w:ascii="Times New Roman" w:cs="Times New Roman" w:eastAsia="Times New Roman" w:hAnsi="Times New Roman"/>
          <w:sz w:val="22"/>
          <w:szCs w:val="22"/>
          <w:color w:val="auto"/>
        </w:rPr>
        <w:t>” and, together with the Company, collectively,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each lender from time to time party hereto (collectively, the “</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 as Administrative Agent, Swing Line Lender and L/C Issuer.</w:t>
      </w:r>
    </w:p>
    <w:p>
      <w:pPr>
        <w:spacing w:after="0" w:line="17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Borrowers have requested that the Lenders provide a revolving credit facility and term loan credit facility, and the Lenders are willing to do so on the terms and conditions set forth herein;</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the parties hereto covenant and agree as follows:</w:t>
      </w:r>
    </w:p>
    <w:p>
      <w:pPr>
        <w:spacing w:after="0" w:line="2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DEFINITIONS AND ACCOUNTING TERMS</w:t>
      </w:r>
    </w:p>
    <w:p>
      <w:pPr>
        <w:spacing w:after="0" w:line="19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1.01</w:t>
      </w:r>
      <w:r>
        <w:rPr>
          <w:sz w:val="20"/>
          <w:szCs w:val="20"/>
          <w:color w:val="auto"/>
        </w:rPr>
        <w:tab/>
      </w:r>
      <w:r>
        <w:rPr>
          <w:rFonts w:ascii="Times New Roman" w:cs="Times New Roman" w:eastAsia="Times New Roman" w:hAnsi="Times New Roman"/>
          <w:sz w:val="21"/>
          <w:szCs w:val="21"/>
          <w:b w:val="1"/>
          <w:bCs w:val="1"/>
          <w:color w:val="auto"/>
        </w:rPr>
        <w:t xml:space="preserve">Defined Terms. </w:t>
      </w:r>
      <w:r>
        <w:rPr>
          <w:rFonts w:ascii="Times New Roman" w:cs="Times New Roman" w:eastAsia="Times New Roman" w:hAnsi="Times New Roman"/>
          <w:sz w:val="21"/>
          <w:szCs w:val="21"/>
          <w:color w:val="auto"/>
        </w:rPr>
        <w:t>As used in this Agreement, the following terms shall have the meanings set forth below:</w:t>
      </w:r>
    </w:p>
    <w:p>
      <w:pPr>
        <w:spacing w:after="0" w:line="19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Acceptance Credit</w:t>
      </w:r>
      <w:r>
        <w:rPr>
          <w:rFonts w:ascii="Times New Roman" w:cs="Times New Roman" w:eastAsia="Times New Roman" w:hAnsi="Times New Roman"/>
          <w:sz w:val="22"/>
          <w:szCs w:val="22"/>
          <w:color w:val="auto"/>
        </w:rPr>
        <w:t>” means a commercial Letter of Credit in which the L/C Issuer engages with the beneficiary of such Letter of Credit to accept a time draft.</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Acceptance Documents</w:t>
      </w:r>
      <w:r>
        <w:rPr>
          <w:rFonts w:ascii="Times New Roman" w:cs="Times New Roman" w:eastAsia="Times New Roman" w:hAnsi="Times New Roman"/>
          <w:sz w:val="22"/>
          <w:szCs w:val="22"/>
          <w:color w:val="auto"/>
        </w:rPr>
        <w:t>” means such general acceptance agreements, drafts, applications, certificates and other documents as the L/C Issuer may require in connection with the creation of L/C Issued BAs.</w:t>
      </w:r>
    </w:p>
    <w:p>
      <w:pPr>
        <w:spacing w:after="0" w:line="10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10.18</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Bank of America (or any of its designated branch offices or affiliates) in its capacity as administrative agent under any of the Loan Documents, or any successor administrative agent.</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Agent’s Office</w:t>
      </w:r>
      <w:r>
        <w:rPr>
          <w:rFonts w:ascii="Times New Roman" w:cs="Times New Roman" w:eastAsia="Times New Roman" w:hAnsi="Times New Roman"/>
          <w:sz w:val="22"/>
          <w:szCs w:val="22"/>
          <w:color w:val="auto"/>
        </w:rPr>
        <w:t xml:space="preserve">” means, with respect to any currency, the Administrative Agent’s address and, as appropriate, account as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17" w:name="page118"/>
    <w:bookmarkEnd w:id="117"/>
    <w:p>
      <w:pPr>
        <w:jc w:val="both"/>
        <w:spacing w:after="0" w:line="271" w:lineRule="auto"/>
        <w:rPr>
          <w:sz w:val="20"/>
          <w:szCs w:val="20"/>
          <w:color w:val="auto"/>
        </w:rPr>
      </w:pPr>
      <w:r>
        <w:rPr>
          <w:rFonts w:ascii="Times New Roman" w:cs="Times New Roman" w:eastAsia="Times New Roman" w:hAnsi="Times New Roman"/>
          <w:sz w:val="22"/>
          <w:szCs w:val="22"/>
          <w:color w:val="auto"/>
        </w:rPr>
        <w:t>currency, or such other address or account with respect to such currency as the Administrative Agent may from time to time notify the Company and the Lenders.</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Questionnaire</w:t>
      </w:r>
      <w:r>
        <w:rPr>
          <w:rFonts w:ascii="Times New Roman" w:cs="Times New Roman" w:eastAsia="Times New Roman" w:hAnsi="Times New Roman"/>
          <w:sz w:val="22"/>
          <w:szCs w:val="22"/>
          <w:color w:val="auto"/>
        </w:rPr>
        <w:t>” means an administrative questionnaire in a form supplied or approved by the Administrative Agent.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any Person, another Person that directly, or indirectly through one or more intermediaries, Controls or is Controlled by or is under common Control with the Person specified.</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the Commitments of all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(MC) Commitments</w:t>
      </w:r>
      <w:r>
        <w:rPr>
          <w:rFonts w:ascii="Times New Roman" w:cs="Times New Roman" w:eastAsia="Times New Roman" w:hAnsi="Times New Roman"/>
          <w:sz w:val="22"/>
          <w:szCs w:val="22"/>
          <w:color w:val="auto"/>
        </w:rPr>
        <w:t>” means the MC Commitments of all the Lenders.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(USD) Commitments</w:t>
      </w:r>
      <w:r>
        <w:rPr>
          <w:rFonts w:ascii="Times New Roman" w:cs="Times New Roman" w:eastAsia="Times New Roman" w:hAnsi="Times New Roman"/>
          <w:sz w:val="22"/>
          <w:szCs w:val="22"/>
          <w:color w:val="auto"/>
        </w:rPr>
        <w:t>” means the USD Commitments of all the Lenders.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Currency</w:t>
      </w:r>
      <w:r>
        <w:rPr>
          <w:rFonts w:ascii="Times New Roman" w:cs="Times New Roman" w:eastAsia="Times New Roman" w:hAnsi="Times New Roman"/>
          <w:sz w:val="22"/>
          <w:szCs w:val="22"/>
          <w:color w:val="auto"/>
        </w:rPr>
        <w:t>” means Dollars or any Alternative Currency, as applicable.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means this Credit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w:t>
      </w:r>
      <w:r>
        <w:rPr>
          <w:rFonts w:ascii="Times New Roman" w:cs="Times New Roman" w:eastAsia="Times New Roman" w:hAnsi="Times New Roman"/>
          <w:sz w:val="22"/>
          <w:szCs w:val="22"/>
          <w:color w:val="auto"/>
        </w:rPr>
        <w:t>” means each of the following currencies: Canadian Dollars and Mexican Pesos.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Equivalent</w:t>
      </w:r>
      <w:r>
        <w:rPr>
          <w:rFonts w:ascii="Times New Roman" w:cs="Times New Roman" w:eastAsia="Times New Roman" w:hAnsi="Times New Roman"/>
          <w:sz w:val="22"/>
          <w:szCs w:val="22"/>
          <w:color w:val="auto"/>
        </w:rPr>
        <w:t xml:space="preserve">” means, at any time, with respect to any amount denominated in Dollars, the equivalent amount thereof in the applicable Alternative Currency as determined by the Administrative Agent or the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no such rate is available, the “Alternative Currency Equivalent” shall be determined by the Administrative Agent or the L/C Issuer, as the case may be, using any reasonable method of determination its deems appropriate in its sole discretion (and such determination shall be conclusive absent manifest error).</w:t>
      </w:r>
    </w:p>
    <w:p>
      <w:pPr>
        <w:spacing w:after="0" w:line="18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Letter of Credit Sublimit</w:t>
      </w:r>
      <w:r>
        <w:rPr>
          <w:rFonts w:ascii="Times New Roman" w:cs="Times New Roman" w:eastAsia="Times New Roman" w:hAnsi="Times New Roman"/>
          <w:sz w:val="21"/>
          <w:szCs w:val="21"/>
          <w:color w:val="auto"/>
        </w:rPr>
        <w:t>” means an amount equal to the lesser of the Letter of Credit Sublimit and $200,000,000. The Alternative Currency Letter of Credit Sublimit is part of, and not in addition to, the Letter of Credit Sublimit.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Term Rate</w:t>
      </w:r>
      <w:r>
        <w:rPr>
          <w:rFonts w:ascii="Times New Roman" w:cs="Times New Roman" w:eastAsia="Times New Roman" w:hAnsi="Times New Roman"/>
          <w:sz w:val="22"/>
          <w:szCs w:val="22"/>
          <w:color w:val="auto"/>
        </w:rPr>
        <w:t>” means, for any Interest Period, with respect to any Credit Extension:</w:t>
      </w:r>
    </w:p>
    <w:p>
      <w:pPr>
        <w:spacing w:after="0" w:line="193" w:lineRule="exact"/>
        <w:rPr>
          <w:sz w:val="20"/>
          <w:szCs w:val="20"/>
          <w:color w:val="auto"/>
        </w:rPr>
      </w:pPr>
    </w:p>
    <w:p>
      <w:pPr>
        <w:jc w:val="both"/>
        <w:ind w:firstLine="656"/>
        <w:spacing w:after="0" w:line="257" w:lineRule="auto"/>
        <w:tabs>
          <w:tab w:leader="none" w:pos="1115"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denominated in Canadian Dollars, the rate per annum equal to the </w:t>
      </w:r>
      <w:r>
        <w:rPr>
          <w:rFonts w:ascii="Times New Roman" w:cs="Times New Roman" w:eastAsia="Times New Roman" w:hAnsi="Times New Roman"/>
          <w:sz w:val="22"/>
          <w:szCs w:val="22"/>
          <w:color w:val="FF0000"/>
          <w:strike w:val="1"/>
        </w:rPr>
        <w:t>Canadian Dollar Offered Rate (“</w:t>
      </w:r>
      <w:r>
        <w:rPr>
          <w:rFonts w:ascii="Times New Roman" w:cs="Times New Roman" w:eastAsia="Times New Roman" w:hAnsi="Times New Roman"/>
          <w:sz w:val="22"/>
          <w:szCs w:val="22"/>
          <w:u w:val="single" w:color="auto"/>
          <w:color w:val="FF0000"/>
          <w:strike w:val="1"/>
        </w:rPr>
        <w:t>CDOR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0000FF"/>
        </w:rPr>
        <w:t>forward-looking term rate based on CORRA</w:t>
      </w:r>
      <w:r>
        <w:rPr>
          <w:rFonts w:ascii="Times New Roman" w:cs="Times New Roman" w:eastAsia="Times New Roman" w:hAnsi="Times New Roman"/>
          <w:sz w:val="22"/>
          <w:szCs w:val="22"/>
          <w:color w:val="000000"/>
        </w:rPr>
        <w:t>, as published on the applicable Reuters screen page (or such other commercially available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source providing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18" w:name="page119"/>
    <w:bookmarkEnd w:id="118"/>
    <w:p>
      <w:pPr>
        <w:jc w:val="both"/>
        <w:spacing w:after="0" w:line="257" w:lineRule="auto"/>
        <w:rPr>
          <w:sz w:val="20"/>
          <w:szCs w:val="20"/>
          <w:color w:val="auto"/>
        </w:rPr>
      </w:pPr>
      <w:r>
        <w:rPr>
          <w:rFonts w:ascii="Times New Roman" w:cs="Times New Roman" w:eastAsia="Times New Roman" w:hAnsi="Times New Roman"/>
          <w:sz w:val="22"/>
          <w:szCs w:val="22"/>
          <w:color w:val="auto"/>
        </w:rPr>
        <w:t>quotations as may be designated by the Administrative Agent from time to time) (in such case, the “</w:t>
      </w:r>
      <w:r>
        <w:rPr>
          <w:rFonts w:ascii="Times New Roman" w:cs="Times New Roman" w:eastAsia="Times New Roman" w:hAnsi="Times New Roman"/>
          <w:sz w:val="22"/>
          <w:szCs w:val="22"/>
          <w:u w:val="single" w:color="auto"/>
          <w:color w:val="FF0000"/>
          <w:strike w:val="1"/>
        </w:rPr>
        <w:t>CDOR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w:t>
      </w:r>
      <w:r>
        <w:rPr>
          <w:rFonts w:ascii="Times New Roman" w:cs="Times New Roman" w:eastAsia="Times New Roman" w:hAnsi="Times New Roman"/>
          <w:sz w:val="22"/>
          <w:szCs w:val="22"/>
          <w:color w:val="auto"/>
        </w:rPr>
        <w:t xml:space="preserve">”) on the Rate Determination Date with a term equivalent to such Interest Period </w:t>
      </w:r>
      <w:r>
        <w:rPr>
          <w:rFonts w:ascii="Times New Roman" w:cs="Times New Roman" w:eastAsia="Times New Roman" w:hAnsi="Times New Roman"/>
          <w:sz w:val="22"/>
          <w:szCs w:val="22"/>
          <w:color w:val="0000FF"/>
        </w:rPr>
        <w:t>plus the Term CORRA Adjustment for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Interest Period</w:t>
      </w:r>
      <w:r>
        <w:rPr>
          <w:rFonts w:ascii="Times New Roman" w:cs="Times New Roman" w:eastAsia="Times New Roman" w:hAnsi="Times New Roman"/>
          <w:sz w:val="22"/>
          <w:szCs w:val="22"/>
          <w:color w:val="000000"/>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4535805</wp:posOffset>
            </wp:positionH>
            <wp:positionV relativeFrom="paragraph">
              <wp:posOffset>-206375</wp:posOffset>
            </wp:positionV>
            <wp:extent cx="25933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2593340" cy="8255"/>
                    </a:xfrm>
                    <a:prstGeom prst="rect">
                      <a:avLst/>
                    </a:prstGeom>
                    <a:noFill/>
                  </pic:spPr>
                </pic:pic>
              </a:graphicData>
            </a:graphic>
          </wp:anchor>
        </w:drawing>
      </w:r>
    </w:p>
    <w:p>
      <w:pPr>
        <w:spacing w:after="0" w:line="126" w:lineRule="exact"/>
        <w:rPr>
          <w:sz w:val="20"/>
          <w:szCs w:val="20"/>
          <w:color w:val="auto"/>
        </w:rPr>
      </w:pPr>
    </w:p>
    <w:p>
      <w:pPr>
        <w:jc w:val="both"/>
        <w:ind w:firstLine="656"/>
        <w:spacing w:after="0" w:line="252" w:lineRule="auto"/>
        <w:tabs>
          <w:tab w:leader="none" w:pos="11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Mexican Pesos, the rate per annum equal to the Interbanking Equilibrium Interest Rate (“</w:t>
      </w:r>
      <w:r>
        <w:rPr>
          <w:rFonts w:ascii="Times New Roman" w:cs="Times New Roman" w:eastAsia="Times New Roman" w:hAnsi="Times New Roman"/>
          <w:sz w:val="22"/>
          <w:szCs w:val="22"/>
          <w:u w:val="single" w:color="auto"/>
          <w:color w:val="auto"/>
        </w:rPr>
        <w:t>TIIE</w:t>
      </w:r>
      <w:r>
        <w:rPr>
          <w:rFonts w:ascii="Times New Roman" w:cs="Times New Roman" w:eastAsia="Times New Roman" w:hAnsi="Times New Roman"/>
          <w:sz w:val="22"/>
          <w:szCs w:val="22"/>
          <w:color w:val="auto"/>
        </w:rPr>
        <w:t>”), as published by Banco de Mexico in the Federation’s Official Gazette (or such other commercially available source providing such quotations as may be designated by the Administrative Agent from time to time) on the Rate Determination Date with a term equivalent to such Interest Period;</w:t>
      </w:r>
    </w:p>
    <w:p>
      <w:pPr>
        <w:spacing w:after="0" w:line="15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if any Alternative Currency Term Rate shall be less than 0.00%, such rate shall be deemed to be 0.00% for purposes of this Agreement.</w:t>
      </w:r>
    </w:p>
    <w:p>
      <w:pPr>
        <w:spacing w:after="0" w:line="13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Alternative Currency Term Rate Loan</w:t>
      </w:r>
      <w:r>
        <w:rPr>
          <w:rFonts w:ascii="Times New Roman" w:cs="Times New Roman" w:eastAsia="Times New Roman" w:hAnsi="Times New Roman"/>
          <w:sz w:val="22"/>
          <w:szCs w:val="22"/>
          <w:color w:val="auto"/>
        </w:rPr>
        <w:t>” means a Committed (MC) Loan that bears interest at a rate based on the definition of “Alternative Currency Term Rate.” All Alternative Currency Term Rate Loans must be denominated in an Alternative Currency.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 No. 1 Effective Date</w:t>
      </w:r>
      <w:r>
        <w:rPr>
          <w:rFonts w:ascii="Times New Roman" w:cs="Times New Roman" w:eastAsia="Times New Roman" w:hAnsi="Times New Roman"/>
          <w:sz w:val="22"/>
          <w:szCs w:val="22"/>
          <w:color w:val="auto"/>
        </w:rPr>
        <w:t>” means September 1, 2022.</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United States Foreign Corrupt Practices Act of 1977, the UK Bribery Act of 2010, and all other similar applicable anti-corruption legislation in other jurisdictions.</w:t>
      </w:r>
    </w:p>
    <w:p>
      <w:pPr>
        <w:spacing w:after="0" w:line="1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any and all laws, statutes, regulations or obligatory government orders, decrees, ordinances or rules related to terrorism financing, money laundering, any predicate crime to money laundering or any financial record keeping, including any applicable provision of the Act and The Currency and Foreign Transactions Reporting Act (also known as the “Bank Secrecy Act,” 31 U.S.C. §§ 5311-5330 and 12 U.S.C. §§ 1818(s), 1820(b) and 1951-1959).</w:t>
      </w:r>
    </w:p>
    <w:p>
      <w:pPr>
        <w:spacing w:after="0" w:line="13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Authority</w:t>
      </w:r>
      <w:r>
        <w:rPr>
          <w:rFonts w:ascii="Times New Roman" w:cs="Times New Roman" w:eastAsia="Times New Roman" w:hAnsi="Times New Roman"/>
          <w:sz w:val="22"/>
          <w:szCs w:val="22"/>
          <w:color w:val="auto"/>
        </w:rPr>
        <w:t>” means,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2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(a) in respect of the Term Loan Facility, with respect to any Lender at any time, the percentage (carried out to the ninth decimal place) of the sum of the aggregate unused Term Loan Commitments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outstanding principal amount of the Term Loans represented by the sum of such Lender’s unused Term Loan Commitment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outstanding principal amount of such Lender’s Term Loan(s) at such time, (b) in respect of the Committed (USD) Facility, with respect to any Lender at any time, the percentage (carried out to the ninth decimal place) of the Aggregate (USD) Commitments represented by such Lender’s USD Commitment at such time, subject to adjustment as provided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and (c) in respect of the Committed (MC) Facility, with respect to any Lender at any time, the percentage (carried out to the ninth decimal place) of the Aggregate (MC) Commitments represented by such Lender’s MC Commitment at such time. If the commitment of each Lender to make Committed (USD) Loans and the obligation of the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9" w:name="page120"/>
    <w:bookmarkEnd w:id="119"/>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 xml:space="preserve">Issuer to make L/C Credit Extensions have been terminated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or if the Aggregate (USD) Commitments have expired, then the Applicable Percentage of each Lender in respect of the Committed (USD) Facility shall be determined based on the Applicable Percentage of such Lender in respect of the Committed (USD) Facility most recently in effect, giving effect to any subsequent assignments. If the commitment of each Lender to make Committed (MC) Loans has been terminated, or if the Aggregate (MC) Commitments have expired, then the Applicable Percentage of each Lender in respect of the Committed (MC) Facility shall be determined based on the Applicable Percentage of such Lender in respect of the Committed (MC) Facility most recently in effect, giving effect to any subsequent assignments. The initial Applicable Percentage of each Lender in respect of each Facility is set forth opposite the name of such Lender on </w:t>
      </w:r>
      <w:r>
        <w:rPr>
          <w:rFonts w:ascii="Times New Roman" w:cs="Times New Roman" w:eastAsia="Times New Roman" w:hAnsi="Times New Roman"/>
          <w:sz w:val="22"/>
          <w:szCs w:val="22"/>
          <w:u w:val="single" w:color="auto"/>
          <w:color w:val="auto"/>
        </w:rPr>
        <w:t>Annex II-A</w:t>
      </w:r>
      <w:r>
        <w:rPr>
          <w:rFonts w:ascii="Times New Roman" w:cs="Times New Roman" w:eastAsia="Times New Roman" w:hAnsi="Times New Roman"/>
          <w:sz w:val="22"/>
          <w:szCs w:val="22"/>
          <w:color w:val="auto"/>
        </w:rPr>
        <w:t xml:space="preserve"> or in the Assignment and Assumption pursuant to which such Lender becomes a party hereto, as applicable.</w:t>
      </w:r>
    </w:p>
    <w:p>
      <w:pPr>
        <w:spacing w:after="0" w:line="13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(USD) Percentage</w:t>
      </w:r>
      <w:r>
        <w:rPr>
          <w:rFonts w:ascii="Times New Roman" w:cs="Times New Roman" w:eastAsia="Times New Roman" w:hAnsi="Times New Roman"/>
          <w:sz w:val="22"/>
          <w:szCs w:val="22"/>
          <w:color w:val="auto"/>
        </w:rPr>
        <w:t>” means, with respect to any Lender at any time, such Lender’s Applicable Percentage in respect of the Committed (USD) Facility at such time.</w:t>
      </w:r>
    </w:p>
    <w:p>
      <w:pPr>
        <w:spacing w:after="0" w:line="131"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Rate</w:t>
      </w:r>
      <w:r>
        <w:rPr>
          <w:rFonts w:ascii="Times New Roman" w:cs="Times New Roman" w:eastAsia="Times New Roman" w:hAnsi="Times New Roman"/>
          <w:sz w:val="22"/>
          <w:szCs w:val="22"/>
          <w:color w:val="auto"/>
        </w:rPr>
        <w:t xml:space="preserve">” means (a) from the Closing Date to the first Business Day immediately following the date on which the Administrative Agent receives a Compliance Certificate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 xml:space="preserve"> for the fiscal quarter ending March 31, 2022 (such period, the “</w:t>
      </w:r>
      <w:r>
        <w:rPr>
          <w:rFonts w:ascii="Times New Roman" w:cs="Times New Roman" w:eastAsia="Times New Roman" w:hAnsi="Times New Roman"/>
          <w:sz w:val="22"/>
          <w:szCs w:val="22"/>
          <w:u w:val="single" w:color="auto"/>
          <w:color w:val="auto"/>
        </w:rPr>
        <w:t>Initial Pricing Period</w:t>
      </w:r>
      <w:r>
        <w:rPr>
          <w:rFonts w:ascii="Times New Roman" w:cs="Times New Roman" w:eastAsia="Times New Roman" w:hAnsi="Times New Roman"/>
          <w:sz w:val="22"/>
          <w:szCs w:val="22"/>
          <w:color w:val="auto"/>
        </w:rPr>
        <w:t xml:space="preserve">”), the applicable percentage per annum set forth below in Pricing Level 2 (or, if any Compliance Certificate delivered during the Initial Pricing Period reveals that either Pricing Level 3 or Pricing Level 4 should apply, then such Pricing Level shall apply as of the first Business Day immediately following the date such Compliance Certificate is delivered) and (b) thereafter,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22"/>
          <w:szCs w:val="22"/>
          <w:u w:val="single" w:color="auto"/>
          <w:color w:val="auto"/>
        </w:rPr>
        <w:t>Section 6.02(a)</w:t>
      </w:r>
      <w:r>
        <w:rPr>
          <w:rFonts w:ascii="Times New Roman" w:cs="Times New Roman" w:eastAsia="Times New Roman" w:hAnsi="Times New Roman"/>
          <w:sz w:val="22"/>
          <w:szCs w:val="22"/>
          <w:color w:val="auto"/>
        </w:rPr>
        <w:t>:</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40" w:type="dxa"/>
            <w:vAlign w:val="bottom"/>
            <w:tcBorders>
              <w:top w:val="single" w:sz="8" w:color="auto"/>
              <w:left w:val="single" w:sz="8" w:color="auto"/>
              <w:right w:val="single" w:sz="8" w:color="auto"/>
            </w:tcBorders>
            <w:shd w:val="clear" w:color="auto" w:fill="D9D9D9"/>
          </w:tcPr>
          <w:p>
            <w:pPr>
              <w:spacing w:after="0"/>
              <w:rPr>
                <w:sz w:val="16"/>
                <w:szCs w:val="16"/>
                <w:color w:val="auto"/>
              </w:rPr>
            </w:pPr>
          </w:p>
        </w:tc>
        <w:tc>
          <w:tcPr>
            <w:tcW w:w="2400" w:type="dxa"/>
            <w:vAlign w:val="bottom"/>
            <w:tcBorders>
              <w:top w:val="single" w:sz="8" w:color="auto"/>
              <w:right w:val="single" w:sz="8" w:color="auto"/>
            </w:tcBorders>
            <w:shd w:val="clear" w:color="auto" w:fill="D9D9D9"/>
          </w:tcPr>
          <w:p>
            <w:pPr>
              <w:spacing w:after="0"/>
              <w:rPr>
                <w:sz w:val="16"/>
                <w:szCs w:val="16"/>
                <w:color w:val="auto"/>
              </w:rPr>
            </w:pPr>
          </w:p>
        </w:tc>
        <w:tc>
          <w:tcPr>
            <w:tcW w:w="1520" w:type="dxa"/>
            <w:vAlign w:val="bottom"/>
            <w:tcBorders>
              <w:top w:val="single" w:sz="8" w:color="auto"/>
              <w:right w:val="single" w:sz="8" w:color="auto"/>
            </w:tcBorders>
            <w:shd w:val="clear" w:color="auto" w:fill="D9D9D9"/>
          </w:tcPr>
          <w:p>
            <w:pPr>
              <w:spacing w:after="0"/>
              <w:rPr>
                <w:sz w:val="16"/>
                <w:szCs w:val="16"/>
                <w:color w:val="auto"/>
              </w:rPr>
            </w:pPr>
          </w:p>
        </w:tc>
        <w:tc>
          <w:tcPr>
            <w:tcW w:w="2000" w:type="dxa"/>
            <w:vAlign w:val="bottom"/>
            <w:tcBorders>
              <w:top w:val="single" w:sz="8" w:color="auto"/>
              <w:right w:val="single" w:sz="8" w:color="auto"/>
            </w:tcBorders>
            <w:shd w:val="clear" w:color="auto" w:fill="D9D9D9"/>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Term SOFR</w:t>
            </w:r>
          </w:p>
        </w:tc>
        <w:tc>
          <w:tcPr>
            <w:tcW w:w="1140" w:type="dxa"/>
            <w:vAlign w:val="bottom"/>
            <w:tcBorders>
              <w:top w:val="single" w:sz="8" w:color="auto"/>
              <w:right w:val="single" w:sz="8" w:color="auto"/>
            </w:tcBorders>
            <w:shd w:val="clear" w:color="auto" w:fill="D9D9D9"/>
          </w:tcPr>
          <w:p>
            <w:pPr>
              <w:spacing w:after="0"/>
              <w:rPr>
                <w:sz w:val="16"/>
                <w:szCs w:val="16"/>
                <w:color w:val="auto"/>
              </w:rPr>
            </w:pPr>
          </w:p>
        </w:tc>
        <w:tc>
          <w:tcPr>
            <w:tcW w:w="1880" w:type="dxa"/>
            <w:vAlign w:val="bottom"/>
            <w:tcBorders>
              <w:top w:val="single" w:sz="8" w:color="auto"/>
              <w:right w:val="single" w:sz="8" w:color="auto"/>
            </w:tcBorders>
            <w:shd w:val="clear" w:color="auto" w:fill="D9D9D9"/>
          </w:tcPr>
          <w:p>
            <w:pPr>
              <w:spacing w:after="0"/>
              <w:rPr>
                <w:sz w:val="16"/>
                <w:szCs w:val="16"/>
                <w:color w:val="auto"/>
              </w:rPr>
            </w:pPr>
          </w:p>
        </w:tc>
        <w:tc>
          <w:tcPr>
            <w:tcW w:w="1180" w:type="dxa"/>
            <w:vAlign w:val="bottom"/>
            <w:tcBorders>
              <w:top w:val="single" w:sz="8" w:color="auto"/>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shd w:val="clear" w:color="auto" w:fill="D9D9D9"/>
          </w:tcPr>
          <w:p>
            <w:pPr>
              <w:spacing w:after="0"/>
              <w:rPr>
                <w:sz w:val="15"/>
                <w:szCs w:val="15"/>
                <w:color w:val="auto"/>
              </w:rPr>
            </w:pPr>
          </w:p>
        </w:tc>
        <w:tc>
          <w:tcPr>
            <w:tcW w:w="2400" w:type="dxa"/>
            <w:vAlign w:val="bottom"/>
            <w:tcBorders>
              <w:right w:val="single" w:sz="8" w:color="auto"/>
            </w:tcBorders>
            <w:shd w:val="clear" w:color="auto" w:fill="D9D9D9"/>
          </w:tcPr>
          <w:p>
            <w:pPr>
              <w:spacing w:after="0"/>
              <w:rPr>
                <w:sz w:val="15"/>
                <w:szCs w:val="15"/>
                <w:color w:val="auto"/>
              </w:rPr>
            </w:pPr>
          </w:p>
        </w:tc>
        <w:tc>
          <w:tcPr>
            <w:tcW w:w="1520" w:type="dxa"/>
            <w:vAlign w:val="bottom"/>
            <w:tcBorders>
              <w:right w:val="single" w:sz="8" w:color="auto"/>
            </w:tcBorders>
            <w:shd w:val="clear" w:color="auto" w:fill="D9D9D9"/>
          </w:tcPr>
          <w:p>
            <w:pPr>
              <w:spacing w:after="0"/>
              <w:rPr>
                <w:sz w:val="15"/>
                <w:szCs w:val="15"/>
                <w:color w:val="auto"/>
              </w:rPr>
            </w:pPr>
          </w:p>
        </w:tc>
        <w:tc>
          <w:tcPr>
            <w:tcW w:w="200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Loans, Alternative</w:t>
            </w:r>
          </w:p>
        </w:tc>
        <w:tc>
          <w:tcPr>
            <w:tcW w:w="1140" w:type="dxa"/>
            <w:vAlign w:val="bottom"/>
            <w:tcBorders>
              <w:right w:val="single" w:sz="8" w:color="auto"/>
            </w:tcBorders>
            <w:shd w:val="clear" w:color="auto" w:fill="D9D9D9"/>
          </w:tcPr>
          <w:p>
            <w:pPr>
              <w:spacing w:after="0"/>
              <w:rPr>
                <w:sz w:val="15"/>
                <w:szCs w:val="15"/>
                <w:color w:val="auto"/>
              </w:rPr>
            </w:pPr>
          </w:p>
        </w:tc>
        <w:tc>
          <w:tcPr>
            <w:tcW w:w="1880" w:type="dxa"/>
            <w:vAlign w:val="bottom"/>
            <w:tcBorders>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40" w:type="dxa"/>
            <w:vAlign w:val="bottom"/>
            <w:tcBorders>
              <w:left w:val="single" w:sz="8" w:color="auto"/>
              <w:right w:val="single" w:sz="8" w:color="auto"/>
            </w:tcBorders>
            <w:shd w:val="clear" w:color="auto" w:fill="D9D9D9"/>
          </w:tcPr>
          <w:p>
            <w:pPr>
              <w:spacing w:after="0"/>
              <w:rPr>
                <w:sz w:val="16"/>
                <w:szCs w:val="16"/>
                <w:color w:val="auto"/>
              </w:rPr>
            </w:pPr>
          </w:p>
        </w:tc>
        <w:tc>
          <w:tcPr>
            <w:tcW w:w="2400" w:type="dxa"/>
            <w:vAlign w:val="bottom"/>
            <w:tcBorders>
              <w:right w:val="single" w:sz="8" w:color="auto"/>
            </w:tcBorders>
            <w:shd w:val="clear" w:color="auto" w:fill="D9D9D9"/>
          </w:tcPr>
          <w:p>
            <w:pPr>
              <w:spacing w:after="0"/>
              <w:rPr>
                <w:sz w:val="16"/>
                <w:szCs w:val="16"/>
                <w:color w:val="auto"/>
              </w:rPr>
            </w:pPr>
          </w:p>
        </w:tc>
        <w:tc>
          <w:tcPr>
            <w:tcW w:w="1520" w:type="dxa"/>
            <w:vAlign w:val="bottom"/>
            <w:tcBorders>
              <w:right w:val="single" w:sz="8" w:color="auto"/>
            </w:tcBorders>
            <w:shd w:val="clear" w:color="auto" w:fill="D9D9D9"/>
          </w:tcPr>
          <w:p>
            <w:pPr>
              <w:spacing w:after="0"/>
              <w:rPr>
                <w:sz w:val="16"/>
                <w:szCs w:val="16"/>
                <w:color w:val="auto"/>
              </w:rPr>
            </w:pPr>
          </w:p>
        </w:tc>
        <w:tc>
          <w:tcPr>
            <w:tcW w:w="2000" w:type="dxa"/>
            <w:vAlign w:val="bottom"/>
            <w:tcBorders>
              <w:right w:val="single" w:sz="8" w:color="auto"/>
            </w:tcBorders>
            <w:shd w:val="clear" w:color="auto" w:fill="D9D9D9"/>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Currency Term Rate</w:t>
            </w:r>
          </w:p>
        </w:tc>
        <w:tc>
          <w:tcPr>
            <w:tcW w:w="1140" w:type="dxa"/>
            <w:vAlign w:val="bottom"/>
            <w:tcBorders>
              <w:right w:val="single" w:sz="8" w:color="auto"/>
            </w:tcBorders>
            <w:shd w:val="clear" w:color="auto" w:fill="D9D9D9"/>
          </w:tcPr>
          <w:p>
            <w:pPr>
              <w:spacing w:after="0"/>
              <w:rPr>
                <w:sz w:val="16"/>
                <w:szCs w:val="16"/>
                <w:color w:val="auto"/>
              </w:rPr>
            </w:pPr>
          </w:p>
        </w:tc>
        <w:tc>
          <w:tcPr>
            <w:tcW w:w="1880" w:type="dxa"/>
            <w:vAlign w:val="bottom"/>
            <w:tcBorders>
              <w:right w:val="single" w:sz="8" w:color="auto"/>
            </w:tcBorders>
            <w:shd w:val="clear" w:color="auto" w:fill="D9D9D9"/>
          </w:tcPr>
          <w:p>
            <w:pPr>
              <w:spacing w:after="0"/>
              <w:rPr>
                <w:sz w:val="16"/>
                <w:szCs w:val="16"/>
                <w:color w:val="auto"/>
              </w:rPr>
            </w:pPr>
          </w:p>
        </w:tc>
        <w:tc>
          <w:tcPr>
            <w:tcW w:w="118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40" w:type="dxa"/>
            <w:vAlign w:val="bottom"/>
            <w:tcBorders>
              <w:left w:val="single" w:sz="8" w:color="auto"/>
              <w:right w:val="single" w:sz="8" w:color="auto"/>
            </w:tcBorders>
            <w:shd w:val="clear" w:color="auto" w:fill="D9D9D9"/>
          </w:tcPr>
          <w:p>
            <w:pPr>
              <w:spacing w:after="0"/>
              <w:rPr>
                <w:sz w:val="15"/>
                <w:szCs w:val="15"/>
                <w:color w:val="auto"/>
              </w:rPr>
            </w:pPr>
          </w:p>
        </w:tc>
        <w:tc>
          <w:tcPr>
            <w:tcW w:w="2400" w:type="dxa"/>
            <w:vAlign w:val="bottom"/>
            <w:tcBorders>
              <w:right w:val="single" w:sz="8" w:color="auto"/>
            </w:tcBorders>
            <w:shd w:val="clear" w:color="auto" w:fill="D9D9D9"/>
          </w:tcPr>
          <w:p>
            <w:pPr>
              <w:spacing w:after="0"/>
              <w:rPr>
                <w:sz w:val="15"/>
                <w:szCs w:val="15"/>
                <w:color w:val="auto"/>
              </w:rPr>
            </w:pPr>
          </w:p>
        </w:tc>
        <w:tc>
          <w:tcPr>
            <w:tcW w:w="1520" w:type="dxa"/>
            <w:vAlign w:val="bottom"/>
            <w:tcBorders>
              <w:right w:val="single" w:sz="8" w:color="auto"/>
            </w:tcBorders>
            <w:shd w:val="clear" w:color="auto" w:fill="D9D9D9"/>
          </w:tcPr>
          <w:p>
            <w:pPr>
              <w:spacing w:after="0"/>
              <w:rPr>
                <w:sz w:val="15"/>
                <w:szCs w:val="15"/>
                <w:color w:val="auto"/>
              </w:rPr>
            </w:pPr>
          </w:p>
        </w:tc>
        <w:tc>
          <w:tcPr>
            <w:tcW w:w="2000" w:type="dxa"/>
            <w:vAlign w:val="bottom"/>
            <w:tcBorders>
              <w:right w:val="single" w:sz="8" w:color="auto"/>
            </w:tcBorders>
            <w:shd w:val="clear" w:color="auto" w:fill="D9D9D9"/>
          </w:tcPr>
          <w:p>
            <w:pPr>
              <w:jc w:val="center"/>
              <w:spacing w:after="0" w:line="181" w:lineRule="exact"/>
              <w:rPr>
                <w:sz w:val="20"/>
                <w:szCs w:val="20"/>
                <w:color w:val="auto"/>
              </w:rPr>
            </w:pPr>
            <w:r>
              <w:rPr>
                <w:rFonts w:ascii="Times New Roman" w:cs="Times New Roman" w:eastAsia="Times New Roman" w:hAnsi="Times New Roman"/>
                <w:sz w:val="18"/>
                <w:szCs w:val="18"/>
                <w:color w:val="auto"/>
              </w:rPr>
              <w:t>Loans and Letter of</w:t>
            </w:r>
          </w:p>
        </w:tc>
        <w:tc>
          <w:tcPr>
            <w:tcW w:w="1140" w:type="dxa"/>
            <w:vAlign w:val="bottom"/>
            <w:tcBorders>
              <w:right w:val="single" w:sz="8" w:color="auto"/>
            </w:tcBorders>
            <w:shd w:val="clear" w:color="auto" w:fill="D9D9D9"/>
          </w:tcPr>
          <w:p>
            <w:pPr>
              <w:spacing w:after="0"/>
              <w:rPr>
                <w:sz w:val="15"/>
                <w:szCs w:val="15"/>
                <w:color w:val="auto"/>
              </w:rPr>
            </w:pPr>
          </w:p>
        </w:tc>
        <w:tc>
          <w:tcPr>
            <w:tcW w:w="1880" w:type="dxa"/>
            <w:vAlign w:val="bottom"/>
            <w:tcBorders>
              <w:right w:val="single" w:sz="8" w:color="auto"/>
            </w:tcBorders>
            <w:shd w:val="clear" w:color="auto" w:fill="D9D9D9"/>
          </w:tcPr>
          <w:p>
            <w:pPr>
              <w:spacing w:after="0"/>
              <w:rPr>
                <w:sz w:val="15"/>
                <w:szCs w:val="15"/>
                <w:color w:val="auto"/>
              </w:rPr>
            </w:pPr>
          </w:p>
        </w:tc>
        <w:tc>
          <w:tcPr>
            <w:tcW w:w="1180" w:type="dxa"/>
            <w:vAlign w:val="bottom"/>
            <w:tcBorders>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Pricing</w:t>
            </w:r>
          </w:p>
        </w:tc>
        <w:tc>
          <w:tcPr>
            <w:tcW w:w="2400" w:type="dxa"/>
            <w:vAlign w:val="bottom"/>
            <w:tcBorders>
              <w:right w:val="single" w:sz="8" w:color="auto"/>
            </w:tcBorders>
            <w:shd w:val="clear" w:color="auto" w:fill="D9D9D9"/>
          </w:tcPr>
          <w:p>
            <w:pPr>
              <w:spacing w:after="0"/>
              <w:rPr>
                <w:sz w:val="15"/>
                <w:szCs w:val="15"/>
                <w:color w:val="auto"/>
              </w:rPr>
            </w:pPr>
          </w:p>
        </w:tc>
        <w:tc>
          <w:tcPr>
            <w:tcW w:w="1520" w:type="dxa"/>
            <w:vAlign w:val="bottom"/>
            <w:tcBorders>
              <w:right w:val="single" w:sz="8" w:color="auto"/>
            </w:tcBorders>
            <w:shd w:val="clear" w:color="auto" w:fill="D9D9D9"/>
          </w:tcPr>
          <w:p>
            <w:pPr>
              <w:spacing w:after="0"/>
              <w:rPr>
                <w:sz w:val="15"/>
                <w:szCs w:val="15"/>
                <w:color w:val="auto"/>
              </w:rPr>
            </w:pPr>
          </w:p>
        </w:tc>
        <w:tc>
          <w:tcPr>
            <w:tcW w:w="200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Credit Fees (Financial</w:t>
            </w:r>
          </w:p>
        </w:tc>
        <w:tc>
          <w:tcPr>
            <w:tcW w:w="1140" w:type="dxa"/>
            <w:vAlign w:val="bottom"/>
            <w:tcBorders>
              <w:right w:val="single" w:sz="8" w:color="auto"/>
            </w:tcBorders>
            <w:shd w:val="clear" w:color="auto" w:fill="D9D9D9"/>
          </w:tcPr>
          <w:p>
            <w:pPr>
              <w:spacing w:after="0"/>
              <w:rPr>
                <w:sz w:val="15"/>
                <w:szCs w:val="15"/>
                <w:color w:val="auto"/>
              </w:rPr>
            </w:pPr>
          </w:p>
        </w:tc>
        <w:tc>
          <w:tcPr>
            <w:tcW w:w="18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Letter of Credit Fees</w:t>
            </w:r>
          </w:p>
        </w:tc>
        <w:tc>
          <w:tcPr>
            <w:tcW w:w="11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Base Rate</w:t>
            </w:r>
          </w:p>
        </w:tc>
        <w:tc>
          <w:tcPr>
            <w:tcW w:w="0" w:type="dxa"/>
            <w:vAlign w:val="bottom"/>
          </w:tcPr>
          <w:p>
            <w:pPr>
              <w:spacing w:after="0"/>
              <w:rPr>
                <w:sz w:val="1"/>
                <w:szCs w:val="1"/>
                <w:color w:val="auto"/>
              </w:rPr>
            </w:pPr>
          </w:p>
        </w:tc>
      </w:tr>
      <w:tr>
        <w:trPr>
          <w:trHeight w:val="175"/>
        </w:trPr>
        <w:tc>
          <w:tcPr>
            <w:tcW w:w="1140" w:type="dxa"/>
            <w:vAlign w:val="bottom"/>
            <w:tcBorders>
              <w:left w:val="single" w:sz="8" w:color="auto"/>
              <w:right w:val="single" w:sz="8" w:color="auto"/>
            </w:tcBorders>
            <w:vMerge w:val="continue"/>
            <w:shd w:val="clear" w:color="auto" w:fill="D9D9D9"/>
          </w:tcPr>
          <w:p>
            <w:pPr>
              <w:spacing w:after="0"/>
              <w:rPr>
                <w:sz w:val="15"/>
                <w:szCs w:val="15"/>
                <w:color w:val="auto"/>
              </w:rPr>
            </w:pPr>
          </w:p>
        </w:tc>
        <w:tc>
          <w:tcPr>
            <w:tcW w:w="2400" w:type="dxa"/>
            <w:vAlign w:val="bottom"/>
            <w:tcBorders>
              <w:right w:val="single" w:sz="8" w:color="auto"/>
            </w:tcBorders>
            <w:shd w:val="clear" w:color="auto" w:fill="D9D9D9"/>
          </w:tcPr>
          <w:p>
            <w:pPr>
              <w:spacing w:after="0"/>
              <w:rPr>
                <w:sz w:val="15"/>
                <w:szCs w:val="15"/>
                <w:color w:val="auto"/>
              </w:rPr>
            </w:pPr>
          </w:p>
        </w:tc>
        <w:tc>
          <w:tcPr>
            <w:tcW w:w="1520" w:type="dxa"/>
            <w:vAlign w:val="bottom"/>
            <w:tcBorders>
              <w:right w:val="single" w:sz="8" w:color="auto"/>
            </w:tcBorders>
            <w:shd w:val="clear" w:color="auto" w:fill="D9D9D9"/>
          </w:tcPr>
          <w:p>
            <w:pPr>
              <w:spacing w:after="0"/>
              <w:rPr>
                <w:sz w:val="15"/>
                <w:szCs w:val="15"/>
                <w:color w:val="auto"/>
              </w:rPr>
            </w:pPr>
          </w:p>
        </w:tc>
        <w:tc>
          <w:tcPr>
            <w:tcW w:w="2000" w:type="dxa"/>
            <w:vAlign w:val="bottom"/>
            <w:tcBorders>
              <w:right w:val="single" w:sz="8" w:color="auto"/>
            </w:tcBorders>
            <w:shd w:val="clear" w:color="auto" w:fill="D9D9D9"/>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Standby and</w:t>
            </w:r>
          </w:p>
        </w:tc>
        <w:tc>
          <w:tcPr>
            <w:tcW w:w="1140" w:type="dxa"/>
            <w:vAlign w:val="bottom"/>
            <w:tcBorders>
              <w:right w:val="single" w:sz="8" w:color="auto"/>
            </w:tcBorders>
            <w:shd w:val="clear" w:color="auto" w:fill="D9D9D9"/>
          </w:tcPr>
          <w:p>
            <w:pPr>
              <w:spacing w:after="0"/>
              <w:rPr>
                <w:sz w:val="15"/>
                <w:szCs w:val="15"/>
                <w:color w:val="auto"/>
              </w:rPr>
            </w:pPr>
          </w:p>
        </w:tc>
        <w:tc>
          <w:tcPr>
            <w:tcW w:w="1880" w:type="dxa"/>
            <w:vAlign w:val="bottom"/>
            <w:tcBorders>
              <w:right w:val="single" w:sz="8" w:color="auto"/>
            </w:tcBorders>
            <w:vMerge w:val="continue"/>
            <w:shd w:val="clear" w:color="auto" w:fill="D9D9D9"/>
          </w:tcPr>
          <w:p>
            <w:pPr>
              <w:spacing w:after="0"/>
              <w:rPr>
                <w:sz w:val="15"/>
                <w:szCs w:val="15"/>
                <w:color w:val="auto"/>
              </w:rPr>
            </w:pPr>
          </w:p>
        </w:tc>
        <w:tc>
          <w:tcPr>
            <w:tcW w:w="1180" w:type="dxa"/>
            <w:vAlign w:val="bottom"/>
            <w:tcBorders>
              <w:right w:val="single" w:sz="8" w:color="auto"/>
            </w:tcBorders>
            <w:vMerge w:val="continue"/>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1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7"/>
              </w:rPr>
              <w:t>Level</w:t>
            </w:r>
          </w:p>
        </w:tc>
        <w:tc>
          <w:tcPr>
            <w:tcW w:w="24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Consolidated Leverage Ratio</w:t>
            </w:r>
          </w:p>
        </w:tc>
        <w:tc>
          <w:tcPr>
            <w:tcW w:w="15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Commitment Fee</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Commercial)</w:t>
            </w:r>
          </w:p>
        </w:tc>
        <w:tc>
          <w:tcPr>
            <w:tcW w:w="1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BA Fees</w:t>
            </w:r>
          </w:p>
        </w:tc>
        <w:tc>
          <w:tcPr>
            <w:tcW w:w="1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(Performance Standby)</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&lt; 0.75 to 1.00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0.150%</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0.3125%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0.125%</w:t>
            </w: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0.75 to 1.00 but &lt; 2.00 to 1.00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0.175%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1.250%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0.875%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0.4375%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r>
        <w:trPr>
          <w:trHeight w:val="218"/>
        </w:trPr>
        <w:tc>
          <w:tcPr>
            <w:tcW w:w="1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 2.00 to 1.00 but</w:t>
            </w: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0.200%</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1.375%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1.125%</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0.5625%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tcPr>
          <w:p>
            <w:pPr>
              <w:spacing w:after="0"/>
              <w:rPr>
                <w:sz w:val="20"/>
                <w:szCs w:val="20"/>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&lt; 3.25 to 1.00</w:t>
            </w:r>
          </w:p>
        </w:tc>
        <w:tc>
          <w:tcPr>
            <w:tcW w:w="152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4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3.25 to 1.00</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0.225%</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1.625%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1.375%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0.6875%</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0.625%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 Compliance Certificate is not delivered when due in accordance with such Section, then, upon the request of the Required Lenders, Pricing Level 4 shall apply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60"/>
          </w:cols>
          <w:pgMar w:left="320" w:top="1422" w:right="31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first Business Day after the date on which such Compliance Certificate was required to have been delivered and shall remain in effect until the date on which such Compliance Certificate is delivered.</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Borrowings and payments in an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Arrangers</w:t>
      </w:r>
      <w:r>
        <w:rPr>
          <w:rFonts w:ascii="Times New Roman" w:cs="Times New Roman" w:eastAsia="Times New Roman" w:hAnsi="Times New Roman"/>
          <w:sz w:val="22"/>
          <w:szCs w:val="22"/>
          <w:color w:val="auto"/>
        </w:rPr>
        <w:t>” means, collectively, BAS, Truist Securities, Inc., PNC Capital Markets LLC, Wells Fargo Securities, LLC, BMO Capital Markets Corp., and JPMorgan Chase Bank, N.A., in each case, in their capacities as joint lead arrangers and joint bookrunners.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 xml:space="preserve">), and accepted by the Administrative Agent, in substantially the form of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Attributable Indebtedness</w:t>
      </w:r>
      <w:r>
        <w:rPr>
          <w:rFonts w:ascii="Times New Roman" w:cs="Times New Roman" w:eastAsia="Times New Roman" w:hAnsi="Times New Roman"/>
          <w:sz w:val="22"/>
          <w:szCs w:val="22"/>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Audited Financial Statements</w:t>
      </w:r>
      <w:r>
        <w:rPr>
          <w:rFonts w:ascii="Times New Roman" w:cs="Times New Roman" w:eastAsia="Times New Roman" w:hAnsi="Times New Roman"/>
          <w:sz w:val="22"/>
          <w:szCs w:val="22"/>
          <w:color w:val="auto"/>
        </w:rPr>
        <w:t>” means the audited consolidated balance sheet of the Company and its Subsidiaries for the fiscal year ended December 31, 2020, and the related consolidated statements of income or operations, shareholders’ equity and cash flows for such fiscal year of the Company and its Subsidiaries, including the notes thereto.</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Liquidity</w:t>
      </w:r>
      <w:r>
        <w:rPr>
          <w:rFonts w:ascii="Times New Roman" w:cs="Times New Roman" w:eastAsia="Times New Roman" w:hAnsi="Times New Roman"/>
          <w:sz w:val="22"/>
          <w:szCs w:val="22"/>
          <w:color w:val="auto"/>
        </w:rPr>
        <w:t xml:space="preserve">” means, at any date of measurement thereof, the sum of (without duplication) (a) cash, Cash Equivalents (Available Liquidity) and readily marketable securities, in each case not subject to any Lien (including any Lien on Cash Collateral, but excluding Liens permitted by </w:t>
      </w:r>
      <w:r>
        <w:rPr>
          <w:rFonts w:ascii="Times New Roman" w:cs="Times New Roman" w:eastAsia="Times New Roman" w:hAnsi="Times New Roman"/>
          <w:sz w:val="22"/>
          <w:szCs w:val="22"/>
          <w:u w:val="single" w:color="auto"/>
          <w:color w:val="auto"/>
        </w:rPr>
        <w:t>Section 7.01(j)</w:t>
      </w:r>
      <w:r>
        <w:rPr>
          <w:rFonts w:ascii="Times New Roman" w:cs="Times New Roman" w:eastAsia="Times New Roman" w:hAnsi="Times New Roman"/>
          <w:sz w:val="22"/>
          <w:szCs w:val="22"/>
          <w:color w:val="auto"/>
        </w:rPr>
        <w:t xml:space="preserve">), then owned by the Company or Restricted Subsidiaries that would be reflected on a consolidated balance sheet of such Persons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amount by which the sum of the Aggregate (USD) Commitments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(MC) Commitments (in each case, other than any USD Commitment or MC Commitment of any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color w:val="auto"/>
        </w:rPr>
        <w:t>in effect on such date exceeds the aggregate Outstanding Amount of all Loans (other than Term Loans) and all L/C Obligations.</w:t>
      </w:r>
    </w:p>
    <w:p>
      <w:pPr>
        <w:spacing w:after="0" w:line="2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xml:space="preserve">” means (a) in respect of the Committed (USD) Facility, the period from the Closing Date to the earliest of (i) the Maturity Date with respect to such Facility, (ii) the date of termination of the Aggregate (USD) Commitments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(iii) the date of termination of the commitment of each Lender to make Committed (USD) Loans and of the obligation of the L/C Issuer to make L/C Credit Extensions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(b) in respect of the Committed (MC) Facility, the period from the Closing Date to the earliest of (i) the Maturity Date with respect to such Facility,</w:t>
      </w:r>
    </w:p>
    <w:p>
      <w:pPr>
        <w:spacing w:after="0" w:line="2" w:lineRule="exact"/>
        <w:rPr>
          <w:sz w:val="20"/>
          <w:szCs w:val="20"/>
          <w:color w:val="auto"/>
        </w:rPr>
      </w:pPr>
    </w:p>
    <w:p>
      <w:pPr>
        <w:ind w:firstLine="8"/>
        <w:spacing w:after="0" w:line="248" w:lineRule="auto"/>
        <w:tabs>
          <w:tab w:leader="none" w:pos="32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of termination of the Aggregate (MC) Commitments pursuant to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(iii) the date of termination of the commitment of each Lender to make Committed (MC) Loans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2.03(j)</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w:t>
      </w:r>
      <w:r>
        <w:rPr>
          <w:rFonts w:ascii="Times New Roman" w:cs="Times New Roman" w:eastAsia="Times New Roman" w:hAnsi="Times New Roman"/>
          <w:sz w:val="22"/>
          <w:szCs w:val="22"/>
          <w:color w:val="auto"/>
        </w:rPr>
        <w:t>” means Bank of America, N.A. and its successors.</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 of America Fee Letter</w:t>
      </w:r>
      <w:r>
        <w:rPr>
          <w:rFonts w:ascii="Times New Roman" w:cs="Times New Roman" w:eastAsia="Times New Roman" w:hAnsi="Times New Roman"/>
          <w:sz w:val="22"/>
          <w:szCs w:val="22"/>
          <w:color w:val="auto"/>
        </w:rPr>
        <w:t>” means the letter agreement dated October 8, 2021, among the Borrowers, Bank of America and BAS.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BA</w:t>
      </w:r>
      <w:r>
        <w:rPr>
          <w:rFonts w:ascii="Times New Roman" w:cs="Times New Roman" w:eastAsia="Times New Roman" w:hAnsi="Times New Roman"/>
          <w:sz w:val="22"/>
          <w:szCs w:val="22"/>
          <w:color w:val="auto"/>
        </w:rPr>
        <w:t>” means a Clean BA or an L/C Issued BA.</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 Rate</w:t>
      </w:r>
      <w:r>
        <w:rPr>
          <w:rFonts w:ascii="Times New Roman" w:cs="Times New Roman" w:eastAsia="Times New Roman" w:hAnsi="Times New Roman"/>
          <w:sz w:val="22"/>
          <w:szCs w:val="22"/>
          <w:color w:val="auto"/>
        </w:rPr>
        <w:t>” means for any day a fluctuating rate per annum equal to the rate of interest in effect for such day as publicly announced from time to time by Bank of America as its “bankers’ acceptance rate”. Any change in such rate announced by Bank of America shall take effect at the opening of business on the day specified in the public announcement of such change.</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Bankers’ Acceptance Request</w:t>
      </w:r>
      <w:r>
        <w:rPr>
          <w:rFonts w:ascii="Times New Roman" w:cs="Times New Roman" w:eastAsia="Times New Roman" w:hAnsi="Times New Roman"/>
          <w:sz w:val="22"/>
          <w:szCs w:val="22"/>
          <w:color w:val="auto"/>
        </w:rPr>
        <w:t xml:space="preserve">” means the written request for the issuance of Clean BAs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w:t>
      </w:r>
      <w:r>
        <w:rPr>
          <w:rFonts w:ascii="Times New Roman" w:cs="Times New Roman" w:eastAsia="Times New Roman" w:hAnsi="Times New Roman"/>
          <w:sz w:val="22"/>
          <w:szCs w:val="22"/>
          <w:color w:val="auto"/>
        </w:rPr>
        <w:t>” means BofA Securities, Inc.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2" w:name="page123"/>
    <w:bookmarkEnd w:id="122"/>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for any day a fluctuating rate per annum equal to the highest of (a) the Federal Funds Rate plus 1/2 of 1%, (b) the rate of interest in effect for such day as publicly announced from time to time by Bank of America as its “prime rate” and (c) Term SOFR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hereof, then the Base Rate shall be the greater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and shall be determined without reference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above.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Committed (USD) Loan</w:t>
      </w:r>
      <w:r>
        <w:rPr>
          <w:rFonts w:ascii="Times New Roman" w:cs="Times New Roman" w:eastAsia="Times New Roman" w:hAnsi="Times New Roman"/>
          <w:sz w:val="22"/>
          <w:szCs w:val="22"/>
          <w:color w:val="auto"/>
        </w:rPr>
        <w:t>” means a Committed (USD) Loan that is a Base Rate Loan.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Loan</w:t>
      </w:r>
      <w:r>
        <w:rPr>
          <w:rFonts w:ascii="Times New Roman" w:cs="Times New Roman" w:eastAsia="Times New Roman" w:hAnsi="Times New Roman"/>
          <w:sz w:val="22"/>
          <w:szCs w:val="22"/>
          <w:color w:val="auto"/>
        </w:rPr>
        <w:t>” means a Loan that bears interest based on the Base Rate. All Base Rate Loans shall be denominated in Dollars.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required by the Beneficial Ownership Regulation.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each has the meaning specified in the introductory paragraph hereto.</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Materials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means a Committed (USD) Borrowing, a Committed (MC) Borrowing, a Swing Line Borrowing or a Term Loan Borrowing, as the context may require.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other than a Saturday, Sunday or other day on which commercial banks are authorized to close under the Laws of, or are in fact closed in, the state where the Administrative Agent’s Office is 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0000FF"/>
        </w:rPr>
        <w:t>(a)</w:t>
      </w:r>
      <w:r>
        <w:rPr>
          <w:rFonts w:ascii="Times New Roman" w:cs="Times New Roman" w:eastAsia="Times New Roman" w:hAnsi="Times New Roman"/>
          <w:sz w:val="22"/>
          <w:szCs w:val="22"/>
          <w:color w:val="auto"/>
        </w:rPr>
        <w:t xml:space="preserve"> if such day relates to any fundings, disbursements, settlements and payments in respect of an Alternative Currency Term Rate Loan, or any other dealings to be carried out pursuant to this Agreement in an Alternative Currency in respect of any such Alternative Currency Term Rate Loan (other than any interest rate settings), means any such day on which banks are open for foreign exchange business in the principal financial center of the country of such currency</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and (b) if such day relates to any interest rate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 xml:space="preserve">settings as to </w:t>
      </w:r>
      <w:r>
        <w:rPr>
          <w:rFonts w:ascii="Times New Roman" w:cs="Times New Roman" w:eastAsia="Times New Roman" w:hAnsi="Times New Roman"/>
          <w:sz w:val="22"/>
          <w:szCs w:val="22"/>
          <w:u w:val="single" w:color="auto"/>
          <w:color w:val="008000"/>
        </w:rPr>
        <w:t>an Alternative Currency Term Rate Loan</w:t>
      </w:r>
      <w:r>
        <w:rPr>
          <w:rFonts w:ascii="Times New Roman" w:cs="Times New Roman" w:eastAsia="Times New Roman" w:hAnsi="Times New Roman"/>
          <w:sz w:val="22"/>
          <w:szCs w:val="22"/>
          <w:u w:val="single" w:color="auto"/>
          <w:color w:val="0000FF"/>
        </w:rPr>
        <w:t>, means any such day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23" w:name="page124"/>
    <w:bookmarkEnd w:id="123"/>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0000FF"/>
        </w:rPr>
        <w:t>which dealings in deposits in the relevant currency are conducted by and between banks in the applicable offshore interbank market for such currency.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mean the lawful currency of Canada.</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w:t>
      </w:r>
      <w:r>
        <w:rPr>
          <w:rFonts w:ascii="Times New Roman" w:cs="Times New Roman" w:eastAsia="Times New Roman" w:hAnsi="Times New Roman"/>
          <w:sz w:val="22"/>
          <w:szCs w:val="22"/>
          <w:color w:val="auto"/>
        </w:rPr>
        <w:t>” means each lease that has been or is required to be, in accordance with GAAP, classified and accounted for as a capital lease or financing lease.</w:t>
      </w:r>
    </w:p>
    <w:p>
      <w:pPr>
        <w:spacing w:after="0" w:line="131"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Captive Insurance Subsidiary</w:t>
      </w:r>
      <w:r>
        <w:rPr>
          <w:rFonts w:ascii="Times New Roman" w:cs="Times New Roman" w:eastAsia="Times New Roman" w:hAnsi="Times New Roman"/>
          <w:sz w:val="22"/>
          <w:szCs w:val="22"/>
          <w:color w:val="auto"/>
        </w:rPr>
        <w:t xml:space="preserve">” means any Subsidiary of the Company operating a regulated captive insurance program established in accordance with customary industry practice and permitted by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xml:space="preserve"> for the benefit of one or more of the Company and its Restricted Subsidiaries.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for the benefit of one or more of the L/C Issuer and the Committed (USD) Lenders, as collateral for L/C Obligations or obligations of Committed (USD) Lenders to fund participations in respect of L/C Obligations, cash or deposit account balances or, if the Administrative Agent and the L/C Issuer shall agree in their sole discretion, other credit support, in each case pursuant to documentation in form and substance reasonably satisfactory to (i) the Administrative Agent and (ii) the L/C Issuer.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 any of the following types of Investments, to the extent owned by the Company or any of its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Subsidiaries free and clear of all Liens (other than Liens permitted hereunder):</w:t>
      </w:r>
    </w:p>
    <w:p>
      <w:pPr>
        <w:spacing w:after="0" w:line="196" w:lineRule="exact"/>
        <w:rPr>
          <w:sz w:val="20"/>
          <w:szCs w:val="20"/>
          <w:color w:val="auto"/>
        </w:rPr>
      </w:pPr>
    </w:p>
    <w:p>
      <w:pPr>
        <w:jc w:val="both"/>
        <w:ind w:left="660" w:firstLine="644"/>
        <w:spacing w:after="0" w:line="262" w:lineRule="auto"/>
        <w:tabs>
          <w:tab w:leader="none" w:pos="177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Dollars, Canadian Dollars, Colombian Pesos, Mexican Pesos, Pound Sterling, Euros, the national currency of any participating member state of the European Union or, in the case of any Cash Equivalents of a Foreign Subsidiary, such local currencies held by it from time to time in the ordinary course of business (including such Dollars, Canadian Dollars, Columbian Pesos, Mexican Pesos, Pound Sterling, Euros or other currency, as applicable, as are held as overnight bank deposits and demand deposits with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a country that is a member of the Organization for Economic Cooperation and Development, (ii) issues (or the parent of which issues) commercial paper rated as described in clause (e) of this definition and (iii) has combined capital and surplus of at least $1,000,000,000);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country credit rating of any country issuing such currency shall be BBB- or higher by S&amp;P or an equivalent rating or higher by another generally recognized rating agency providing country credit ratings;</w:t>
      </w:r>
    </w:p>
    <w:p>
      <w:pPr>
        <w:spacing w:after="0" w:line="171"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2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readily marketable obligations issued or directly and fully guaranteed or insured by the United States of America or any agency or instrumentality thereof having maturities of not more than 24 months from the date of acquisition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4"/>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of America is pledged in support thereof or (ii) readily marketable obligations issued or directly and fully guaranteed or insured by Canada or any country that is a member of the European Union or any agency or instrumentality thereof having maturities of not more than 24 months from the date of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full faith and credit of Canada or such member of the European Union, as the case may be, is pledged in support thereof, (B) all obligations of the type specified in this clause (ii) shall have a minimum rating of A-1 or AAA by S&amp;P or P-1 or Aaa by Moody’s, in each case at the time of acquisition thereof and (C) the country credit rating of any country issuing or guaranteeing (or whose governmental agency issues or guarantees) any obligation of the type specified in this clause (ii) shall be AA or higher by S&amp;P or an equivalent rating or higher by another generally recognized rating agency providing country credit ratings;</w:t>
      </w:r>
    </w:p>
    <w:p>
      <w:pPr>
        <w:spacing w:after="0" w:line="180" w:lineRule="exact"/>
        <w:rPr>
          <w:sz w:val="20"/>
          <w:szCs w:val="20"/>
          <w:color w:val="auto"/>
        </w:rPr>
      </w:pPr>
    </w:p>
    <w:p>
      <w:pPr>
        <w:ind w:left="1104" w:hanging="456"/>
        <w:spacing w:after="0"/>
        <w:tabs>
          <w:tab w:leader="none" w:pos="1104"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w:t>
      </w:r>
    </w:p>
    <w:p>
      <w:pPr>
        <w:spacing w:after="0" w:line="39" w:lineRule="exact"/>
        <w:rPr>
          <w:rFonts w:ascii="Times New Roman" w:cs="Times New Roman" w:eastAsia="Times New Roman" w:hAnsi="Times New Roman"/>
          <w:sz w:val="21"/>
          <w:szCs w:val="21"/>
          <w:color w:val="auto"/>
        </w:rPr>
      </w:pPr>
    </w:p>
    <w:p>
      <w:pPr>
        <w:jc w:val="both"/>
        <w:ind w:left="4" w:hanging="4"/>
        <w:spacing w:after="0" w:line="259" w:lineRule="auto"/>
        <w:tabs>
          <w:tab w:leader="none" w:pos="37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or is organized under the laws of Canada or any country that is a member of the European Union or is the principal banking subsidiary of a bank holding company organized under the laws of Canada or any country that is a member of the European Union and a member of the Organization for Economic Cooperation and Development, (ii) issues (or the parent of which issues) commercial paper rated as described in clause (e) of this definition and (iii) has combined capital and surplus of at least $1,000,000,000, in each case with maturities of not more than 360 days from the date of acquisition thereof;</w:t>
      </w:r>
    </w:p>
    <w:p>
      <w:pPr>
        <w:spacing w:after="0" w:line="172" w:lineRule="exact"/>
        <w:rPr>
          <w:rFonts w:ascii="Times New Roman" w:cs="Times New Roman" w:eastAsia="Times New Roman" w:hAnsi="Times New Roman"/>
          <w:sz w:val="21"/>
          <w:szCs w:val="21"/>
          <w:color w:val="auto"/>
        </w:rPr>
      </w:pPr>
    </w:p>
    <w:p>
      <w:pPr>
        <w:ind w:left="4" w:firstLine="644"/>
        <w:spacing w:after="0" w:line="309" w:lineRule="auto"/>
        <w:tabs>
          <w:tab w:leader="none" w:pos="115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 obligations with a term of not more than 30 days for underlying securities of the types described in clause (b) above entered into with any commercial bank meeting the qualifications specified in clause (c) above;</w:t>
      </w:r>
    </w:p>
    <w:p>
      <w:pPr>
        <w:spacing w:after="0" w:line="120" w:lineRule="exact"/>
        <w:rPr>
          <w:rFonts w:ascii="Times New Roman" w:cs="Times New Roman" w:eastAsia="Times New Roman" w:hAnsi="Times New Roman"/>
          <w:sz w:val="21"/>
          <w:szCs w:val="21"/>
          <w:color w:val="auto"/>
        </w:rPr>
      </w:pPr>
    </w:p>
    <w:p>
      <w:pPr>
        <w:jc w:val="both"/>
        <w:ind w:left="4" w:firstLine="644"/>
        <w:spacing w:after="0" w:line="257" w:lineRule="auto"/>
        <w:tabs>
          <w:tab w:leader="none" w:pos="125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72" w:lineRule="exact"/>
        <w:rPr>
          <w:rFonts w:ascii="Times New Roman" w:cs="Times New Roman" w:eastAsia="Times New Roman" w:hAnsi="Times New Roman"/>
          <w:sz w:val="22"/>
          <w:szCs w:val="22"/>
          <w:color w:val="auto"/>
        </w:rPr>
      </w:pPr>
    </w:p>
    <w:p>
      <w:pPr>
        <w:ind w:left="4" w:firstLine="644"/>
        <w:spacing w:after="0" w:line="284" w:lineRule="auto"/>
        <w:tabs>
          <w:tab w:leader="none" w:pos="112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one year or less from the date of acquisition backed by standby letters of credit issued by any commercial bank meeting the qualifications specified in clause (c) above;</w:t>
      </w:r>
    </w:p>
    <w:p>
      <w:pPr>
        <w:spacing w:after="0" w:line="143"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12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84"/>
          </w:cols>
          <w:pgMar w:left="976" w:top="1422" w:right="339" w:bottom="1440" w:gutter="0" w:footer="0" w:header="0"/>
        </w:sectPr>
      </w:pPr>
    </w:p>
    <w:bookmarkStart w:id="125" w:name="page126"/>
    <w:bookmarkEnd w:id="125"/>
    <w:p>
      <w:pPr>
        <w:ind w:left="660"/>
        <w:spacing w:after="0" w:line="271" w:lineRule="auto"/>
        <w:rPr>
          <w:sz w:val="20"/>
          <w:szCs w:val="20"/>
          <w:color w:val="auto"/>
        </w:rPr>
      </w:pPr>
      <w:r>
        <w:rPr>
          <w:rFonts w:ascii="Times New Roman" w:cs="Times New Roman" w:eastAsia="Times New Roman" w:hAnsi="Times New Roman"/>
          <w:sz w:val="22"/>
          <w:szCs w:val="22"/>
          <w:color w:val="auto"/>
        </w:rPr>
        <w:t>S&amp;P, and have at least 95% of their assets invested continuously in Investments of the character, quality and maturity described in clauses (a) through (f) of this definition.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 (Available Liquidity)</w:t>
      </w:r>
      <w:r>
        <w:rPr>
          <w:rFonts w:ascii="Times New Roman" w:cs="Times New Roman" w:eastAsia="Times New Roman" w:hAnsi="Times New Roman"/>
          <w:sz w:val="22"/>
          <w:szCs w:val="22"/>
          <w:color w:val="auto"/>
        </w:rPr>
        <w:t>” means any of the following types of Investments, to the extent owned by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any of its Restricted Subsidiaries free and clear of all Liens (other than Liens permitted hereunder):</w:t>
      </w:r>
    </w:p>
    <w:p>
      <w:pPr>
        <w:spacing w:after="0" w:line="207" w:lineRule="exact"/>
        <w:rPr>
          <w:sz w:val="20"/>
          <w:szCs w:val="20"/>
          <w:color w:val="auto"/>
        </w:rPr>
      </w:pPr>
    </w:p>
    <w:p>
      <w:pPr>
        <w:ind w:left="1760" w:hanging="456"/>
        <w:spacing w:after="0"/>
        <w:tabs>
          <w:tab w:leader="none" w:pos="176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Dollars (including such Dollars as are held as overnight bank deposits and demand deposits with U.S. banks);</w:t>
      </w:r>
    </w:p>
    <w:p>
      <w:pPr>
        <w:spacing w:after="0" w:line="231"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8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readily marketable obligations issued or directly and fully guaranteed or insured by the United States of America or any agency or instrumentality thereof having maturities of not more than 24 months from the date of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of America is pledged in support thereof;</w:t>
      </w:r>
    </w:p>
    <w:p>
      <w:pPr>
        <w:spacing w:after="0" w:line="18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 deposits with, or insured certificates of deposit or bankers’ acceptances of, any commercial bank that (i)</w:t>
      </w:r>
    </w:p>
    <w:p>
      <w:pPr>
        <w:spacing w:after="0" w:line="39" w:lineRule="exact"/>
        <w:rPr>
          <w:rFonts w:ascii="Times New Roman" w:cs="Times New Roman" w:eastAsia="Times New Roman" w:hAnsi="Times New Roman"/>
          <w:sz w:val="21"/>
          <w:szCs w:val="21"/>
          <w:color w:val="auto"/>
        </w:rPr>
      </w:pPr>
    </w:p>
    <w:p>
      <w:pPr>
        <w:jc w:val="both"/>
        <w:ind w:left="660" w:hanging="4"/>
        <w:spacing w:after="0" w:line="246" w:lineRule="auto"/>
        <w:tabs>
          <w:tab w:leader="none" w:pos="103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(e) of this definition and (iii) has combined capital and surplus of at least $1,000,000,000, in each case with maturities of not more than 360 days from the date of acquisition thereof;</w:t>
      </w:r>
    </w:p>
    <w:p>
      <w:pPr>
        <w:spacing w:after="0" w:line="188" w:lineRule="exact"/>
        <w:rPr>
          <w:rFonts w:ascii="Times New Roman" w:cs="Times New Roman" w:eastAsia="Times New Roman" w:hAnsi="Times New Roman"/>
          <w:sz w:val="22"/>
          <w:szCs w:val="22"/>
          <w:color w:val="auto"/>
        </w:rPr>
      </w:pPr>
    </w:p>
    <w:p>
      <w:pPr>
        <w:ind w:left="660" w:firstLine="644"/>
        <w:spacing w:after="0" w:line="295" w:lineRule="auto"/>
        <w:tabs>
          <w:tab w:leader="none" w:pos="1807"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repurchase obligations with a term of not more than 30 days for underlying securities of the types described in clause (b) above entered into with any commercial bank meeting the qualifications specified in clause (c) above;</w:t>
      </w:r>
    </w:p>
    <w:p>
      <w:pPr>
        <w:spacing w:after="0" w:line="135"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91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270 days from the date of acquisition thereof;</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78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maturities of one year or less from the date of acquisition backed by standby letters of credit issued by any commercial bank meeting the qualifications specified in clause (c) above;</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and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77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classified in accordance with GAAP as current assets of the Company or any of its Subsidiaries, in money market investment programs registered under the Investment Company Act of 1940, which are administered by financial institutions that have one of the two highest ratings obtainable from either Moody’s or S&amp;P, and have at least 95% of their assets invested continuously in Investments of the character, quality and maturity described in clauses (a) through (f)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CDOR</w:t>
      </w:r>
      <w:r>
        <w:rPr>
          <w:rFonts w:ascii="Times New Roman" w:cs="Times New Roman" w:eastAsia="Times New Roman" w:hAnsi="Times New Roman"/>
          <w:sz w:val="22"/>
          <w:szCs w:val="22"/>
          <w:color w:val="FF0000"/>
          <w:strike w:val="1"/>
        </w:rPr>
        <w:t xml:space="preserve">” has the meaning specified in </w:t>
      </w:r>
      <w:r>
        <w:rPr>
          <w:rFonts w:ascii="Times New Roman" w:cs="Times New Roman" w:eastAsia="Times New Roman" w:hAnsi="Times New Roman"/>
          <w:sz w:val="22"/>
          <w:szCs w:val="22"/>
          <w:color w:val="008000"/>
          <w:strike w:val="1"/>
        </w:rPr>
        <w:t>the definition of</w:t>
      </w:r>
      <w:r>
        <w:rPr>
          <w:rFonts w:ascii="Times New Roman" w:cs="Times New Roman" w:eastAsia="Times New Roman" w:hAnsi="Times New Roman"/>
          <w:sz w:val="22"/>
          <w:szCs w:val="22"/>
          <w:color w:val="FF0000"/>
          <w:strike w:val="1"/>
        </w:rPr>
        <w:t xml:space="preserve"> Alternative Currency Term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CDOR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8000"/>
        </w:rPr>
        <w:t>Rate</w:t>
      </w:r>
      <w:r>
        <w:rPr>
          <w:rFonts w:ascii="Times New Roman" w:cs="Times New Roman" w:eastAsia="Times New Roman" w:hAnsi="Times New Roman"/>
          <w:sz w:val="22"/>
          <w:szCs w:val="22"/>
          <w:color w:val="008000"/>
        </w:rPr>
        <w:t>” has the meaning specified in the definition of Alternative Currency Term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-65405</wp:posOffset>
            </wp:positionV>
            <wp:extent cx="46634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(i) the Dodd-Frank Wall Street Reform and Consumer Protection Act and all requests, rules, guidelines or directives thereunder or issued in connection therewith or in the implementation thereof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an event or series of events by which:</w:t>
      </w:r>
    </w:p>
    <w:p>
      <w:pPr>
        <w:spacing w:after="0" w:line="220" w:lineRule="exact"/>
        <w:rPr>
          <w:sz w:val="20"/>
          <w:szCs w:val="20"/>
          <w:color w:val="auto"/>
        </w:rPr>
      </w:pPr>
    </w:p>
    <w:p>
      <w:pPr>
        <w:jc w:val="both"/>
        <w:ind w:left="660" w:firstLine="644"/>
        <w:spacing w:after="0" w:line="250" w:lineRule="auto"/>
        <w:tabs>
          <w:tab w:leader="none" w:pos="179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other than any Existing Shareholder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w:t>
      </w:r>
      <w:r>
        <w:rPr>
          <w:rFonts w:ascii="Times New Roman" w:cs="Times New Roman" w:eastAsia="Times New Roman" w:hAnsi="Times New Roman"/>
          <w:sz w:val="22"/>
          <w:szCs w:val="22"/>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4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18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27" w:name="page128"/>
    <w:bookmarkEnd w:id="127"/>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Clean Bankers’ Acceptance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Clean BA</w:t>
      </w:r>
      <w:r>
        <w:rPr>
          <w:rFonts w:ascii="Times New Roman" w:cs="Times New Roman" w:eastAsia="Times New Roman" w:hAnsi="Times New Roman"/>
          <w:sz w:val="22"/>
          <w:szCs w:val="22"/>
          <w:color w:val="auto"/>
        </w:rPr>
        <w:t xml:space="preserve">” means a negotiable time draft drawn on and accepted by the L/C Issuer pursuant to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to finance the purchase of inventory.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means November 1, 2021.</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w:t>
      </w:r>
      <w:r>
        <w:rPr>
          <w:rFonts w:ascii="Times New Roman" w:cs="Times New Roman" w:eastAsia="Times New Roman" w:hAnsi="Times New Roman"/>
          <w:sz w:val="22"/>
          <w:szCs w:val="22"/>
          <w:color w:val="auto"/>
        </w:rPr>
        <w:t>” means CME Group Benchmark Administration Limited.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a MC Commitment, a USD Commitment or a Term Loan Commitment, as the context may require.</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Borrowing</w:t>
      </w:r>
      <w:r>
        <w:rPr>
          <w:rFonts w:ascii="Times New Roman" w:cs="Times New Roman" w:eastAsia="Times New Roman" w:hAnsi="Times New Roman"/>
          <w:sz w:val="22"/>
          <w:szCs w:val="22"/>
          <w:color w:val="auto"/>
        </w:rPr>
        <w:t>” means a Committed (USD) Borrowing or a Committed (MC) Borrowing.</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(MC) Borrowing</w:t>
      </w:r>
      <w:r>
        <w:rPr>
          <w:rFonts w:ascii="Times New Roman" w:cs="Times New Roman" w:eastAsia="Times New Roman" w:hAnsi="Times New Roman"/>
          <w:sz w:val="22"/>
          <w:szCs w:val="22"/>
          <w:color w:val="auto"/>
        </w:rPr>
        <w:t xml:space="preserve">” means a borrowing consisting of simultaneous Committed (MC) Loans of the same Type and having the same Interest Period made by each of the Committed (MC) Lenders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(USD) Borrowing</w:t>
      </w:r>
      <w:r>
        <w:rPr>
          <w:rFonts w:ascii="Times New Roman" w:cs="Times New Roman" w:eastAsia="Times New Roman" w:hAnsi="Times New Roman"/>
          <w:sz w:val="22"/>
          <w:szCs w:val="22"/>
          <w:color w:val="auto"/>
        </w:rPr>
        <w:t xml:space="preserve">” means a borrowing consisting of simultaneous Committed (USD) Loans of the same Type and, in the case of Term SOFR Loans, having the same Interest Period made by each of the Committed (USD) Lenders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(MC) Facility</w:t>
      </w:r>
      <w:r>
        <w:rPr>
          <w:rFonts w:ascii="Times New Roman" w:cs="Times New Roman" w:eastAsia="Times New Roman" w:hAnsi="Times New Roman"/>
          <w:sz w:val="22"/>
          <w:szCs w:val="22"/>
          <w:color w:val="auto"/>
        </w:rPr>
        <w:t>” means, at any time, the revolving credit facility provided in this Agreement pursuant to the Aggregate (MC) Commitments.</w:t>
      </w:r>
    </w:p>
    <w:p>
      <w:pPr>
        <w:spacing w:after="0" w:line="17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(USD) Facility</w:t>
      </w:r>
      <w:r>
        <w:rPr>
          <w:rFonts w:ascii="Times New Roman" w:cs="Times New Roman" w:eastAsia="Times New Roman" w:hAnsi="Times New Roman"/>
          <w:sz w:val="22"/>
          <w:szCs w:val="22"/>
          <w:color w:val="auto"/>
        </w:rPr>
        <w:t>” means, at any time, the revolving credit facility provided in this Agreement pursuant to the Aggregate (USD) Commitments.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(MC) Lender</w:t>
      </w:r>
      <w:r>
        <w:rPr>
          <w:rFonts w:ascii="Times New Roman" w:cs="Times New Roman" w:eastAsia="Times New Roman" w:hAnsi="Times New Roman"/>
          <w:sz w:val="22"/>
          <w:szCs w:val="22"/>
          <w:color w:val="auto"/>
        </w:rPr>
        <w:t>” means, at any time, any Lender that has an MC Commitment or outstanding Committed (MC) Loans at such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(USD) Lender</w:t>
      </w:r>
      <w:r>
        <w:rPr>
          <w:rFonts w:ascii="Times New Roman" w:cs="Times New Roman" w:eastAsia="Times New Roman" w:hAnsi="Times New Roman"/>
          <w:sz w:val="22"/>
          <w:szCs w:val="22"/>
          <w:color w:val="auto"/>
        </w:rPr>
        <w:t>” means, at any time, any Lender that has a USD Commitment or outstanding Committed (USD) Loans or participations in L/C Obligations and Swing Line Loans at such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Loans</w:t>
      </w:r>
      <w:r>
        <w:rPr>
          <w:rFonts w:ascii="Times New Roman" w:cs="Times New Roman" w:eastAsia="Times New Roman" w:hAnsi="Times New Roman"/>
          <w:sz w:val="22"/>
          <w:szCs w:val="22"/>
          <w:color w:val="auto"/>
        </w:rPr>
        <w:t>” means a Committed (USD) Loan or a Committed (MC) Loan.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(MC)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(USD)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w:t>
      </w:r>
      <w:r>
        <w:rPr>
          <w:rFonts w:ascii="Times New Roman" w:cs="Times New Roman" w:eastAsia="Times New Roman" w:hAnsi="Times New Roman"/>
          <w:sz w:val="22"/>
          <w:szCs w:val="22"/>
          <w:color w:val="auto"/>
        </w:rPr>
        <w:t>” means this Agreement, any Loan Document and any document, amendment, approval, consent, information, notice, certificate, request, statement, disclosure or authorization related to any Loan Document.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specified in the introductory paragraph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Compliance Certificate</w:t>
      </w:r>
      <w:r>
        <w:rPr>
          <w:rFonts w:ascii="Times New Roman" w:cs="Times New Roman" w:eastAsia="Times New Roman" w:hAnsi="Times New Roman"/>
          <w:sz w:val="22"/>
          <w:szCs w:val="22"/>
          <w:color w:val="auto"/>
        </w:rPr>
        <w:t xml:space="preserve">” means a certificate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Conforming Changes</w:t>
      </w:r>
      <w:r>
        <w:rPr>
          <w:rFonts w:ascii="Times New Roman" w:cs="Times New Roman" w:eastAsia="Times New Roman" w:hAnsi="Times New Roman"/>
          <w:sz w:val="22"/>
          <w:szCs w:val="22"/>
          <w:color w:val="auto"/>
        </w:rPr>
        <w:t xml:space="preserve">” means, with respect to the use, administration of or any conventions associated with SOFR or any proposed Successor Rate or Term SOFR, as applicable, any conforming changes to the definition of “Base Rate”, the definition of “SOFR”, the definition of “Term SOFR”, the definition of “Interest Period”, </w:t>
      </w:r>
      <w:r>
        <w:rPr>
          <w:rFonts w:ascii="Times New Roman" w:cs="Times New Roman" w:eastAsia="Times New Roman" w:hAnsi="Times New Roman"/>
          <w:sz w:val="22"/>
          <w:szCs w:val="22"/>
          <w:u w:val="single" w:color="auto"/>
          <w:color w:val="1F5122"/>
        </w:rPr>
        <w:t>the definition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“CORRA”, the definition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“Term CORRA Rate”,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timing and frequency of determining rates and making payments of interest and other technical,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(in consultation with the Company) determines is reasonably necessary in connection with the administration of this Agreement and any other Loan Document).</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EBITDA</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1.09</w:t>
      </w:r>
      <w:r>
        <w:rPr>
          <w:rFonts w:ascii="Times New Roman" w:cs="Times New Roman" w:eastAsia="Times New Roman" w:hAnsi="Times New Roman"/>
          <w:sz w:val="21"/>
          <w:szCs w:val="21"/>
          <w:color w:val="auto"/>
        </w:rPr>
        <w:t xml:space="preserve">, for any period, for the Company and its Restricted Subsidiaries on a consolidated basis, an amount equal to Consolidated Net Income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 the following to the extent deducted in calculating such Consolidated Net Income: (i) interest expense for such period, (ii) the provision for Federal, state, local and foreign income Taxes payable by the Company and its Restricted Subsidiaries for such period, (iii) depreciation and amortization expense, (iv) charges included in Consolidated Net Income related to purchase accounting adjustments that are as required by FASB ASC Topic 805, (v) charges relating to stock based compensation which do not represent a cash item in such period or any future period, (vi) other charges which do not represent a cash item in such period or any future period;</w:t>
      </w:r>
    </w:p>
    <w:p>
      <w:pPr>
        <w:spacing w:after="0" w:line="2" w:lineRule="exact"/>
        <w:rPr>
          <w:sz w:val="20"/>
          <w:szCs w:val="20"/>
          <w:color w:val="auto"/>
        </w:rPr>
      </w:pPr>
    </w:p>
    <w:p>
      <w:pPr>
        <w:jc w:val="both"/>
        <w:ind w:firstLine="8"/>
        <w:spacing w:after="0" w:line="247" w:lineRule="auto"/>
        <w:tabs>
          <w:tab w:leader="none" w:pos="42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expenses incurred in connection with the prepayment, amendment, modification or refinancing of Indebtedness (whether or not consummated) during such period, (viii) any non-capitalized transaction costs incurred during such period in connection with an incurrence of Indebtedness, during a refinancing thereof, issuance of Equity Interests, Investment, Acquisition, Disposition or recapitalization, in each case, to the extent permitted hereunder (whether or not consummated), (ix) tender premiums, redemption premiums, fees, and other amounts and expenses incurred in connection with the tender for and/or redemption of Indebtedness incurred under </w:t>
      </w:r>
      <w:r>
        <w:rPr>
          <w:rFonts w:ascii="Times New Roman" w:cs="Times New Roman" w:eastAsia="Times New Roman" w:hAnsi="Times New Roman"/>
          <w:sz w:val="22"/>
          <w:szCs w:val="22"/>
          <w:u w:val="single" w:color="auto"/>
          <w:color w:val="auto"/>
        </w:rPr>
        <w:t>Section 7.03(r)</w:t>
      </w:r>
      <w:r>
        <w:rPr>
          <w:rFonts w:ascii="Times New Roman" w:cs="Times New Roman" w:eastAsia="Times New Roman" w:hAnsi="Times New Roman"/>
          <w:sz w:val="22"/>
          <w:szCs w:val="22"/>
          <w:color w:val="auto"/>
        </w:rPr>
        <w:t>, (x) earn-out expenses resulting from Permitted Acquisitions in which the Company and/or any Restricted Subsidiary is required to treat such earn-out expenses as compensation costs, (xi) expenses arising from the impact of FASB ASC 470-50-40 on certain capitalized fees and costs, (xii) any net loss incurred in such period from Swap Contracts and the application of FASB ASC Topic 815, (xiii) any net loss incurred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period from currency translation losses, (xiv) any loss from the early extinguishment of Indebtedness or Swap Contracts or other derivative instruments and (xv) (A) other non-recurring or unusual charges and (B) cash charges paid in connection with corporate restructurings (including severance costs in connection with any reduction in the workforce of the Company and its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charges described in this clause (xv) together with any adjustments made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shall only be permitted to be added back for such period to the extent such charges collectively do not increase Consolidated EBITDA by more than 20%; and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(b) the following to the extent included in calculating such Consolidated Net Income: (i) Federal, state, local and foreign income Tax credits of the Company and its Subsidiaries for such period, (ii) any net gain incurred in such period from Swap Contracts and the application of FASB ASC Topic 815, (iii) any net gain incurred in such period from currency translation gains, (iv) any gain from the early extinguishment of Indebtedness or Swap Contracts or other derivative instruments and (v) all non-cash items increasing Consolidated Net Income for such period.</w:t>
      </w:r>
    </w:p>
    <w:p>
      <w:pPr>
        <w:spacing w:after="0" w:line="18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Funded Indebtedness</w:t>
      </w:r>
      <w:r>
        <w:rPr>
          <w:rFonts w:ascii="Times New Roman" w:cs="Times New Roman" w:eastAsia="Times New Roman" w:hAnsi="Times New Roman"/>
          <w:sz w:val="22"/>
          <w:szCs w:val="22"/>
          <w:color w:val="auto"/>
        </w:rPr>
        <w:t>” means, as of any date of determination, for the Company and its Restricted Subsidiaries on a consolidated basis, the sum of (a) the outstanding principal amount of all obligations, whether current or long-term, for borrowed money (including Obligations hereunder) and all obligations evidenced by bonds (other than surety bonds), debentures, notes, loan agreements or other similar instruments, (b) all purchase money Indebtedness, (c) all direct obligations arising under letters of credit (including standby and commercial), bankers’ acceptances, bank guaranties, and similar instruments (including, for the avoidance of doubt, the due and payable penal sum under any surety bond called upon by the obligee thereof but excluding the penal sum of any surety bond not then due and payable), (d) all obligations in respect of the deferred purchase price of property or services (other than trade accounts payable in the ordinary course of business), (e) Attributable Indebtedness in respect of Capital Leases and Synthetic Lease Obligations,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all as determined in accordance with GAAP.</w:t>
      </w:r>
    </w:p>
    <w:p>
      <w:pPr>
        <w:spacing w:after="0" w:line="20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Charges</w:t>
      </w:r>
      <w:r>
        <w:rPr>
          <w:rFonts w:ascii="Times New Roman" w:cs="Times New Roman" w:eastAsia="Times New Roman" w:hAnsi="Times New Roman"/>
          <w:sz w:val="21"/>
          <w:szCs w:val="21"/>
          <w:color w:val="auto"/>
        </w:rPr>
        <w:t>” means, for any period, for the Company and its Restricted Subsidiaries on a consolidated basis, the sum of (a) all cash interest, premium payments, debt discount, fees, charges and related expenses of the Company and its Restricted Subsidiaries in connection with borrowed money or in connection with the deferred purchase price of assets, in each case to the extent treated as interest in accordance with GAAP, and (b) the portion of cash rent expense of the Company and its Restricted Subsidiaries with respect to such period under Capital Leases that is treated as interest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30" w:name="page131"/>
    <w:bookmarkEnd w:id="130"/>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as of any date of determination, the ratio of (a) Consolidated EBITDA for the period of the four prior fiscal quarters ending on such date </w:t>
      </w:r>
      <w:r>
        <w:rPr>
          <w:rFonts w:ascii="Times New Roman" w:cs="Times New Roman" w:eastAsia="Times New Roman" w:hAnsi="Times New Roman"/>
          <w:sz w:val="22"/>
          <w:szCs w:val="22"/>
          <w:i w:val="1"/>
          <w:iCs w:val="1"/>
          <w:color w:val="auto"/>
        </w:rPr>
        <w:t>to</w:t>
      </w:r>
      <w:r>
        <w:rPr>
          <w:rFonts w:ascii="Times New Roman" w:cs="Times New Roman" w:eastAsia="Times New Roman" w:hAnsi="Times New Roman"/>
          <w:sz w:val="22"/>
          <w:szCs w:val="22"/>
          <w:color w:val="auto"/>
        </w:rPr>
        <w:t xml:space="preserve"> (b) Consolidated Interest Charges for such period.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Leverage Ratio</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as of any date of determination, the ratio of (a) the difference of (i) Consolidated Funded Indebtedness as of such date (but excluding, to the extent outstanding and undrawn and included in the calculation of Consolidated Funded Indebtedness, the stated amount of all standby performance letters of credit as of such date)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(ii) Unrestricted Cash as of such date, </w:t>
      </w:r>
      <w:r>
        <w:rPr>
          <w:rFonts w:ascii="Times New Roman" w:cs="Times New Roman" w:eastAsia="Times New Roman" w:hAnsi="Times New Roman"/>
          <w:sz w:val="22"/>
          <w:szCs w:val="22"/>
          <w:i w:val="1"/>
          <w:iCs w:val="1"/>
          <w:color w:val="auto"/>
        </w:rPr>
        <w:t>to</w:t>
      </w:r>
      <w:r>
        <w:rPr>
          <w:rFonts w:ascii="Times New Roman" w:cs="Times New Roman" w:eastAsia="Times New Roman" w:hAnsi="Times New Roman"/>
          <w:sz w:val="22"/>
          <w:szCs w:val="22"/>
          <w:color w:val="auto"/>
        </w:rPr>
        <w:t xml:space="preserve"> (b) Consolidated EBITDA for the period of the four fiscal quarters most recently ended.</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Assets</w:t>
      </w:r>
      <w:r>
        <w:rPr>
          <w:rFonts w:ascii="Times New Roman" w:cs="Times New Roman" w:eastAsia="Times New Roman" w:hAnsi="Times New Roman"/>
          <w:sz w:val="22"/>
          <w:szCs w:val="22"/>
          <w:color w:val="auto"/>
        </w:rPr>
        <w:t xml:space="preserve">” means, as of any date of determination, the amount which in accordance with GAAP would be set forth under the caption “Total Assets” (or any like caption) on a consolidated balance sheet of the Company and its Restricted Subsidiaries less current liabilities, as of the most recently ended fiscal quarter or fiscal year, as applicable, for which financial statements have been delivered to the Administrative Agent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Tangible Assets</w:t>
      </w:r>
      <w:r>
        <w:rPr>
          <w:rFonts w:ascii="Times New Roman" w:cs="Times New Roman" w:eastAsia="Times New Roman" w:hAnsi="Times New Roman"/>
          <w:sz w:val="22"/>
          <w:szCs w:val="22"/>
          <w:color w:val="auto"/>
        </w:rPr>
        <w:t xml:space="preserve">” means, as of any date of determination, the amount which in accordance with GAAP would be set forth under the caption “Total Assets” (or any like caption) on a consolidated balance sheet of the Company and its Restricted Subsidiaries </w:t>
      </w:r>
      <w:r>
        <w:rPr>
          <w:rFonts w:ascii="Times New Roman" w:cs="Times New Roman" w:eastAsia="Times New Roman" w:hAnsi="Times New Roman"/>
          <w:sz w:val="22"/>
          <w:szCs w:val="22"/>
          <w:u w:val="single" w:color="auto"/>
          <w:color w:val="auto"/>
        </w:rPr>
        <w:t>less</w:t>
      </w:r>
      <w:r>
        <w:rPr>
          <w:rFonts w:ascii="Times New Roman" w:cs="Times New Roman" w:eastAsia="Times New Roman" w:hAnsi="Times New Roman"/>
          <w:sz w:val="22"/>
          <w:szCs w:val="22"/>
          <w:color w:val="auto"/>
        </w:rPr>
        <w:t xml:space="preserve"> Intangible Assets of the Company and its Restricted Subsidiaries, as of the most recently ended fiscal quarter or fiscal year, as applicable, for which financial statements have been delivered to the Administrative Agent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xml:space="preserve">” means, for any period, for the Company and its Restricted Subsidiaries on a consolidated basis, the net income of the Company and its Restricted Subsidiaries for that period, but excluding: (a) any gain or loss arising from the sale of capital assets; (b) any gain or loss arising from any write-up or write-down of assets or liabilities during such period; (c) any portion of the net earnings of any Subsidiary which for any reason is unavailable for payment of distributions to a Borrower; (d) any gain or loss arising from the acquisition of any Equity Interests of a Borrower; and (e) any income (or loss) for such period of any Person if such Person is not a Restricted Subsidiary, except that the Company’s equity in the net income of any such Person for such period shall be included in Consolidated Net Income up to the aggregate amount of cash actually distributed by such Person during such period to the Company or a Restricted Subsidiary as a dividend or other distribution (and in the case of a dividend or other distribution to a Restricted Subsidiary, such Restricted Subsidiary is not precluded from further distributing such amount to a Borrower as described in the preceding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all as determined in accordance with GAAP.</w:t>
      </w:r>
    </w:p>
    <w:p>
      <w:pPr>
        <w:spacing w:after="0" w:line="1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Total Assets</w:t>
      </w:r>
      <w:r>
        <w:rPr>
          <w:rFonts w:ascii="Times New Roman" w:cs="Times New Roman" w:eastAsia="Times New Roman" w:hAnsi="Times New Roman"/>
          <w:sz w:val="22"/>
          <w:szCs w:val="22"/>
          <w:color w:val="auto"/>
        </w:rPr>
        <w:t xml:space="preserve">” means, as of any date of determination, the amount which in accordance with GAAP would be set forth under the caption “Total Assets” (or any like caption) on a consolidated balance sheet of the Company and its Restricted Subsidiaries, as of the most recently ended fiscal quarter or fiscal year, as applicable, for which financial statements have been delivered to the Administrative Agent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31" w:name="page132"/>
    <w:bookmarkEnd w:id="131"/>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Contractual Obligation</w:t>
      </w:r>
      <w:r>
        <w:rPr>
          <w:rFonts w:ascii="Times New Roman" w:cs="Times New Roman" w:eastAsia="Times New Roman" w:hAnsi="Times New Roman"/>
          <w:sz w:val="22"/>
          <w:szCs w:val="22"/>
          <w:color w:val="auto"/>
        </w:rPr>
        <w:t>” means, as to any Person, any provision of any security issued by such Person or of any agreement, instrument or other undertaking to which such Person is a party or by which it or any of its property is bound.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meanings correlative thereto.</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“CORRA” means the Canadian Overnight Repo Rate Average administered and published by the Bank of Canada (or any successor administrator).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10.23(b)</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Extension</w:t>
      </w:r>
      <w:r>
        <w:rPr>
          <w:rFonts w:ascii="Times New Roman" w:cs="Times New Roman" w:eastAsia="Times New Roman" w:hAnsi="Times New Roman"/>
          <w:sz w:val="22"/>
          <w:szCs w:val="22"/>
          <w:color w:val="auto"/>
        </w:rPr>
        <w:t>” means each of the following: (a) a Borrowing and (b) an L/C Credit Extension.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SOFR</w:t>
      </w:r>
      <w:r>
        <w:rPr>
          <w:rFonts w:ascii="Times New Roman" w:cs="Times New Roman" w:eastAsia="Times New Roman" w:hAnsi="Times New Roman"/>
          <w:sz w:val="22"/>
          <w:szCs w:val="22"/>
          <w:color w:val="auto"/>
        </w:rPr>
        <w:t>” with respect to any applicable determination date means the SOFR published on such date on the Federal Reserve Bank of New York’s website (or any successor source).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that constitutes an Event of Default or that, with the giving of any notice, the passage of time, or both, would be an Event of Default.</w:t>
      </w:r>
    </w:p>
    <w:p>
      <w:pPr>
        <w:spacing w:after="0" w:line="15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xml:space="preserve">” means (a) when used with respect to Obligations other than Letter of Credit Fees and BA Fees, an interest rate equal to (i)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Applicable Rate, if any, applicable to Base Rate Loans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2% per annum;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a Term SOFR Loan or an Alternative Currency Term Rate Loan, the Default Rate shall be an interest rate equal to the interest rate (including any Applicable Rate) otherwise applicable to such Loan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2% per annum,</w:t>
      </w:r>
    </w:p>
    <w:p>
      <w:pPr>
        <w:spacing w:after="0" w:line="1" w:lineRule="exact"/>
        <w:rPr>
          <w:sz w:val="20"/>
          <w:szCs w:val="20"/>
          <w:color w:val="auto"/>
        </w:rPr>
      </w:pPr>
    </w:p>
    <w:p>
      <w:pPr>
        <w:ind w:firstLine="8"/>
        <w:spacing w:after="0" w:line="248" w:lineRule="auto"/>
        <w:tabs>
          <w:tab w:leader="none" w:pos="32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 used with respect to Letter of Credit Fees, a rate equal to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2% per annum and (c) when used with respect to BA Fees, a rate equal to (i) the Bankers’ Acceptance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Applicable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2% per annum.</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xml:space="preserve">” means, subject to </w:t>
      </w:r>
      <w:r>
        <w:rPr>
          <w:rFonts w:ascii="Times New Roman" w:cs="Times New Roman" w:eastAsia="Times New Roman" w:hAnsi="Times New Roman"/>
          <w:sz w:val="22"/>
          <w:szCs w:val="22"/>
          <w:u w:val="single" w:color="auto"/>
          <w:color w:val="auto"/>
        </w:rPr>
        <w:t>Section 2.17(b)</w:t>
      </w:r>
      <w:r>
        <w:rPr>
          <w:rFonts w:ascii="Times New Roman" w:cs="Times New Roman" w:eastAsia="Times New Roman" w:hAnsi="Times New Roman"/>
          <w:sz w:val="22"/>
          <w:szCs w:val="22"/>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46" w:lineRule="auto"/>
        <w:rPr>
          <w:sz w:val="20"/>
          <w:szCs w:val="20"/>
          <w:color w:val="auto"/>
        </w:rPr>
      </w:pPr>
      <w:r>
        <w:rPr>
          <w:rFonts w:ascii="Times New Roman" w:cs="Times New Roman" w:eastAsia="Times New Roman" w:hAnsi="Times New Roman"/>
          <w:sz w:val="22"/>
          <w:szCs w:val="22"/>
          <w:color w:val="auto"/>
        </w:rPr>
        <w:t>other amount required to be paid by it hereunder (including in respect of its participation in Letters of Credit, Bankers’ Acceptances or Swing Line Loans) within two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2.17(b)</w:t>
      </w:r>
      <w:r>
        <w:rPr>
          <w:rFonts w:ascii="Times New Roman" w:cs="Times New Roman" w:eastAsia="Times New Roman" w:hAnsi="Times New Roman"/>
          <w:sz w:val="22"/>
          <w:szCs w:val="22"/>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21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Jurisdiction</w:t>
      </w:r>
      <w:r>
        <w:rPr>
          <w:rFonts w:ascii="Times New Roman" w:cs="Times New Roman" w:eastAsia="Times New Roman" w:hAnsi="Times New Roman"/>
          <w:sz w:val="22"/>
          <w:szCs w:val="22"/>
          <w:color w:val="auto"/>
        </w:rPr>
        <w:t>” means any country, region or territory to the extent that such country, region or territory itself is the subject of any Sanction.</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lawful money of the United States.</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for any amount, at the time of determination thereof, (a) if such amount is expressed in Dollars, such amount, (b) if such amount is expressed in an Alternative Currency, the equivalent of such amount in Dollars determined by using the rate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exchange for the purchase of Dollars with the Alternative Currency last provided (either by publication or otherwise provided to the Administrative Agent or the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L/C Issuer, as applicable using any method of determination it deems appropriate in its sole discretion) and (c) if such amount is denominated in any other currency, the equivalent of such amount in Dollars as determined by the Administrative Agent or the L/C Issuer, as applicable, using any method of determination it deems appropriate in its sole discretion. Any determination by the Administrative Agent or the L/C Issuer pursuant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above shall be conclusive absent manifest error.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Restricted Subsidiary</w:t>
      </w:r>
      <w:r>
        <w:rPr>
          <w:rFonts w:ascii="Times New Roman" w:cs="Times New Roman" w:eastAsia="Times New Roman" w:hAnsi="Times New Roman"/>
          <w:sz w:val="22"/>
          <w:szCs w:val="22"/>
          <w:color w:val="auto"/>
        </w:rPr>
        <w:t>” means any Domestic Subsidiary that is a Restricted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the United States, any state thereof or the District of Columbia.</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Earnout Obligation</w:t>
      </w:r>
      <w:r>
        <w:rPr>
          <w:rFonts w:ascii="Times New Roman" w:cs="Times New Roman" w:eastAsia="Times New Roman" w:hAnsi="Times New Roman"/>
          <w:sz w:val="22"/>
          <w:szCs w:val="22"/>
          <w:color w:val="auto"/>
        </w:rPr>
        <w:t>” means those contingent obligations of a Restricted Subsidiary incurred in favor of a seller (or other third party entitled thereto) under or with respect to any Permitted Acquisition.</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entity.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xml:space="preserve">” shall have the meaning specified in </w:t>
      </w:r>
      <w:r>
        <w:rPr>
          <w:rFonts w:ascii="Times New Roman" w:cs="Times New Roman" w:eastAsia="Times New Roman" w:hAnsi="Times New Roman"/>
          <w:sz w:val="22"/>
          <w:szCs w:val="22"/>
          <w:u w:val="single" w:color="auto"/>
          <w:color w:val="auto"/>
        </w:rPr>
        <w:t>Section 10.17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shall have the meanings assigned to them, respectively, by 15 USC §7006, as it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Elevated Ratio Period</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7.11(b)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1" w:right="339" w:bottom="1440" w:gutter="0" w:footer="0" w:header="0"/>
        </w:sectPr>
      </w:pPr>
    </w:p>
    <w:bookmarkStart w:id="134" w:name="page135"/>
    <w:bookmarkEnd w:id="134"/>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any Person that meets the requirements to be an assignee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(subject to such consents, if any, as may be required under </w:t>
      </w:r>
      <w:r>
        <w:rPr>
          <w:rFonts w:ascii="Times New Roman" w:cs="Times New Roman" w:eastAsia="Times New Roman" w:hAnsi="Times New Roman"/>
          <w:sz w:val="22"/>
          <w:szCs w:val="22"/>
          <w:u w:val="single" w:color="auto"/>
          <w:color w:val="auto"/>
        </w:rPr>
        <w:t>Section 10.06(b)(iii)</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any and all Federal, state, local, and foreign statutes, laws, common law, regulations, ordinances, rules, judgments, orders, decrees, permits, concessions, grants, franchises, licenses, written and binding agreements with Governmental Authorities or governmental restrictions relating to pollution, the protection of the environment, human health, safety or natural resources or the release of any materials into the environment, including those related to hazardous substances or wastes, air emissions and discharges to waste or public systems.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any Borrower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pacing w:after="0" w:line="14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debt securities that are or by their terms may be convertible or exchangeable into or for Equity Interests shall not constitute Equity Interests prior to conversion or exchange thereof).</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a Reportable Event with respect to a Pension Plan; (b) the withdrawal of the Company or any ERISA Affiliate from a Pension Plan subject to Section 4063 of ERISA during a plan year in which such entity was a “substantial employer”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color w:val="auto"/>
        </w:rPr>
        <w:t>Section 4001(a)(2) of ERISA or a cessation of operations that is treated as such a withdrawal under Section 4062(e) of ERISA;</w:t>
      </w:r>
    </w:p>
    <w:p>
      <w:pPr>
        <w:spacing w:after="0" w:line="28" w:lineRule="exact"/>
        <w:rPr>
          <w:sz w:val="20"/>
          <w:szCs w:val="20"/>
          <w:color w:val="auto"/>
        </w:rPr>
      </w:pPr>
    </w:p>
    <w:p>
      <w:pPr>
        <w:jc w:val="both"/>
        <w:ind w:firstLine="8"/>
        <w:spacing w:after="0" w:line="247" w:lineRule="auto"/>
        <w:tabs>
          <w:tab w:leader="none" w:pos="31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 Amendment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 Applicable Rate Adjustments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ESG Pricing Provisions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single currency of the Participating Member States.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8.01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xml:space="preserve">” means any of the following Taxes imposed on or with respect to, or required to be withheld or deducted from a payment to, the Administrative Agent, any Lender, the L/C Issuer or any other recipient of any payment to be made by or on account of any obligation of any Borrower hereunder, (a) Taxes imposed on or measured by net income (however denominated), net worth, franchise Taxes and branch profits (or similar) Taxes, in each case, (i) imposed by the jurisdiction (or any political subdivision thereof) under the Laws of which such recipient is organized or in which its principal office is located or, in the case of any Lender or the L/C Issuer, in which its applicable Lending Office is located or (ii) that are Other Connection Taxes, (b) in the case of a Foreign Lender (other than an assignee pursuant to a request by the Company under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xml:space="preserve">), any United States withholding Tax that (i) is required to be imposed on amounts payable to such Foreign Lender pursuant to the Laws in force at the time such Foreign Lender becomes a party hereto (or designates a new Lending Office), except to the extent that such Foreign Lender’s assignor immediately before such Foreign Lender became a party hereto (or such Foreign Lender immediately before the time of designation of the new Lending Office) was entitled to receive additional amounts from the relevant Borrower with respect to such United States withholding Tax pursuant to </w:t>
      </w:r>
      <w:r>
        <w:rPr>
          <w:rFonts w:ascii="Times New Roman" w:cs="Times New Roman" w:eastAsia="Times New Roman" w:hAnsi="Times New Roman"/>
          <w:sz w:val="22"/>
          <w:szCs w:val="22"/>
          <w:u w:val="single" w:color="auto"/>
          <w:color w:val="auto"/>
        </w:rPr>
        <w:t>Section 3.01(a)(ii)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3.01(a)(iii)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3.01(c)</w:t>
      </w:r>
      <w:r>
        <w:rPr>
          <w:rFonts w:ascii="Times New Roman" w:cs="Times New Roman" w:eastAsia="Times New Roman" w:hAnsi="Times New Roman"/>
          <w:sz w:val="22"/>
          <w:szCs w:val="22"/>
          <w:color w:val="auto"/>
        </w:rPr>
        <w:t xml:space="preserve">, or (ii) is attributable to such Foreign Lender’s failure or inability to comply with clause (B) of </w:t>
      </w:r>
      <w:r>
        <w:rPr>
          <w:rFonts w:ascii="Times New Roman" w:cs="Times New Roman" w:eastAsia="Times New Roman" w:hAnsi="Times New Roman"/>
          <w:sz w:val="22"/>
          <w:szCs w:val="22"/>
          <w:u w:val="single" w:color="auto"/>
          <w:color w:val="auto"/>
        </w:rPr>
        <w:t>Section 3.01(e)(ii)</w:t>
      </w:r>
      <w:r>
        <w:rPr>
          <w:rFonts w:ascii="Times New Roman" w:cs="Times New Roman" w:eastAsia="Times New Roman" w:hAnsi="Times New Roman"/>
          <w:sz w:val="22"/>
          <w:szCs w:val="22"/>
          <w:color w:val="auto"/>
        </w:rPr>
        <w:t xml:space="preserve"> (other than as a result of a Change in Law occurring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-34290</wp:posOffset>
            </wp:positionV>
            <wp:extent cx="342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1" w:right="339" w:bottom="1440" w:gutter="0" w:footer="0" w:header="0"/>
        </w:sectPr>
      </w:pPr>
    </w:p>
    <w:bookmarkStart w:id="136" w:name="page137"/>
    <w:bookmarkEnd w:id="136"/>
    <w:p>
      <w:pPr>
        <w:jc w:val="both"/>
        <w:spacing w:after="0" w:line="268" w:lineRule="auto"/>
        <w:rPr>
          <w:sz w:val="20"/>
          <w:szCs w:val="20"/>
          <w:color w:val="auto"/>
        </w:rPr>
      </w:pPr>
      <w:r>
        <w:rPr>
          <w:rFonts w:ascii="Times New Roman" w:cs="Times New Roman" w:eastAsia="Times New Roman" w:hAnsi="Times New Roman"/>
          <w:sz w:val="21"/>
          <w:szCs w:val="21"/>
          <w:color w:val="auto"/>
        </w:rPr>
        <w:t>the date on which such Foreign Lender became a party to this Agreement), (c) in the case of a Foreign Lender, any increase in the United States withholding Taxes required to be imposed on amounts payable to such Foreign Lender occurring after the date on which such Foreign Lender became a party hereto (or designated a new Lending Office), other than as a result of a Change in Law occurring after the date on which such Foreign Lender became a party hereto (or designated a new Lending Office) (d) any United States Federal withholding Taxes imposed under FATCA, and (e) any United States Federal backup withholding Tax.</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that certain Fifth Amended and Restated Credit Agreement, dated as of September 19, 2019, by and among the Borrowers, each lender from time to time party thereto and Bank of America, N.A., as administrative agent.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means those letters of credit described on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Shareholders</w:t>
      </w:r>
      <w:r>
        <w:rPr>
          <w:rFonts w:ascii="Times New Roman" w:cs="Times New Roman" w:eastAsia="Times New Roman" w:hAnsi="Times New Roman"/>
          <w:sz w:val="22"/>
          <w:szCs w:val="22"/>
          <w:color w:val="auto"/>
        </w:rPr>
        <w:t>” means Jorge L. Mas and the Family Related Parties.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MC Commitment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2.18(a)(ii)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USD Commitment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2.18(a)(ii)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2.18(a)(ii)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Offer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Facility</w:t>
      </w:r>
      <w:r>
        <w:rPr>
          <w:rFonts w:ascii="Times New Roman" w:cs="Times New Roman" w:eastAsia="Times New Roman" w:hAnsi="Times New Roman"/>
          <w:sz w:val="22"/>
          <w:szCs w:val="22"/>
          <w:color w:val="auto"/>
        </w:rPr>
        <w:t>” means the Committed (USD) Facility, the Committed (MC) Facility or the Term Loan Facility, as the context may require.</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Family Related Parties</w:t>
      </w:r>
      <w:r>
        <w:rPr>
          <w:rFonts w:ascii="Times New Roman" w:cs="Times New Roman" w:eastAsia="Times New Roman" w:hAnsi="Times New Roman"/>
          <w:sz w:val="22"/>
          <w:szCs w:val="22"/>
          <w:color w:val="auto"/>
        </w:rPr>
        <w:t>” means, collectively, (a) any spouse of Jorge L. Mas, Jorge Mas or Jose R. Mas and any child, stepchild, sibling or descendant of Jorge L. Mas, Jorge Mas or Jose R. Mas, (b) the estate of Jorge L. Mas, Jorge Mas and Jose R. Mas and the estate of any other person under preceding clause (a), (c) any person who receives a direct or indirect beneficial interest in the Company from any estate under preceding clause (b) to the extent of such interest, (d) any executor, personal administrator or trustee who holds such direct or indirect beneficial interest in the Company for the benefit of, or as fiduciary for, any person under preceding clause (a), (b) or (c) to the extent of such interest and (e) any corporation, partnership, limited liability company, trust, or similar entity, directly or indirectly owned or controlled by Jorge L. Mas, Jorge Mas, Jose R. Mas or any other person or persons identified in preceding clause (a), (b) or (c).</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FASB ASC</w:t>
      </w:r>
      <w:r>
        <w:rPr>
          <w:rFonts w:ascii="Times New Roman" w:cs="Times New Roman" w:eastAsia="Times New Roman" w:hAnsi="Times New Roman"/>
          <w:sz w:val="22"/>
          <w:szCs w:val="22"/>
          <w:color w:val="auto"/>
        </w:rPr>
        <w:t>” means the Accounting Standards Codification of the Financial Accounting Standards Board.</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thereunder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1" w:right="339" w:bottom="1440" w:gutter="0" w:footer="0" w:header="0"/>
        </w:sectPr>
      </w:pPr>
    </w:p>
    <w:bookmarkStart w:id="137" w:name="page138"/>
    <w:bookmarkEnd w:id="137"/>
    <w:p>
      <w:pPr>
        <w:jc w:val="both"/>
        <w:spacing w:after="0" w:line="257" w:lineRule="auto"/>
        <w:rPr>
          <w:sz w:val="20"/>
          <w:szCs w:val="20"/>
          <w:color w:val="auto"/>
        </w:rPr>
      </w:pPr>
      <w:r>
        <w:rPr>
          <w:rFonts w:ascii="Times New Roman" w:cs="Times New Roman" w:eastAsia="Times New Roman" w:hAnsi="Times New Roman"/>
          <w:sz w:val="22"/>
          <w:szCs w:val="22"/>
          <w:color w:val="auto"/>
        </w:rPr>
        <w:t>official interpretations thereof, and any agreements entered into pursuant to Section 1471(b)(1) of the Code, and any fiscal or regulatory legislation, rules or official practices adopted pursuant to any published intergovernmental agreement entered into in connection with the implementation of such sections of the Code.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Federal Funds Rate as so determined would be less than zero, such rate shall be deemed to be zero for purposes of this Agreement.</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Fee Letters</w:t>
      </w:r>
      <w:r>
        <w:rPr>
          <w:rFonts w:ascii="Times New Roman" w:cs="Times New Roman" w:eastAsia="Times New Roman" w:hAnsi="Times New Roman"/>
          <w:sz w:val="22"/>
          <w:szCs w:val="22"/>
          <w:color w:val="auto"/>
        </w:rPr>
        <w:t>” means, collectively, the Bank of America Fee Letter and each other fee letter between the Company (or the Borrowers) and an Arranger and/or an Affiliate of such Arranger entered into in connection with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FFC Notes</w:t>
      </w:r>
      <w:r>
        <w:rPr>
          <w:rFonts w:ascii="Times New Roman" w:cs="Times New Roman" w:eastAsia="Times New Roman" w:hAnsi="Times New Roman"/>
          <w:sz w:val="22"/>
          <w:szCs w:val="22"/>
          <w:color w:val="auto"/>
        </w:rPr>
        <w:t>” has the meaning specified in the definition of Foreign Finance Company Plan.</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Finance Company Plan</w:t>
      </w:r>
      <w:r>
        <w:rPr>
          <w:rFonts w:ascii="Times New Roman" w:cs="Times New Roman" w:eastAsia="Times New Roman" w:hAnsi="Times New Roman"/>
          <w:sz w:val="21"/>
          <w:szCs w:val="21"/>
          <w:color w:val="auto"/>
        </w:rPr>
        <w:t>” means a series of transactions pursuant to which (a) the Company will create a new Wholly-Owned Domestic Subsidiary (the “</w:t>
      </w:r>
      <w:r>
        <w:rPr>
          <w:rFonts w:ascii="Times New Roman" w:cs="Times New Roman" w:eastAsia="Times New Roman" w:hAnsi="Times New Roman"/>
          <w:sz w:val="21"/>
          <w:szCs w:val="21"/>
          <w:u w:val="single" w:color="auto"/>
          <w:color w:val="auto"/>
        </w:rPr>
        <w:t>US Holdco</w:t>
      </w:r>
      <w:r>
        <w:rPr>
          <w:rFonts w:ascii="Times New Roman" w:cs="Times New Roman" w:eastAsia="Times New Roman" w:hAnsi="Times New Roman"/>
          <w:sz w:val="21"/>
          <w:szCs w:val="21"/>
          <w:color w:val="auto"/>
        </w:rPr>
        <w:t>”) which will create and own a Wholly-Owned Subsidiary organized under the laws of Luxembourg (“</w:t>
      </w:r>
      <w:r>
        <w:rPr>
          <w:rFonts w:ascii="Times New Roman" w:cs="Times New Roman" w:eastAsia="Times New Roman" w:hAnsi="Times New Roman"/>
          <w:sz w:val="21"/>
          <w:szCs w:val="21"/>
          <w:u w:val="single" w:color="auto"/>
          <w:color w:val="auto"/>
        </w:rPr>
        <w:t>Luxco</w:t>
      </w:r>
      <w:r>
        <w:rPr>
          <w:rFonts w:ascii="Times New Roman" w:cs="Times New Roman" w:eastAsia="Times New Roman" w:hAnsi="Times New Roman"/>
          <w:sz w:val="21"/>
          <w:szCs w:val="21"/>
          <w:color w:val="auto"/>
        </w:rPr>
        <w:t>”), (b) certain Domestic Subsidiaries of the Company will issue to the Company a dividend in the form of intercompany notes having a maturity not prior to the first anniversary of the latest Maturity Date and no amortization prior to the first anniversary of the latest Maturity Date and bearing interest at a fixed rate per annum, payable annually (the “</w:t>
      </w:r>
      <w:r>
        <w:rPr>
          <w:rFonts w:ascii="Times New Roman" w:cs="Times New Roman" w:eastAsia="Times New Roman" w:hAnsi="Times New Roman"/>
          <w:sz w:val="21"/>
          <w:szCs w:val="21"/>
          <w:u w:val="single" w:color="auto"/>
          <w:color w:val="auto"/>
        </w:rPr>
        <w:t>FFC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(c) the Company will contribute the FFC Notes to the US Holdco and the US Holdco will thereafter contribute the FFC Notes to Luxco and (d) US Holdco and Luxco will enter into a hybrid debt instrument in the form of a tracking preferred equity certificate (the “</w:t>
      </w:r>
      <w:r>
        <w:rPr>
          <w:rFonts w:ascii="Times New Roman" w:cs="Times New Roman" w:eastAsia="Times New Roman" w:hAnsi="Times New Roman"/>
          <w:sz w:val="21"/>
          <w:szCs w:val="21"/>
          <w:u w:val="single" w:color="auto"/>
          <w:color w:val="auto"/>
        </w:rPr>
        <w:t>TPEC</w:t>
      </w:r>
      <w:r>
        <w:rPr>
          <w:rFonts w:ascii="Times New Roman" w:cs="Times New Roman" w:eastAsia="Times New Roman" w:hAnsi="Times New Roman"/>
          <w:sz w:val="21"/>
          <w:szCs w:val="21"/>
          <w:color w:val="auto"/>
        </w:rPr>
        <w:t xml:space="preserve">”) providing for periodic transfers of cash in the form of a dividend from Luxco to US Holdco;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US Holdco and Luxco will each act solely as special purpose vehicles with operations limited to activities customary for special purpose vehicles engaging in transactions of the type contemplated by the Foreign Finance Company Plan and (y) all payments on the FFC Notes to Luxco and periodic transfers of cash to US Holdco and then to the Company in connection with the Foreign Finance Company Plan will be made on a same-day basis to the extent commercially feasible;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Administrative Agent shall be entitled to consent to modifications of the Foreign Finance Company Plan (and this definition and any provisions hereof relating thereto including, without limitation, </w:t>
      </w:r>
      <w:r>
        <w:rPr>
          <w:rFonts w:ascii="Times New Roman" w:cs="Times New Roman" w:eastAsia="Times New Roman" w:hAnsi="Times New Roman"/>
          <w:sz w:val="21"/>
          <w:szCs w:val="21"/>
          <w:u w:val="single" w:color="auto"/>
          <w:color w:val="auto"/>
        </w:rPr>
        <w:t>Sections 6.18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7.21</w:t>
      </w:r>
      <w:r>
        <w:rPr>
          <w:rFonts w:ascii="Times New Roman" w:cs="Times New Roman" w:eastAsia="Times New Roman" w:hAnsi="Times New Roman"/>
          <w:sz w:val="21"/>
          <w:szCs w:val="21"/>
          <w:color w:val="auto"/>
        </w:rPr>
        <w:t>) that, taken as a whole, do not substantially alter the intended purpose thereof or materially and adversely affect the Lenders.</w:t>
      </w:r>
    </w:p>
    <w:p>
      <w:pPr>
        <w:spacing w:after="0" w:line="18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“United States person” within the meaning of Section 7701(a)(30) of the Code (including such a Lender when acting in the capacity of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1" w:right="33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Restricted Subsidiary</w:t>
      </w:r>
      <w:r>
        <w:rPr>
          <w:rFonts w:ascii="Times New Roman" w:cs="Times New Roman" w:eastAsia="Times New Roman" w:hAnsi="Times New Roman"/>
          <w:sz w:val="22"/>
          <w:szCs w:val="22"/>
          <w:color w:val="auto"/>
        </w:rPr>
        <w:t>” means any Foreign Subsidiary that is a Restricted Subsidiary.</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organized under the laws of a jurisdiction other than the United States, any state thereof or the District of Columbia.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(a) with respect to the L/C Issuer, such Defaulting Lender’s Applicable (USD) Percentage of the outstanding L/C Obligations other than L/C Obligations as to which such Defaulting Lender’s participation obligation has been reallocated to other Committed (USD) Lenders or Cash Collateralized in accordance with the terms hereof, and (b) with respect to the Swing Line Lender, such Defaulting Lender’s Applicable (USD) Percentage of Swing Line Loans other than Swing Line Loans as to which such Defaulting Lender’s participation obligation has been reallocated to other Committed (USD) Lenders in accordance with the terms hereof.</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subject to </w:t>
      </w:r>
      <w:r>
        <w:rPr>
          <w:rFonts w:ascii="Times New Roman" w:cs="Times New Roman" w:eastAsia="Times New Roman" w:hAnsi="Times New Roman"/>
          <w:sz w:val="22"/>
          <w:szCs w:val="22"/>
          <w:u w:val="single" w:color="auto"/>
          <w:color w:val="auto"/>
        </w:rPr>
        <w:t>Section 1.03(b)</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means, as to any Person, (a) any obligation, contingent or otherwise, of such Person guaranteeing or having the economic effect of guaranteeing any Indebtedness payable or performable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 services for the purpose of assuring the obligee in respect of such Indebtedness of the payment or performance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2"/>
          <w:szCs w:val="22"/>
          <w:color w:val="auto"/>
        </w:rPr>
        <w:t>Indebtedness of the payment or performance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or subject to liability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Honor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Subsidiary</w:t>
      </w:r>
      <w:r>
        <w:rPr>
          <w:rFonts w:ascii="Times New Roman" w:cs="Times New Roman" w:eastAsia="Times New Roman" w:hAnsi="Times New Roman"/>
          <w:sz w:val="22"/>
          <w:szCs w:val="22"/>
          <w:color w:val="auto"/>
        </w:rPr>
        <w:t xml:space="preserve">” means, at any time, any Restricted Subsidiary of the Company then having assets with a book value of less than $10,000,000;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aggregate book value of the assets of all Restricted Subsidiaries of the Company that would otherwise constitute Immaterial Subsidiaries shall exceed $50,000,000, only those such Restricted Subsidiaries having assets with a book value of less than $5,000,000 shall be deemed to constitute Immaterial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Committed (USD) Facility Increase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Increases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Tranche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Term Loan Commitment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as to any Person at a particular time, without duplication, all of the following, whether or not included as indebtedness or liabilities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1" w:right="339" w:bottom="1440" w:gutter="0" w:footer="0" w:header="0"/>
        </w:sectPr>
      </w:pPr>
    </w:p>
    <w:bookmarkStart w:id="140" w:name="page141"/>
    <w:bookmarkEnd w:id="140"/>
    <w:p>
      <w:pPr>
        <w:ind w:left="660" w:right="20" w:firstLine="644"/>
        <w:spacing w:after="0" w:line="271" w:lineRule="auto"/>
        <w:tabs>
          <w:tab w:leader="none" w:pos="18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for borrowed money and all obligations of such Person evidenced by bonds, debentures, notes, loan agreements or other similar instruments;</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9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direct or contingent obligations of such Person arising under letters of credit (including standby and commercial), bankers’ acceptances, bank guaranties, surety bonds and similar instruments;</w:t>
      </w:r>
    </w:p>
    <w:p>
      <w:pPr>
        <w:spacing w:after="0" w:line="143"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obligations of such Person under any Swap Contract;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5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to pay the deferred purchase price of property or services (other than trade accounts payable in the ordinary course of business and, in each case, not past due for more than 90 days after the date on which such trade account payable was created or which are being contested in good faith and for which adequate reserves have been established and reported in accordance with GAAP);</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Leases and Synthetic Lease Obligations;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accrued and unpaid dividends;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Guarantees of such Person in respect of any of the foregoing.</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1"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Borrower under any Loan Document and (b) to the extent not otherwise described in clause (a), Other Taxes.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Indemnitees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10.04(b)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Agreement</w:t>
      </w:r>
      <w:r>
        <w:rPr>
          <w:rFonts w:ascii="Times New Roman" w:cs="Times New Roman" w:eastAsia="Times New Roman" w:hAnsi="Times New Roman"/>
          <w:sz w:val="22"/>
          <w:szCs w:val="22"/>
          <w:color w:val="auto"/>
        </w:rPr>
        <w:t>” means (i) that certain General Agreement of Indemnity dated as of August 19, 2010 by and among Travelers Casualty and Surety Company of America, the Company and certain Subsidiaries thereof, (ii) that certain General Agreement of 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2"/>
          <w:szCs w:val="22"/>
          <w:color w:val="auto"/>
        </w:rPr>
        <w:t>dated as of July 31, 2008 by and among Travelers Casualty and Surety Company of America, the Company and certain Subsidiaries thereof or (iii) any additional or replacement General Agreement of Indemnity or other indemnity agreement by and among the Company or any of its Restricted Subsidiaries and the applicable Surety containing terms satisfactory to the Administrative Agent in the reasonable discretion of the Administrative Agent, as amended or modified from time to time in accordance with the terms hereof and thereof.</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Indigo Acquisition</w:t>
      </w:r>
      <w:r>
        <w:rPr>
          <w:rFonts w:ascii="Times New Roman" w:cs="Times New Roman" w:eastAsia="Times New Roman" w:hAnsi="Times New Roman"/>
          <w:sz w:val="22"/>
          <w:szCs w:val="22"/>
          <w:color w:val="auto"/>
        </w:rPr>
        <w:t>” means the Acquisition of the Indigo Target pursuant to, and in accordance with, the Indigo Acquisition Agreement.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Indigo Acquisition Agreement</w:t>
      </w:r>
      <w:r>
        <w:rPr>
          <w:rFonts w:ascii="Times New Roman" w:cs="Times New Roman" w:eastAsia="Times New Roman" w:hAnsi="Times New Roman"/>
          <w:sz w:val="22"/>
          <w:szCs w:val="22"/>
          <w:color w:val="auto"/>
        </w:rPr>
        <w:t>” means that certain Agreement and Plan of Merger dated as of July 24, 2022, by and among the Company, Indigo Acquisition I Corp., a Delaware corporation and a wholly-owned subsidiary of the Company, and the Indigo Target (including all exhibits and schedules thereto).</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Indigo Target</w:t>
      </w:r>
      <w:r>
        <w:rPr>
          <w:rFonts w:ascii="Times New Roman" w:cs="Times New Roman" w:eastAsia="Times New Roman" w:hAnsi="Times New Roman"/>
          <w:sz w:val="22"/>
          <w:szCs w:val="22"/>
          <w:color w:val="auto"/>
        </w:rPr>
        <w:t>” means Infrastructure and Energy Alternatives, Inc.,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Intangible Assets</w:t>
      </w:r>
      <w:r>
        <w:rPr>
          <w:rFonts w:ascii="Times New Roman" w:cs="Times New Roman" w:eastAsia="Times New Roman" w:hAnsi="Times New Roman"/>
          <w:sz w:val="22"/>
          <w:szCs w:val="22"/>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Term SOFR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any Interest Period for a Term SOFR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of the Facility under which such Loan was made and (c) as to any Alternative Currency Term Rate Loan, the last day of each Interest Period applicable to such Loan and the Maturity Date of the Facility under which such Loan was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Interest Period for an Alternative Currency Term Rate Loan exceeds three months, the respective dates that fall every three months after the beginning of such Interest Period shall also be Interest Payment Dates.</w:t>
      </w:r>
    </w:p>
    <w:p>
      <w:pPr>
        <w:spacing w:after="0" w:line="1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xml:space="preserve">” means, as to each Term SOFR Loan or Alternative Currency Term Rate Loan, the period commencing on the date such Term SOFR Loan or Alternative Currency Term Rate Loan is disbursed or converted to or continued as a Term SOFR Loan or Alternative Currency Term Rate Loan and ending (a) in the case of a Term SOFR Loan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8000"/>
          <w:strike w:val="1"/>
        </w:rPr>
        <w:t>an Alternative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08000"/>
          <w:strike w:val="1"/>
        </w:rPr>
        <w:t>Currency Term Rate Loan denominated in Canadian Dollars</w:t>
      </w:r>
      <w:r>
        <w:rPr>
          <w:rFonts w:ascii="Times New Roman" w:cs="Times New Roman" w:eastAsia="Times New Roman" w:hAnsi="Times New Roman"/>
          <w:sz w:val="21"/>
          <w:szCs w:val="21"/>
          <w:color w:val="000000"/>
        </w:rPr>
        <w:t>, on the date that is one, three or six months thereafter (in each case,</w:t>
      </w:r>
      <w:r>
        <w:rPr>
          <w:rFonts w:ascii="Times New Roman" w:cs="Times New Roman" w:eastAsia="Times New Roman" w:hAnsi="Times New Roman"/>
          <w:sz w:val="21"/>
          <w:szCs w:val="21"/>
          <w:color w:val="008000"/>
        </w:rPr>
        <w:t xml:space="preserve"> </w:t>
      </w:r>
      <w:r>
        <w:rPr>
          <w:rFonts w:ascii="Times New Roman" w:cs="Times New Roman" w:eastAsia="Times New Roman" w:hAnsi="Times New Roman"/>
          <w:sz w:val="21"/>
          <w:szCs w:val="21"/>
          <w:color w:val="000000"/>
        </w:rPr>
        <w:t xml:space="preserve">subject to availability for the interest rate applicable to the relevant currency), as selected by the Company in its Loan Notice </w:t>
      </w:r>
      <w:r>
        <w:rPr>
          <w:rFonts w:ascii="Times New Roman" w:cs="Times New Roman" w:eastAsia="Times New Roman" w:hAnsi="Times New Roman"/>
          <w:sz w:val="21"/>
          <w:szCs w:val="21"/>
          <w:color w:val="FF0000"/>
        </w:rPr>
        <w:t>or</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6093460</wp:posOffset>
            </wp:positionH>
            <wp:positionV relativeFrom="paragraph">
              <wp:posOffset>-406400</wp:posOffset>
            </wp:positionV>
            <wp:extent cx="2343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234315" cy="8890"/>
                    </a:xfrm>
                    <a:prstGeom prst="rect">
                      <a:avLst/>
                    </a:prstGeom>
                    <a:noFill/>
                  </pic:spPr>
                </pic:pic>
              </a:graphicData>
            </a:graphic>
          </wp:anchor>
        </w:drawing>
        <w:drawing>
          <wp:anchor simplePos="0" relativeHeight="251657728" behindDoc="1" locked="0" layoutInCell="0" allowOverlap="1">
            <wp:simplePos x="0" y="0"/>
            <wp:positionH relativeFrom="column">
              <wp:posOffset>6942455</wp:posOffset>
            </wp:positionH>
            <wp:positionV relativeFrom="paragraph">
              <wp:posOffset>-80645</wp:posOffset>
            </wp:positionV>
            <wp:extent cx="15684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ind w:left="320" w:hanging="312"/>
        <w:spacing w:after="0"/>
        <w:tabs>
          <w:tab w:leader="none" w:pos="320" w:val="left"/>
        </w:tabs>
        <w:numPr>
          <w:ilvl w:val="0"/>
          <w:numId w:val="5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in the case of an Alternative Currency Term Rate Loan</w:t>
      </w:r>
      <w:r>
        <w:rPr>
          <w:rFonts w:ascii="Times New Roman" w:cs="Times New Roman" w:eastAsia="Times New Roman" w:hAnsi="Times New Roman"/>
          <w:sz w:val="22"/>
          <w:szCs w:val="22"/>
          <w:color w:val="FF0000"/>
          <w:strike w:val="1"/>
        </w:rPr>
        <w:t>, such other period that is twelve months or less requested</w:t>
      </w: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200" w:lineRule="exact"/>
        <w:rPr>
          <w:rFonts w:ascii="Times New Roman" w:cs="Times New Roman" w:eastAsia="Times New Roman" w:hAnsi="Times New Roman"/>
          <w:sz w:val="22"/>
          <w:szCs w:val="22"/>
          <w:u w:val="single" w:color="auto"/>
          <w:color w:val="0000FF"/>
        </w:rPr>
      </w:pPr>
    </w:p>
    <w:p>
      <w:pPr>
        <w:spacing w:after="0" w:line="392" w:lineRule="exact"/>
        <w:rPr>
          <w:rFonts w:ascii="Times New Roman" w:cs="Times New Roman" w:eastAsia="Times New Roman" w:hAnsi="Times New Roman"/>
          <w:sz w:val="22"/>
          <w:szCs w:val="22"/>
          <w:u w:val="single" w:color="auto"/>
          <w:color w:val="0000FF"/>
        </w:rPr>
      </w:pPr>
    </w:p>
    <w:p>
      <w:pPr>
        <w:ind w:left="5520"/>
        <w:spacing w:after="0"/>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2"/>
          <w:szCs w:val="22"/>
          <w:color w:val="FF0000"/>
          <w:strike w:val="1"/>
        </w:rPr>
        <w:t xml:space="preserve">by the Company and consented to by all the applicable Lenders </w:t>
      </w:r>
      <w:r>
        <w:rPr>
          <w:rFonts w:ascii="Times New Roman" w:cs="Times New Roman" w:eastAsia="Times New Roman" w:hAnsi="Times New Roman"/>
          <w:sz w:val="22"/>
          <w:szCs w:val="22"/>
          <w:u w:val="single" w:color="auto"/>
          <w:color w:val="008000"/>
          <w:strike w:val="1"/>
        </w:rPr>
        <w:t>denominated in Canadian Dollars</w:t>
      </w:r>
      <w:r>
        <w:rPr>
          <w:rFonts w:ascii="Times New Roman" w:cs="Times New Roman" w:eastAsia="Times New Roman" w:hAnsi="Times New Roman"/>
          <w:sz w:val="22"/>
          <w:szCs w:val="22"/>
          <w:u w:val="single" w:color="auto"/>
          <w:color w:val="0000FF"/>
          <w:strike w:val="1"/>
        </w:rPr>
        <w:t>, on the date that is one or three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months thereafter (in each case, subject to availability for the interest rate applicable to the relevant currency), as selected by the Company in its Loan Notice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and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u w:val="single" w:color="auto"/>
          <w:color w:val="0000FF"/>
          <w:strike w:val="1"/>
        </w:rPr>
        <w:t>c</w:t>
      </w:r>
      <w:r>
        <w:rPr>
          <w:rFonts w:ascii="Times New Roman" w:cs="Times New Roman" w:eastAsia="Times New Roman" w:hAnsi="Times New Roman"/>
          <w:sz w:val="22"/>
          <w:szCs w:val="22"/>
          <w:color w:val="000000"/>
          <w:strike w:val="1"/>
        </w:rPr>
        <w:t>) in the case of Alternative Currency Term Rate Loans denominated in Mexican Pesos, on the</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 xml:space="preserve">date that is 28, 91 or 182 days thereafter (in each case, subject to availability for the interest rate applicable to the relevant currency), as selected by the Company in its Loan Notice; </w:t>
      </w:r>
      <w:r>
        <w:rPr>
          <w:rFonts w:ascii="Times New Roman" w:cs="Times New Roman" w:eastAsia="Times New Roman" w:hAnsi="Times New Roman"/>
          <w:sz w:val="22"/>
          <w:szCs w:val="22"/>
          <w:u w:val="single" w:color="auto"/>
          <w:color w:val="000000"/>
          <w:strike w:val="1"/>
        </w:rPr>
        <w:t>provided</w:t>
      </w:r>
      <w:r>
        <w:rPr>
          <w:rFonts w:ascii="Times New Roman" w:cs="Times New Roman" w:eastAsia="Times New Roman" w:hAnsi="Times New Roman"/>
          <w:sz w:val="22"/>
          <w:szCs w:val="22"/>
          <w:color w:val="000000"/>
          <w:strike w:val="1"/>
        </w:rPr>
        <w:t xml:space="preserve"> that:</w:t>
      </w:r>
    </w:p>
    <w:p>
      <w:pPr>
        <w:spacing w:after="0" w:line="179" w:lineRule="exact"/>
        <w:rPr>
          <w:sz w:val="20"/>
          <w:szCs w:val="20"/>
          <w:color w:val="auto"/>
        </w:rPr>
      </w:pPr>
    </w:p>
    <w:p>
      <w:pPr>
        <w:jc w:val="both"/>
        <w:ind w:left="660" w:firstLine="644"/>
        <w:spacing w:after="0" w:line="256" w:lineRule="auto"/>
        <w:tabs>
          <w:tab w:leader="none" w:pos="173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would otherwise end on a day that is not a Business Day shall be extended to the next succeeding Business Day unless, in the case of a Term SOFR Loan or an Alternative Currency Term Rate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0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or an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of the Facility under which such Loan was made.</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as to any Person, any direct or indirect acquisition or investment by such Person, whether by means of (a) the purchase or other acquisition of Equity Interests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ISP</w:t>
      </w:r>
      <w:r>
        <w:rPr>
          <w:rFonts w:ascii="Times New Roman" w:cs="Times New Roman" w:eastAsia="Times New Roman" w:hAnsi="Times New Roman"/>
          <w:sz w:val="22"/>
          <w:szCs w:val="22"/>
          <w:color w:val="auto"/>
        </w:rPr>
        <w:t>” means the International Standby Practices International Chamber of Commerce Publication No. 590 (or such later version thereof as may be in effect at the applicable time).</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Issuer Documents</w:t>
      </w:r>
      <w:r>
        <w:rPr>
          <w:rFonts w:ascii="Times New Roman" w:cs="Times New Roman" w:eastAsia="Times New Roman" w:hAnsi="Times New Roman"/>
          <w:sz w:val="22"/>
          <w:szCs w:val="22"/>
          <w:color w:val="auto"/>
        </w:rPr>
        <w:t>” means (i) with respect to any Letter of Credit or Acceptance Credit, the Letter of Credit Application, and any other document, agreement and instrument entered into by the L/C Issuer and the Company (or any Subsidiary) or in favor of the L/C Issuer and relating to such Letter of Credit or Acceptance Credit, and (ii) with respect to any Clean BA, the Bankers’ Acceptance Request made by the Company to the L/C Issuer relating to such Clean 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21"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10.19</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Advance</w:t>
      </w:r>
      <w:r>
        <w:rPr>
          <w:rFonts w:ascii="Times New Roman" w:cs="Times New Roman" w:eastAsia="Times New Roman" w:hAnsi="Times New Roman"/>
          <w:sz w:val="22"/>
          <w:szCs w:val="22"/>
          <w:color w:val="auto"/>
        </w:rPr>
        <w:t>” means, with respect to each Committed (USD) Lender, such Lender’s funding of its participation in any L/C Borrowing in accordance with its Applicable (USD) Percentage. All L/C Advances shall be denominated in Dollars.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Borrowing</w:t>
      </w:r>
      <w:r>
        <w:rPr>
          <w:rFonts w:ascii="Times New Roman" w:cs="Times New Roman" w:eastAsia="Times New Roman" w:hAnsi="Times New Roman"/>
          <w:sz w:val="22"/>
          <w:szCs w:val="22"/>
          <w:color w:val="auto"/>
        </w:rPr>
        <w:t>” means an extension of credit resulting from (i) a drawing under any Letter of Credit (other than an Acceptance Credit) or (ii) a payment of a Bankers’ Acceptance upon presentation, in each case which has not been reimbursed on the date when made or refinanced as a Committed (USD) Borrowing. All L/C Borrowings shall be denominated in Dollars.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with respect to the L/C Issuer, the commitment of the L/C Issuer to issue Letters of Credit hereunder. The initial amount of the L/C Issuer’s Letter of Credit Commitment is set forth on </w:t>
      </w:r>
      <w:r>
        <w:rPr>
          <w:rFonts w:ascii="Times New Roman" w:cs="Times New Roman" w:eastAsia="Times New Roman" w:hAnsi="Times New Roman"/>
          <w:sz w:val="22"/>
          <w:szCs w:val="22"/>
          <w:u w:val="single" w:color="auto"/>
          <w:color w:val="auto"/>
        </w:rPr>
        <w:t>Annex II-C</w:t>
      </w:r>
      <w:r>
        <w:rPr>
          <w:rFonts w:ascii="Times New Roman" w:cs="Times New Roman" w:eastAsia="Times New Roman" w:hAnsi="Times New Roman"/>
          <w:sz w:val="22"/>
          <w:szCs w:val="22"/>
          <w:color w:val="auto"/>
        </w:rPr>
        <w:t>, or if an L/C Issuer has entered into an Assignment and Assumption or has otherwise assumed a Letter of Credit Commitment after the Closing Date, the amount set forth for such L/C Issuer as its Letter of Credit Commitment in the Register maintained by the Administrative Agent. The Letter of Credit Commitment of the L/C Issuer may be modified from time to time by agreement between the L/C Issuer and the Company, and notified to the Administrative Agent.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Credit Extension</w:t>
      </w:r>
      <w:r>
        <w:rPr>
          <w:rFonts w:ascii="Times New Roman" w:cs="Times New Roman" w:eastAsia="Times New Roman" w:hAnsi="Times New Roman"/>
          <w:sz w:val="22"/>
          <w:szCs w:val="22"/>
          <w:color w:val="auto"/>
        </w:rPr>
        <w:t>” means, with respect to any Letter of Credit or Bankers’ Acceptance, the issuance thereof or extension of the expiry date thereof, or the increase of the amount thereof.</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Issued BA</w:t>
      </w:r>
      <w:r>
        <w:rPr>
          <w:rFonts w:ascii="Times New Roman" w:cs="Times New Roman" w:eastAsia="Times New Roman" w:hAnsi="Times New Roman"/>
          <w:sz w:val="22"/>
          <w:szCs w:val="22"/>
          <w:color w:val="auto"/>
        </w:rPr>
        <w:t xml:space="preserve">” means a negotiable time draft, drawn by the beneficiary under an Acceptance Credit and accepted by the L/C Issuer under presentation of documents by the beneficiary of an Acceptance Credit pursuant to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in the standard form for bankers’ acceptances of the L/C Issuer.</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Issuer</w:t>
      </w:r>
      <w:r>
        <w:rPr>
          <w:rFonts w:ascii="Times New Roman" w:cs="Times New Roman" w:eastAsia="Times New Roman" w:hAnsi="Times New Roman"/>
          <w:sz w:val="22"/>
          <w:szCs w:val="22"/>
          <w:color w:val="auto"/>
        </w:rPr>
        <w:t xml:space="preserve">” means, individually or collectively as the context may indicate, (a) Bank of America in its capacity as issuer of Letters of Credit and Bankers’ Acceptances hereunder, or any successor to Bank of America in its capacity as an issuer of Letters of Credit and Bankers’ Acceptances hereunder and (b) any other Lender, selected by the Company in consultation with the Administrative Agent, which consents to its appointment by the Company as an issuer of Letters of Credit and Bankers’ Acceptances hereunder in its capacity as an issuer of Letters of Credit and Bankers’ Acceptances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no time shall there be more than three L/C Issuers without the consent of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21" w:right="339" w:bottom="1440" w:gutter="0" w:footer="0" w:header="0"/>
        </w:sectPr>
      </w:pPr>
    </w:p>
    <w:bookmarkStart w:id="144" w:name="page145"/>
    <w:bookmarkEnd w:id="144"/>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sum of the maximum aggregate amount which is, or at any time thereafter may become, payable by the L/C Issuer under all then outstanding Bankers’ Acceptances,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w:t>
      </w:r>
      <w:r>
        <w:rPr>
          <w:rFonts w:ascii="Times New Roman" w:cs="Times New Roman" w:eastAsia="Times New Roman" w:hAnsi="Times New Roman"/>
          <w:sz w:val="22"/>
          <w:szCs w:val="22"/>
          <w:color w:val="auto"/>
        </w:rPr>
        <w:t>” has the meaning specified in the introductory paragraph hereto and, unless the context requires otherwise, includes the Swing Line Lender.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 Parties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Lender Recipient Parties</w:t>
      </w:r>
      <w:r>
        <w:rPr>
          <w:rFonts w:ascii="Times New Roman" w:cs="Times New Roman" w:eastAsia="Times New Roman" w:hAnsi="Times New Roman"/>
          <w:sz w:val="22"/>
          <w:szCs w:val="22"/>
          <w:color w:val="auto"/>
        </w:rPr>
        <w:t>” mean, collectively, the Lenders, the Swing Line Lender and the 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Lending Office</w:t>
      </w:r>
      <w:r>
        <w:rPr>
          <w:rFonts w:ascii="Times New Roman" w:cs="Times New Roman" w:eastAsia="Times New Roman" w:hAnsi="Times New Roman"/>
          <w:sz w:val="22"/>
          <w:szCs w:val="22"/>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hereunder and shall include the Existing Letters of Credit. A Letter of Credit may be a commercial letter of credit (including an Acceptance Credit) or a standby letter of credit. Letters of Credit may be issued in Dollars or in an Alternative Currency.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and agreement for the issuance or amendment of a Letter of Credit in the form from time to time in use by the L/C Issuer and, in the case of any Acceptance Credit, shall include the related Acceptance Documents.</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Expiration Date</w:t>
      </w:r>
      <w:r>
        <w:rPr>
          <w:rFonts w:ascii="Times New Roman" w:cs="Times New Roman" w:eastAsia="Times New Roman" w:hAnsi="Times New Roman"/>
          <w:sz w:val="22"/>
          <w:szCs w:val="22"/>
          <w:color w:val="auto"/>
        </w:rPr>
        <w:t>” means the day that is seven days prior to the Maturity Date of the Committed (USD) Facility then in effect (or, if such day is not a Business Day, the next preceding Business Day).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Sublimit</w:t>
      </w:r>
      <w:r>
        <w:rPr>
          <w:rFonts w:ascii="Times New Roman" w:cs="Times New Roman" w:eastAsia="Times New Roman" w:hAnsi="Times New Roman"/>
          <w:sz w:val="22"/>
          <w:szCs w:val="22"/>
          <w:color w:val="auto"/>
        </w:rPr>
        <w:t>” means an amount equal to the lesser of (a) $650,000,000, as such amount may be adjusted from time to time in accordance with this Agreement, and (b) the Aggregate (USD) Commitments. The Letter of Credit Sublimit is part of, and not in addition to, the Aggregate (USD) Commitments.</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hypothecation, assignment, deposit arrangement, encumbrance, lien (statutory or other), charge, or preference, priority or other security interest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57" w:lineRule="auto"/>
        <w:rPr>
          <w:sz w:val="20"/>
          <w:szCs w:val="20"/>
          <w:color w:val="auto"/>
        </w:rPr>
      </w:pPr>
      <w:r>
        <w:rPr>
          <w:rFonts w:ascii="Times New Roman" w:cs="Times New Roman" w:eastAsia="Times New Roman" w:hAnsi="Times New Roman"/>
          <w:sz w:val="22"/>
          <w:szCs w:val="22"/>
          <w:color w:val="auto"/>
        </w:rPr>
        <w:t>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Condition Transaction</w:t>
      </w:r>
      <w:r>
        <w:rPr>
          <w:rFonts w:ascii="Times New Roman" w:cs="Times New Roman" w:eastAsia="Times New Roman" w:hAnsi="Times New Roman"/>
          <w:sz w:val="22"/>
          <w:szCs w:val="22"/>
          <w:color w:val="auto"/>
        </w:rPr>
        <w:t xml:space="preserve">” means any Permitted Acquisition the consummation of which is not conditioned (under the applicable purchase agreement or other applicable agreement) on the availability of, or on obtaining, third-party financing (as notified by the Company to the Administrative Agent on or prior to the time at which the applicable Borrower or Restricted Subsidiary enters into such purchase agreement or other applicable agreement), which is financed in whole or in part with the proceeds of a substantially concurrent incurrence of Indebtedness under an Incremental Term Loan and/or Indebtedness under </w:t>
      </w:r>
      <w:r>
        <w:rPr>
          <w:rFonts w:ascii="Times New Roman" w:cs="Times New Roman" w:eastAsia="Times New Roman" w:hAnsi="Times New Roman"/>
          <w:sz w:val="22"/>
          <w:szCs w:val="22"/>
          <w:u w:val="single" w:color="auto"/>
          <w:color w:val="auto"/>
        </w:rPr>
        <w:t>Section 7.03(r)</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w:t>
      </w:r>
      <w:r>
        <w:rPr>
          <w:rFonts w:ascii="Times New Roman" w:cs="Times New Roman" w:eastAsia="Times New Roman" w:hAnsi="Times New Roman"/>
          <w:sz w:val="22"/>
          <w:szCs w:val="22"/>
          <w:color w:val="auto"/>
        </w:rPr>
        <w:t>” means a Committed Loan, a Swing Line Loan, a Term Loan, an Incremental Term Loan or a loan made under an Incremental Revolving Tranche.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xml:space="preserve">” means this Agreement, each Note, each Issuer Document, any agreement creating or perfecting rights in Cash Collateral pursuant to the provisions of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of this Agreement, the Fee Letters, each ESG Amendment, and each Incremental Amendment and any amendments, modifications or supplements hereto or to any other Loan Document or waivers hereof or to any other Loan Document.</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Notice</w:t>
      </w:r>
      <w:r>
        <w:rPr>
          <w:rFonts w:ascii="Times New Roman" w:cs="Times New Roman" w:eastAsia="Times New Roman" w:hAnsi="Times New Roman"/>
          <w:sz w:val="21"/>
          <w:szCs w:val="21"/>
          <w:color w:val="auto"/>
        </w:rPr>
        <w:t xml:space="preserve">” means a notice of (a) a Term Loan Borrowing, (b) a Committed (MC) Borrowing, (c) a Committed (USD) Borrowing, (d) a conversion of Loans from one Type to the other, or (e) a continuation of Term SOFR Loans or Alternative Currency Term Rate Loans,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which, if in writing, shall be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form as may be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Luxco</w:t>
      </w:r>
      <w:r>
        <w:rPr>
          <w:rFonts w:ascii="Times New Roman" w:cs="Times New Roman" w:eastAsia="Times New Roman" w:hAnsi="Times New Roman"/>
          <w:sz w:val="22"/>
          <w:szCs w:val="22"/>
          <w:color w:val="auto"/>
        </w:rPr>
        <w:t>” has the meaning specified in the definition of Foreign Finance Company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MasTec NA</w:t>
      </w:r>
      <w:r>
        <w:rPr>
          <w:rFonts w:ascii="Times New Roman" w:cs="Times New Roman" w:eastAsia="Times New Roman" w:hAnsi="Times New Roman"/>
          <w:sz w:val="22"/>
          <w:szCs w:val="22"/>
          <w:color w:val="auto"/>
        </w:rPr>
        <w:t>” has the meaning specified in the introductory paragraph hereto.</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a material adverse change in, or a material adverse effect upon, the operations, business, properties, liabilities (actual or contingent) or condition (financial or otherwise) of the Company and its Restricted Subsidiaries taken as a whole or the Borrowers taken as a whole; (b) a material impairment of the ability of any Borrower to perform its obligations under any Loan Document to which it is a party; or (c) a material adverse effect upon the legality, validity, binding effect or enforceability against any Borrower of any Loan Document to which it is a party.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with respect to any Person, an agreement to which such Person is a party (other than the Loan Documents) (a) which is deemed to be a material contract as provided in Regulation S-K promulgated by the SEC under the Securities Act of 1933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71" w:lineRule="auto"/>
        <w:rPr>
          <w:sz w:val="20"/>
          <w:szCs w:val="20"/>
          <w:color w:val="auto"/>
        </w:rPr>
      </w:pPr>
      <w:r>
        <w:rPr>
          <w:rFonts w:ascii="Times New Roman" w:cs="Times New Roman" w:eastAsia="Times New Roman" w:hAnsi="Times New Roman"/>
          <w:sz w:val="22"/>
          <w:szCs w:val="22"/>
          <w:color w:val="auto"/>
        </w:rPr>
        <w:t>for which breach, termination, cancellation, nonperformance or failure to renew could reasonably be expected to have a Material Adverse Effect.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at any time, any Subsidiary that is not an Immaterial Subsidiary.</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(a) with respect to the Term Loan Facility, November 1, 2026, (b) with respect to the Committed (USD) Facility, November 1, 2026 and (c) with respect to the Committed (MC) Facility, November 1, 2026.</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MC Commitment</w:t>
      </w:r>
      <w:r>
        <w:rPr>
          <w:rFonts w:ascii="Times New Roman" w:cs="Times New Roman" w:eastAsia="Times New Roman" w:hAnsi="Times New Roman"/>
          <w:sz w:val="22"/>
          <w:szCs w:val="22"/>
          <w:color w:val="auto"/>
        </w:rPr>
        <w:t xml:space="preserve">” means, as to each Lender, its obligation to make Committed (MC) Loans to the Borrowers pursuant to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in an aggregate principal amount at any one time outstanding not to exceed the Dollar amount set forth opposite such Lender’s name on </w:t>
      </w:r>
      <w:r>
        <w:rPr>
          <w:rFonts w:ascii="Times New Roman" w:cs="Times New Roman" w:eastAsia="Times New Roman" w:hAnsi="Times New Roman"/>
          <w:sz w:val="22"/>
          <w:szCs w:val="22"/>
          <w:u w:val="single" w:color="auto"/>
          <w:color w:val="auto"/>
        </w:rPr>
        <w:t>Annex II-A</w:t>
      </w:r>
      <w:r>
        <w:rPr>
          <w:rFonts w:ascii="Times New Roman" w:cs="Times New Roman" w:eastAsia="Times New Roman" w:hAnsi="Times New Roman"/>
          <w:sz w:val="22"/>
          <w:szCs w:val="22"/>
          <w:color w:val="auto"/>
        </w:rPr>
        <w:t xml:space="preserve"> under the caption “MC Commitment” or opposite such caption in the Assignment and Assumption pursuant to which such Lender becomes a party hereto, as applicable, as such amount may be adjusted from time to time in accordance with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Mexican Pesos</w:t>
      </w:r>
      <w:r>
        <w:rPr>
          <w:rFonts w:ascii="Times New Roman" w:cs="Times New Roman" w:eastAsia="Times New Roman" w:hAnsi="Times New Roman"/>
          <w:sz w:val="22"/>
          <w:szCs w:val="22"/>
          <w:color w:val="auto"/>
        </w:rPr>
        <w:t>” means the lawful currency of the United Mexican States (Mexico).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and any successor thereto.</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 and has or would reasonably be expected to have any liability, contingent or otherwise.</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Plan which has two or more contributing sponsors (including the Company or any ERISA Affiliate) at least two of whom are not under common control, as such a plan is described in Section 4064 of ERISA.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any Lender that is not a Defaulting Lender at such time.</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xml:space="preserve">” means a promissory note made by a Borrower in favor of a Lender evidencing Loans made by such Lender to such Borrower,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Loan Prepayment</w:t>
      </w:r>
      <w:r>
        <w:rPr>
          <w:rFonts w:ascii="Times New Roman" w:cs="Times New Roman" w:eastAsia="Times New Roman" w:hAnsi="Times New Roman"/>
          <w:sz w:val="22"/>
          <w:szCs w:val="22"/>
          <w:color w:val="auto"/>
        </w:rPr>
        <w:t xml:space="preserve">” means a notice of prepayment with respect to a Loan, which shall be substantially in the form of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or such other form as may be approved by the Administrative Agent (including any reasonable or customary form on an electronic platform or electronic transmission system as shall be approved by the Administrative Agent), and as to which the Company shall have been previously informed in writing, appropriately completed and signed by a Responsible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21" w:right="339" w:bottom="1440" w:gutter="0" w:footer="0" w:header="0"/>
        </w:sectPr>
      </w:pPr>
    </w:p>
    <w:bookmarkStart w:id="147" w:name="page148"/>
    <w:bookmarkEnd w:id="147"/>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all advances to, and debts, liabilities, obligations, covenants and duties of, any Borrower arising under any Loan Document or otherwise with respect to any Loan, Letter of Credit or Bankers’ Acceptances, in each case whether direct or indirect (including those acquired by assumption), absolute or contingent, due or to become due, now existing or hereafter arising and including interest and fees that accrue after the commencement by or against any Borrower or any Subsidiary or Affiliate thereof of any proceeding under any Debtor Relief Laws naming such Person as the debtor in such proceeding, regardless of whether such interest and fees are allowed claims in such proceeding.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Office of Foreign Assets Control of the United States Department of the Treasury.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 Documents</w:t>
      </w:r>
      <w:r>
        <w:rPr>
          <w:rFonts w:ascii="Times New Roman" w:cs="Times New Roman" w:eastAsia="Times New Roman" w:hAnsi="Times New Roman"/>
          <w:sz w:val="22"/>
          <w:szCs w:val="22"/>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court or documentary, intangible, recording, filing or similar Taxes or any other excise or property Taxes, charges or similar levies arising from any payment made hereunder or under any other Loan Document or from the execution, delivery, performance or enforcement of, or otherwise with respect to, this Agreement or any other Loan Document, other than Excluded Taxes.</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Amount</w:t>
      </w:r>
      <w:r>
        <w:rPr>
          <w:rFonts w:ascii="Times New Roman" w:cs="Times New Roman" w:eastAsia="Times New Roman" w:hAnsi="Times New Roman"/>
          <w:sz w:val="22"/>
          <w:szCs w:val="22"/>
          <w:color w:val="auto"/>
        </w:rPr>
        <w:t>” means (i) with respect to Committed Loans or Term Loans on any date, the Dollar Equivalent amount of the aggregate outstanding principal amount thereof after giving effect to any borrowings and prepayments or repayments of such Committed Loans or Term Loans, as the case may be, occurring on such date; (ii) with respect to Swing Line Loans on any date, the aggregate outstanding principal amount thereof after giving effect to any borrowings and prepayments or repayments of such Swing Line Loans occurring on such date; and (iii) with respect to any L/C Obligations on any date, the Dollar Equivalent amount of the aggregate outstanding amount of such L/C Obligations on such date after giving effect to any L/C Credit Extension occurring on such date and any other changes in the aggregate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color w:val="auto"/>
        </w:rPr>
        <w:t>L/C Obligations as of such date, including as a result of any reimbursements by the Company of Unreimbursed Amounts.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or the L/C Issuer, as the case may be, in accordance with banking industry rules on interbank compensation.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highlight w:val="white"/>
        </w:rPr>
        <w:t>” means any member state of the European Union that adopts or has adopted the Euro as its</w:t>
      </w:r>
      <w:r>
        <w:rPr>
          <w:rFonts w:ascii="Times New Roman" w:cs="Times New Roman" w:eastAsia="Times New Roman" w:hAnsi="Times New Roman"/>
          <w:sz w:val="22"/>
          <w:szCs w:val="22"/>
          <w:color w:val="auto"/>
        </w:rPr>
        <w:t xml:space="preserve"> lawful currency in accordance with legislation of the European Union relating to Economic and Monetary Union.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 or with respect to which the Company or any ERISA Affiliate could reasonably be expected to have any liability, contingent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Acquisition</w:t>
      </w:r>
      <w:r>
        <w:rPr>
          <w:rFonts w:ascii="Times New Roman" w:cs="Times New Roman" w:eastAsia="Times New Roman" w:hAnsi="Times New Roman"/>
          <w:sz w:val="22"/>
          <w:szCs w:val="22"/>
          <w:color w:val="auto"/>
        </w:rPr>
        <w:t xml:space="preserve">” means (a) the Indigo Acquisition and (b) subject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any other Acquisition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any Restricted Subsidiary as to which, in the case of this clause (b), the following conditions are satisfied:</w:t>
      </w:r>
    </w:p>
    <w:p>
      <w:pPr>
        <w:spacing w:after="0" w:line="196" w:lineRule="exact"/>
        <w:rPr>
          <w:sz w:val="20"/>
          <w:szCs w:val="20"/>
          <w:color w:val="auto"/>
        </w:rPr>
      </w:pPr>
    </w:p>
    <w:p>
      <w:pPr>
        <w:ind w:left="660" w:firstLine="644"/>
        <w:spacing w:after="0" w:line="271" w:lineRule="auto"/>
        <w:tabs>
          <w:tab w:leader="none" w:pos="181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before and immediately after giving pro forma effect to any such Acquisition (including any assumption or incurrence of Indebtedness in connection therewith), no Default shall have occurred and be continuing;</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in compliance with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(giving effect to any Elevated Ratio Period, if applicable), calculated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immediately after giving effect to such Acquisition and any assumption or incurrence of Indebtedness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21" w:right="339" w:bottom="1440" w:gutter="0" w:footer="0" w:header="0"/>
        </w:sectPr>
      </w:pPr>
    </w:p>
    <w:bookmarkStart w:id="149" w:name="page150"/>
    <w:bookmarkEnd w:id="149"/>
    <w:p>
      <w:pPr>
        <w:ind w:left="1900" w:hanging="596"/>
        <w:spacing w:after="0"/>
        <w:tabs>
          <w:tab w:leader="none" w:pos="19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is not “hostile” or contested;</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7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material lines of business of the Person to be (or the property of which is to be) so purchased or otherwise acquired shall be similar, related or incidental to one or more of the businesses of the Company and its Restricted Subsidiaries</w:t>
      </w:r>
      <w:r>
        <w:rPr>
          <w:rFonts w:ascii="Times New Roman" w:cs="Times New Roman" w:eastAsia="Times New Roman" w:hAnsi="Times New Roman"/>
          <w:sz w:val="22"/>
          <w:szCs w:val="22"/>
          <w:color w:val="191919"/>
        </w:rPr>
        <w:t>;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95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Acquisition or series of related transactions for which the total cash and noncash consideration (including the fair market value of all Equity Interests issued or transferred to the sellers thereof, the aggregate amounts paid or to be paid under noncompete, consulting and other affiliated agreements with, the sellers thereof, all write-downs of property and reserves for liabilities with respect thereto and all assumptions of debt, liabilities and other obligations in connection therewith, but excluding all indemnities, earnouts and other contingent payment obligations (based on projected earnings) to the sellers thereof) paid by or on behalf of the Company and its Restricted Subsidiaries is equal to or greater than $250,000,000, the Company shall have delivered to the Administrative Agent a certificate of the Company signed by a Responsible Officer certifying to the Administrative Agent compliance with the conditions specified in clauses (i) through (iv) above.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Receivables Transaction</w:t>
      </w:r>
      <w:r>
        <w:rPr>
          <w:rFonts w:ascii="Times New Roman" w:cs="Times New Roman" w:eastAsia="Times New Roman" w:hAnsi="Times New Roman"/>
          <w:sz w:val="22"/>
          <w:szCs w:val="22"/>
          <w:color w:val="auto"/>
        </w:rPr>
        <w:t xml:space="preserve">” means a trade or accounts receivable financing transaction (excluding for the avoidance of doubt any securitization transaction) whereby the Company and/or one or more of its Subsidiaries sells, assigns, conveys or otherwise transfers Receivables to or for the benefit of one or more third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such transaction is made non-recourse to the Company and its Subsidiaries (subject to customary indemnification and repurchase obligations, including, but not limited to, those based on a breach of obligations under the relevant receivables purchase agreement or the agreement underlying any Receivables, incorrect or misleading representations and warranties, Receivables failing to meet any eligibility criteria, any failure by an insurer of Receivables to honor claims, title defects, illegality, false misleading or incomplete information, exclusion of cover under any insurance in respect of any Receivables, dilution, third party claims, or Receivables becoming subject to any asserted defense, dispute, off-set or counterclaim) and otherwise on terms customary for comparable “non-recourse” or “limited recourse” receivables purchase transactions in the good faith judgment of the Company, (b) such transaction does not provide for the sale, transfer, disposition or pledge of, or otherwise create any interest in, any asset other than the Receivables, and (c) the aggregate amount of Receivables sold, assigned, conveyed or otherwise transferred in any fiscal quarter shall not exceed (i) with respect to Receivables owing from AT&amp;T Services Inc. and/or one or more of its Subsidiaries or affiliates, the greatest of (A) $500,000,000, (B) the highest quarterly revenue resulting from AT&amp;T Services Inc. and its Subsidiaries and affiliates in any fiscal quarter occurring during the period of four consecutive fiscal quarters ending immediately prior to such fiscal quarter (adjusted on a pro forma basis for acquired businesses, it being understood that, for purposes of this calculation, any Person that becomes a Subsidiary or affiliate of AT&amp;T Services Inc. during the fiscal quarter in which such calculation is made or during the period of four consecutive fiscal quarters ending immediately prior to such fiscal quarter shall be considered to have been a Subsidiary or affiliate of AT&amp;T Services Inc. during the entire immediately preceding four fiscal quarter period) and (C) the quarterly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65" w:lineRule="auto"/>
        <w:rPr>
          <w:sz w:val="20"/>
          <w:szCs w:val="20"/>
          <w:color w:val="auto"/>
        </w:rPr>
      </w:pPr>
      <w:r>
        <w:rPr>
          <w:rFonts w:ascii="Times New Roman" w:cs="Times New Roman" w:eastAsia="Times New Roman" w:hAnsi="Times New Roman"/>
          <w:sz w:val="21"/>
          <w:szCs w:val="21"/>
          <w:color w:val="auto"/>
        </w:rPr>
        <w:t>expected to result from AT&amp;T Services Inc. and its Subsidiaries and affiliates during the then-current fiscal quarter as determined by the Company in good faith (adjusted on a pro forma basis for acquired businesses, it being understood that, for purposes of this determination, any Person that becomes or is reasonably expected to become a Subsidiary of affiliate of AT&amp;T Services Inc. during the then-current fiscal quarter shall be considered to have been a Subsidiary or affiliate of AT&amp;T Services Inc. since the commencement of such fiscal quarter) and (ii) with respect to all other Receivables, the greater of (i) $200,000,000 and (ii) an amount equal to 4% of Consolidated Total Assets at the time of such sale, assignment, conveyance or other transfer.</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Refinancing</w:t>
      </w:r>
      <w:r>
        <w:rPr>
          <w:rFonts w:ascii="Times New Roman" w:cs="Times New Roman" w:eastAsia="Times New Roman" w:hAnsi="Times New Roman"/>
          <w:sz w:val="22"/>
          <w:szCs w:val="22"/>
          <w:color w:val="auto"/>
        </w:rPr>
        <w:t xml:space="preserve">” means, with respect to any Indebtedness, any refinancings, refundings,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amount of such Indebtedness is not increased at the time of such refinancing, refunding, renewal or extension except by an amount equal to a reasonable premium paid, and fees and expenses reasonably incurred, in connection with such refinancing and by an amount equal to any existing commitments unutilized thereunder, (ii) such refinancing, refunding, renewing or extending Indebtedness shall not be subject to any financial covenant which is more restrictive than the financial covenants in the Loan Documents and (iii) at the time of and after giving effect to such refinancing, refunding, renewal or extension, no Default shall exist.</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benefit plan within the meaning of Section 3(3) of ERISA, maintained for employees of the Company or any ERISA Affiliate or any such Plan to which the Company or any ERISA Affiliate is required to contribute on behalf of any of its employees, other than a Multiple Employer Plan or a Multiemployer Plan, and for which the Company or any ERISA Affiliate has or would reasonably be expected to have any liability, contingent or otherwise.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Priority Indebtedness</w:t>
      </w:r>
      <w:r>
        <w:rPr>
          <w:rFonts w:ascii="Times New Roman" w:cs="Times New Roman" w:eastAsia="Times New Roman" w:hAnsi="Times New Roman"/>
          <w:sz w:val="21"/>
          <w:szCs w:val="21"/>
          <w:color w:val="auto"/>
        </w:rPr>
        <w:t>” means, as of any date of determination, on a consolidated basis, the sum of (without duplication)</w:t>
      </w:r>
    </w:p>
    <w:p>
      <w:pPr>
        <w:spacing w:after="0" w:line="39" w:lineRule="exact"/>
        <w:rPr>
          <w:sz w:val="20"/>
          <w:szCs w:val="20"/>
          <w:color w:val="auto"/>
        </w:rPr>
      </w:pPr>
    </w:p>
    <w:p>
      <w:pPr>
        <w:jc w:val="both"/>
        <w:ind w:firstLine="8"/>
        <w:spacing w:after="0" w:line="245" w:lineRule="auto"/>
        <w:tabs>
          <w:tab w:leader="none" w:pos="31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outstanding principal amount of all Indebtedness of the Company and its Restricted Subsidiaries secured by Liens permitted under </w:t>
      </w:r>
      <w:r>
        <w:rPr>
          <w:rFonts w:ascii="Times New Roman" w:cs="Times New Roman" w:eastAsia="Times New Roman" w:hAnsi="Times New Roman"/>
          <w:sz w:val="22"/>
          <w:szCs w:val="22"/>
          <w:u w:val="single" w:color="auto"/>
          <w:color w:val="auto"/>
        </w:rPr>
        <w:t>Section 7.01(aa)</w:t>
      </w:r>
      <w:r>
        <w:rPr>
          <w:rFonts w:ascii="Times New Roman" w:cs="Times New Roman" w:eastAsia="Times New Roman" w:hAnsi="Times New Roman"/>
          <w:sz w:val="22"/>
          <w:szCs w:val="22"/>
          <w:color w:val="auto"/>
        </w:rPr>
        <w:t xml:space="preserve"> as of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aggregate outstanding principal amount of all Indebtedness of the Restricted Subsidiaries of the Company (other than any Borrower) permitted under </w:t>
      </w:r>
      <w:r>
        <w:rPr>
          <w:rFonts w:ascii="Times New Roman" w:cs="Times New Roman" w:eastAsia="Times New Roman" w:hAnsi="Times New Roman"/>
          <w:sz w:val="22"/>
          <w:szCs w:val="22"/>
          <w:u w:val="single" w:color="auto"/>
          <w:color w:val="auto"/>
        </w:rPr>
        <w:t>Section 7.03(r)</w:t>
      </w:r>
      <w:r>
        <w:rPr>
          <w:rFonts w:ascii="Times New Roman" w:cs="Times New Roman" w:eastAsia="Times New Roman" w:hAnsi="Times New Roman"/>
          <w:sz w:val="22"/>
          <w:szCs w:val="22"/>
          <w:color w:val="auto"/>
        </w:rPr>
        <w:t xml:space="preserve"> as of such date.</w:t>
      </w:r>
    </w:p>
    <w:p>
      <w:pPr>
        <w:spacing w:after="0" w:line="20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means, for purposes of giving effect to any Specified Transaction (actual or proposed) for any period, that such Specified Transaction shall be deemed to have occurred as of the first day of such period and:</w:t>
      </w:r>
    </w:p>
    <w:p>
      <w:pPr>
        <w:spacing w:after="0" w:line="158" w:lineRule="exact"/>
        <w:rPr>
          <w:sz w:val="20"/>
          <w:szCs w:val="20"/>
          <w:color w:val="auto"/>
        </w:rPr>
      </w:pPr>
    </w:p>
    <w:p>
      <w:pPr>
        <w:jc w:val="both"/>
        <w:ind w:firstLine="656"/>
        <w:spacing w:after="0" w:line="257" w:lineRule="auto"/>
        <w:tabs>
          <w:tab w:leader="none" w:pos="120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income statement items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21" w:right="339" w:bottom="1440" w:gutter="0" w:footer="0" w:header="0"/>
        </w:sectPr>
      </w:pPr>
    </w:p>
    <w:bookmarkStart w:id="151" w:name="page152"/>
    <w:bookmarkEnd w:id="151"/>
    <w:p>
      <w:pPr>
        <w:spacing w:after="0" w:line="271" w:lineRule="auto"/>
        <w:rPr>
          <w:sz w:val="20"/>
          <w:szCs w:val="20"/>
          <w:color w:val="auto"/>
        </w:rPr>
      </w:pPr>
      <w:r>
        <w:rPr>
          <w:rFonts w:ascii="Times New Roman" w:cs="Times New Roman" w:eastAsia="Times New Roman" w:hAnsi="Times New Roman"/>
          <w:sz w:val="22"/>
          <w:szCs w:val="22"/>
          <w:color w:val="auto"/>
        </w:rPr>
        <w:t>included are reflected in financial statements or other financial data reasonably acceptable to the Administrative Agent and based upon reasonable assumptions and calculations which are expected to have a continuous impact);</w:t>
      </w:r>
    </w:p>
    <w:p>
      <w:pPr>
        <w:spacing w:after="0" w:line="158" w:lineRule="exact"/>
        <w:rPr>
          <w:sz w:val="20"/>
          <w:szCs w:val="20"/>
          <w:color w:val="auto"/>
        </w:rPr>
      </w:pPr>
    </w:p>
    <w:p>
      <w:pPr>
        <w:ind w:firstLine="656"/>
        <w:spacing w:after="0" w:line="284" w:lineRule="auto"/>
        <w:tabs>
          <w:tab w:leader="none" w:pos="125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accrued during such period on, and the principal of, any Indebtedness repaid in connection with such Specified Transaction shall be excluded; and</w:t>
      </w:r>
    </w:p>
    <w:p>
      <w:pPr>
        <w:spacing w:after="0" w:line="14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4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Indebtedness incurred or assumed in connection with such Specified Transaction shall be deemed to have been incurred as of the first day of such period, and interest thereon shall be deemed to have accrued from such day on such Indebtedness at the applicable rates provided therefor (and in the case of interest that does or would accrue at a formula or floating rate, at the rate in effect at the time of determination) and shall be included in the results for such period.</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Lender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Rate Determination Date</w:t>
      </w:r>
      <w:r>
        <w:rPr>
          <w:rFonts w:ascii="Times New Roman" w:cs="Times New Roman" w:eastAsia="Times New Roman" w:hAnsi="Times New Roman"/>
          <w:sz w:val="21"/>
          <w:szCs w:val="21"/>
          <w:color w:val="auto"/>
        </w:rPr>
        <w:t>” means two (2) Business Days prior to the commencement of such Interest Period (or such other day as is generally treated as the rate fixing day by market practice in such interbank market, as determined by the Administrative Agent</w:t>
      </w:r>
      <w:r>
        <w:rPr>
          <w:rFonts w:ascii="Times New Roman" w:cs="Times New Roman" w:eastAsia="Times New Roman" w:hAnsi="Times New Roman"/>
          <w:sz w:val="21"/>
          <w:szCs w:val="21"/>
          <w:u w:val="single" w:color="auto"/>
          <w:color w:val="0000FF"/>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w:t>
      </w:r>
      <w:r>
        <w:rPr>
          <w:rFonts w:ascii="Times New Roman" w:cs="Times New Roman" w:eastAsia="Times New Roman" w:hAnsi="Times New Roman"/>
          <w:sz w:val="22"/>
          <w:szCs w:val="22"/>
          <w:color w:val="auto"/>
        </w:rPr>
        <w:t>” means actual trade or accounts receivable or anticipated trade or accounts receivable in the form of work-in-progress of the Company or any of its Subsidiaries arising in the ordinary course of business, any proceeds thereof and any general intangibles, documents, instruments, records or other assets related thereto.</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Reconciliation</w:t>
      </w:r>
      <w:r>
        <w:rPr>
          <w:rFonts w:ascii="Times New Roman" w:cs="Times New Roman" w:eastAsia="Times New Roman" w:hAnsi="Times New Roman"/>
          <w:sz w:val="22"/>
          <w:szCs w:val="22"/>
          <w:color w:val="auto"/>
        </w:rPr>
        <w:t xml:space="preserve">” means, with respect to any financial statement referred to in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6.01(b)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Financials</w:t>
      </w:r>
      <w:r>
        <w:rPr>
          <w:rFonts w:ascii="Times New Roman" w:cs="Times New Roman" w:eastAsia="Times New Roman" w:hAnsi="Times New Roman"/>
          <w:sz w:val="22"/>
          <w:szCs w:val="22"/>
          <w:color w:val="auto"/>
        </w:rPr>
        <w:t>”), the comparable financial statement prepared by the chief financial officer of the Company presenting on a consolidated basis the financial condition and results of operations of the Company and its Restricted Subsidiaries as derived from the Base Financials.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191919"/>
        </w:rPr>
        <w:t>“</w:t>
      </w:r>
      <w:r>
        <w:rPr>
          <w:rFonts w:ascii="Times New Roman" w:cs="Times New Roman" w:eastAsia="Times New Roman" w:hAnsi="Times New Roman"/>
          <w:sz w:val="22"/>
          <w:szCs w:val="22"/>
          <w:u w:val="single" w:color="auto"/>
          <w:color w:val="191919"/>
        </w:rPr>
        <w:t>Relevant Rate</w:t>
      </w:r>
      <w:r>
        <w:rPr>
          <w:rFonts w:ascii="Times New Roman" w:cs="Times New Roman" w:eastAsia="Times New Roman" w:hAnsi="Times New Roman"/>
          <w:sz w:val="22"/>
          <w:szCs w:val="22"/>
          <w:color w:val="191919"/>
        </w:rPr>
        <w:t xml:space="preserve">” means with respect to any Credit Extension denominated in (a) Dollars, Term SOFR, (b) Canadian Dollars, the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191919"/>
        </w:rPr>
        <w:t xml:space="preserve"> Rate, and (c) Mexican Pesos, TIIE, as applicable</w:t>
      </w:r>
      <w:r>
        <w:rPr>
          <w:rFonts w:ascii="Times New Roman" w:cs="Times New Roman" w:eastAsia="Times New Roman" w:hAnsi="Times New Roman"/>
          <w:sz w:val="22"/>
          <w:szCs w:val="22"/>
          <w:b w:val="1"/>
          <w:b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21" w:right="339" w:bottom="1440" w:gutter="0" w:footer="0" w:header="0"/>
        </w:sectPr>
      </w:pPr>
    </w:p>
    <w:bookmarkStart w:id="152" w:name="page153"/>
    <w:bookmarkEnd w:id="152"/>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means any of the events set forth in Section 4043(c) of ERISA, other than events for which the 30 day notice period has been waived.</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for Credit Extension</w:t>
      </w:r>
      <w:r>
        <w:rPr>
          <w:rFonts w:ascii="Times New Roman" w:cs="Times New Roman" w:eastAsia="Times New Roman" w:hAnsi="Times New Roman"/>
          <w:sz w:val="22"/>
          <w:szCs w:val="22"/>
          <w:color w:val="auto"/>
        </w:rPr>
        <w:t>” means (a) with respect to a Borrowing, conversion or continuation of Committed Loans or Term Loans, a Loan Notice, (b) with respect to an L/C Credit Extension, a Letter of Credit Application, and (c) with respect to a Swing Line Loan, a Swing Line Loan Notice.</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(MC) Lenders</w:t>
      </w:r>
      <w:r>
        <w:rPr>
          <w:rFonts w:ascii="Times New Roman" w:cs="Times New Roman" w:eastAsia="Times New Roman" w:hAnsi="Times New Roman"/>
          <w:sz w:val="22"/>
          <w:szCs w:val="22"/>
          <w:color w:val="auto"/>
        </w:rPr>
        <w:t xml:space="preserve">” means, as of any date of determination, Lenders having more than 50% of the sum of the Outstanding Amount of Committed (MC)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unused MC Commitments. The aggregate Outstanding Amount of Committed (MC) Loans and unused MC Commitment of any Defaulting Lender shall be disregarded in determining Required (MC) Lenders at any time.</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(USD) Lenders</w:t>
      </w:r>
      <w:r>
        <w:rPr>
          <w:rFonts w:ascii="Times New Roman" w:cs="Times New Roman" w:eastAsia="Times New Roman" w:hAnsi="Times New Roman"/>
          <w:sz w:val="22"/>
          <w:szCs w:val="22"/>
          <w:color w:val="auto"/>
        </w:rPr>
        <w:t xml:space="preserve">” means, as of any date of determination, Lenders having more than 50% of the aggregate outstanding principal amount of Committed (USD)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outstanding amount of participations in L/C Obligations and Swing Line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unused USD Commitments. The Committed (USD) Loans, the participations in L/C Obligations and Swing Line Loans and unused USD Commitment of any Defaulting Lender shall be disregarded in determining Required (USD) Lenders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participation in any Swing Line Loan and Unreimbursed Amounts that such Defaulting Lender has failed to fund that have not been reallocated to and funded by another Committed (USD) Lender shall be deemed to be held by the Lender that is the Swing Line Lender or L/C Issuer, as the case may be, in making such determination.</w:t>
      </w:r>
    </w:p>
    <w:p>
      <w:pPr>
        <w:spacing w:after="0" w:line="18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as of any date of determination,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any participation in any Swing Line Loan and Unreimbursed Amounts that any Defaulting Lender which is a Committed (USD) Lender has failed to fund that have not been reallocated to and funded by another Committed (USD) Lender shall be deemed to be held by the Lender that is the Swing Line Lender or L/C Issuer, as the case may be, in making such determination.</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Term Loan Lenders</w:t>
      </w:r>
      <w:r>
        <w:rPr>
          <w:rFonts w:ascii="Times New Roman" w:cs="Times New Roman" w:eastAsia="Times New Roman" w:hAnsi="Times New Roman"/>
          <w:sz w:val="22"/>
          <w:szCs w:val="22"/>
          <w:color w:val="auto"/>
        </w:rPr>
        <w:t xml:space="preserve">” means, as of any date of determination, Lenders having more than 50% of the sum of the Outstanding Amount of Term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aggregate unused Term Loan Commitments. The aggregate Outstanding Amount of Term Loans and unused Term Loan Commitment of any Defaulting Lender shall be disregarded in determining Required Term Loan Lenders at any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191919"/>
        </w:rPr>
        <w:t>“</w:t>
      </w:r>
      <w:r>
        <w:rPr>
          <w:rFonts w:ascii="Times New Roman" w:cs="Times New Roman" w:eastAsia="Times New Roman" w:hAnsi="Times New Roman"/>
          <w:sz w:val="22"/>
          <w:szCs w:val="22"/>
          <w:u w:val="single" w:color="auto"/>
          <w:color w:val="191919"/>
        </w:rPr>
        <w:t>Rescindable Amount</w:t>
      </w:r>
      <w:r>
        <w:rPr>
          <w:rFonts w:ascii="Times New Roman" w:cs="Times New Roman" w:eastAsia="Times New Roman" w:hAnsi="Times New Roman"/>
          <w:sz w:val="22"/>
          <w:szCs w:val="22"/>
          <w:color w:val="191919"/>
        </w:rPr>
        <w:t xml:space="preserve">” has the meaning as defined in </w:t>
      </w:r>
      <w:r>
        <w:rPr>
          <w:rFonts w:ascii="Times New Roman" w:cs="Times New Roman" w:eastAsia="Times New Roman" w:hAnsi="Times New Roman"/>
          <w:sz w:val="22"/>
          <w:szCs w:val="22"/>
          <w:u w:val="single" w:color="auto"/>
          <w:color w:val="191919"/>
        </w:rPr>
        <w:t>Section 2.12(b)(ii)</w:t>
      </w:r>
      <w:r>
        <w:rPr>
          <w:rFonts w:ascii="Times New Roman" w:cs="Times New Roman" w:eastAsia="Times New Roman" w:hAnsi="Times New Roman"/>
          <w:sz w:val="22"/>
          <w:szCs w:val="22"/>
          <w:color w:val="191919"/>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191919"/>
        </w:rPr>
        <w:t>“</w:t>
      </w:r>
      <w:r>
        <w:rPr>
          <w:rFonts w:ascii="Times New Roman" w:cs="Times New Roman" w:eastAsia="Times New Roman" w:hAnsi="Times New Roman"/>
          <w:sz w:val="22"/>
          <w:szCs w:val="22"/>
          <w:u w:val="single" w:color="auto"/>
          <w:color w:val="191919"/>
        </w:rPr>
        <w:t>Resolution Authority</w:t>
      </w:r>
      <w:r>
        <w:rPr>
          <w:rFonts w:ascii="Times New Roman" w:cs="Times New Roman" w:eastAsia="Times New Roman" w:hAnsi="Times New Roman"/>
          <w:sz w:val="22"/>
          <w:szCs w:val="22"/>
          <w:color w:val="191919"/>
        </w:rPr>
        <w:t>” means an EEA Resolution Authority or, with respect to any UK Financial Institution, a UK Resolution Authority</w:t>
      </w:r>
      <w:r>
        <w:rPr>
          <w:rFonts w:ascii="Times New Roman" w:cs="Times New Roman" w:eastAsia="Times New Roman" w:hAnsi="Times New Roman"/>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22" w:right="339" w:bottom="1440" w:gutter="0" w:footer="0" w:header="0"/>
        </w:sectPr>
      </w:pPr>
    </w:p>
    <w:bookmarkStart w:id="153" w:name="page154"/>
    <w:bookmarkEnd w:id="153"/>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xml:space="preserve">” means the chairman of the board of directors, the president, the chief executive officer, the chief financial officer, the chief operating officer, the corporate controller, the treasurer or the cash manager of, or in-house legal counsel to, a Borrower, any other officer of a Borrower so designated by any of the foregoing officers in a written notice to the Administrative Agent, solely for purposes of notices given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any other officer or employee of a Borrower designated in or pursuant to an agreement between such Borrower and the Administrative Agent, and solely for purposes of the delivery of incumbency certificates, the secretary or any assistant secretary of a Borrower.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 To the extent reasonably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xml:space="preserve">” means any Subsidiary of the Company that is not listed on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as an Unrestricted Subsidiary or has not been designated an Unrestricted Subsidiary in accordance with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hereof. MasTec NA shall always be a Restricted Subsidiary.</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xml:space="preserve">” means (a) with respect to any Committed (MC) Loan denominated in an Alternative Currency, each of the following: (i) each date of a Borrowing of an Alternative Currency Term Rate Loan denominated in such Alternative Currency, (ii) each date of a continuation of an Alternative Currency Term Rate Loan denominated in such Alternative Currency pursuant to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and (iii) such additional dates as the Administrative Agent shall determine or the Required (MC) Lenders shall require; and (b) with respect to any Letter of Credit or Bankers’ Acceptance denominated in an Alternative Currency, each of the following: (i) each date of issuance, amendment and/or extension of a Letter of Credit or Bankers’ Acceptance denominated in such Alternative Currency, (ii) each date of any payment by the L/C Issuer under any Letter of Credit or Bankers’ Acceptance denominated in such Alternative Currency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(iii) in the case of all Existing Letters of Credit denominated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in Alternative Currencies, the Closing Date </w:t>
      </w:r>
      <w:r>
        <w:rPr>
          <w:rFonts w:ascii="Times New Roman" w:cs="Times New Roman" w:eastAsia="Times New Roman" w:hAnsi="Times New Roman"/>
          <w:sz w:val="22"/>
          <w:szCs w:val="22"/>
          <w:color w:val="000000"/>
        </w:rPr>
        <w:t>and (iv) such additional dates as the Administrative Agent or the L/C Issuer shall</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determine or the Required (USD) Lenders shall require.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Financial Services LLC, a subsidiary of S&amp;P Global Inc., and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22" w:right="339" w:bottom="1440" w:gutter="0" w:footer="0" w:header="0"/>
        </w:sectPr>
      </w:pPr>
    </w:p>
    <w:bookmarkStart w:id="154" w:name="page155"/>
    <w:bookmarkEnd w:id="15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 Leaseback Transaction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means (a) with respect to disbursements and payments in Dollars, immediately available funds, and</w:t>
      </w:r>
    </w:p>
    <w:p>
      <w:pPr>
        <w:spacing w:after="0" w:line="28" w:lineRule="exact"/>
        <w:rPr>
          <w:sz w:val="20"/>
          <w:szCs w:val="20"/>
          <w:color w:val="auto"/>
        </w:rPr>
      </w:pPr>
    </w:p>
    <w:p>
      <w:pPr>
        <w:jc w:val="both"/>
        <w:ind w:firstLine="8"/>
        <w:spacing w:after="0" w:line="252" w:lineRule="auto"/>
        <w:tabs>
          <w:tab w:leader="none" w:pos="3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such Alternative Currency.</w:t>
      </w:r>
    </w:p>
    <w:p>
      <w:pPr>
        <w:spacing w:after="0" w:line="17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international economic or financial sanction or trade embargo imposed, administered or enforced by the United States Government (including without limitation, OFAC), the United Nations Security Council, the European Union, any European Union member state, Her Majesty’s Treasury or other relevant sanctions authority.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Securities and Exchange Commission, or any Governmental Authority succeeding to any of its principal functions.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w:t>
      </w:r>
      <w:r>
        <w:rPr>
          <w:rFonts w:ascii="Times New Roman" w:cs="Times New Roman" w:eastAsia="Times New Roman" w:hAnsi="Times New Roman"/>
          <w:sz w:val="22"/>
          <w:szCs w:val="22"/>
          <w:color w:val="auto"/>
        </w:rPr>
        <w:t>” means those certain 4.50% unsecured notes of the Company due 2028 and issued pursuant to the Senior Notes Indenture in the initial aggregate principal amount of $600,000,000.</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 Documents</w:t>
      </w:r>
      <w:r>
        <w:rPr>
          <w:rFonts w:ascii="Times New Roman" w:cs="Times New Roman" w:eastAsia="Times New Roman" w:hAnsi="Times New Roman"/>
          <w:sz w:val="22"/>
          <w:szCs w:val="22"/>
          <w:color w:val="auto"/>
        </w:rPr>
        <w:t>” means, collectively, the Senior Notes Indenture, all supplemental indentures thereto, the Senior Notes and all other material agreements executed in connection therewith.</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Notes Indebtedness</w:t>
      </w:r>
      <w:r>
        <w:rPr>
          <w:rFonts w:ascii="Times New Roman" w:cs="Times New Roman" w:eastAsia="Times New Roman" w:hAnsi="Times New Roman"/>
          <w:sz w:val="22"/>
          <w:szCs w:val="22"/>
          <w:color w:val="auto"/>
        </w:rPr>
        <w:t>” means the Indebtedness evidenced by the Senior Notes and any Permitted Refinancings thereof.</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Notes Indenture</w:t>
      </w:r>
      <w:r>
        <w:rPr>
          <w:rFonts w:ascii="Times New Roman" w:cs="Times New Roman" w:eastAsia="Times New Roman" w:hAnsi="Times New Roman"/>
          <w:sz w:val="21"/>
          <w:szCs w:val="21"/>
          <w:color w:val="auto"/>
        </w:rPr>
        <w:t>” means that certain Indenture by and among the Company, the guarantors party thereto and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National Association, as trustee, dated as of August 4, 2020.</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xml:space="preserve">” means, at any time, a Subsidiary of the Company that as of such time meets the definition of a “significant subsidiary” contained as of the Closing Date in Regulation S-X of the SEC (based upon and as of the date of delivery of the most recent consolidated financial statements of the Company furnished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Single Employer Pension Plan</w:t>
      </w:r>
      <w:r>
        <w:rPr>
          <w:rFonts w:ascii="Times New Roman" w:cs="Times New Roman" w:eastAsia="Times New Roman" w:hAnsi="Times New Roman"/>
          <w:sz w:val="22"/>
          <w:szCs w:val="22"/>
          <w:color w:val="auto"/>
        </w:rPr>
        <w:t>” means any employee pension benefit plan (excluding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the Secured Overnight Financing Rate as administered by the Federal Reserve Bank of New York (or a successor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Adjustment</w:t>
      </w:r>
      <w:r>
        <w:rPr>
          <w:rFonts w:ascii="Times New Roman" w:cs="Times New Roman" w:eastAsia="Times New Roman" w:hAnsi="Times New Roman"/>
          <w:sz w:val="22"/>
          <w:szCs w:val="22"/>
          <w:color w:val="auto"/>
        </w:rPr>
        <w:t>” means, with respect to Daily Simple SOFR, 0.10% (10.0 basis points) and, with respect to Term SOFR, 0.10% (10.0 basis points) for an Interest Period of one-month’s duration, three-months’ duration, and six-months’ duration.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3.03(b)(ii)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Solvent</w:t>
      </w:r>
      <w:r>
        <w:rPr>
          <w:rFonts w:ascii="Times New Roman" w:cs="Times New Roman" w:eastAsia="Times New Roman" w:hAnsi="Times New Roman"/>
          <w:sz w:val="22"/>
          <w:szCs w:val="22"/>
          <w:color w:val="auto"/>
        </w:rPr>
        <w: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Disposition</w:t>
      </w:r>
      <w:r>
        <w:rPr>
          <w:rFonts w:ascii="Times New Roman" w:cs="Times New Roman" w:eastAsia="Times New Roman" w:hAnsi="Times New Roman"/>
          <w:sz w:val="22"/>
          <w:szCs w:val="22"/>
          <w:color w:val="auto"/>
        </w:rPr>
        <w:t>” means any Disposition by the Company or any Restricted Subsidiary of (a) all or substantially all of its assets or any of its divisions, business units, or lines of business or (b) the Equity Interests of any Subsidiary.</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Transaction</w:t>
      </w:r>
      <w:r>
        <w:rPr>
          <w:rFonts w:ascii="Times New Roman" w:cs="Times New Roman" w:eastAsia="Times New Roman" w:hAnsi="Times New Roman"/>
          <w:sz w:val="22"/>
          <w:szCs w:val="22"/>
          <w:color w:val="auto"/>
        </w:rPr>
        <w:t xml:space="preserve">” means (a) any Specified Disposition, (b) any Permitted Acquisition, (c) any designation of a Subsidiary as a Restricted Subsidiary or an Unrestricted Subsidiary, (d) any Restricted Payment made pursuant to </w:t>
      </w:r>
      <w:r>
        <w:rPr>
          <w:rFonts w:ascii="Times New Roman" w:cs="Times New Roman" w:eastAsia="Times New Roman" w:hAnsi="Times New Roman"/>
          <w:sz w:val="22"/>
          <w:szCs w:val="22"/>
          <w:u w:val="single" w:color="auto"/>
          <w:color w:val="auto"/>
        </w:rPr>
        <w:t>Section 7.06(d)</w:t>
      </w:r>
      <w:r>
        <w:rPr>
          <w:rFonts w:ascii="Times New Roman" w:cs="Times New Roman" w:eastAsia="Times New Roman" w:hAnsi="Times New Roman"/>
          <w:sz w:val="22"/>
          <w:szCs w:val="22"/>
          <w:color w:val="auto"/>
        </w:rPr>
        <w:t xml:space="preserve"> and (e) the incurrence of any Indebtedness pursuant to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7.03(r)</w:t>
      </w:r>
      <w:r>
        <w:rPr>
          <w:rFonts w:ascii="Times New Roman" w:cs="Times New Roman" w:eastAsia="Times New Roman" w:hAnsi="Times New Roman"/>
          <w:sz w:val="22"/>
          <w:szCs w:val="22"/>
          <w:color w:val="auto"/>
        </w:rPr>
        <w:t xml:space="preserve"> as the context may require.</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lawful currency of the United Kingdom.</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Surety</w:t>
      </w:r>
      <w:r>
        <w:rPr>
          <w:rFonts w:ascii="Times New Roman" w:cs="Times New Roman" w:eastAsia="Times New Roman" w:hAnsi="Times New Roman"/>
          <w:sz w:val="22"/>
          <w:szCs w:val="22"/>
          <w:color w:val="auto"/>
        </w:rPr>
        <w:t>” means (i) Travelers Casualty and Surety Company of America and its successors and permitted assigns or (ii) any Person who replaces or supplements the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71" w:lineRule="auto"/>
        <w:rPr>
          <w:sz w:val="20"/>
          <w:szCs w:val="20"/>
          <w:color w:val="auto"/>
        </w:rPr>
      </w:pPr>
      <w:r>
        <w:rPr>
          <w:rFonts w:ascii="Times New Roman" w:cs="Times New Roman" w:eastAsia="Times New Roman" w:hAnsi="Times New Roman"/>
          <w:sz w:val="22"/>
          <w:szCs w:val="22"/>
          <w:color w:val="auto"/>
        </w:rPr>
        <w:t>identified in clause (i) under the applicable Surety Credit Documents as executor or procurer of bonds pursuant to such Surety Credit Documents, and their co-sureties and reinsurers, and their respective successors and permitted assigns.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Surety Bond Obligations</w:t>
      </w:r>
      <w:r>
        <w:rPr>
          <w:rFonts w:ascii="Times New Roman" w:cs="Times New Roman" w:eastAsia="Times New Roman" w:hAnsi="Times New Roman"/>
          <w:sz w:val="22"/>
          <w:szCs w:val="22"/>
          <w:color w:val="auto"/>
        </w:rPr>
        <w:t>” means obligations to the issuers of surety bonds for the account of the Company or a Subsidiary, which for all purposes herein shall be calculated based on the estimated cost to complete the applicable projects taking into consideration the progress made on any such projects and not the face value or penal sum of such surety bonds.</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Surety Credit Documents</w:t>
      </w:r>
      <w:r>
        <w:rPr>
          <w:rFonts w:ascii="Times New Roman" w:cs="Times New Roman" w:eastAsia="Times New Roman" w:hAnsi="Times New Roman"/>
          <w:sz w:val="22"/>
          <w:szCs w:val="22"/>
          <w:color w:val="auto"/>
        </w:rPr>
        <w:t>” means, with respect to any Indemnity Agreement, such Indemnity Agreement and each document entered into in connection therewith.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Sustainability Coordinator</w:t>
      </w:r>
      <w:r>
        <w:rPr>
          <w:rFonts w:ascii="Times New Roman" w:cs="Times New Roman" w:eastAsia="Times New Roman" w:hAnsi="Times New Roman"/>
          <w:sz w:val="22"/>
          <w:szCs w:val="22"/>
          <w:color w:val="auto"/>
        </w:rPr>
        <w:t>” means BAS, in its capacity as the sustainability coordinator.</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Sustainability Linked Loan Principles</w:t>
      </w:r>
      <w:r>
        <w:rPr>
          <w:rFonts w:ascii="Times New Roman" w:cs="Times New Roman" w:eastAsia="Times New Roman" w:hAnsi="Times New Roman"/>
          <w:sz w:val="22"/>
          <w:szCs w:val="22"/>
          <w:color w:val="auto"/>
        </w:rPr>
        <w:t>” means the Sustainability Linked Loan Principles (as published in May 2021 by the Loan Market Association, Asia Pacific Loan Market Association and Loan Syndications &amp; Trading Association).</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Contract</w:t>
      </w:r>
      <w:r>
        <w:rPr>
          <w:rFonts w:ascii="Times New Roman" w:cs="Times New Roman" w:eastAsia="Times New Roman" w:hAnsi="Times New Roman"/>
          <w:sz w:val="22"/>
          <w:szCs w:val="22"/>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2"/>
          <w:szCs w:val="22"/>
          <w:u w:val="single" w:color="auto"/>
          <w:color w:val="auto"/>
        </w:rPr>
        <w:t>Master Agreement</w:t>
      </w:r>
      <w:r>
        <w:rPr>
          <w:rFonts w:ascii="Times New Roman" w:cs="Times New Roman" w:eastAsia="Times New Roman" w:hAnsi="Times New Roman"/>
          <w:sz w:val="22"/>
          <w:szCs w:val="22"/>
          <w:color w:val="auto"/>
        </w:rPr>
        <w:t>”), including any such obligations or liabilities under any Master Agreement.</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Termination Value</w:t>
      </w:r>
      <w:r>
        <w:rPr>
          <w:rFonts w:ascii="Times New Roman" w:cs="Times New Roman" w:eastAsia="Times New Roman" w:hAnsi="Times New Roman"/>
          <w:sz w:val="22"/>
          <w:szCs w:val="22"/>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Borrowing</w:t>
      </w:r>
      <w:r>
        <w:rPr>
          <w:rFonts w:ascii="Times New Roman" w:cs="Times New Roman" w:eastAsia="Times New Roman" w:hAnsi="Times New Roman"/>
          <w:sz w:val="22"/>
          <w:szCs w:val="22"/>
          <w:color w:val="auto"/>
        </w:rPr>
        <w:t xml:space="preserve">” means a borrowing of a Swing Line Loan pursuant to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22" w:right="339" w:bottom="1440" w:gutter="0" w:footer="0" w:header="0"/>
        </w:sectPr>
      </w:pPr>
    </w:p>
    <w:bookmarkStart w:id="157" w:name="page158"/>
    <w:bookmarkEnd w:id="157"/>
    <w:p>
      <w:pPr>
        <w:jc w:val="both"/>
        <w:ind w:firstLine="648"/>
        <w:spacing w:after="0" w:line="256" w:lineRule="auto"/>
        <w:rPr>
          <w:sz w:val="20"/>
          <w:szCs w:val="20"/>
          <w:color w:val="auto"/>
        </w:rPr>
      </w:pPr>
      <w:r>
        <w:rPr>
          <w:rFonts w:ascii="Times New Roman" w:cs="Times New Roman" w:eastAsia="Times New Roman" w:hAnsi="Times New Roman"/>
          <w:sz w:val="22"/>
          <w:szCs w:val="22"/>
          <w:color w:val="191919"/>
        </w:rPr>
        <w:t>“</w:t>
      </w:r>
      <w:r>
        <w:rPr>
          <w:rFonts w:ascii="Times New Roman" w:cs="Times New Roman" w:eastAsia="Times New Roman" w:hAnsi="Times New Roman"/>
          <w:sz w:val="22"/>
          <w:szCs w:val="22"/>
          <w:u w:val="single" w:color="auto"/>
          <w:color w:val="191919"/>
        </w:rPr>
        <w:t>Swing Line Commitment</w:t>
      </w:r>
      <w:r>
        <w:rPr>
          <w:rFonts w:ascii="Times New Roman" w:cs="Times New Roman" w:eastAsia="Times New Roman" w:hAnsi="Times New Roman"/>
          <w:sz w:val="22"/>
          <w:szCs w:val="22"/>
          <w:color w:val="191919"/>
        </w:rPr>
        <w:t xml:space="preserve">” means as to any Lender (a) the amount set forth opposite such Lender’s name on </w:t>
      </w:r>
      <w:r>
        <w:rPr>
          <w:rFonts w:ascii="Times New Roman" w:cs="Times New Roman" w:eastAsia="Times New Roman" w:hAnsi="Times New Roman"/>
          <w:sz w:val="22"/>
          <w:szCs w:val="22"/>
          <w:u w:val="single" w:color="auto"/>
          <w:color w:val="191919"/>
        </w:rPr>
        <w:t>Annex II-B</w:t>
      </w:r>
      <w:r>
        <w:rPr>
          <w:rFonts w:ascii="Times New Roman" w:cs="Times New Roman" w:eastAsia="Times New Roman" w:hAnsi="Times New Roman"/>
          <w:sz w:val="22"/>
          <w:szCs w:val="22"/>
          <w:color w:val="191919"/>
        </w:rPr>
        <w:t xml:space="preserve"> hereof or (b) if such Lender has entered into an Assignment and Assumption or has otherwise assumed a Swing Line Commitment after the Closing Date, the amount set forth for such Lender as its Swing Line Commitment in the Register maintained by the Administrative Agent pursuant to </w:t>
      </w:r>
      <w:r>
        <w:rPr>
          <w:rFonts w:ascii="Times New Roman" w:cs="Times New Roman" w:eastAsia="Times New Roman" w:hAnsi="Times New Roman"/>
          <w:sz w:val="22"/>
          <w:szCs w:val="22"/>
          <w:u w:val="single" w:color="auto"/>
          <w:color w:val="191919"/>
        </w:rPr>
        <w:t>Section 10.06(c)</w:t>
      </w:r>
      <w:r>
        <w:rPr>
          <w:rFonts w:ascii="Times New Roman" w:cs="Times New Roman" w:eastAsia="Times New Roman" w:hAnsi="Times New Roman"/>
          <w:sz w:val="22"/>
          <w:szCs w:val="22"/>
          <w:color w:val="191919"/>
        </w:rPr>
        <w:t>.</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Lender</w:t>
      </w:r>
      <w:r>
        <w:rPr>
          <w:rFonts w:ascii="Times New Roman" w:cs="Times New Roman" w:eastAsia="Times New Roman" w:hAnsi="Times New Roman"/>
          <w:sz w:val="22"/>
          <w:szCs w:val="22"/>
          <w:color w:val="auto"/>
        </w:rPr>
        <w:t xml:space="preserve">” means Bank of America </w:t>
      </w:r>
      <w:r>
        <w:rPr>
          <w:rFonts w:ascii="Times New Roman" w:cs="Times New Roman" w:eastAsia="Times New Roman" w:hAnsi="Times New Roman"/>
          <w:sz w:val="22"/>
          <w:szCs w:val="22"/>
          <w:color w:val="191919"/>
        </w:rPr>
        <w:t>(through itself or through one of its designated Affiliates or branch offices)</w:t>
      </w:r>
      <w:r>
        <w:rPr>
          <w:rFonts w:ascii="Times New Roman" w:cs="Times New Roman" w:eastAsia="Times New Roman" w:hAnsi="Times New Roman"/>
          <w:sz w:val="22"/>
          <w:szCs w:val="22"/>
          <w:color w:val="auto"/>
        </w:rPr>
        <w:t xml:space="preserve"> in its capacity as provider of Swing Line Loans, or any successor swing line lender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Loan Notice</w:t>
      </w:r>
      <w:r>
        <w:rPr>
          <w:rFonts w:ascii="Times New Roman" w:cs="Times New Roman" w:eastAsia="Times New Roman" w:hAnsi="Times New Roman"/>
          <w:sz w:val="22"/>
          <w:szCs w:val="22"/>
          <w:color w:val="auto"/>
        </w:rPr>
        <w:t xml:space="preserve">” means a notice of a Swing Line Borrowing pursuant to </w:t>
      </w:r>
      <w:r>
        <w:rPr>
          <w:rFonts w:ascii="Times New Roman" w:cs="Times New Roman" w:eastAsia="Times New Roman" w:hAnsi="Times New Roman"/>
          <w:sz w:val="22"/>
          <w:szCs w:val="22"/>
          <w:u w:val="single" w:color="auto"/>
          <w:color w:val="auto"/>
        </w:rPr>
        <w:t>Section 2.04(b)</w:t>
      </w:r>
      <w:r>
        <w:rPr>
          <w:rFonts w:ascii="Times New Roman" w:cs="Times New Roman" w:eastAsia="Times New Roman" w:hAnsi="Times New Roman"/>
          <w:sz w:val="22"/>
          <w:szCs w:val="22"/>
          <w:color w:val="auto"/>
        </w:rPr>
        <w:t xml:space="preserve">, which, if in writing, shall be substantially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or such other form as approved by the Administrative Agent (including any reasonable and customary form on an electronic platform or electronic transmission system as shall be approved by the Administrative Agent) and as to which the Company shall have previously been informed in writing, appropriately completed and signed by a Responsible Officer of the Company.</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Swing Line Sublimit</w:t>
      </w:r>
      <w:r>
        <w:rPr>
          <w:rFonts w:ascii="Times New Roman" w:cs="Times New Roman" w:eastAsia="Times New Roman" w:hAnsi="Times New Roman"/>
          <w:sz w:val="22"/>
          <w:szCs w:val="22"/>
          <w:color w:val="auto"/>
        </w:rPr>
        <w:t>” means an amount equal to the lesser of (a) $125,000,000, as such amount may be adjusted from time to time in accordance with this Agreement, and (b) the Aggregate (USD) Commitments. The Swing Line Sublimit is part of, and not in addition to, the Aggregate (USD) Commitments.</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Synthetic Lease Obligation</w:t>
      </w:r>
      <w:r>
        <w:rPr>
          <w:rFonts w:ascii="Times New Roman" w:cs="Times New Roman" w:eastAsia="Times New Roman" w:hAnsi="Times New Roman"/>
          <w:sz w:val="22"/>
          <w:szCs w:val="22"/>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0000FF"/>
        </w:rPr>
        <w:t>“Term CORRA Adjustment” means (a) 0.29547% (29.547 basis points) for an Interest Period of one month’s duration and (ii) 0.32138% (32.138 basis points) for an Interest Period of three month’s duration.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0000FF"/>
        </w:rPr>
        <w:t xml:space="preserve">“Term CORRA </w:t>
      </w:r>
      <w:r>
        <w:rPr>
          <w:rFonts w:ascii="Times New Roman" w:cs="Times New Roman" w:eastAsia="Times New Roman" w:hAnsi="Times New Roman"/>
          <w:sz w:val="22"/>
          <w:szCs w:val="22"/>
          <w:u w:val="single" w:color="auto"/>
          <w:color w:val="008000"/>
        </w:rPr>
        <w:t>Rate” has the meaning specified in the definition of Alternative Currency Term Rate.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Borrowing</w:t>
      </w:r>
      <w:r>
        <w:rPr>
          <w:rFonts w:ascii="Times New Roman" w:cs="Times New Roman" w:eastAsia="Times New Roman" w:hAnsi="Times New Roman"/>
          <w:sz w:val="22"/>
          <w:szCs w:val="22"/>
          <w:color w:val="auto"/>
        </w:rPr>
        <w:t xml:space="preserve">” means a borrowing consisting of simultaneous Term Loans of the same Type and, in the case of Term SOFR Loans, having the same Interest Period made by each of the Term Loan Lenders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22" w:right="339" w:bottom="1440" w:gutter="0" w:footer="0" w:header="0"/>
        </w:sectPr>
      </w:pPr>
    </w:p>
    <w:bookmarkStart w:id="158" w:name="page159"/>
    <w:bookmarkEnd w:id="158"/>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Commitment</w:t>
      </w:r>
      <w:r>
        <w:rPr>
          <w:rFonts w:ascii="Times New Roman" w:cs="Times New Roman" w:eastAsia="Times New Roman" w:hAnsi="Times New Roman"/>
          <w:sz w:val="22"/>
          <w:szCs w:val="22"/>
          <w:color w:val="auto"/>
        </w:rPr>
        <w:t xml:space="preserve">” means, as to each Lender, its obligation to make a single Term Loan to the Borrowers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on the Closing Date in a principal amount not to exceed the amount set forth opposite such Lender’s name on </w:t>
      </w:r>
      <w:r>
        <w:rPr>
          <w:rFonts w:ascii="Times New Roman" w:cs="Times New Roman" w:eastAsia="Times New Roman" w:hAnsi="Times New Roman"/>
          <w:sz w:val="22"/>
          <w:szCs w:val="22"/>
          <w:u w:val="single" w:color="auto"/>
          <w:color w:val="auto"/>
        </w:rPr>
        <w:t>Annex II-A</w:t>
      </w:r>
      <w:r>
        <w:rPr>
          <w:rFonts w:ascii="Times New Roman" w:cs="Times New Roman" w:eastAsia="Times New Roman" w:hAnsi="Times New Roman"/>
          <w:sz w:val="22"/>
          <w:szCs w:val="22"/>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Facility</w:t>
      </w:r>
      <w:r>
        <w:rPr>
          <w:rFonts w:ascii="Times New Roman" w:cs="Times New Roman" w:eastAsia="Times New Roman" w:hAnsi="Times New Roman"/>
          <w:sz w:val="22"/>
          <w:szCs w:val="22"/>
          <w:color w:val="auto"/>
        </w:rPr>
        <w:t xml:space="preserve">” means, at any time, the term loan facility provided pursuant to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of this Agreement.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Lender</w:t>
      </w:r>
      <w:r>
        <w:rPr>
          <w:rFonts w:ascii="Times New Roman" w:cs="Times New Roman" w:eastAsia="Times New Roman" w:hAnsi="Times New Roman"/>
          <w:sz w:val="22"/>
          <w:szCs w:val="22"/>
          <w:color w:val="auto"/>
        </w:rPr>
        <w:t>” means, at any time, any Lender that has a Term Loan Commitment or an outstanding Term Loan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firstLine="656"/>
        <w:spacing w:after="0" w:line="250" w:lineRule="auto"/>
        <w:tabs>
          <w:tab w:leader="none" w:pos="112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194" w:lineRule="exact"/>
        <w:rPr>
          <w:rFonts w:ascii="Times New Roman" w:cs="Times New Roman" w:eastAsia="Times New Roman" w:hAnsi="Times New Roman"/>
          <w:sz w:val="22"/>
          <w:szCs w:val="22"/>
          <w:color w:val="auto"/>
        </w:rPr>
      </w:pPr>
    </w:p>
    <w:p>
      <w:pPr>
        <w:ind w:firstLine="656"/>
        <w:spacing w:after="0" w:line="271" w:lineRule="auto"/>
        <w:tabs>
          <w:tab w:leader="none" w:pos="120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interest calculation with respect to a Base Rate Loan on any date, the rate per annum equal to the Term SOFR Screen Rate with a term of one month commencing that day;</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Term SOFR determined in accordance with either of the foregoing clauses (a) or (b) of this definition would otherwise be less than zero, the Term SOFR shall be deemed zero for purposes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Loan</w:t>
      </w:r>
      <w:r>
        <w:rPr>
          <w:rFonts w:ascii="Times New Roman" w:cs="Times New Roman" w:eastAsia="Times New Roman" w:hAnsi="Times New Roman"/>
          <w:sz w:val="22"/>
          <w:szCs w:val="22"/>
          <w:color w:val="auto"/>
        </w:rPr>
        <w:t>” means a Loan that bears interest at a rate based on clause (a) of the definition of Term SOFR.</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Screen Rate</w:t>
      </w:r>
      <w:r>
        <w:rPr>
          <w:rFonts w:ascii="Times New Roman" w:cs="Times New Roman" w:eastAsia="Times New Roman" w:hAnsi="Times New Roman"/>
          <w:sz w:val="21"/>
          <w:szCs w:val="21"/>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Threshold Amount</w:t>
      </w:r>
      <w:r>
        <w:rPr>
          <w:rFonts w:ascii="Times New Roman" w:cs="Times New Roman" w:eastAsia="Times New Roman" w:hAnsi="Times New Roman"/>
          <w:sz w:val="22"/>
          <w:szCs w:val="22"/>
          <w:color w:val="auto"/>
        </w:rPr>
        <w:t>” means $225,000,000.</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Credit Exposure</w:t>
      </w:r>
      <w:r>
        <w:rPr>
          <w:rFonts w:ascii="Times New Roman" w:cs="Times New Roman" w:eastAsia="Times New Roman" w:hAnsi="Times New Roman"/>
          <w:sz w:val="22"/>
          <w:szCs w:val="22"/>
          <w:color w:val="auto"/>
        </w:rPr>
        <w:t>” means, as to any Lender at any time, the sum of the unused Commitments of such Lender at such time, the aggregate principal amount at such time of its outstanding Loans and the amount of such Lender’s participations in L/C Obligations, Bankers’ Acceptances and Swing Line Loans at such time.</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(USD) Outstandings</w:t>
      </w:r>
      <w:r>
        <w:rPr>
          <w:rFonts w:ascii="Times New Roman" w:cs="Times New Roman" w:eastAsia="Times New Roman" w:hAnsi="Times New Roman"/>
          <w:sz w:val="22"/>
          <w:szCs w:val="22"/>
          <w:color w:val="auto"/>
        </w:rPr>
        <w:t>” means the aggregate Outstanding Amount of all Committed (USD) Loans, Swing Line Loans and all L/C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22" w:right="339" w:bottom="1440" w:gutter="0" w:footer="0" w:header="0"/>
        </w:sectPr>
      </w:pPr>
    </w:p>
    <w:bookmarkStart w:id="159" w:name="page160"/>
    <w:bookmarkEnd w:id="159"/>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TPEC</w:t>
      </w:r>
      <w:r>
        <w:rPr>
          <w:rFonts w:ascii="Times New Roman" w:cs="Times New Roman" w:eastAsia="Times New Roman" w:hAnsi="Times New Roman"/>
          <w:sz w:val="22"/>
          <w:szCs w:val="22"/>
          <w:color w:val="auto"/>
        </w:rPr>
        <w:t>” has the meaning specified in the definition of Foreign Finance Company Plan.</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with respect to a Committed Loan or a Term Loan, its character as a Base Rate Loan, a Term SOFR Loan or an Alternative Currency Term Rate Loan.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with respect to any Letter of Credit, the Uniform Customs and Practice for Documentary Credits, International Chamber of Commerce (“ICC”) Publication No. 600 (or such later version thereof as may be in effect at the time of issuance).</w:t>
      </w:r>
    </w:p>
    <w:p>
      <w:pPr>
        <w:spacing w:after="0" w:line="17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191919"/>
        </w:rPr>
        <w:t>“</w:t>
      </w:r>
      <w:r>
        <w:rPr>
          <w:rFonts w:ascii="Times New Roman" w:cs="Times New Roman" w:eastAsia="Times New Roman" w:hAnsi="Times New Roman"/>
          <w:sz w:val="21"/>
          <w:szCs w:val="21"/>
          <w:u w:val="single" w:color="auto"/>
          <w:color w:val="191919"/>
        </w:rPr>
        <w:t>UK Financial Institution</w:t>
      </w:r>
      <w:r>
        <w:rPr>
          <w:rFonts w:ascii="Times New Roman" w:cs="Times New Roman" w:eastAsia="Times New Roman" w:hAnsi="Times New Roman"/>
          <w:sz w:val="21"/>
          <w:szCs w:val="21"/>
          <w:color w:val="191919"/>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191919"/>
        </w:rPr>
        <w:t>“</w:t>
      </w:r>
      <w:r>
        <w:rPr>
          <w:rFonts w:ascii="Times New Roman" w:cs="Times New Roman" w:eastAsia="Times New Roman" w:hAnsi="Times New Roman"/>
          <w:sz w:val="22"/>
          <w:szCs w:val="22"/>
          <w:u w:val="single" w:color="auto"/>
          <w:color w:val="191919"/>
        </w:rPr>
        <w:t>UK Resolution Authority</w:t>
      </w:r>
      <w:r>
        <w:rPr>
          <w:rFonts w:ascii="Times New Roman" w:cs="Times New Roman" w:eastAsia="Times New Roman" w:hAnsi="Times New Roman"/>
          <w:sz w:val="22"/>
          <w:szCs w:val="22"/>
          <w:color w:val="191919"/>
        </w:rPr>
        <w:t>” means the Bank of England or any other public administrative authority having responsibility for the resolution of any UK Financial Institution</w:t>
      </w:r>
      <w:r>
        <w:rPr>
          <w:rFonts w:ascii="Times New Roman" w:cs="Times New Roman" w:eastAsia="Times New Roman" w:hAnsi="Times New Roman"/>
          <w:sz w:val="22"/>
          <w:szCs w:val="22"/>
          <w:color w:val="000000"/>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mean the United States of America.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Unreimbursed Amount</w:t>
      </w:r>
      <w:r>
        <w:rPr>
          <w:rFonts w:ascii="Times New Roman" w:cs="Times New Roman" w:eastAsia="Times New Roman" w:hAnsi="Times New Roman"/>
          <w:sz w:val="22"/>
          <w:szCs w:val="22"/>
          <w:color w:val="auto"/>
        </w:rPr>
        <w:t xml:space="preserve">” has the meaning specified in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Cash</w:t>
      </w:r>
      <w:r>
        <w:rPr>
          <w:rFonts w:ascii="Times New Roman" w:cs="Times New Roman" w:eastAsia="Times New Roman" w:hAnsi="Times New Roman"/>
          <w:sz w:val="22"/>
          <w:szCs w:val="22"/>
          <w:color w:val="auto"/>
        </w:rPr>
        <w:t xml:space="preserve">” means, at any time, the sum of (a) 100% of the cash and Cash Equivalents of the Company and its Domestic Restricted Subsidiaries that would not appear as “restricted” on a consolidated balance sheet of the Company and its Restricted Subsidiaries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lesser of (i) 100% of the cash and Cash Equivalents of Foreign Restricted Subsidiaries that would not appear as “restricted” on a consolidated balance sheet of the Company and its Restricted Subsidiaries and (ii) $25,000,000. Notwithstanding anything to the contrary herein, in no event shall Unrestricted Cash include any amounts held as Cash Collateral.</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(a) each Subsidiary of the Company listed as an “Unrestricted Subsidiary” on Part (c)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(b) each Person that becomes a Subsidiary of the Company after the Closing Date (whether by reason of being newly created, by acquisition or otherwise) if, at the time such Person becomes a Subsidiary, the Company notifies the Administrative Agent that such Person shall be an Unrestricted Subsidiary for purposes of this Agreement in accordance with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(in which case all arrangements between such Person and the Company or any Restricted Subsidiary in existence at the time it becomes an Unrestricted Subsidiary shall be subject to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(c) each Subsidiary that is designated as an Unrestricted Subsidiary pursuant to </w:t>
      </w:r>
      <w:r>
        <w:rPr>
          <w:rFonts w:ascii="Times New Roman" w:cs="Times New Roman" w:eastAsia="Times New Roman" w:hAnsi="Times New Roman"/>
          <w:sz w:val="22"/>
          <w:szCs w:val="22"/>
          <w:u w:val="single" w:color="auto"/>
          <w:color w:val="auto"/>
        </w:rPr>
        <w:t>Section 2.20</w:t>
      </w:r>
      <w:r>
        <w:rPr>
          <w:rFonts w:ascii="Times New Roman" w:cs="Times New Roman" w:eastAsia="Times New Roman" w:hAnsi="Times New Roman"/>
          <w:sz w:val="22"/>
          <w:szCs w:val="22"/>
          <w:color w:val="auto"/>
        </w:rPr>
        <w:t xml:space="preserve"> and (d) each Subsidiary of an Unrestricted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sake of clarity, (x) each Subsidiary that is a Borrower is </w:t>
      </w:r>
      <w:r>
        <w:rPr>
          <w:rFonts w:ascii="Times New Roman" w:cs="Times New Roman" w:eastAsia="Times New Roman" w:hAnsi="Times New Roman"/>
          <w:sz w:val="22"/>
          <w:szCs w:val="22"/>
          <w:i w:val="1"/>
          <w:iCs w:val="1"/>
          <w:color w:val="auto"/>
        </w:rPr>
        <w:t>ipso facto</w:t>
      </w:r>
      <w:r>
        <w:rPr>
          <w:rFonts w:ascii="Times New Roman" w:cs="Times New Roman" w:eastAsia="Times New Roman" w:hAnsi="Times New Roman"/>
          <w:sz w:val="22"/>
          <w:szCs w:val="22"/>
          <w:color w:val="auto"/>
        </w:rPr>
        <w:t xml:space="preserve"> a Restricted Subsidiary and (y) each Subsidiary shall be deemed a Restricted Subsidiary unless it shall have been designated as an Unrestricted Subsidiary in accordance with this Agreement. Notwithstanding anything in this Agreement or any other Loan Document to the contrary, in no event shall (i) any Subsidiary be designated as an Unrestricted Subsidiary if it, or if any of its Subsidiaries, owns or holds (including by way of an exclusive license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2"/>
          <w:szCs w:val="22"/>
          <w:color w:val="auto"/>
        </w:rPr>
        <w:t>any intellectual property or any other assets material to any Borrower’s or Restricted Subsidiary’s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Borrower’s or Restricted Subsidiary’s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Holdco</w:t>
      </w:r>
      <w:r>
        <w:rPr>
          <w:rFonts w:ascii="Times New Roman" w:cs="Times New Roman" w:eastAsia="Times New Roman" w:hAnsi="Times New Roman"/>
          <w:sz w:val="22"/>
          <w:szCs w:val="22"/>
          <w:color w:val="auto"/>
        </w:rPr>
        <w:t>” has the meaning specified in the definition of Foreign Finance Company Plan.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USD Commitment</w:t>
      </w:r>
      <w:r>
        <w:rPr>
          <w:rFonts w:ascii="Times New Roman" w:cs="Times New Roman" w:eastAsia="Times New Roman" w:hAnsi="Times New Roman"/>
          <w:sz w:val="22"/>
          <w:szCs w:val="22"/>
          <w:color w:val="auto"/>
        </w:rPr>
        <w:t xml:space="preserve">” means, as to each Lender, its obligation to (a) make Committed (USD) Loans to the Borrowers pursuant to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 w:cs="Times New Roman" w:eastAsia="Times New Roman" w:hAnsi="Times New Roman"/>
          <w:sz w:val="22"/>
          <w:szCs w:val="22"/>
          <w:u w:val="single" w:color="auto"/>
          <w:color w:val="auto"/>
        </w:rPr>
        <w:t>Annex II-A</w:t>
      </w:r>
      <w:r>
        <w:rPr>
          <w:rFonts w:ascii="Times New Roman" w:cs="Times New Roman" w:eastAsia="Times New Roman" w:hAnsi="Times New Roman"/>
          <w:sz w:val="22"/>
          <w:szCs w:val="22"/>
          <w:color w:val="auto"/>
        </w:rPr>
        <w:t xml:space="preserve"> under the caption “USD Commitment” or opposite such caption in the Assignment and Assumption pursuant to which such Lender becomes a party hereto, as applicable, as such amount may be adjusted from time to time in accordance with this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w:t>
      </w:r>
      <w:r>
        <w:rPr>
          <w:rFonts w:ascii="Times New Roman" w:cs="Times New Roman" w:eastAsia="Times New Roman" w:hAnsi="Times New Roman"/>
          <w:sz w:val="22"/>
          <w:szCs w:val="22"/>
          <w:color w:val="auto"/>
        </w:rPr>
        <w:t>” means, with respect to any direct or indirect Subsidiary of any Person, that 100% of the Equity Interests with ordinary voting power issued by such Subsidiary (other than directors’ qualifying shares and investment by foreign nationals mandated by applicable Law) is beneficially, owned, directly or indirectly, by such Person.</w:t>
      </w:r>
    </w:p>
    <w:p>
      <w:pPr>
        <w:spacing w:after="0" w:line="21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w:t>
      </w:r>
      <w:r>
        <w:rPr>
          <w:rFonts w:ascii="Times New Roman" w:cs="Times New Roman" w:eastAsia="Times New Roman" w:hAnsi="Times New Roman"/>
          <w:sz w:val="22"/>
          <w:szCs w:val="22"/>
          <w:color w:val="191919"/>
        </w:rPr>
        <w:t>(b)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1.02 Other Interpretive Provisions. </w:t>
      </w:r>
      <w:r>
        <w:rPr>
          <w:rFonts w:ascii="Times New Roman" w:cs="Times New Roman" w:eastAsia="Times New Roman" w:hAnsi="Times New Roman"/>
          <w:sz w:val="22"/>
          <w:szCs w:val="22"/>
          <w:color w:val="auto"/>
        </w:rPr>
        <w:t>With reference to this Agreement and each other Loan Document, unless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specified herein or in such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22" w:right="339" w:bottom="1440" w:gutter="0" w:footer="0" w:header="0"/>
        </w:sectPr>
      </w:pPr>
    </w:p>
    <w:bookmarkStart w:id="161" w:name="page162"/>
    <w:bookmarkEnd w:id="161"/>
    <w:p>
      <w:pPr>
        <w:jc w:val="both"/>
        <w:ind w:firstLine="656"/>
        <w:spacing w:after="0" w:line="260" w:lineRule="auto"/>
        <w:tabs>
          <w:tab w:leader="none" w:pos="1139"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21"/>
          <w:szCs w:val="21"/>
          <w:u w:val="single" w:color="auto"/>
          <w:color w:val="auto"/>
        </w:rPr>
        <w:t>include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shall be deemed to be followed by the phrase “without limitation.” The word “</w:t>
      </w:r>
      <w:r>
        <w:rPr>
          <w:rFonts w:ascii="Times New Roman" w:cs="Times New Roman" w:eastAsia="Times New Roman" w:hAnsi="Times New Roman"/>
          <w:sz w:val="21"/>
          <w:szCs w:val="21"/>
          <w:u w:val="single" w:color="auto"/>
          <w:color w:val="auto"/>
        </w:rPr>
        <w:t>will</w:t>
      </w:r>
      <w:r>
        <w:rPr>
          <w:rFonts w:ascii="Times New Roman" w:cs="Times New Roman" w:eastAsia="Times New Roman" w:hAnsi="Times New Roman"/>
          <w:sz w:val="21"/>
          <w:szCs w:val="21"/>
          <w:color w:val="auto"/>
        </w:rPr>
        <w:t>” shall be construed to have the same meaning and effect as the word “</w:t>
      </w:r>
      <w:r>
        <w:rPr>
          <w:rFonts w:ascii="Times New Roman" w:cs="Times New Roman" w:eastAsia="Times New Roman" w:hAnsi="Times New Roman"/>
          <w:sz w:val="21"/>
          <w:szCs w:val="21"/>
          <w:u w:val="single" w:color="auto"/>
          <w:color w:val="auto"/>
        </w:rPr>
        <w:t>shall</w:t>
      </w:r>
      <w:r>
        <w:rPr>
          <w:rFonts w:ascii="Times New Roman" w:cs="Times New Roman" w:eastAsia="Times New Roman" w:hAnsi="Times New Roman"/>
          <w:sz w:val="21"/>
          <w:szCs w:val="21"/>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w:t>
      </w:r>
    </w:p>
    <w:p>
      <w:pPr>
        <w:spacing w:after="0" w:line="1" w:lineRule="exact"/>
        <w:rPr>
          <w:rFonts w:ascii="Times New Roman" w:cs="Times New Roman" w:eastAsia="Times New Roman" w:hAnsi="Times New Roman"/>
          <w:sz w:val="21"/>
          <w:szCs w:val="21"/>
          <w:color w:val="auto"/>
        </w:rPr>
      </w:pPr>
    </w:p>
    <w:p>
      <w:pPr>
        <w:jc w:val="both"/>
        <w:ind w:firstLine="8"/>
        <w:spacing w:after="0" w:line="260" w:lineRule="auto"/>
        <w:tabs>
          <w:tab w:leader="none" w:pos="36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herein to any Person shall be construed to include such Person’s successors and assigns, (iii) the words “</w:t>
      </w:r>
      <w:r>
        <w:rPr>
          <w:rFonts w:ascii="Times New Roman" w:cs="Times New Roman" w:eastAsia="Times New Roman" w:hAnsi="Times New Roman"/>
          <w:sz w:val="21"/>
          <w:szCs w:val="21"/>
          <w:u w:val="single" w:color="auto"/>
          <w:color w:val="auto"/>
        </w:rPr>
        <w:t>hereto</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shall be construed to refer to such Loan Document in its entirety and not to any particular provision thereof, (iv) all references in a Loan Document to Articles, Sections, Exhibits, Schedules and Annexes shall be construed to refer to Articles and Sections of, and Exhibits, Schedules and Annexes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 w:cs="Times New Roman" w:eastAsia="Times New Roman" w:hAnsi="Times New Roman"/>
          <w:sz w:val="21"/>
          <w:szCs w:val="21"/>
          <w:u w:val="single" w:color="auto"/>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including cash, securities, accounts and contract rights.</w:t>
      </w:r>
    </w:p>
    <w:p>
      <w:pPr>
        <w:spacing w:after="0" w:line="173" w:lineRule="exact"/>
        <w:rPr>
          <w:rFonts w:ascii="Times New Roman" w:cs="Times New Roman" w:eastAsia="Times New Roman" w:hAnsi="Times New Roman"/>
          <w:sz w:val="21"/>
          <w:szCs w:val="21"/>
          <w:color w:val="auto"/>
        </w:rPr>
      </w:pPr>
    </w:p>
    <w:p>
      <w:pPr>
        <w:ind w:firstLine="656"/>
        <w:spacing w:after="0" w:line="271" w:lineRule="auto"/>
        <w:tabs>
          <w:tab w:leader="none" w:pos="115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computation of periods of time from a specified date to a later specified date, the word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from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including</w:t>
      </w:r>
      <w:r>
        <w:rPr>
          <w:rFonts w:ascii="Times New Roman" w:cs="Times New Roman" w:eastAsia="Times New Roman" w:hAnsi="Times New Roman"/>
          <w:sz w:val="22"/>
          <w:szCs w:val="22"/>
          <w:color w:val="auto"/>
        </w:rPr>
        <w:t>;” the words “</w:t>
      </w:r>
      <w:r>
        <w:rPr>
          <w:rFonts w:ascii="Times New Roman" w:cs="Times New Roman" w:eastAsia="Times New Roman" w:hAnsi="Times New Roman"/>
          <w:sz w:val="22"/>
          <w:szCs w:val="22"/>
          <w:u w:val="single" w:color="auto"/>
          <w:color w:val="auto"/>
        </w:rPr>
        <w:t>to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until</w:t>
      </w:r>
      <w:r>
        <w:rPr>
          <w:rFonts w:ascii="Times New Roman" w:cs="Times New Roman" w:eastAsia="Times New Roman" w:hAnsi="Times New Roman"/>
          <w:sz w:val="22"/>
          <w:szCs w:val="22"/>
          <w:color w:val="auto"/>
        </w:rPr>
        <w:t>” each mean “</w:t>
      </w:r>
      <w:r>
        <w:rPr>
          <w:rFonts w:ascii="Times New Roman" w:cs="Times New Roman" w:eastAsia="Times New Roman" w:hAnsi="Times New Roman"/>
          <w:sz w:val="22"/>
          <w:szCs w:val="22"/>
          <w:u w:val="single" w:color="auto"/>
          <w:color w:val="auto"/>
        </w:rPr>
        <w:t>to but excluding</w:t>
      </w:r>
      <w:r>
        <w:rPr>
          <w:rFonts w:ascii="Times New Roman" w:cs="Times New Roman" w:eastAsia="Times New Roman" w:hAnsi="Times New Roman"/>
          <w:sz w:val="22"/>
          <w:szCs w:val="22"/>
          <w:color w:val="auto"/>
        </w:rPr>
        <w:t>;” and the word “</w:t>
      </w:r>
      <w:r>
        <w:rPr>
          <w:rFonts w:ascii="Times New Roman" w:cs="Times New Roman" w:eastAsia="Times New Roman" w:hAnsi="Times New Roman"/>
          <w:sz w:val="22"/>
          <w:szCs w:val="22"/>
          <w:u w:val="single" w:color="auto"/>
          <w:color w:val="auto"/>
        </w:rPr>
        <w:t>through</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u w:val="single" w:color="auto"/>
          <w:color w:val="auto"/>
        </w:rPr>
        <w:t>to and including</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right="20" w:firstLine="656"/>
        <w:spacing w:after="0" w:line="284" w:lineRule="auto"/>
        <w:tabs>
          <w:tab w:leader="none" w:pos="114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headings herein and in the other Loan Documents are included for convenience of reference only and shall not affect the interpretation of this Agreement or any other Loan Document.</w:t>
      </w:r>
    </w:p>
    <w:p>
      <w:pPr>
        <w:spacing w:after="0" w:line="143" w:lineRule="exact"/>
        <w:rPr>
          <w:rFonts w:ascii="Times New Roman" w:cs="Times New Roman" w:eastAsia="Times New Roman" w:hAnsi="Times New Roman"/>
          <w:sz w:val="22"/>
          <w:szCs w:val="22"/>
          <w:color w:val="auto"/>
        </w:rPr>
      </w:pPr>
    </w:p>
    <w:p>
      <w:pPr>
        <w:jc w:val="both"/>
        <w:ind w:firstLine="656"/>
        <w:spacing w:after="0" w:line="249" w:lineRule="auto"/>
        <w:tabs>
          <w:tab w:leader="none" w:pos="111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transfer, consolidation, amalgamation, consolidation, assignment, sale, disposition or transfer, or similar term, shall be deemed to apply to a division of or by a limited liability company, a limited partnership or any other entity, or an allocation of assets to a series of a limited liability company, a limited partnership or any other entity (or the unwinding of such a division or allocation), as if it were a merger, transfer, consolidation, amalgamation, consolidation, assignment, sale, disposition or transfer, or similar term, as applicable, to, of or with a separate Person. Any division of a limited liability company, a limited partnership or any other entity shall constitute a separate Person hereunder (and each division of any limited liability company, a limited partnership or any other entity that is a Subsidiary, joint venture or any other like term shall also constitute such a Person or entity).</w:t>
      </w:r>
    </w:p>
    <w:p>
      <w:pPr>
        <w:spacing w:after="0" w:line="17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1.03 Accounting Terms.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All accounting terms not specifically or completely defined herein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conformity with, and all financial data (including financial ratios and other financial calculations) required to be submitted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22" w:right="339" w:bottom="1440" w:gutter="0" w:footer="0" w:header="0"/>
        </w:sectPr>
      </w:pPr>
    </w:p>
    <w:bookmarkStart w:id="162" w:name="page163"/>
    <w:bookmarkEnd w:id="162"/>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Agreement shall be prepared in conformity with, GAAP applied on a consistent basis, as in effect from time to time, applied in a manner consistent with that used in preparing the Audited Financial Statements,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as otherwise specifically prescribed herein.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81" w:lineRule="exact"/>
        <w:rPr>
          <w:sz w:val="20"/>
          <w:szCs w:val="20"/>
          <w:color w:val="auto"/>
        </w:rPr>
      </w:pPr>
    </w:p>
    <w:p>
      <w:pPr>
        <w:jc w:val="both"/>
        <w:ind w:firstLine="656"/>
        <w:spacing w:after="0" w:line="248" w:lineRule="auto"/>
        <w:tabs>
          <w:tab w:leader="none" w:pos="114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GAAP</w:t>
      </w:r>
      <w:r>
        <w:rPr>
          <w:rFonts w:ascii="Times New Roman" w:cs="Times New Roman" w:eastAsia="Times New Roman" w:hAnsi="Times New Roman"/>
          <w:sz w:val="22"/>
          <w:szCs w:val="22"/>
          <w:color w:val="auto"/>
        </w:rPr>
        <w:t xml:space="preserve">. If at any time any change in GAAP (including any change required by the promulgation of any rule, regulation, pronouncement or opinion by the FASB or its successors)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until so amended, (A) such ratio or requirement shall continue to be computed in accordance with GAAP prior to such change therein and (B)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84" w:lineRule="exact"/>
        <w:rPr>
          <w:rFonts w:ascii="Times New Roman" w:cs="Times New Roman" w:eastAsia="Times New Roman" w:hAnsi="Times New Roman"/>
          <w:sz w:val="22"/>
          <w:szCs w:val="22"/>
          <w:color w:val="auto"/>
        </w:rPr>
      </w:pPr>
    </w:p>
    <w:p>
      <w:pPr>
        <w:jc w:val="both"/>
        <w:ind w:firstLine="656"/>
        <w:spacing w:after="0" w:line="251" w:lineRule="auto"/>
        <w:tabs>
          <w:tab w:leader="none" w:pos="130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Consolidation of Variable Interest Entities</w:t>
      </w:r>
      <w:r>
        <w:rPr>
          <w:rFonts w:ascii="Times New Roman" w:cs="Times New Roman" w:eastAsia="Times New Roman" w:hAnsi="Times New Roman"/>
          <w:sz w:val="22"/>
          <w:szCs w:val="22"/>
          <w:color w:val="auto"/>
        </w:rPr>
        <w:t xml:space="preserve">. All references herein to consolidated financial statements of the Company and its Subsidiaries or the Company and its Restricted Subsidiaries, as the case may be, or to the determination of any amount for the Company and its Subsidiaries on a consolidated basis or the Company and its Restricted Subsidiaries on a consolidated basis, as the case may be, or any similar reference shall, in each case, be deemed to include each variable interest entity that the Company is required to consolidate pursuant to </w:t>
      </w:r>
      <w:r>
        <w:rPr>
          <w:rFonts w:ascii="Times New Roman" w:cs="Times New Roman" w:eastAsia="Times New Roman" w:hAnsi="Times New Roman"/>
          <w:sz w:val="22"/>
          <w:szCs w:val="22"/>
          <w:u w:val="single" w:color="auto"/>
          <w:color w:val="auto"/>
        </w:rPr>
        <w:t>FASB ASC 810</w:t>
      </w:r>
      <w:r>
        <w:rPr>
          <w:rFonts w:ascii="Times New Roman" w:cs="Times New Roman" w:eastAsia="Times New Roman" w:hAnsi="Times New Roman"/>
          <w:sz w:val="22"/>
          <w:szCs w:val="22"/>
          <w:color w:val="auto"/>
        </w:rPr>
        <w:t xml:space="preserve"> as if such variable interest entity were a Subsidiary or a Restricted Subsidiary, as the case may be, as defined herein.</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1.04 Rounding. </w:t>
      </w:r>
      <w:r>
        <w:rPr>
          <w:rFonts w:ascii="Times New Roman" w:cs="Times New Roman" w:eastAsia="Times New Roman" w:hAnsi="Times New Roman"/>
          <w:sz w:val="22"/>
          <w:szCs w:val="22"/>
          <w:color w:val="auto"/>
        </w:rPr>
        <w:t>Any financial ratios required to be maintained by the Company pursuant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b w:val="1"/>
          <w:bCs w:val="1"/>
          <w:color w:val="auto"/>
        </w:rPr>
        <w:t xml:space="preserve">1.05 Exchange Rates; Currency Equivalents. </w:t>
      </w:r>
      <w:r>
        <w:rPr>
          <w:rFonts w:ascii="Times New Roman" w:cs="Times New Roman" w:eastAsia="Times New Roman" w:hAnsi="Times New Roman"/>
          <w:sz w:val="21"/>
          <w:szCs w:val="21"/>
          <w:color w:val="auto"/>
        </w:rPr>
        <w:t>(a) The Administrative Agent or the L/C Issuer, as applicable,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determine the Dollar Equivalent amounts of Credit Extensions and Outstanding Amounts denominated in Alternative Currencies as of each Revaluation Date. Such Dollar Equivalent shall become effective as of such Revaluation Date and shall be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6" w:lineRule="auto"/>
        <w:rPr>
          <w:sz w:val="20"/>
          <w:szCs w:val="20"/>
          <w:color w:val="auto"/>
        </w:rPr>
      </w:pPr>
      <w:r>
        <w:rPr>
          <w:rFonts w:ascii="Times New Roman" w:cs="Times New Roman" w:eastAsia="Times New Roman" w:hAnsi="Times New Roman"/>
          <w:sz w:val="22"/>
          <w:szCs w:val="22"/>
          <w:color w:val="auto"/>
        </w:rPr>
        <w:t>Dollar Equivalent of such amounts until the next Revaluation Date to occur. Except for purposes of financial statements delivered by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76" w:lineRule="exact"/>
        <w:rPr>
          <w:sz w:val="20"/>
          <w:szCs w:val="20"/>
          <w:color w:val="auto"/>
        </w:rPr>
      </w:pPr>
    </w:p>
    <w:p>
      <w:pPr>
        <w:jc w:val="both"/>
        <w:ind w:firstLine="656"/>
        <w:spacing w:after="0" w:line="250" w:lineRule="auto"/>
        <w:tabs>
          <w:tab w:leader="none" w:pos="122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 Committed (MC) Borrowing, the conversion, continuation or prepayment of a Term SOFR Loan or an Alternative Currency Term Rate Loan or the issuance, amendment or extension of a Letter of Credit or Bankers’ Acceptance, an amount, such as a required minimum or multiple amount, is expressed in Dollars, but such Committed (MC) Borrowing, Term SOFR Loan, Alternative Currency Term Rate Loan, Letter of Credit or Bankers’ Acceptance is denominated in an Alternative Currency, such amount shall be the Alternative Currency Equivalent of such Dollar amount (rounded to the nearest unit of such Alternative Currency, with 0.5 of a unit being rounded upward), as determined by the Administrative Agent or the L/C Issuer, as the case may be.</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1.06 Change of Currency. </w:t>
      </w:r>
      <w:r>
        <w:rPr>
          <w:rFonts w:ascii="Times New Roman" w:cs="Times New Roman" w:eastAsia="Times New Roman" w:hAnsi="Times New Roman"/>
          <w:sz w:val="22"/>
          <w:szCs w:val="22"/>
          <w:color w:val="auto"/>
        </w:rPr>
        <w:t>Each provision of this Agreement shall be subject to such reasonable changes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construction as the Administrative Agent may from time to time specify to be appropriate to reflect a change in currency of any other country and any relevant market conventions or practices relating to the change in currency.</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1.07 Times of Day. </w:t>
      </w:r>
      <w:r>
        <w:rPr>
          <w:rFonts w:ascii="Times New Roman" w:cs="Times New Roman" w:eastAsia="Times New Roman" w:hAnsi="Times New Roman"/>
          <w:sz w:val="22"/>
          <w:szCs w:val="22"/>
          <w:color w:val="auto"/>
        </w:rPr>
        <w:t>Unless otherwise specified, all references herein to times of day shall be references to Eastern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(daylight or standard, as applicable).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1.08 Letter of Credit Amounts. </w:t>
      </w:r>
      <w:r>
        <w:rPr>
          <w:rFonts w:ascii="Times New Roman" w:cs="Times New Roman" w:eastAsia="Times New Roman" w:hAnsi="Times New Roman"/>
          <w:sz w:val="22"/>
          <w:szCs w:val="22"/>
          <w:color w:val="auto"/>
        </w:rPr>
        <w:t>Unless otherwise specified herein, (a) the amount of a Letter of Credit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deemed to be the Dollar Equivalent of the stated amount of such Letter of Credit in effect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 and (b) the amount of any Bankers’ Acceptance at any time shall be deemed to be the face value of such Bankers’ Acceptance without respect to any discounts.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1.09 Making Calculations on a Pro Forma Basis. </w:t>
      </w:r>
      <w:r>
        <w:rPr>
          <w:rFonts w:ascii="Times New Roman" w:cs="Times New Roman" w:eastAsia="Times New Roman" w:hAnsi="Times New Roman"/>
          <w:sz w:val="22"/>
          <w:szCs w:val="22"/>
          <w:color w:val="auto"/>
        </w:rPr>
        <w:t>When calculating Consolidated EBITDA or Consolidated Interest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Charges for any period in order to determine compliance with the financial maintenance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in order to determine the Applicable Rate, such calculations shall be made on a Pro Forma Basis with respect to each Permitted Acquisition or Specified Disposition that occurred during such period. When calculating any financial ratio incurrence test or other incurrence test hereunder at any time in connection with any proposed Specified Transaction, such calculation shall be made (i) based on the financial results for the most recently ended period of four consecutive fiscal quarters for which financial statements have been delivered to the Administrative Agent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prior to the first delivery thereof, the financial statements described in </w:t>
      </w:r>
      <w:r>
        <w:rPr>
          <w:rFonts w:ascii="Times New Roman" w:cs="Times New Roman" w:eastAsia="Times New Roman" w:hAnsi="Times New Roman"/>
          <w:sz w:val="22"/>
          <w:szCs w:val="22"/>
          <w:u w:val="single" w:color="auto"/>
          <w:color w:val="auto"/>
        </w:rPr>
        <w:t>Section 5.05(b)</w:t>
      </w:r>
      <w:r>
        <w:rPr>
          <w:rFonts w:ascii="Times New Roman" w:cs="Times New Roman" w:eastAsia="Times New Roman" w:hAnsi="Times New Roman"/>
          <w:sz w:val="22"/>
          <w:szCs w:val="22"/>
          <w:color w:val="auto"/>
        </w:rPr>
        <w:t>) but assuming all Indebtedness outstanding at such time was outstanding as of the last day of such period and (ii) on a Pro Forma Basis with respect to the proposed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22" w:right="339" w:bottom="1440" w:gutter="0" w:footer="0" w:header="0"/>
        </w:sectPr>
      </w:pPr>
    </w:p>
    <w:bookmarkStart w:id="164" w:name="page165"/>
    <w:bookmarkEnd w:id="164"/>
    <w:p>
      <w:pPr>
        <w:spacing w:after="0" w:line="271" w:lineRule="auto"/>
        <w:rPr>
          <w:sz w:val="20"/>
          <w:szCs w:val="20"/>
          <w:color w:val="auto"/>
        </w:rPr>
      </w:pPr>
      <w:r>
        <w:rPr>
          <w:rFonts w:ascii="Times New Roman" w:cs="Times New Roman" w:eastAsia="Times New Roman" w:hAnsi="Times New Roman"/>
          <w:sz w:val="22"/>
          <w:szCs w:val="22"/>
          <w:color w:val="auto"/>
        </w:rPr>
        <w:t>Transaction and each other Specified Transaction that has occurred since the first day of such period of four consecutive fiscal quarters through the day on which the proposed Specified Transaction is to be consummated.</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1.10</w:t>
      </w:r>
      <w:r>
        <w:rPr>
          <w:sz w:val="20"/>
          <w:szCs w:val="20"/>
          <w:color w:val="auto"/>
        </w:rPr>
        <w:tab/>
      </w:r>
      <w:r>
        <w:rPr>
          <w:rFonts w:ascii="Times New Roman" w:cs="Times New Roman" w:eastAsia="Times New Roman" w:hAnsi="Times New Roman"/>
          <w:sz w:val="21"/>
          <w:szCs w:val="21"/>
          <w:b w:val="1"/>
          <w:bCs w:val="1"/>
          <w:color w:val="auto"/>
        </w:rPr>
        <w:t>Interest Rates</w:t>
      </w:r>
      <w:r>
        <w:rPr>
          <w:rFonts w:ascii="Times New Roman" w:cs="Times New Roman" w:eastAsia="Times New Roman" w:hAnsi="Times New Roman"/>
          <w:sz w:val="21"/>
          <w:szCs w:val="21"/>
          <w:b w:val="1"/>
          <w:bCs w:val="1"/>
          <w:color w:val="FF0000"/>
          <w:strike w:val="1"/>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0000FF"/>
        </w:rPr>
        <w:t>; Licenses.</w:t>
      </w:r>
    </w:p>
    <w:p>
      <w:pPr>
        <w:spacing w:after="0" w:line="237" w:lineRule="exact"/>
        <w:rPr>
          <w:sz w:val="20"/>
          <w:szCs w:val="20"/>
          <w:color w:val="auto"/>
        </w:rPr>
      </w:pPr>
    </w:p>
    <w:p>
      <w:pPr>
        <w:jc w:val="both"/>
        <w:ind w:left="840" w:firstLine="656"/>
        <w:spacing w:after="0" w:line="259" w:lineRule="auto"/>
        <w:tabs>
          <w:tab w:leader="none" w:pos="2051" w:val="left"/>
        </w:tabs>
        <w:numPr>
          <w:ilvl w:val="0"/>
          <w:numId w:val="70"/>
        </w:numPr>
        <w:rPr>
          <w:rFonts w:ascii="Times New Roman" w:cs="Times New Roman" w:eastAsia="Times New Roman" w:hAnsi="Times New Roman"/>
          <w:sz w:val="21"/>
          <w:szCs w:val="21"/>
          <w:u w:val="single" w:color="auto"/>
          <w:color w:val="0000FF"/>
        </w:rPr>
      </w:pPr>
      <w:r>
        <w:rPr>
          <w:rFonts w:ascii="Times New Roman" w:cs="Times New Roman" w:eastAsia="Times New Roman" w:hAnsi="Times New Roman"/>
          <w:sz w:val="21"/>
          <w:szCs w:val="21"/>
          <w:color w:val="auto"/>
        </w:rPr>
        <w:t>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90" w:lineRule="exact"/>
        <w:rPr>
          <w:rFonts w:ascii="Times New Roman" w:cs="Times New Roman" w:eastAsia="Times New Roman" w:hAnsi="Times New Roman"/>
          <w:sz w:val="21"/>
          <w:szCs w:val="21"/>
          <w:u w:val="single" w:color="auto"/>
          <w:color w:val="0000FF"/>
        </w:rPr>
      </w:pPr>
    </w:p>
    <w:p>
      <w:pPr>
        <w:jc w:val="both"/>
        <w:ind w:left="840" w:firstLine="656"/>
        <w:spacing w:after="0" w:line="257" w:lineRule="auto"/>
        <w:tabs>
          <w:tab w:leader="none" w:pos="2010" w:val="left"/>
        </w:tabs>
        <w:numPr>
          <w:ilvl w:val="0"/>
          <w:numId w:val="70"/>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By agreeing to make Loans under this Agreement, each Lender is confirming it has all licenses, permits and approvals necessary for use of the reference rates referred to herein and it will do all things necessary to comply, preserve, renew and keep in full force and effect such licenses, permits and approvals.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1.11 Currency Equivalents Generally. </w:t>
      </w:r>
      <w:r>
        <w:rPr>
          <w:rFonts w:ascii="Times New Roman" w:cs="Times New Roman" w:eastAsia="Times New Roman" w:hAnsi="Times New Roman"/>
          <w:sz w:val="22"/>
          <w:szCs w:val="22"/>
          <w:color w:val="auto"/>
        </w:rPr>
        <w:t>Any amount specified in this Agreement (other than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Articles II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of the other Loan Documents to be in Dollars shall also include the equivalent of such amount in any currency other than Dollars, such equivalent amount thereof in the applicable currency to be determined by the Administrative Agent at such time in a manner consistent with the definition of Alternative Currency Equivalent.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1.12 Limited Condition Transactions. </w:t>
      </w:r>
      <w:r>
        <w:rPr>
          <w:rFonts w:ascii="Times New Roman" w:cs="Times New Roman" w:eastAsia="Times New Roman" w:hAnsi="Times New Roman"/>
          <w:sz w:val="22"/>
          <w:szCs w:val="22"/>
          <w:color w:val="auto"/>
        </w:rPr>
        <w:t>In the event that the Company notifies the Administrative Agent in writing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proposed Acquisition is a Limited Condition Transaction and that the Company wishes to test the conditions to such Acquisition, and the Indebtedness under an Incremental Term Loan and/or Indebtedness under </w:t>
      </w:r>
      <w:r>
        <w:rPr>
          <w:rFonts w:ascii="Times New Roman" w:cs="Times New Roman" w:eastAsia="Times New Roman" w:hAnsi="Times New Roman"/>
          <w:sz w:val="22"/>
          <w:szCs w:val="22"/>
          <w:u w:val="single" w:color="auto"/>
          <w:color w:val="auto"/>
        </w:rPr>
        <w:t>Section 7.03(r)</w:t>
      </w:r>
      <w:r>
        <w:rPr>
          <w:rFonts w:ascii="Times New Roman" w:cs="Times New Roman" w:eastAsia="Times New Roman" w:hAnsi="Times New Roman"/>
          <w:sz w:val="22"/>
          <w:szCs w:val="22"/>
          <w:color w:val="auto"/>
        </w:rPr>
        <w:t xml:space="preserve"> that is to be used to finance such Acquisition or other Investment in accordance with this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22" w:right="339" w:bottom="1440" w:gutter="0" w:footer="0" w:header="0"/>
        </w:sectPr>
      </w:pPr>
    </w:p>
    <w:bookmarkStart w:id="165" w:name="page166"/>
    <w:bookmarkEnd w:id="165"/>
    <w:p>
      <w:pPr>
        <w:spacing w:after="0" w:line="271" w:lineRule="auto"/>
        <w:rPr>
          <w:sz w:val="20"/>
          <w:szCs w:val="20"/>
          <w:color w:val="auto"/>
        </w:rPr>
      </w:pPr>
      <w:r>
        <w:rPr>
          <w:rFonts w:ascii="Times New Roman" w:cs="Times New Roman" w:eastAsia="Times New Roman" w:hAnsi="Times New Roman"/>
          <w:sz w:val="22"/>
          <w:szCs w:val="22"/>
          <w:color w:val="auto"/>
        </w:rPr>
        <w:t>then, so long as agreed to by the Administrative Agent and the lenders providing such Indebtedness, the following provisions shall apply:</w:t>
      </w:r>
    </w:p>
    <w:p>
      <w:pPr>
        <w:spacing w:after="0" w:line="158" w:lineRule="exact"/>
        <w:rPr>
          <w:sz w:val="20"/>
          <w:szCs w:val="20"/>
          <w:color w:val="auto"/>
        </w:rPr>
      </w:pPr>
    </w:p>
    <w:p>
      <w:pPr>
        <w:jc w:val="both"/>
        <w:ind w:firstLine="737"/>
        <w:spacing w:after="0" w:line="251" w:lineRule="auto"/>
        <w:tabs>
          <w:tab w:leader="none" w:pos="120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condition to such Limited Condition Transaction or such Indebtedness that requires that no Default or Event of Default shall have occurred and be continuing at the time of such Limited Condition Transaction or the incurrence of such Indebtedness, shall be satisfied if no Default or Event of Default shall have occurred and be continuing at the time of the execution of the definitive agreement governing such Limited Condition Transaction (the “</w:t>
      </w:r>
      <w:r>
        <w:rPr>
          <w:rFonts w:ascii="Times New Roman" w:cs="Times New Roman" w:eastAsia="Times New Roman" w:hAnsi="Times New Roman"/>
          <w:sz w:val="22"/>
          <w:szCs w:val="22"/>
          <w:u w:val="single" w:color="auto"/>
          <w:color w:val="auto"/>
        </w:rPr>
        <w:t>LCT Test Date</w:t>
      </w:r>
      <w:r>
        <w:rPr>
          <w:rFonts w:ascii="Times New Roman" w:cs="Times New Roman" w:eastAsia="Times New Roman" w:hAnsi="Times New Roman"/>
          <w:sz w:val="22"/>
          <w:szCs w:val="22"/>
          <w:color w:val="auto"/>
        </w:rPr>
        <w:t>”) both immediately before and immediately after giving effect to such Limited Condition Transaction and any Indebtedness incurred in connection therewith (including any such additional Indebtedness);</w:t>
      </w:r>
    </w:p>
    <w:p>
      <w:pPr>
        <w:spacing w:after="0" w:line="194" w:lineRule="exact"/>
        <w:rPr>
          <w:rFonts w:ascii="Times New Roman" w:cs="Times New Roman" w:eastAsia="Times New Roman" w:hAnsi="Times New Roman"/>
          <w:sz w:val="22"/>
          <w:szCs w:val="22"/>
          <w:color w:val="auto"/>
        </w:rPr>
      </w:pPr>
    </w:p>
    <w:p>
      <w:pPr>
        <w:jc w:val="both"/>
        <w:ind w:firstLine="737"/>
        <w:spacing w:after="0" w:line="260" w:lineRule="auto"/>
        <w:tabs>
          <w:tab w:leader="none" w:pos="124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condition to such Limited Condition Transaction or such Indebtedness that the representations and warranties in this Agreement and the other Loan Documents shall be true and correct at the time of consummation of such Limited Condition Transaction or the incurrence of such Indebtedness shall be deemed satisfied if (i) all representations and warranties in this Agreement and the other Loan Documents are true and correct in all material respects as of the LCT Test Date, except that</w:t>
      </w:r>
    </w:p>
    <w:p>
      <w:pPr>
        <w:spacing w:after="0" w:line="3" w:lineRule="exact"/>
        <w:rPr>
          <w:rFonts w:ascii="Times New Roman" w:cs="Times New Roman" w:eastAsia="Times New Roman" w:hAnsi="Times New Roman"/>
          <w:sz w:val="21"/>
          <w:szCs w:val="21"/>
          <w:color w:val="auto"/>
        </w:rPr>
      </w:pPr>
    </w:p>
    <w:p>
      <w:pPr>
        <w:jc w:val="both"/>
        <w:ind w:firstLine="8"/>
        <w:spacing w:after="0" w:line="257" w:lineRule="auto"/>
        <w:tabs>
          <w:tab w:leader="none" w:pos="37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 (C) for purposes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the representations and warranties contained in subsections (a), (b) and (c)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clauses (a) and (b),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and (ii) as of the date of consummation of such Limited Condition Transaction, (A) the representations and warranties under the relevant definitive agreement governing such Limited Condition Transaction as are material to the lenders providing such Indebtedness shall be true and correct, but only to the extent that the Company or its applicable Subsidiary has the right to terminate its obligations under such agreement or otherwise decline to close such Limited Condition Transaction as a result of a breach of such representations and warranties or the failure of those representations and warranties to be true and correct and (B) certain of the representations and warranties in this Agreement and the other Loan Documents which are customary for similar “funds certain” financings and required by the lenders providing such Indebtedness shall be true and correct in all material respects, except that (I) if a qualifier relating to materiality, Material Adverse Effect or a similar concept applies, such representation or warranty shall be required to be true and correct in all respects, (II)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w:t>
      </w:r>
    </w:p>
    <w:p>
      <w:pPr>
        <w:spacing w:after="0" w:line="4" w:lineRule="exact"/>
        <w:rPr>
          <w:rFonts w:ascii="Times New Roman" w:cs="Times New Roman" w:eastAsia="Times New Roman" w:hAnsi="Times New Roman"/>
          <w:sz w:val="21"/>
          <w:szCs w:val="21"/>
          <w:color w:val="auto"/>
        </w:rPr>
      </w:pPr>
    </w:p>
    <w:p>
      <w:pPr>
        <w:ind w:firstLine="8"/>
        <w:spacing w:after="0" w:line="283" w:lineRule="auto"/>
        <w:tabs>
          <w:tab w:leader="none" w:pos="419"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the representations and warranties contained in subsections (a), (b) and (c)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clauses (a) and (b),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22" w:right="339" w:bottom="1440" w:gutter="0" w:footer="0" w:header="0"/>
        </w:sectPr>
      </w:pPr>
    </w:p>
    <w:bookmarkStart w:id="166" w:name="page167"/>
    <w:bookmarkEnd w:id="166"/>
    <w:p>
      <w:pPr>
        <w:jc w:val="both"/>
        <w:ind w:firstLine="737"/>
        <w:spacing w:after="0" w:line="250" w:lineRule="auto"/>
        <w:tabs>
          <w:tab w:leader="none" w:pos="127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financial ratio test or condition to be tested in connection with such Limited Condition Transaction and the availability of such Indebtedness will be tested as of the LCT Test Date, in each case, after giving effect to the relevant Limited Condition Transaction and any related incurrence of Indebtedness, calculated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where applicable, and, for the avoidance of doubt, (i) such ratios and baskets shall not be tested at the time of consummation of such Limited Condition Transaction and (ii) if any of such ratios are exceeded or conditions are not met following the LCT Test Date, but prior to the closing of such Limited Condition Transaction, as a result of fluctuations in such ratio or amount,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79" w:lineRule="exact"/>
        <w:rPr>
          <w:rFonts w:ascii="Times New Roman" w:cs="Times New Roman" w:eastAsia="Times New Roman" w:hAnsi="Times New Roman"/>
          <w:sz w:val="22"/>
          <w:szCs w:val="22"/>
          <w:color w:val="auto"/>
        </w:rPr>
      </w:pPr>
    </w:p>
    <w:p>
      <w:pPr>
        <w:jc w:val="both"/>
        <w:ind w:firstLine="737"/>
        <w:spacing w:after="0" w:line="248" w:lineRule="auto"/>
        <w:tabs>
          <w:tab w:leader="none" w:pos="122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the next sentence, in connection with any subsequent calculation of any ratio or basket on or following the relevant LCT Test Date and prior to the earlier of the date on which such Limited Condition Transaction is consummated and the date that the definitive agreement for such Limited Condition Transaction is terminated or expires without consummation of such Limited Condition Transaction, any such ratio or basket shall be calculated both (i)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assuming such Limited Condition Transaction and other transactions in connection therewith (including the incurrence or assumption of Indebtedness and the use of proceeds thereof) have been consummated and (ii) assuming such Limited Condition Transaction and other transactions in connection therewith (including the incurrence or assumption of Indebtedness and the use of proceeds thereof) have not been consummated. Notwithstanding the foregoing, any calculation of a ratio in connection with determining the Applicable Rate and determining whether or not the Company is in compliance with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shall, in each case, be calculated assuming such Limited Condition Transaction and other transactions in connection therewith (including the incurrence or assumption of Indebtedness and the use of proceeds thereof) have not been consummated.</w:t>
      </w:r>
    </w:p>
    <w:p>
      <w:pPr>
        <w:spacing w:after="0" w:line="18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foregoing provisions shall apply with similar effect during the pendency of multiple Limited Condition Transactions such that each of the possible scenarios is separately tested.</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COMMITMENTS AND CREDIT EXTENSIONS</w:t>
      </w:r>
    </w:p>
    <w:p>
      <w:pPr>
        <w:spacing w:after="0" w:line="20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2.01</w:t>
      </w:r>
      <w:r>
        <w:rPr>
          <w:sz w:val="20"/>
          <w:szCs w:val="20"/>
          <w:color w:val="auto"/>
        </w:rPr>
        <w:tab/>
      </w:r>
      <w:r>
        <w:rPr>
          <w:rFonts w:ascii="Times New Roman" w:cs="Times New Roman" w:eastAsia="Times New Roman" w:hAnsi="Times New Roman"/>
          <w:sz w:val="19"/>
          <w:szCs w:val="19"/>
          <w:b w:val="1"/>
          <w:bCs w:val="1"/>
          <w:color w:val="auto"/>
        </w:rPr>
        <w:t>Loans.</w:t>
      </w:r>
    </w:p>
    <w:p>
      <w:pPr>
        <w:spacing w:after="0" w:line="224" w:lineRule="exact"/>
        <w:rPr>
          <w:sz w:val="20"/>
          <w:szCs w:val="20"/>
          <w:color w:val="auto"/>
        </w:rPr>
      </w:pPr>
    </w:p>
    <w:p>
      <w:pPr>
        <w:jc w:val="both"/>
        <w:ind w:firstLine="656"/>
        <w:spacing w:after="0" w:line="251" w:lineRule="auto"/>
        <w:tabs>
          <w:tab w:leader="none" w:pos="1225"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Committed (USD) Loans</w:t>
      </w:r>
      <w:r>
        <w:rPr>
          <w:rFonts w:ascii="Times New Roman" w:cs="Times New Roman" w:eastAsia="Times New Roman" w:hAnsi="Times New Roman"/>
          <w:sz w:val="22"/>
          <w:szCs w:val="22"/>
          <w:color w:val="auto"/>
        </w:rPr>
        <w:t>. Subject to the terms and conditions set forth herein, each Committed (USD) Lender severally agrees to make loans (each such loan, a “</w:t>
      </w:r>
      <w:r>
        <w:rPr>
          <w:rFonts w:ascii="Times New Roman" w:cs="Times New Roman" w:eastAsia="Times New Roman" w:hAnsi="Times New Roman"/>
          <w:sz w:val="22"/>
          <w:szCs w:val="22"/>
          <w:u w:val="single" w:color="auto"/>
          <w:color w:val="auto"/>
        </w:rPr>
        <w:t>Committed (USD) Loan</w:t>
      </w:r>
      <w:r>
        <w:rPr>
          <w:rFonts w:ascii="Times New Roman" w:cs="Times New Roman" w:eastAsia="Times New Roman" w:hAnsi="Times New Roman"/>
          <w:sz w:val="22"/>
          <w:szCs w:val="22"/>
          <w:color w:val="auto"/>
        </w:rPr>
        <w:t xml:space="preserve">”) to the Borrowers, in Dollars, from time to time, on any Business Day during the Availability Period with respect to the Committed (USD) Facility, in an aggregate amount not to exceed at any time outstanding the amount of such Lender’s USD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Committed (USD) Borrowing, (i) the Total (USD) Outstandings shall not exceed the Aggregate (USD) Commitments and (ii) the aggregate Outstanding Amount of the Committed (USD) Loans of any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22" w:right="339" w:bottom="1440" w:gutter="0" w:footer="0" w:header="0"/>
        </w:sectPr>
      </w:pPr>
    </w:p>
    <w:bookmarkStart w:id="167" w:name="page168"/>
    <w:bookmarkEnd w:id="167"/>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Applicable (USD) Percentage of the Outstanding Amount of all L/C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 Applicable (USD) Percentage of the Outstanding Amount of all Swing Line Loans shall not exceed such Lender’s USD Commitment. Within the limits of each Committed (USD) Lender’s USD Commitment, and subject to the other terms and conditions hereof, the Borrowers may borrow under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2.01(a)</w:t>
      </w:r>
      <w:r>
        <w:rPr>
          <w:rFonts w:ascii="Times New Roman" w:cs="Times New Roman" w:eastAsia="Times New Roman" w:hAnsi="Times New Roman"/>
          <w:sz w:val="22"/>
          <w:szCs w:val="22"/>
          <w:color w:val="auto"/>
        </w:rPr>
        <w:t>. Committed (USD) Loans may be Base Rate Loans or Term SOFR Loans, as further provided herein.</w:t>
      </w:r>
    </w:p>
    <w:p>
      <w:pPr>
        <w:spacing w:after="0" w:line="179" w:lineRule="exact"/>
        <w:rPr>
          <w:sz w:val="20"/>
          <w:szCs w:val="20"/>
          <w:color w:val="auto"/>
        </w:rPr>
      </w:pPr>
    </w:p>
    <w:p>
      <w:pPr>
        <w:jc w:val="both"/>
        <w:ind w:firstLine="656"/>
        <w:spacing w:after="0" w:line="249" w:lineRule="auto"/>
        <w:tabs>
          <w:tab w:leader="none" w:pos="127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Committed (MC) Loans</w:t>
      </w:r>
      <w:r>
        <w:rPr>
          <w:rFonts w:ascii="Times New Roman" w:cs="Times New Roman" w:eastAsia="Times New Roman" w:hAnsi="Times New Roman"/>
          <w:sz w:val="22"/>
          <w:szCs w:val="22"/>
          <w:color w:val="auto"/>
        </w:rPr>
        <w:t>. Subject to the terms and conditions set forth herein, each Committed (MC) Lender severally agrees to make loans (each such loan, a “</w:t>
      </w:r>
      <w:r>
        <w:rPr>
          <w:rFonts w:ascii="Times New Roman" w:cs="Times New Roman" w:eastAsia="Times New Roman" w:hAnsi="Times New Roman"/>
          <w:sz w:val="22"/>
          <w:szCs w:val="22"/>
          <w:u w:val="single" w:color="auto"/>
          <w:color w:val="auto"/>
        </w:rPr>
        <w:t>Committed (MC) Loan</w:t>
      </w:r>
      <w:r>
        <w:rPr>
          <w:rFonts w:ascii="Times New Roman" w:cs="Times New Roman" w:eastAsia="Times New Roman" w:hAnsi="Times New Roman"/>
          <w:sz w:val="22"/>
          <w:szCs w:val="22"/>
          <w:color w:val="auto"/>
        </w:rPr>
        <w:t xml:space="preserve">”) to the Borrowers, in Dollars or an Alternative Currency, from time to time, on any Business Day during the Availability Period with respect to the Committed (MC) Facility, in an aggregate amount not to exceed at any time outstanding the amount of such Lender’s MC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Committed (MC) Borrowing, (i) the aggregate Outstanding Amount of all Committed (MC) Loans shall not exceed the Aggregate (MC) Commitments and (ii) the aggregate Outstanding Amount of the Committed (MC) Loans of any Lender shall not exceed such Lender’s MC Commitment. Within the limits of each Committed (MC) Lender’s MC Commitment, and subject to the other terms and conditions hereof, the Borrowers may 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2.01(b)</w:t>
      </w:r>
      <w:r>
        <w:rPr>
          <w:rFonts w:ascii="Times New Roman" w:cs="Times New Roman" w:eastAsia="Times New Roman" w:hAnsi="Times New Roman"/>
          <w:sz w:val="22"/>
          <w:szCs w:val="22"/>
          <w:color w:val="auto"/>
        </w:rPr>
        <w:t>. Committed (MC) Loans may be Base Rate Loans, Term SOFR Loans or Alternative Currency Term Rate Loans, as further provided herein.</w:t>
      </w:r>
    </w:p>
    <w:p>
      <w:pPr>
        <w:spacing w:after="0" w:line="183" w:lineRule="exact"/>
        <w:rPr>
          <w:rFonts w:ascii="Times New Roman" w:cs="Times New Roman" w:eastAsia="Times New Roman" w:hAnsi="Times New Roman"/>
          <w:sz w:val="22"/>
          <w:szCs w:val="22"/>
          <w:color w:val="auto"/>
        </w:rPr>
      </w:pPr>
    </w:p>
    <w:p>
      <w:pPr>
        <w:jc w:val="both"/>
        <w:ind w:firstLine="656"/>
        <w:spacing w:after="0" w:line="252" w:lineRule="auto"/>
        <w:tabs>
          <w:tab w:leader="none" w:pos="110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Loans</w:t>
      </w:r>
      <w:r>
        <w:rPr>
          <w:rFonts w:ascii="Times New Roman" w:cs="Times New Roman" w:eastAsia="Times New Roman" w:hAnsi="Times New Roman"/>
          <w:sz w:val="22"/>
          <w:szCs w:val="22"/>
          <w:color w:val="auto"/>
        </w:rPr>
        <w:t>. Subject to the terms and conditions set forth herein, each Term Loan Lender severally agrees to make a single loan (each such loan, a “</w:t>
      </w:r>
      <w:r>
        <w:rPr>
          <w:rFonts w:ascii="Times New Roman" w:cs="Times New Roman" w:eastAsia="Times New Roman" w:hAnsi="Times New Roman"/>
          <w:sz w:val="22"/>
          <w:szCs w:val="22"/>
          <w:u w:val="single" w:color="auto"/>
          <w:color w:val="auto"/>
        </w:rPr>
        <w:t>Term Loan</w:t>
      </w:r>
      <w:r>
        <w:rPr>
          <w:rFonts w:ascii="Times New Roman" w:cs="Times New Roman" w:eastAsia="Times New Roman" w:hAnsi="Times New Roman"/>
          <w:sz w:val="22"/>
          <w:szCs w:val="22"/>
          <w:color w:val="auto"/>
        </w:rPr>
        <w:t xml:space="preserve">”) to the Borrowers, in Dollars, on the Closing Date in an amount not to exceed such Term Loan Lender’s Term Loan Commitment. Amounts borrowed under this </w:t>
      </w:r>
      <w:r>
        <w:rPr>
          <w:rFonts w:ascii="Times New Roman" w:cs="Times New Roman" w:eastAsia="Times New Roman" w:hAnsi="Times New Roman"/>
          <w:sz w:val="22"/>
          <w:szCs w:val="22"/>
          <w:u w:val="single" w:color="auto"/>
          <w:color w:val="auto"/>
        </w:rPr>
        <w:t>Section 2.01(c)</w:t>
      </w:r>
      <w:r>
        <w:rPr>
          <w:rFonts w:ascii="Times New Roman" w:cs="Times New Roman" w:eastAsia="Times New Roman" w:hAnsi="Times New Roman"/>
          <w:sz w:val="22"/>
          <w:szCs w:val="22"/>
          <w:color w:val="auto"/>
        </w:rPr>
        <w:t xml:space="preserve"> and repaid or prepaid may not be reborrowed. Term Loans may be Base Rate Loans or Term SOFR Loans, as further provided herein.</w:t>
      </w:r>
    </w:p>
    <w:p>
      <w:pPr>
        <w:spacing w:after="0" w:line="18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2.02</w:t>
      </w:r>
      <w:r>
        <w:rPr>
          <w:sz w:val="20"/>
          <w:szCs w:val="20"/>
          <w:color w:val="auto"/>
        </w:rPr>
        <w:tab/>
      </w:r>
      <w:r>
        <w:rPr>
          <w:rFonts w:ascii="Times New Roman" w:cs="Times New Roman" w:eastAsia="Times New Roman" w:hAnsi="Times New Roman"/>
          <w:sz w:val="21"/>
          <w:szCs w:val="21"/>
          <w:b w:val="1"/>
          <w:bCs w:val="1"/>
          <w:color w:val="auto"/>
        </w:rPr>
        <w:t>Borrowings, Conversions and Continuations of Loans.</w:t>
      </w:r>
    </w:p>
    <w:p>
      <w:pPr>
        <w:spacing w:after="0" w:line="224" w:lineRule="exact"/>
        <w:rPr>
          <w:sz w:val="20"/>
          <w:szCs w:val="20"/>
          <w:color w:val="auto"/>
        </w:rPr>
      </w:pPr>
    </w:p>
    <w:p>
      <w:pPr>
        <w:jc w:val="both"/>
        <w:ind w:firstLine="656"/>
        <w:spacing w:after="0" w:line="248" w:lineRule="auto"/>
        <w:tabs>
          <w:tab w:leader="none" w:pos="111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Committed Borrowing, each Term Loan Borrowing, each conversion of Loans from one Type to the other, and each continuation of Term SOFR Loans or Alternative Currency Term Rate Loans shall be made upon the Company’s irrevocable notice to the Administrative Agent, which may be given by telephone or in the form of a Loan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telephonic notice must be confirmed promptly by delivery to the Administrative Agent of a written Loan Notice. Each such notice must be received by the Administrative Agent not later than 12:00 noon (i) two Business Days prior to the requested date of any Borrowing of, conversion to or continuation of Term SOFR Loans or of any conversion of Term SOFR Loans to Base Rate Loans, (ii) three Business Days prior to the requested date of any Borrowing of or continuation of Alternative Currency Term Rate Loans denominated in Canadian Dollars, (iii) five Business Days prior to the requested date of any Borrowing or any continuation of Alternative Currency Term Rate Loans denominated in Mexican Pesos and (iv) on the requested date of any Borrowing of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wishes to request Alternative Currency Term Rate Loans having an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22" w:right="339" w:bottom="1440" w:gutter="0" w:footer="0" w:header="0"/>
        </w:sectPr>
      </w:pPr>
    </w:p>
    <w:bookmarkStart w:id="168" w:name="page169"/>
    <w:bookmarkEnd w:id="16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other than one, three or six months in duration as provided in the definition of “Interest Period”, the applicable notice must be received by the Administrative Agent not later than 12:00 noon four Business Days prior to the requested date of such Borrowing or continuation of Alternative Currency Term Rate Loans, whereupon the Administrative Agent shall give prompt notice to the Committed (MC) Lenders of such request and determine whether the requested Interest Period is acceptable to all of them. Not later than 12:00 noon, three Business Days before the requested date of such Borrowing or continuation of Alternative Currency Term Rate Loans, the Administrative Agent shall notify the Company (which notice may be by telephone) whether or not the requested Interest Period has been consented to by all the Committed (MC) Lenders. Each telephonic notice by the Company pursuant to this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must be confirmed promptly by delivery to the Administrative Agent of a written Loan Notice, appropriately completed and signed by a Responsible Officer of the Company. Except as provided in </w:t>
      </w:r>
      <w:r>
        <w:rPr>
          <w:rFonts w:ascii="Times New Roman" w:cs="Times New Roman" w:eastAsia="Times New Roman" w:hAnsi="Times New Roman"/>
          <w:sz w:val="21"/>
          <w:szCs w:val="21"/>
          <w:u w:val="single" w:color="auto"/>
          <w:color w:val="auto"/>
        </w:rPr>
        <w:t>Section 2.01(c)</w:t>
      </w:r>
      <w:r>
        <w:rPr>
          <w:rFonts w:ascii="Times New Roman" w:cs="Times New Roman" w:eastAsia="Times New Roman" w:hAnsi="Times New Roman"/>
          <w:sz w:val="21"/>
          <w:szCs w:val="21"/>
          <w:color w:val="auto"/>
        </w:rPr>
        <w:t xml:space="preserve">, each Borrowing or continuation of Term SOFR Loans or Alternative Currency Term Rate Loans and each conversion to Term SOFR Loans shall be in a principal amount of the Dollar Equivalent of $1,000,000 or a whole multiple of the Dollar Equivalent of $100,000 in excess thereof. Except as provided in </w:t>
      </w:r>
      <w:r>
        <w:rPr>
          <w:rFonts w:ascii="Times New Roman" w:cs="Times New Roman" w:eastAsia="Times New Roman" w:hAnsi="Times New Roman"/>
          <w:sz w:val="21"/>
          <w:szCs w:val="21"/>
          <w:u w:val="single" w:color="auto"/>
          <w:color w:val="auto"/>
        </w:rPr>
        <w:t>Sections 2.01(c)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2.04(c)</w:t>
      </w:r>
      <w:r>
        <w:rPr>
          <w:rFonts w:ascii="Times New Roman" w:cs="Times New Roman" w:eastAsia="Times New Roman" w:hAnsi="Times New Roman"/>
          <w:sz w:val="21"/>
          <w:szCs w:val="21"/>
          <w:color w:val="auto"/>
        </w:rPr>
        <w:t>, each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Committed (USD) Borrowing, a Committed (MC) Borrowing, a Term Loan Borrowing, a conversion of Committed (USD) Loans, Committed (MC) Loans or Term Loans from one Type to the other, or a continuation of Term SOFR Loans or Alternative Currency Term Rate Loans, (ii) the requested date of the Borrowing, conversion or continuation, as the case may be (which shall be a Business Day), (iii) the principal amount of Loans to be borrowed, converted or continued, (iv) the Type of Loans to be borrowed or to which existing Committed (USD) Loans, Committed (MC) Loans or Term Loans are to be converted,</w:t>
      </w:r>
    </w:p>
    <w:p>
      <w:pPr>
        <w:spacing w:after="0" w:line="8" w:lineRule="exact"/>
        <w:rPr>
          <w:sz w:val="20"/>
          <w:szCs w:val="20"/>
          <w:color w:val="auto"/>
        </w:rPr>
      </w:pPr>
    </w:p>
    <w:p>
      <w:pPr>
        <w:jc w:val="both"/>
        <w:ind w:firstLine="8"/>
        <w:spacing w:after="0" w:line="246" w:lineRule="auto"/>
        <w:tabs>
          <w:tab w:leader="none" w:pos="31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applicable, the duration of the Interest Period with respect thereto, (vi) if applicable, the currency of the Committed (MC) Loans to be borrowed and (vii) the Borrower of the requested Borrowing. If the Company fails to specify a currency in a Loan Notice requesting a Committed (MC) Borrowing, then the Committed (MC) Loans so requested shall be made in Dollars. If the Company fails to specify a Type of Loan in a Loan Notice or if the Company fails to give a timely notice requesting a conversion or continuation, then the applicable Committed (USD) Loans, Committed (MC) Loans or Term Loans shall be made as, or converted to, Base Rate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case of a failure to timely request a continuation of Committed (MC) Loans denominated in an Alternative Currency, such Loans shall be continued as Alternative Currency Term Rate Loans in such Alternative Currency with an Interest Period of one month, in the case of Alternative Currency Term Rate Loans denominated in Canadian Dollars, and 28 days, in the case of Alternative Currency Term Rate Loans denominated in Mexican Pesos. Any automatic conversion to Base Rate Loans shall be effective as of the last day of the Interest Period then in effect with respect to the applicable Term SOFR Loans. If the Company requests a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22"/>
          <w:szCs w:val="22"/>
          <w:u w:val="single" w:color="auto"/>
          <w:color w:val="auto"/>
        </w:rPr>
        <w:t>Sections 2.12(a)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3.03</w:t>
      </w:r>
      <w:r>
        <w:rPr>
          <w:rFonts w:ascii="Times New Roman" w:cs="Times New Roman" w:eastAsia="Times New Roman" w:hAnsi="Times New Roman"/>
          <w:sz w:val="22"/>
          <w:szCs w:val="22"/>
          <w:color w:val="auto"/>
        </w:rPr>
        <w:t>, no Committed (MC) Loan may be converted into or continued as a Committed (MC)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22" w:right="339" w:bottom="1440" w:gutter="0" w:footer="0" w:header="0"/>
        </w:sectPr>
      </w:pPr>
    </w:p>
    <w:bookmarkStart w:id="169" w:name="page170"/>
    <w:bookmarkEnd w:id="169"/>
    <w:p>
      <w:pPr>
        <w:spacing w:after="0" w:line="271" w:lineRule="auto"/>
        <w:rPr>
          <w:sz w:val="20"/>
          <w:szCs w:val="20"/>
          <w:color w:val="auto"/>
        </w:rPr>
      </w:pPr>
      <w:r>
        <w:rPr>
          <w:rFonts w:ascii="Times New Roman" w:cs="Times New Roman" w:eastAsia="Times New Roman" w:hAnsi="Times New Roman"/>
          <w:sz w:val="22"/>
          <w:szCs w:val="22"/>
          <w:color w:val="auto"/>
        </w:rPr>
        <w:t>denominated in a different currency, but instead must be prepaid in the original currency of such Committed (MC) Loan and reborrowed in the other currency.</w:t>
      </w:r>
    </w:p>
    <w:p>
      <w:pPr>
        <w:spacing w:after="0" w:line="158" w:lineRule="exact"/>
        <w:rPr>
          <w:sz w:val="20"/>
          <w:szCs w:val="20"/>
          <w:color w:val="auto"/>
        </w:rPr>
      </w:pPr>
    </w:p>
    <w:p>
      <w:pPr>
        <w:jc w:val="both"/>
        <w:ind w:firstLine="656"/>
        <w:spacing w:after="0" w:line="247" w:lineRule="auto"/>
        <w:tabs>
          <w:tab w:leader="none" w:pos="1129"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a Loan Notice for a Facility, the Administrative Agent shall promptly notify each Lender under such Facility of the amount (and, if applicable, the currency) of its Applicable Percentage under such Facility of the applicable Loans, and if no timely notice of a conversion or continuation is provided by the Company, the Administrative Agent shall notify each Lender under the applicable Facility of the details of any automatic conversion to Base Rate Loans or continuations of Committed (MC) Loans denominated in an Alternative Currency, in each case as described in the preceding subsection. In the case of a Committed (USD) Borrowing, a Committed (MC) Borrowing or a Term Loan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Committed (MC) Loan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(and, if such Borrowing is the initial Credit Extension,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 the date a Loan Notice with respect to a Committed (USD) Borrowing is given by the Company, there are L/C Borrowings outstanding, then the proceeds of such Borrowing,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shall be applied to the payment in full of any such L/C Borrowings,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shall be made available to the applicable Borrower as provided above.</w:t>
      </w:r>
    </w:p>
    <w:p>
      <w:pPr>
        <w:spacing w:after="0" w:line="200" w:lineRule="exact"/>
        <w:rPr>
          <w:rFonts w:ascii="Times New Roman" w:cs="Times New Roman" w:eastAsia="Times New Roman" w:hAnsi="Times New Roman"/>
          <w:sz w:val="22"/>
          <w:szCs w:val="22"/>
          <w:color w:val="auto"/>
        </w:rPr>
      </w:pPr>
    </w:p>
    <w:p>
      <w:pPr>
        <w:jc w:val="both"/>
        <w:ind w:firstLine="656"/>
        <w:spacing w:after="0" w:line="250" w:lineRule="auto"/>
        <w:tabs>
          <w:tab w:leader="none" w:pos="1266"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herein, Term SOFR Loans and Alternative Currency Term Rate Loans may be continued and Term SOFR Loan may be converted only on the last day of an Interest Period for such Term SOFR Loan or Alternative Currency Term Rate Loans, as applicable. During the existence of a Default, no Loans may be requested as, converted to or continued as Term SOFR Loans </w:t>
      </w:r>
      <w:r>
        <w:rPr>
          <w:rFonts w:ascii="Times New Roman" w:cs="Times New Roman" w:eastAsia="Times New Roman" w:hAnsi="Times New Roman"/>
          <w:sz w:val="22"/>
          <w:szCs w:val="22"/>
          <w:color w:val="191919"/>
        </w:rPr>
        <w:t>or Alternative Currency Term Rate Loans</w:t>
      </w:r>
      <w:r>
        <w:rPr>
          <w:rFonts w:ascii="Times New Roman" w:cs="Times New Roman" w:eastAsia="Times New Roman" w:hAnsi="Times New Roman"/>
          <w:sz w:val="22"/>
          <w:szCs w:val="22"/>
          <w:color w:val="auto"/>
        </w:rPr>
        <w:t xml:space="preserve"> without the consent of the Required Lenders</w:t>
      </w:r>
      <w:r>
        <w:rPr>
          <w:rFonts w:ascii="Times New Roman" w:cs="Times New Roman" w:eastAsia="Times New Roman" w:hAnsi="Times New Roman"/>
          <w:sz w:val="22"/>
          <w:szCs w:val="22"/>
          <w:color w:val="191919"/>
        </w:rPr>
        <w:t>, and the Required Lenders may demand that any or all of the then outstanding Alternative Currency Term Rate Loans be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redenominated into Dollars in the amount of the Dollar Equivalent thereof on the last day of the then current Interest Period with respect thereto</w:t>
      </w:r>
      <w:r>
        <w:rPr>
          <w:rFonts w:ascii="Times New Roman" w:cs="Times New Roman" w:eastAsia="Times New Roman" w:hAnsi="Times New Roman"/>
          <w:sz w:val="22"/>
          <w:szCs w:val="22"/>
          <w:color w:val="000000"/>
        </w:rPr>
        <w:t>.</w:t>
      </w:r>
    </w:p>
    <w:p>
      <w:pPr>
        <w:spacing w:after="0" w:line="180" w:lineRule="exact"/>
        <w:rPr>
          <w:rFonts w:ascii="Times New Roman" w:cs="Times New Roman" w:eastAsia="Times New Roman" w:hAnsi="Times New Roman"/>
          <w:sz w:val="22"/>
          <w:szCs w:val="22"/>
          <w:color w:val="auto"/>
        </w:rPr>
      </w:pPr>
    </w:p>
    <w:p>
      <w:pPr>
        <w:ind w:firstLine="656"/>
        <w:spacing w:after="0" w:line="271" w:lineRule="auto"/>
        <w:tabs>
          <w:tab w:leader="none" w:pos="1145"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promptly notify the Company and the Lenders of the interest rate applicable to any Interest Period for Term SOFR Loans and Alternative Currency Term Rate Loans upon determination of such interest rate.</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3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all Committed (USD) Borrowings, all Committed (MC) Borrowings, all Term Loan Borrowings, all conversions of Loans from one Type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22" w:right="339" w:bottom="1440" w:gutter="0" w:footer="0" w:header="0"/>
        </w:sectPr>
      </w:pPr>
    </w:p>
    <w:bookmarkStart w:id="170" w:name="page171"/>
    <w:bookmarkEnd w:id="170"/>
    <w:p>
      <w:pPr>
        <w:spacing w:after="0" w:line="271" w:lineRule="auto"/>
        <w:rPr>
          <w:sz w:val="20"/>
          <w:szCs w:val="20"/>
          <w:color w:val="auto"/>
        </w:rPr>
      </w:pPr>
      <w:r>
        <w:rPr>
          <w:rFonts w:ascii="Times New Roman" w:cs="Times New Roman" w:eastAsia="Times New Roman" w:hAnsi="Times New Roman"/>
          <w:sz w:val="22"/>
          <w:szCs w:val="22"/>
          <w:color w:val="auto"/>
        </w:rPr>
        <w:t>and all continuations of Loans as the same Type, there shall not be more than fifteen (15) Interest Periods in effect with respect to Loans.</w:t>
      </w:r>
    </w:p>
    <w:p>
      <w:pPr>
        <w:spacing w:after="0" w:line="158" w:lineRule="exact"/>
        <w:rPr>
          <w:sz w:val="20"/>
          <w:szCs w:val="20"/>
          <w:color w:val="auto"/>
        </w:rPr>
      </w:pPr>
    </w:p>
    <w:p>
      <w:pPr>
        <w:jc w:val="both"/>
        <w:ind w:firstLine="656"/>
        <w:spacing w:after="0" w:line="256" w:lineRule="auto"/>
        <w:tabs>
          <w:tab w:leader="none" w:pos="113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6"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SOFR or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7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2.03</w:t>
      </w:r>
      <w:r>
        <w:rPr>
          <w:sz w:val="20"/>
          <w:szCs w:val="20"/>
          <w:color w:val="auto"/>
        </w:rPr>
        <w:tab/>
      </w:r>
      <w:r>
        <w:rPr>
          <w:rFonts w:ascii="Times New Roman" w:cs="Times New Roman" w:eastAsia="Times New Roman" w:hAnsi="Times New Roman"/>
          <w:sz w:val="21"/>
          <w:szCs w:val="21"/>
          <w:b w:val="1"/>
          <w:bCs w:val="1"/>
          <w:color w:val="auto"/>
        </w:rPr>
        <w:t>Letters of Credit and Bankers’ Acceptances.</w:t>
      </w:r>
    </w:p>
    <w:p>
      <w:pPr>
        <w:spacing w:after="0" w:line="224" w:lineRule="exact"/>
        <w:rPr>
          <w:sz w:val="20"/>
          <w:szCs w:val="20"/>
          <w:color w:val="auto"/>
        </w:rPr>
      </w:pPr>
    </w:p>
    <w:p>
      <w:pPr>
        <w:ind w:left="1120" w:hanging="464"/>
        <w:spacing w:after="0"/>
        <w:tabs>
          <w:tab w:leader="none" w:pos="11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 BA Commitment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47" w:lineRule="auto"/>
        <w:tabs>
          <w:tab w:leader="none" w:pos="191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set forth herein, (A) the L/C Issuer agrees, in reliance upon the agreements of the Committed (USD) Lenders set forth in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 xml:space="preserve">, (1) from time to time on any Business Day during the period from the Closing Date until the Letter of Credit Expiration Date, to issue Letters of Credit and Clean BAs denominated in Dollars or, solely in the case of Bank of America in its capacity as an L/C Issuer, in an Alternative Currency for the account of the Company or its Subsidiaries, and to amend or extend Letters of Credit previously issued by it, in accordance with subsection (b) below, (2) to honor drawings under the Letters of Credit and to make payments under Bankers’ Acceptances and (3) with respect to Acceptance Credits, to create L/C Issued BAs in accordance with the terms thereof and hereof; and (B) the Committed (USD) Lenders severally agree to participate in Letters of Credit and Bankers’ Acceptances issued for the account of the Company or its Subsidiaries and any drawings or payments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after giving effect to any L/C Credit Extension, (v) the Total (USD) Outstandings shall not exceed the Aggregate (USD) Commitments, (w) the aggregate Outstanding Amount of the Committed (USD) Loans of any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 Applicable (USD) Percentage of the Outstanding Amount of all L/C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 Applicable (USD) Percentage of the Outstanding Amount of all Swing Line Loans shall not exceed such Lender’s USD Commitment, (x) the Outstanding Amount of the L/C Obligations shall not exceed the Letter of Credit Sublimit and (y) the Outstanding Amount of the L/C Obligations with respect to Letters of Credit and Bankers’ Acceptances denominated in an Alternative Currency shall not exceed the Alternative Currency Letter of Credit Sublimit and (B) as to Clean BAs and Acceptance Credits, the Bankers’ Acceptance created or to be created thereunder shall be an eligible bankers’ acceptance under Section 13 of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22" w:right="339" w:bottom="1440" w:gutter="0" w:footer="0" w:header="0"/>
        </w:sectPr>
      </w:pPr>
    </w:p>
    <w:bookmarkStart w:id="171" w:name="page172"/>
    <w:bookmarkEnd w:id="171"/>
    <w:p>
      <w:pPr>
        <w:jc w:val="both"/>
        <w:spacing w:after="0" w:line="263" w:lineRule="auto"/>
        <w:rPr>
          <w:sz w:val="20"/>
          <w:szCs w:val="20"/>
          <w:color w:val="auto"/>
        </w:rPr>
      </w:pPr>
      <w:r>
        <w:rPr>
          <w:rFonts w:ascii="Times New Roman" w:cs="Times New Roman" w:eastAsia="Times New Roman" w:hAnsi="Times New Roman"/>
          <w:sz w:val="21"/>
          <w:szCs w:val="21"/>
          <w:color w:val="auto"/>
        </w:rPr>
        <w:t>Reserve Act (12 U.S.C. § 372). Each request by the Company for the issuance or amendment of a Letter of Credit or Bankers’ Acceptance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and Bankers’ Acceptances shall be fully revolving, and accordingly the Company may, during the foregoing period, obtain Letters of Credit to replace Letters of Credit that have expired or that have been drawn upon and reimbursed and Bankers’ Acceptances that have matured and been reimbursed. The Company agrees to promptly notify the Administrative Agent of the designation of any Lender as an L/C Issuer. All Existing Letters of Credit shall be deemed to have been issued pursuant hereto, and from and after the Closing Date shall be subject to and governed by the terms and conditions hereof.</w:t>
      </w:r>
    </w:p>
    <w:p>
      <w:pPr>
        <w:spacing w:after="0" w:line="170" w:lineRule="exact"/>
        <w:rPr>
          <w:sz w:val="20"/>
          <w:szCs w:val="20"/>
          <w:color w:val="auto"/>
        </w:rPr>
      </w:pPr>
    </w:p>
    <w:p>
      <w:pPr>
        <w:ind w:left="1120" w:hanging="476"/>
        <w:spacing w:after="0"/>
        <w:tabs>
          <w:tab w:leader="none" w:pos="112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issue any Letter of Credit or Bankers’ Acceptance, if:</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87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2.03(b)(iii)</w:t>
      </w:r>
      <w:r>
        <w:rPr>
          <w:rFonts w:ascii="Times New Roman" w:cs="Times New Roman" w:eastAsia="Times New Roman" w:hAnsi="Times New Roman"/>
          <w:sz w:val="22"/>
          <w:szCs w:val="22"/>
          <w:color w:val="auto"/>
        </w:rPr>
        <w:t>, the expiry date of the requested Letter of Credit would occur more than eighteen months after the date of issuance or last extension, unless the Required (USD) Lenders have approved such expiry date;</w:t>
      </w:r>
    </w:p>
    <w:p>
      <w:pPr>
        <w:spacing w:after="0" w:line="172"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88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maturity date of any Bankers’ Acceptance would occur earlier than 30 or later than 180 days from date of issuance or in any event later than 60 days before the Letter of Credit Expiration Date, unless the Required (USD) Lenders have approved such expiry date; or</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57" w:lineRule="auto"/>
        <w:tabs>
          <w:tab w:leader="none" w:pos="1865"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expiry date of the requested Letter of Credit, or the maturity date of any Bankers’ Acceptance (including any L/C Issued BA issued under a Letter of Credit), would occur after the Letter of Credit Expiration Date, unless all the Committed (USD) Lenders have approved such expiry date.</w:t>
      </w:r>
    </w:p>
    <w:p>
      <w:pPr>
        <w:spacing w:after="0" w:line="186"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not be under any obligation to issue any Letter of Credit or Bankers’ Acceptance, if:</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49" w:lineRule="auto"/>
        <w:tabs>
          <w:tab w:leader="none" w:pos="182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order, judgment or decree of any Governmental Authority or arbitrator shall by its terms purport to enjoin or restrain the L/C Issuer from issuing the Letter of Credit or Bankers’ Acceptance, or any Law applicable to the L/C Issuer or any request or directive (whether or not having the force of law) from any Governmental Authority with jurisdiction over the L/C Issuer shall prohibit, or request that the L/C Issuer refrain from, the issuance of letters of credit or bankers’ acceptances generally or the Letter of Credit or any Bankers’ Acceptances in particular or shall impose upon the L/C Issuer with respect to the Letter of Credit or Bankers’ Acceptance any restriction, reserve or capital requirement (for which the L/C Issuer is not otherwise compensated hereunder) not in effect on the Closing Date, or shall impose upon the L/C Issuer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0580"/>
          </w:cols>
          <w:pgMar w:left="980" w:top="1422" w:right="339" w:bottom="1440" w:gutter="0" w:footer="0" w:header="0"/>
        </w:sectPr>
      </w:pPr>
    </w:p>
    <w:bookmarkStart w:id="172" w:name="page173"/>
    <w:bookmarkEnd w:id="172"/>
    <w:p>
      <w:pPr>
        <w:ind w:left="180"/>
        <w:spacing w:after="0" w:line="271" w:lineRule="auto"/>
        <w:rPr>
          <w:sz w:val="20"/>
          <w:szCs w:val="20"/>
          <w:color w:val="auto"/>
        </w:rPr>
      </w:pPr>
      <w:r>
        <w:rPr>
          <w:rFonts w:ascii="Times New Roman" w:cs="Times New Roman" w:eastAsia="Times New Roman" w:hAnsi="Times New Roman"/>
          <w:sz w:val="22"/>
          <w:szCs w:val="22"/>
          <w:color w:val="auto"/>
        </w:rPr>
        <w:t>unreimbursed loss, cost or expense which was not applicable on the Closing Date and which the L/C Issuer in good faith deems material to it;</w:t>
      </w:r>
    </w:p>
    <w:p>
      <w:pPr>
        <w:spacing w:after="0" w:line="158" w:lineRule="exact"/>
        <w:rPr>
          <w:sz w:val="20"/>
          <w:szCs w:val="20"/>
          <w:color w:val="auto"/>
        </w:rPr>
      </w:pPr>
    </w:p>
    <w:p>
      <w:pPr>
        <w:jc w:val="both"/>
        <w:ind w:left="180" w:firstLine="652"/>
        <w:spacing w:after="0" w:line="281" w:lineRule="auto"/>
        <w:tabs>
          <w:tab w:leader="none" w:pos="139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issuance of the Letter of Credit or any related Bankers’ Acceptance would violate one or more policies of the L/C Issuer, applicable to letters of credit generally, or the creation of any Bankers’ Acceptance would cause the L/C Issuer to exceed the maximum amount of outstanding bankers’ acceptances permitted by law;</w:t>
      </w:r>
    </w:p>
    <w:p>
      <w:pPr>
        <w:spacing w:after="0" w:line="150" w:lineRule="exact"/>
        <w:rPr>
          <w:rFonts w:ascii="Times New Roman" w:cs="Times New Roman" w:eastAsia="Times New Roman" w:hAnsi="Times New Roman"/>
          <w:sz w:val="21"/>
          <w:szCs w:val="21"/>
          <w:color w:val="auto"/>
        </w:rPr>
      </w:pPr>
    </w:p>
    <w:p>
      <w:pPr>
        <w:jc w:val="both"/>
        <w:ind w:left="180" w:firstLine="652"/>
        <w:spacing w:after="0" w:line="257" w:lineRule="auto"/>
        <w:tabs>
          <w:tab w:leader="none" w:pos="13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agreed by the Administrative Agent and the L/C Issuer, the Letter of Credit or Bankers’ Acceptance is in an initial stated amount less than $100,000, in the case of a commercial Letter of Credit or Bankers’ Acceptance, or $250,000, in the case of a standby Letter of Credit;</w:t>
      </w:r>
    </w:p>
    <w:p>
      <w:pPr>
        <w:spacing w:after="0" w:line="186" w:lineRule="exact"/>
        <w:rPr>
          <w:rFonts w:ascii="Times New Roman" w:cs="Times New Roman" w:eastAsia="Times New Roman" w:hAnsi="Times New Roman"/>
          <w:sz w:val="22"/>
          <w:szCs w:val="22"/>
          <w:color w:val="auto"/>
        </w:rPr>
      </w:pPr>
    </w:p>
    <w:p>
      <w:pPr>
        <w:ind w:left="180" w:firstLine="652"/>
        <w:spacing w:after="0" w:line="271" w:lineRule="auto"/>
        <w:tabs>
          <w:tab w:leader="none" w:pos="13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or Bankers’ Acceptance is to be denominated in a currency other than Dollars or an Alternative Currency;</w:t>
      </w:r>
    </w:p>
    <w:p>
      <w:pPr>
        <w:spacing w:after="0" w:line="157" w:lineRule="exact"/>
        <w:rPr>
          <w:rFonts w:ascii="Times New Roman" w:cs="Times New Roman" w:eastAsia="Times New Roman" w:hAnsi="Times New Roman"/>
          <w:sz w:val="22"/>
          <w:szCs w:val="22"/>
          <w:color w:val="auto"/>
        </w:rPr>
      </w:pPr>
    </w:p>
    <w:p>
      <w:pPr>
        <w:ind w:left="180" w:firstLine="652"/>
        <w:spacing w:after="0" w:line="271" w:lineRule="auto"/>
        <w:tabs>
          <w:tab w:leader="none" w:pos="146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Issuer does not as of the issuance date of such requested Letter of Credit </w:t>
      </w:r>
      <w:r>
        <w:rPr>
          <w:rFonts w:ascii="Times New Roman" w:cs="Times New Roman" w:eastAsia="Times New Roman" w:hAnsi="Times New Roman"/>
          <w:sz w:val="22"/>
          <w:szCs w:val="22"/>
          <w:color w:val="191919"/>
        </w:rPr>
        <w:t>or Bankers’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Acceptance </w:t>
      </w:r>
      <w:r>
        <w:rPr>
          <w:rFonts w:ascii="Times New Roman" w:cs="Times New Roman" w:eastAsia="Times New Roman" w:hAnsi="Times New Roman"/>
          <w:sz w:val="22"/>
          <w:szCs w:val="22"/>
          <w:color w:val="000000"/>
        </w:rPr>
        <w:t>issue Letters of Credit</w:t>
      </w:r>
      <w:r>
        <w:rPr>
          <w:rFonts w:ascii="Times New Roman" w:cs="Times New Roman" w:eastAsia="Times New Roman" w:hAnsi="Times New Roman"/>
          <w:sz w:val="22"/>
          <w:szCs w:val="22"/>
          <w:color w:val="191919"/>
        </w:rPr>
        <w:t xml:space="preserve"> or Bankers’ Acceptances </w:t>
      </w:r>
      <w:r>
        <w:rPr>
          <w:rFonts w:ascii="Times New Roman" w:cs="Times New Roman" w:eastAsia="Times New Roman" w:hAnsi="Times New Roman"/>
          <w:sz w:val="22"/>
          <w:szCs w:val="22"/>
          <w:color w:val="000000"/>
        </w:rPr>
        <w:t>in the requested currency;</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34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Committed (USD)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181" w:lineRule="exact"/>
        <w:rPr>
          <w:rFonts w:ascii="Times New Roman" w:cs="Times New Roman" w:eastAsia="Times New Roman" w:hAnsi="Times New Roman"/>
          <w:sz w:val="22"/>
          <w:szCs w:val="22"/>
          <w:color w:val="auto"/>
        </w:rPr>
      </w:pPr>
    </w:p>
    <w:p>
      <w:pPr>
        <w:ind w:left="180" w:firstLine="652"/>
        <w:spacing w:after="0" w:line="284" w:lineRule="auto"/>
        <w:tabs>
          <w:tab w:leader="none" w:pos="138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contains any provisions for automatic reinstatement of the stated amount after any drawing thereunder; or</w:t>
      </w:r>
    </w:p>
    <w:p>
      <w:pPr>
        <w:spacing w:after="0" w:line="143" w:lineRule="exact"/>
        <w:rPr>
          <w:rFonts w:ascii="Times New Roman" w:cs="Times New Roman" w:eastAsia="Times New Roman" w:hAnsi="Times New Roman"/>
          <w:sz w:val="22"/>
          <w:szCs w:val="22"/>
          <w:color w:val="auto"/>
        </w:rPr>
      </w:pPr>
    </w:p>
    <w:p>
      <w:pPr>
        <w:ind w:left="180" w:firstLine="652"/>
        <w:spacing w:after="0" w:line="271" w:lineRule="auto"/>
        <w:tabs>
          <w:tab w:leader="none" w:pos="137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Bankers’ Acceptance is to be used for a purpose other than as described in the last sentence of </w:t>
      </w:r>
      <w:r>
        <w:rPr>
          <w:rFonts w:ascii="Times New Roman" w:cs="Times New Roman" w:eastAsia="Times New Roman" w:hAnsi="Times New Roman"/>
          <w:sz w:val="22"/>
          <w:szCs w:val="22"/>
          <w:u w:val="single" w:color="auto"/>
          <w:color w:val="auto"/>
        </w:rPr>
        <w:t>Section 2.03(c)(i)</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460" w:firstLine="644"/>
        <w:spacing w:after="0" w:line="295" w:lineRule="auto"/>
        <w:tabs>
          <w:tab w:leader="none" w:pos="73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amend any Letter of Credit or Bankers’ Acceptance if the L/C Issuer would not be permitted at such time to issue the Letter of Credit or Bankers’ Acceptance in its amended form under the terms hereof.</w:t>
      </w:r>
    </w:p>
    <w:p>
      <w:pPr>
        <w:spacing w:after="0" w:line="148" w:lineRule="exact"/>
        <w:rPr>
          <w:rFonts w:ascii="Times New Roman" w:cs="Times New Roman" w:eastAsia="Times New Roman" w:hAnsi="Times New Roman"/>
          <w:sz w:val="21"/>
          <w:szCs w:val="21"/>
          <w:color w:val="auto"/>
        </w:rPr>
      </w:pPr>
    </w:p>
    <w:p>
      <w:pPr>
        <w:jc w:val="both"/>
        <w:ind w:left="-460" w:firstLine="644"/>
        <w:spacing w:after="0" w:line="252" w:lineRule="auto"/>
        <w:tabs>
          <w:tab w:leader="none" w:pos="67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shall be under no obligation to amend any Letter of Credit or Bankers’ Acceptance if (A) the L/C Issuer would have no obligation at such time to issue the Letter of Credit or Bankers’ Acceptance in its amended form under the terms hereof, or (B) the beneficiary of the Letter of Credit or Bankers’ Acceptance does not accept the proposed amendment to the Letter of Credit or Bankers’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0120"/>
          </w:cols>
          <w:pgMar w:left="1440" w:top="1422" w:right="339" w:bottom="1440" w:gutter="0" w:footer="0" w:header="0"/>
        </w:sectPr>
      </w:pPr>
    </w:p>
    <w:bookmarkStart w:id="173" w:name="page174"/>
    <w:bookmarkEnd w:id="173"/>
    <w:p>
      <w:pPr>
        <w:jc w:val="both"/>
        <w:ind w:left="4" w:firstLine="644"/>
        <w:spacing w:after="0" w:line="250" w:lineRule="auto"/>
        <w:tabs>
          <w:tab w:leader="none" w:pos="119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Issuer shall act on behalf of the Committed (USD) Lenders with respect to any Letters of Credit </w:t>
      </w:r>
      <w:r>
        <w:rPr>
          <w:rFonts w:ascii="Times New Roman" w:cs="Times New Roman" w:eastAsia="Times New Roman" w:hAnsi="Times New Roman"/>
          <w:sz w:val="22"/>
          <w:szCs w:val="22"/>
          <w:color w:val="191919"/>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Bankers’ Acceptances </w:t>
      </w:r>
      <w:r>
        <w:rPr>
          <w:rFonts w:ascii="Times New Roman" w:cs="Times New Roman" w:eastAsia="Times New Roman" w:hAnsi="Times New Roman"/>
          <w:sz w:val="22"/>
          <w:szCs w:val="22"/>
          <w:color w:val="000000"/>
        </w:rPr>
        <w:t>issued by it and the documents associated therewith, and the L/C Issuer shall have all of the</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 xml:space="preserve">benefits and immunities (A) provided to the Administrative Agent in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with respect to any acts taken or omissions suffered by the L/C Issuer in connection with Letters of Credit </w:t>
      </w:r>
      <w:r>
        <w:rPr>
          <w:rFonts w:ascii="Times New Roman" w:cs="Times New Roman" w:eastAsia="Times New Roman" w:hAnsi="Times New Roman"/>
          <w:sz w:val="22"/>
          <w:szCs w:val="22"/>
          <w:color w:val="191919"/>
        </w:rPr>
        <w:t>and Bankers’ Acceptances</w:t>
      </w:r>
      <w:r>
        <w:rPr>
          <w:rFonts w:ascii="Times New Roman" w:cs="Times New Roman" w:eastAsia="Times New Roman" w:hAnsi="Times New Roman"/>
          <w:sz w:val="22"/>
          <w:szCs w:val="22"/>
          <w:color w:val="000000"/>
        </w:rPr>
        <w:t xml:space="preserve"> issued by it or proposed to be issued by it and Issuer Documents pertaining to such Letters of Credit </w:t>
      </w:r>
      <w:r>
        <w:rPr>
          <w:rFonts w:ascii="Times New Roman" w:cs="Times New Roman" w:eastAsia="Times New Roman" w:hAnsi="Times New Roman"/>
          <w:sz w:val="22"/>
          <w:szCs w:val="22"/>
          <w:color w:val="191919"/>
        </w:rPr>
        <w:t>and Bankers’ Acceptances</w:t>
      </w:r>
      <w:r>
        <w:rPr>
          <w:rFonts w:ascii="Times New Roman" w:cs="Times New Roman" w:eastAsia="Times New Roman" w:hAnsi="Times New Roman"/>
          <w:sz w:val="22"/>
          <w:szCs w:val="22"/>
          <w:color w:val="000000"/>
        </w:rPr>
        <w:t xml:space="preserve"> as fully as if the term “Administrative Agent” as used in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included the L/C Issuer with respect to such acts or omissions, and (B) as additionally provided herein with respect to the L/C Issuer.</w:t>
      </w:r>
    </w:p>
    <w:p>
      <w:pPr>
        <w:spacing w:after="0" w:line="180"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for Issuance and Amendment of Letters of Credit; Auto-Extension Letters of Credit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46" w:lineRule="auto"/>
        <w:tabs>
          <w:tab w:leader="none" w:pos="1178"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reasonable discretion) prior to the proposed issuance date or date of amendment, as the case may be. In the case of a request for an initial issuance of a Letter of Credit, such Letter of Credit Application shall specify in form and detail reasonably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200"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399"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0584"/>
          </w:cols>
          <w:pgMar w:left="976" w:top="1422" w:right="339" w:bottom="1440" w:gutter="0" w:footer="0" w:header="0"/>
        </w:sectPr>
      </w:pPr>
    </w:p>
    <w:bookmarkStart w:id="174" w:name="page175"/>
    <w:bookmarkEnd w:id="174"/>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 xml:space="preserve">thereof. Unless the L/C Issuer has received written notice from any Committed (USD) Lender, the Administrative Agent or any Borrower,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shall not then be satisfied, then, subject to the terms and conditions hereof, the L/C Issuer shall, on the requested date, issue a Letter of Credit for the account of the Company (or the applicable Restricted Subsidiary) or enter into the applicable amendment, as the case may be, in each case in accordance with the L/C Issuer's usual and customary business practices. Immediately upon the issuance of each Letter of Credit, each Committed (USD) Lender shall be deemed to, and hereby irrevocably and unconditionally agrees to, purchase from the L/C Issuer a risk participation in such Letter of Credit in an amount equal to the product of such Lender’s Applicable (USD)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Letter of Credit.</w:t>
      </w:r>
    </w:p>
    <w:p>
      <w:pPr>
        <w:spacing w:after="0" w:line="180" w:lineRule="exact"/>
        <w:rPr>
          <w:sz w:val="20"/>
          <w:szCs w:val="20"/>
          <w:color w:val="auto"/>
        </w:rPr>
      </w:pPr>
    </w:p>
    <w:p>
      <w:pPr>
        <w:jc w:val="both"/>
        <w:ind w:left="4" w:firstLine="644"/>
        <w:spacing w:after="0" w:line="259" w:lineRule="auto"/>
        <w:tabs>
          <w:tab w:leader="none" w:pos="1333"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so requests in any applicable Letter of Credit Application, the L/C Issuer may, in its reasonable discretion, agree to issue a standby Letter of Credit that has automatic extension provisions (each, an “</w:t>
      </w:r>
      <w:r>
        <w:rPr>
          <w:rFonts w:ascii="Times New Roman" w:cs="Times New Roman" w:eastAsia="Times New Roman" w:hAnsi="Times New Roman"/>
          <w:sz w:val="21"/>
          <w:szCs w:val="21"/>
          <w:u w:val="single" w:color="auto"/>
          <w:color w:val="auto"/>
        </w:rPr>
        <w:t>Auto-Extension Letter of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1"/>
          <w:szCs w:val="21"/>
          <w:u w:val="single" w:color="auto"/>
          <w:color w:val="auto"/>
        </w:rPr>
        <w:t>Non-Extension Notice Date</w:t>
      </w:r>
      <w:r>
        <w:rPr>
          <w:rFonts w:ascii="Times New Roman" w:cs="Times New Roman" w:eastAsia="Times New Roman" w:hAnsi="Times New Roman"/>
          <w:sz w:val="21"/>
          <w:szCs w:val="21"/>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Committed (USD)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w:t>
      </w:r>
    </w:p>
    <w:p>
      <w:pPr>
        <w:spacing w:after="0" w:line="1" w:lineRule="exact"/>
        <w:rPr>
          <w:rFonts w:ascii="Times New Roman" w:cs="Times New Roman" w:eastAsia="Times New Roman" w:hAnsi="Times New Roman"/>
          <w:sz w:val="21"/>
          <w:szCs w:val="21"/>
          <w:color w:val="auto"/>
        </w:rPr>
      </w:pPr>
    </w:p>
    <w:p>
      <w:pPr>
        <w:jc w:val="both"/>
        <w:ind w:left="4" w:hanging="4"/>
        <w:spacing w:after="0" w:line="247" w:lineRule="auto"/>
        <w:tabs>
          <w:tab w:leader="none" w:pos="32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(iii) of </w:t>
      </w:r>
      <w:r>
        <w:rPr>
          <w:rFonts w:ascii="Times New Roman" w:cs="Times New Roman" w:eastAsia="Times New Roman" w:hAnsi="Times New Roman"/>
          <w:sz w:val="22"/>
          <w:szCs w:val="22"/>
          <w:u w:val="single" w:color="auto"/>
          <w:color w:val="auto"/>
        </w:rPr>
        <w:t>Section 2.03(a)</w:t>
      </w:r>
      <w:r>
        <w:rPr>
          <w:rFonts w:ascii="Times New Roman" w:cs="Times New Roman" w:eastAsia="Times New Roman" w:hAnsi="Times New Roman"/>
          <w:sz w:val="22"/>
          <w:szCs w:val="22"/>
          <w:color w:val="auto"/>
        </w:rPr>
        <w:t xml:space="preserve"> or otherwise), or (B) it has received notice (which may be by telephone or in writing) on or before the day that is seven Business Days before the Non-Extension Notice Date (1) from the Administrative Agent that the Required (USD) Lenders have elected not to permit such extension or (2) from the Administrative Agent, any Committed (USD) Lender or the Company that one or more of the applicable conditions specified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is not then satisfied, and in each such case directing the L/C Issuer not to permit such extension.</w:t>
      </w:r>
    </w:p>
    <w:p>
      <w:pPr>
        <w:spacing w:after="0" w:line="186" w:lineRule="exact"/>
        <w:rPr>
          <w:rFonts w:ascii="Times New Roman" w:cs="Times New Roman" w:eastAsia="Times New Roman" w:hAnsi="Times New Roman"/>
          <w:sz w:val="22"/>
          <w:szCs w:val="22"/>
          <w:color w:val="auto"/>
        </w:rPr>
      </w:pPr>
    </w:p>
    <w:p>
      <w:pPr>
        <w:jc w:val="both"/>
        <w:ind w:left="4" w:firstLine="644"/>
        <w:spacing w:after="0" w:line="257" w:lineRule="auto"/>
        <w:tabs>
          <w:tab w:leader="none" w:pos="125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0584"/>
          </w:cols>
          <w:pgMar w:left="976" w:top="1422" w:right="339" w:bottom="1440" w:gutter="0" w:footer="0" w:header="0"/>
        </w:sectPr>
      </w:pPr>
    </w:p>
    <w:bookmarkStart w:id="175" w:name="page176"/>
    <w:bookmarkEnd w:id="175"/>
    <w:p>
      <w:pPr>
        <w:ind w:left="464" w:hanging="464"/>
        <w:spacing w:after="0"/>
        <w:tabs>
          <w:tab w:leader="none" w:pos="4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 for Issuance of Clean Bankers’ Acceptances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07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Clean Bankers’ Acceptance shall be issued upon the request of the Company delivered to the L/C Issuer (with a copy to the Administrative Agent) in the form of a Bankers’ Acceptance Request, appropriately completed and signed by a Responsible Officer of the Company. Bankers’ Acceptances Requests may be delivered and accepted electronically. Such Bankers’ Acceptance Request must be received by the L/C Issuer and the Administrative Agent not later than 12:00 noon (or such later date and time as the L/C Issuer may agree in a particular instance in its reasonable discretion) of the proposed issuance date. Each Bankers’ Acceptance Request shall specify in form and detail satisfactory to the L/C Issuer: (A) the proposed issuance date of the requested Clean Bankers’ Acceptance (which shall be a Business Day); (B) the amount and currency thereof; (C) the expiry date thereof; (D) the shipping information; (E) a description of the inventory; and (F) such other matters as the L/C Issuer may reasonably require. Each Clean Bankers’ Acceptance shall be in a minimum increment of $100,000, shall be endorsed in blank, shall cover the purchase of inventory, shall mature on a Business Day up to one hundred eighty (180) days after the date thereof, and shall not be payable prior to its stated maturity date.</w:t>
      </w:r>
    </w:p>
    <w:p>
      <w:pPr>
        <w:spacing w:after="0" w:line="184" w:lineRule="exact"/>
        <w:rPr>
          <w:rFonts w:ascii="Times New Roman" w:cs="Times New Roman" w:eastAsia="Times New Roman" w:hAnsi="Times New Roman"/>
          <w:sz w:val="22"/>
          <w:szCs w:val="22"/>
          <w:color w:val="auto"/>
        </w:rPr>
      </w:pPr>
    </w:p>
    <w:p>
      <w:pPr>
        <w:jc w:val="both"/>
        <w:ind w:left="4" w:firstLine="644"/>
        <w:spacing w:after="0" w:line="262" w:lineRule="auto"/>
        <w:tabs>
          <w:tab w:leader="none" w:pos="1375"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receipt of any Bankers’ Acceptance Request, the L/C Issuer will confirm with the Administrative Agent (by telephone or in writing) that the Administrative Agent has received a copy of such Bankers’ Acceptance Request from the Company and, if not, the L/C Issuer will provide the Administrative Agent with a copy thereof. Upon receipt by the L/C Issuer of confirmation from the Administrative Agent that the requested issuance is permitted in accordance with the terms hereof, then, subject to the terms and conditions hereof, the L/C Issuer shall, on the requested date, issue a Clean Bankers’ Acceptance for the account of the Company, in each case in accordance with the L/C Issuer’s usual and customary business practices. Immediately upon the issuance of each Clean Bankers’ Acceptance, each Committed (USD) Lender shall be deemed to, and hereby irrevocably and unconditionally agrees to, purchase from the L/C Issuer a risk participation in such Clean Bankers’ Acceptance in an amount equal to the product of such Committed (USD) Lender’s Applicable (USD) Percentage times the amount of such Clean Bankers’ Acceptance.</w:t>
      </w:r>
    </w:p>
    <w:p>
      <w:pPr>
        <w:spacing w:after="0" w:line="171" w:lineRule="exact"/>
        <w:rPr>
          <w:rFonts w:ascii="Times New Roman" w:cs="Times New Roman" w:eastAsia="Times New Roman" w:hAnsi="Times New Roman"/>
          <w:sz w:val="21"/>
          <w:szCs w:val="21"/>
          <w:color w:val="auto"/>
        </w:rPr>
      </w:pPr>
    </w:p>
    <w:p>
      <w:pPr>
        <w:jc w:val="both"/>
        <w:ind w:left="4" w:firstLine="644"/>
        <w:spacing w:after="0" w:line="251" w:lineRule="auto"/>
        <w:tabs>
          <w:tab w:leader="none" w:pos="123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L/C Issuer presents a draft on a matured Clean Bankers’ Acceptance for payment and the Company, at the time of such presentment, does not have funds on deposit in its account at the Administrative Agent sufficient to pay the entire amount of the draft (including any charges or expenses paid or incurred by the L/C Issuer in connection with such draft), the Administrative Agent shall deem such amount to be an Unreimbursed Amount and proceed in accordance with the provisions of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xml:space="preserve"> which relate to a Bankers’ Acceptance not paid on maturity.</w:t>
      </w:r>
    </w:p>
    <w:p>
      <w:pPr>
        <w:spacing w:after="0" w:line="181"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Drawings and Reimbursements; Funding of Participations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4" w:right="20" w:firstLine="644"/>
        <w:spacing w:after="0" w:line="271" w:lineRule="auto"/>
        <w:tabs>
          <w:tab w:leader="none" w:pos="111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from the beneficiary of any Letter of Credit of any notice of a drawing or, with respect to any Acceptance Credit, presentation of documents,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0584"/>
          </w:cols>
          <w:pgMar w:left="976" w:top="1422" w:right="339" w:bottom="1440" w:gutter="0" w:footer="0" w:header="0"/>
        </w:sectPr>
      </w:pPr>
    </w:p>
    <w:bookmarkStart w:id="176" w:name="page177"/>
    <w:bookmarkEnd w:id="176"/>
    <w:p>
      <w:pPr>
        <w:jc w:val="both"/>
        <w:spacing w:after="0" w:line="258" w:lineRule="auto"/>
        <w:rPr>
          <w:sz w:val="20"/>
          <w:szCs w:val="20"/>
          <w:color w:val="auto"/>
        </w:rPr>
      </w:pPr>
      <w:r>
        <w:rPr>
          <w:rFonts w:ascii="Times New Roman" w:cs="Times New Roman" w:eastAsia="Times New Roman" w:hAnsi="Times New Roman"/>
          <w:sz w:val="21"/>
          <w:szCs w:val="21"/>
          <w:color w:val="auto"/>
        </w:rPr>
        <w:t>such Letter of Credit, or any presentation for payment of a Bankers’ Acceptance, the L/C Issuer shall notify the Company and the Administrative Agent thereof. In the case of a Letter of Credit or Bankers’ Acceptance denominated in an Alternative Currency, the Company shall reimburse the L/C Issuer in an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or Bankers’ Acceptance denominated in an Alternative Currency, the L/C Issuer shall notify the Company of the Dollar Equivalent of the amount of the drawing promptly following the determination thereof. Not later than 12:00 noon on the date of any payment by the L/C Issuer under a Letter of Credit or Bankers’ Acceptance to be reimbursed in Dollars, or the Applicable Time on the date of any payment by the L/C Issuer under a Letter of Credit or Bankers’ Acceptance to be reimbursed in an Alternative Currency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xml:space="preserve">”), the Company shall reimburse the L/C Issuer through the Administrative Agent in an amount equal to the amount of such drawing or Bankers’ Acceptance, as applicable, and in the applicable currency. In the event that (A) a drawing or payment denominated in an Alternative Currency is to be reimbursed in Dollars pursuant to the second sentence in this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and (B) the Dollar amount paid by the Company, whether on or after the Honor Date, shall not be adequate on the date of that payment to purchase in accordance with normal banking procedures a sum denominated in an Alternative Currency equal to the drawing or payment, the Company agrees, as a separate and independent obligation, to indemnify the L/C Issuer for the loss resulting from its inability on that date to purchase such Alternative Currency in the full amount of the drawing or payment. If the Company fails to so reimburse the L/C Issuer by such time, the Administrative Agent shall promptly notify each Committed (USD) Lender of the Honor Date, the amount of the unreimbursed drawing or presentation (expressed in Dollars in the amount of the Dollar Equivalent thereof in the case of a Letter of Credit or Bankers’ Acceptance denominated in an Alternative Currency) (the “</w:t>
      </w:r>
      <w:r>
        <w:rPr>
          <w:rFonts w:ascii="Times New Roman" w:cs="Times New Roman" w:eastAsia="Times New Roman" w:hAnsi="Times New Roman"/>
          <w:sz w:val="21"/>
          <w:szCs w:val="21"/>
          <w:u w:val="single" w:color="auto"/>
          <w:color w:val="auto"/>
        </w:rPr>
        <w:t>Unreimbursed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Amount</w:t>
      </w:r>
      <w:r>
        <w:rPr>
          <w:rFonts w:ascii="Times New Roman" w:cs="Times New Roman" w:eastAsia="Times New Roman" w:hAnsi="Times New Roman"/>
          <w:sz w:val="21"/>
          <w:szCs w:val="21"/>
          <w:color w:val="auto"/>
        </w:rPr>
        <w:t xml:space="preserve">”), and the amount of such Lender’s Applicable (USD) Percentage thereof. In such event, the Company shall be deemed to have requested a Committed (USD)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Aggregate (USD)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the delivery of a Loan Notice). Any notice given by the L/C Issuer or the Administrative Agent pursuant to this </w:t>
      </w:r>
      <w:r>
        <w:rPr>
          <w:rFonts w:ascii="Times New Roman" w:cs="Times New Roman" w:eastAsia="Times New Roman" w:hAnsi="Times New Roman"/>
          <w:sz w:val="21"/>
          <w:szCs w:val="21"/>
          <w:u w:val="single" w:color="auto"/>
          <w:color w:val="auto"/>
        </w:rPr>
        <w:t>Section 2.03(d)(i)</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200" w:lineRule="exact"/>
        <w:rPr>
          <w:sz w:val="20"/>
          <w:szCs w:val="20"/>
          <w:color w:val="auto"/>
        </w:rPr>
      </w:pPr>
    </w:p>
    <w:p>
      <w:pPr>
        <w:spacing w:after="0" w:line="264" w:lineRule="exact"/>
        <w:rPr>
          <w:sz w:val="20"/>
          <w:szCs w:val="20"/>
          <w:color w:val="auto"/>
        </w:rPr>
      </w:pPr>
    </w:p>
    <w:p>
      <w:pPr>
        <w:jc w:val="both"/>
        <w:ind w:firstLine="644"/>
        <w:spacing w:after="0" w:line="257" w:lineRule="auto"/>
        <w:tabs>
          <w:tab w:leader="none" w:pos="119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Committed (USD) Lender shall upon any notice pursuant to </w:t>
      </w:r>
      <w:r>
        <w:rPr>
          <w:rFonts w:ascii="Times New Roman" w:cs="Times New Roman" w:eastAsia="Times New Roman" w:hAnsi="Times New Roman"/>
          <w:sz w:val="22"/>
          <w:szCs w:val="22"/>
          <w:u w:val="single" w:color="auto"/>
          <w:color w:val="auto"/>
        </w:rPr>
        <w:t>Section 2.03(d)(i)</w:t>
      </w:r>
      <w:r>
        <w:rPr>
          <w:rFonts w:ascii="Times New Roman" w:cs="Times New Roman" w:eastAsia="Times New Roman" w:hAnsi="Times New Roman"/>
          <w:sz w:val="22"/>
          <w:szCs w:val="22"/>
          <w:color w:val="auto"/>
        </w:rPr>
        <w:t xml:space="preserve"> make funds available (and the Administrative Agent may apply Cash Collateral provided for this purpose) for the account of the L/C Issuer, in Dollars,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0580"/>
          </w:cols>
          <w:pgMar w:left="980" w:top="1422" w:right="339" w:bottom="1440" w:gutter="0" w:footer="0" w:header="0"/>
        </w:sectPr>
      </w:pPr>
    </w:p>
    <w:bookmarkStart w:id="177" w:name="page178"/>
    <w:bookmarkEnd w:id="177"/>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Administrative Agent’s Office for Dollar-denominated payments in an amount equal to its Applicable (USD) Percentage of the Unreimbursed Amount not later than 1:00 p.m. on the Business Day specified in such notice by the Administrative Agent (which shall not be earlier than the Business Day immediately following the date such notice is given), whereupon, subject to the provisions of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each Committed (USD) Lender that so makes funds available shall be deemed to have made a Base Rate Committed (USD) Loan to the Company in such amount. The Administrative Agent shall remit the funds so received to the L/C Issuer in Dollars.</w:t>
      </w:r>
    </w:p>
    <w:p>
      <w:pPr>
        <w:spacing w:after="0" w:line="181" w:lineRule="exact"/>
        <w:rPr>
          <w:sz w:val="20"/>
          <w:szCs w:val="20"/>
          <w:color w:val="auto"/>
        </w:rPr>
      </w:pPr>
    </w:p>
    <w:p>
      <w:pPr>
        <w:jc w:val="both"/>
        <w:ind w:firstLine="644"/>
        <w:spacing w:after="0" w:line="249" w:lineRule="auto"/>
        <w:tabs>
          <w:tab w:leader="none" w:pos="118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Unreimbursed Amount that is not fully refinanced by a Committed (USD) Borrowing of Base Rate Loans because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Committed (USD) Lender’s payment to the Administrative Agent for the account of the L/C Issuer pursuant to </w:t>
      </w:r>
      <w:r>
        <w:rPr>
          <w:rFonts w:ascii="Times New Roman" w:cs="Times New Roman" w:eastAsia="Times New Roman" w:hAnsi="Times New Roman"/>
          <w:sz w:val="22"/>
          <w:szCs w:val="22"/>
          <w:u w:val="single" w:color="auto"/>
          <w:color w:val="auto"/>
        </w:rPr>
        <w:t>Section 2.03(d)(ii)</w:t>
      </w:r>
      <w:r>
        <w:rPr>
          <w:rFonts w:ascii="Times New Roman" w:cs="Times New Roman" w:eastAsia="Times New Roman" w:hAnsi="Times New Roman"/>
          <w:sz w:val="22"/>
          <w:szCs w:val="22"/>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2"/>
          <w:szCs w:val="22"/>
          <w:u w:val="single" w:color="auto"/>
          <w:color w:val="auto"/>
        </w:rPr>
        <w:t>Section 2.03</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auto"/>
        </w:rPr>
      </w:pPr>
    </w:p>
    <w:p>
      <w:pPr>
        <w:jc w:val="both"/>
        <w:ind w:firstLine="644"/>
        <w:spacing w:after="0" w:line="252" w:lineRule="auto"/>
        <w:tabs>
          <w:tab w:leader="none" w:pos="126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Until each Committed (USD) Lender funds its Committed (USD) Loan or L/C Advance pursuant to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to reimburse the L/C Issuer for any amount drawn under any Letter of Credit or payments made on any Bankers’ Acceptance, interest in respect of such Lender’s Applicable (USD) Percentage of such amount shall be solely for the account of the L/C Issuer.</w:t>
      </w:r>
    </w:p>
    <w:p>
      <w:pPr>
        <w:spacing w:after="0" w:line="179" w:lineRule="exact"/>
        <w:rPr>
          <w:rFonts w:ascii="Times New Roman" w:cs="Times New Roman" w:eastAsia="Times New Roman" w:hAnsi="Times New Roman"/>
          <w:sz w:val="22"/>
          <w:szCs w:val="22"/>
          <w:color w:val="auto"/>
        </w:rPr>
      </w:pPr>
    </w:p>
    <w:p>
      <w:pPr>
        <w:jc w:val="both"/>
        <w:ind w:firstLine="644"/>
        <w:spacing w:after="0" w:line="248" w:lineRule="auto"/>
        <w:tabs>
          <w:tab w:leader="none" w:pos="1326"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Committed (USD) Lender’s obligation to make Committed (USD) Loans or L/C Advances to reimburse the L/C Issuer for amounts drawn under Letters of Credit and payments made on Bankers’ Acceptances, as contemplated by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the L/C Issuer, the Company,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each Committed (USD) Lender’s obligation to make Committed (USD) Loans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2.03(d)</w:t>
      </w:r>
      <w:r>
        <w:rPr>
          <w:rFonts w:ascii="Times New Roman" w:cs="Times New Roman" w:eastAsia="Times New Roman" w:hAnsi="Times New Roman"/>
          <w:sz w:val="22"/>
          <w:szCs w:val="22"/>
          <w:color w:val="auto"/>
        </w:rPr>
        <w:t xml:space="preserve">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(other than delivery by the Company of a Loan Notice). No such making of an L/C Advance shall relieve or otherwise impair the obligation of the Company to reimburse the L/C Issuer for the amount of any payment made by the L/C Issuer under any Letter of Credit or Bankers’ Acceptance, together with interest as provided herein.</w:t>
      </w:r>
    </w:p>
    <w:p>
      <w:pPr>
        <w:spacing w:after="0" w:line="188" w:lineRule="exact"/>
        <w:rPr>
          <w:rFonts w:ascii="Times New Roman" w:cs="Times New Roman" w:eastAsia="Times New Roman" w:hAnsi="Times New Roman"/>
          <w:sz w:val="22"/>
          <w:szCs w:val="22"/>
          <w:color w:val="auto"/>
        </w:rPr>
      </w:pPr>
    </w:p>
    <w:p>
      <w:pPr>
        <w:jc w:val="both"/>
        <w:ind w:firstLine="644"/>
        <w:spacing w:after="0" w:line="263" w:lineRule="auto"/>
        <w:tabs>
          <w:tab w:leader="none" w:pos="1212"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Committed (USD)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by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0580"/>
          </w:cols>
          <w:pgMar w:left="980" w:top="1422" w:right="339" w:bottom="1440" w:gutter="0" w:footer="0" w:header="0"/>
        </w:sectPr>
      </w:pPr>
    </w:p>
    <w:bookmarkStart w:id="178" w:name="page179"/>
    <w:bookmarkEnd w:id="178"/>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u w:val="single" w:color="auto"/>
          <w:color w:val="auto"/>
        </w:rPr>
        <w:t>Section 2.03(d)(ii)</w:t>
      </w:r>
      <w:r>
        <w:rPr>
          <w:rFonts w:ascii="Times New Roman" w:cs="Times New Roman" w:eastAsia="Times New Roman" w:hAnsi="Times New Roman"/>
          <w:sz w:val="22"/>
          <w:szCs w:val="22"/>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(USD) Loan included in the relevant Committed (USD) Borrowing or L/C Advance in respect of the relevant L/C Borrowing, as the case may be. A certificate of the L/C Issuer submitted to any Committed (USD) Lender (through the Administrative Agent) with respect to any amounts owing under this clause (vi) shall be conclusive absent manifest error.</w:t>
      </w:r>
    </w:p>
    <w:p>
      <w:pPr>
        <w:spacing w:after="0" w:line="183" w:lineRule="exact"/>
        <w:rPr>
          <w:sz w:val="20"/>
          <w:szCs w:val="20"/>
          <w:color w:val="auto"/>
        </w:rPr>
      </w:pPr>
    </w:p>
    <w:p>
      <w:pPr>
        <w:ind w:left="1120" w:hanging="464"/>
        <w:spacing w:after="0"/>
        <w:tabs>
          <w:tab w:leader="none" w:pos="11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5" w:lineRule="auto"/>
        <w:tabs>
          <w:tab w:leader="none" w:pos="1744"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L/C Issuer has made a payment under any Letter of Credit or Bankers’ Acceptance and has received from any Committed (USD) Lender such Lender’s L/C Advance in respect of such payment in accordance with </w:t>
      </w:r>
      <w:r>
        <w:rPr>
          <w:rFonts w:ascii="Times New Roman" w:cs="Times New Roman" w:eastAsia="Times New Roman" w:hAnsi="Times New Roman"/>
          <w:sz w:val="21"/>
          <w:szCs w:val="21"/>
          <w:u w:val="single" w:color="auto"/>
          <w:color w:val="auto"/>
        </w:rPr>
        <w:t>Section 2.03(d)</w:t>
      </w:r>
      <w:r>
        <w:rPr>
          <w:rFonts w:ascii="Times New Roman" w:cs="Times New Roman" w:eastAsia="Times New Roman" w:hAnsi="Times New Roman"/>
          <w:sz w:val="21"/>
          <w:szCs w:val="21"/>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(USD) Percentage thereof in Dollars and in the same funds as those received by the Administrative Agent.</w:t>
      </w:r>
    </w:p>
    <w:p>
      <w:pPr>
        <w:spacing w:after="0" w:line="168" w:lineRule="exact"/>
        <w:rPr>
          <w:rFonts w:ascii="Times New Roman" w:cs="Times New Roman" w:eastAsia="Times New Roman" w:hAnsi="Times New Roman"/>
          <w:sz w:val="21"/>
          <w:szCs w:val="21"/>
          <w:color w:val="auto"/>
        </w:rPr>
      </w:pPr>
    </w:p>
    <w:p>
      <w:pPr>
        <w:jc w:val="both"/>
        <w:ind w:left="660" w:firstLine="644"/>
        <w:spacing w:after="0" w:line="263" w:lineRule="auto"/>
        <w:tabs>
          <w:tab w:leader="none" w:pos="1837"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Administrative Agent for the account of the L/C Issuer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2.03(d)(i)</w:t>
      </w:r>
      <w:r>
        <w:rPr>
          <w:rFonts w:ascii="Times New Roman" w:cs="Times New Roman" w:eastAsia="Times New Roman" w:hAnsi="Times New Roman"/>
          <w:sz w:val="21"/>
          <w:szCs w:val="21"/>
          <w:color w:val="auto"/>
        </w:rPr>
        <w:t xml:space="preserve"> is required to be returned under any of the circumstances described in </w:t>
      </w:r>
      <w:r>
        <w:rPr>
          <w:rFonts w:ascii="Times New Roman" w:cs="Times New Roman" w:eastAsia="Times New Roman" w:hAnsi="Times New Roman"/>
          <w:sz w:val="21"/>
          <w:szCs w:val="21"/>
          <w:u w:val="single" w:color="auto"/>
          <w:color w:val="auto"/>
        </w:rPr>
        <w:t>Section 10.05</w:t>
      </w:r>
      <w:r>
        <w:rPr>
          <w:rFonts w:ascii="Times New Roman" w:cs="Times New Roman" w:eastAsia="Times New Roman" w:hAnsi="Times New Roman"/>
          <w:sz w:val="21"/>
          <w:szCs w:val="21"/>
          <w:color w:val="auto"/>
        </w:rPr>
        <w:t xml:space="preserve"> (including pursuant to any settlement entered into by the L/C Issuer in its discretion), each Committed (USD) Lender shall pay to the Administrative Agent for the account of the L/C Issuer its Applicable (USD) Percentage thereof on demand of the Administrative Agent, plus interest thereon from the date of such demand to the date such amount is returned by such Lender, at a rate per annum equal to the applicable Overnight Rate from time to time in effect. The obligations of the Committed (USD) Lenders under this clause shall survive the payment in full of the Obligations and the termination of this Agreement.</w:t>
      </w:r>
    </w:p>
    <w:p>
      <w:pPr>
        <w:spacing w:after="0" w:line="186" w:lineRule="exact"/>
        <w:rPr>
          <w:rFonts w:ascii="Times New Roman" w:cs="Times New Roman" w:eastAsia="Times New Roman" w:hAnsi="Times New Roman"/>
          <w:sz w:val="21"/>
          <w:szCs w:val="21"/>
          <w:color w:val="auto"/>
        </w:rPr>
      </w:pPr>
    </w:p>
    <w:p>
      <w:pPr>
        <w:jc w:val="both"/>
        <w:ind w:firstLine="656"/>
        <w:spacing w:after="0" w:line="252" w:lineRule="auto"/>
        <w:tabs>
          <w:tab w:leader="none" w:pos="11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The obligation of the Company to reimburse the L/C Issuer for each drawing under each Letter of Credit and each payment under any Bankers’ Acceptance and to repay each L/C Borrowing shall be absolute, unconditional and irrevocable, and shall be paid strictly in accordance with the terms of this Agreement under all circumstances, including the following:</w:t>
      </w:r>
    </w:p>
    <w:p>
      <w:pPr>
        <w:spacing w:after="0" w:line="179" w:lineRule="exact"/>
        <w:rPr>
          <w:rFonts w:ascii="Times New Roman" w:cs="Times New Roman" w:eastAsia="Times New Roman" w:hAnsi="Times New Roman"/>
          <w:sz w:val="22"/>
          <w:szCs w:val="22"/>
          <w:color w:val="auto"/>
        </w:rPr>
      </w:pPr>
    </w:p>
    <w:p>
      <w:pPr>
        <w:ind w:left="660" w:firstLine="644"/>
        <w:spacing w:after="0" w:line="271" w:lineRule="auto"/>
        <w:tabs>
          <w:tab w:leader="none" w:pos="173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such Letter of Credit or Bankers’ Acceptance,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22" w:right="339" w:bottom="1440" w:gutter="0" w:footer="0" w:header="0"/>
        </w:sectPr>
      </w:pPr>
    </w:p>
    <w:bookmarkStart w:id="179" w:name="page180"/>
    <w:bookmarkEnd w:id="179"/>
    <w:p>
      <w:pPr>
        <w:jc w:val="both"/>
        <w:ind w:left="660" w:firstLine="644"/>
        <w:spacing w:after="0" w:line="253" w:lineRule="auto"/>
        <w:tabs>
          <w:tab w:leader="none" w:pos="183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existence of any claim, counterclaim, setoff, defense or other right that the Company or any Subsidiary may have at any time against any beneficiary or any transferee of such Letter of Credit </w:t>
      </w:r>
      <w:r>
        <w:rPr>
          <w:rFonts w:ascii="Times New Roman" w:cs="Times New Roman" w:eastAsia="Times New Roman" w:hAnsi="Times New Roman"/>
          <w:sz w:val="22"/>
          <w:szCs w:val="22"/>
          <w:color w:val="191919"/>
        </w:rPr>
        <w:t>or Bankers’ Acceptance</w:t>
      </w:r>
      <w:r>
        <w:rPr>
          <w:rFonts w:ascii="Times New Roman" w:cs="Times New Roman" w:eastAsia="Times New Roman" w:hAnsi="Times New Roman"/>
          <w:sz w:val="22"/>
          <w:szCs w:val="22"/>
          <w:color w:val="auto"/>
        </w:rPr>
        <w:t xml:space="preserve"> (or any Person for whom any such beneficiary or any such transferee may be acting), the L/C Issuer or any other Person, whether in connection with this Agreement, the transactions contemplated hereby or by such Letter of Credit </w:t>
      </w:r>
      <w:r>
        <w:rPr>
          <w:rFonts w:ascii="Times New Roman" w:cs="Times New Roman" w:eastAsia="Times New Roman" w:hAnsi="Times New Roman"/>
          <w:sz w:val="22"/>
          <w:szCs w:val="22"/>
          <w:color w:val="191919"/>
        </w:rPr>
        <w:t>or Bankers’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Acceptance </w:t>
      </w:r>
      <w:r>
        <w:rPr>
          <w:rFonts w:ascii="Times New Roman" w:cs="Times New Roman" w:eastAsia="Times New Roman" w:hAnsi="Times New Roman"/>
          <w:sz w:val="22"/>
          <w:szCs w:val="22"/>
          <w:color w:val="000000"/>
        </w:rPr>
        <w:t>or any agreement or instrument relating thereto, or any unrelated transaction;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5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draft, demand, certificate or other document </w:t>
      </w:r>
      <w:r>
        <w:rPr>
          <w:rFonts w:ascii="Times New Roman" w:cs="Times New Roman" w:eastAsia="Times New Roman" w:hAnsi="Times New Roman"/>
          <w:sz w:val="22"/>
          <w:szCs w:val="22"/>
          <w:color w:val="191919"/>
        </w:rPr>
        <w:t>or endorsement</w:t>
      </w:r>
      <w:r>
        <w:rPr>
          <w:rFonts w:ascii="Times New Roman" w:cs="Times New Roman" w:eastAsia="Times New Roman" w:hAnsi="Times New Roman"/>
          <w:sz w:val="22"/>
          <w:szCs w:val="22"/>
          <w:color w:val="auto"/>
        </w:rPr>
        <w:t xml:space="preserve"> presented under </w:t>
      </w:r>
      <w:r>
        <w:rPr>
          <w:rFonts w:ascii="Times New Roman" w:cs="Times New Roman" w:eastAsia="Times New Roman" w:hAnsi="Times New Roman"/>
          <w:sz w:val="22"/>
          <w:szCs w:val="22"/>
          <w:color w:val="191919"/>
        </w:rPr>
        <w:t>or in connection with</w:t>
      </w:r>
      <w:r>
        <w:rPr>
          <w:rFonts w:ascii="Times New Roman" w:cs="Times New Roman" w:eastAsia="Times New Roman" w:hAnsi="Times New Roman"/>
          <w:sz w:val="22"/>
          <w:szCs w:val="22"/>
          <w:color w:val="auto"/>
        </w:rPr>
        <w:t xml:space="preserve"> such Letter of Credit </w:t>
      </w:r>
      <w:r>
        <w:rPr>
          <w:rFonts w:ascii="Times New Roman" w:cs="Times New Roman" w:eastAsia="Times New Roman" w:hAnsi="Times New Roman"/>
          <w:sz w:val="22"/>
          <w:szCs w:val="22"/>
          <w:color w:val="191919"/>
        </w:rPr>
        <w:t>or Bankers’ Acceptance</w:t>
      </w:r>
      <w:r>
        <w:rPr>
          <w:rFonts w:ascii="Times New Roman" w:cs="Times New Roman" w:eastAsia="Times New Roman" w:hAnsi="Times New Roman"/>
          <w:sz w:val="22"/>
          <w:szCs w:val="22"/>
          <w:color w:val="auto"/>
        </w:rPr>
        <w:t xml:space="preserve">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r>
        <w:rPr>
          <w:rFonts w:ascii="Times New Roman" w:cs="Times New Roman" w:eastAsia="Times New Roman" w:hAnsi="Times New Roman"/>
          <w:sz w:val="22"/>
          <w:szCs w:val="22"/>
          <w:color w:val="191919"/>
        </w:rPr>
        <w:t>or obtain payment under any Bankers’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Acceptance</w:t>
      </w:r>
      <w:r>
        <w:rPr>
          <w:rFonts w:ascii="Times New Roman" w:cs="Times New Roman" w:eastAsia="Times New Roman" w:hAnsi="Times New Roman"/>
          <w:sz w:val="22"/>
          <w:szCs w:val="22"/>
          <w:color w:val="000000"/>
        </w:rPr>
        <w:t>;</w:t>
      </w:r>
    </w:p>
    <w:p>
      <w:pPr>
        <w:spacing w:after="0" w:line="178" w:lineRule="exact"/>
        <w:rPr>
          <w:rFonts w:ascii="Times New Roman" w:cs="Times New Roman" w:eastAsia="Times New Roman" w:hAnsi="Times New Roman"/>
          <w:sz w:val="22"/>
          <w:szCs w:val="22"/>
          <w:color w:val="auto"/>
        </w:rPr>
      </w:pPr>
    </w:p>
    <w:p>
      <w:pPr>
        <w:ind w:left="660" w:firstLine="644"/>
        <w:spacing w:after="0" w:line="271" w:lineRule="auto"/>
        <w:tabs>
          <w:tab w:leader="none" w:pos="184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by the L/C Issuer of any requirement that exists for the L/C Issuer’s protection and not the protection of the Company or any waiver by the L/C Issuer which does not in fact materially prejudice the Company;</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77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honor of a demand for payment presented electronically even if such Letter of Credit or Bankers’ Acceptance requires that demand be in the form of a draft;</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by the L/C Issuer in respect of an otherwise complying item presented after the date specified as the expiration date of, or the date by which documents must be received under such Letter of Credit or Bankers’ Acceptance if presentation after such date is authorized by the UCC, the ISP or the UCP, as applicable;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96"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L/C Issuer under such Letter of Credit or Bankers’ Acceptance against presentation of a draft or certificate that does not strictly comply with the terms of such Letter of Credit or Bankers’ Acceptance; or any payment made by the L/C Issuer under such Letter of Credit or Bankers’ Acceptance to any Person purporting to be a trustee in bankruptcy, debtor-in-possession, assignee for the benefit of creditors, liquidator, receiver or other representative of or successor to any beneficiary or any transferee of such Letter of Credit or Bankers’ Acceptance, including any arising in connection with any proceeding under any Debtor Relief Law;</w:t>
      </w:r>
    </w:p>
    <w:p>
      <w:pPr>
        <w:spacing w:after="0" w:line="181" w:lineRule="exact"/>
        <w:rPr>
          <w:rFonts w:ascii="Times New Roman" w:cs="Times New Roman" w:eastAsia="Times New Roman" w:hAnsi="Times New Roman"/>
          <w:sz w:val="22"/>
          <w:szCs w:val="22"/>
          <w:color w:val="auto"/>
        </w:rPr>
      </w:pPr>
    </w:p>
    <w:p>
      <w:pPr>
        <w:ind w:left="660" w:firstLine="644"/>
        <w:spacing w:after="0" w:line="284" w:lineRule="auto"/>
        <w:tabs>
          <w:tab w:leader="none" w:pos="200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an Alternative Currency to the Company or any Subsidiary or in the relevant currency markets generally; or</w:t>
      </w:r>
    </w:p>
    <w:p>
      <w:pPr>
        <w:spacing w:after="0" w:line="14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7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Company shall promptly examine a copy of each Letter of Credit and each amendment thereto, and each Bankers’ Acceptance, that is delivered to it and, in the event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22" w:right="339" w:bottom="1440" w:gutter="0" w:footer="0" w:header="0"/>
        </w:sectPr>
      </w:pPr>
    </w:p>
    <w:bookmarkStart w:id="180" w:name="page181"/>
    <w:bookmarkEnd w:id="180"/>
    <w:p>
      <w:pPr>
        <w:jc w:val="both"/>
        <w:spacing w:after="0" w:line="257" w:lineRule="auto"/>
        <w:rPr>
          <w:sz w:val="20"/>
          <w:szCs w:val="20"/>
          <w:color w:val="auto"/>
        </w:rPr>
      </w:pPr>
      <w:r>
        <w:rPr>
          <w:rFonts w:ascii="Times New Roman" w:cs="Times New Roman" w:eastAsia="Times New Roman" w:hAnsi="Times New Roman"/>
          <w:sz w:val="22"/>
          <w:szCs w:val="22"/>
          <w:color w:val="auto"/>
        </w:rPr>
        <w:t>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86" w:lineRule="exact"/>
        <w:rPr>
          <w:sz w:val="20"/>
          <w:szCs w:val="20"/>
          <w:color w:val="auto"/>
        </w:rPr>
      </w:pPr>
    </w:p>
    <w:p>
      <w:pPr>
        <w:jc w:val="both"/>
        <w:ind w:firstLine="656"/>
        <w:spacing w:after="0" w:line="258" w:lineRule="auto"/>
        <w:tabs>
          <w:tab w:leader="none" w:pos="118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L/C Issuer</w:t>
      </w:r>
      <w:r>
        <w:rPr>
          <w:rFonts w:ascii="Times New Roman" w:cs="Times New Roman" w:eastAsia="Times New Roman" w:hAnsi="Times New Roman"/>
          <w:sz w:val="21"/>
          <w:szCs w:val="21"/>
          <w:color w:val="auto"/>
        </w:rPr>
        <w:t xml:space="preserve">. Each Lender and the Company agree that, in paying any drawing under a Letter of Credit or making any payment under a Bankers’ Acceptance,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Committed (USD) Lenders or the Required (USD) Lenders, as applicable; (ii) any action taken or omitted in the absence of gross negligence or willful misconduct; or (iii) the due execution, effectiveness, validity or enforceability of any document or instrument related to any Letter of Credit, Bankers’ Acceptance or Issuer Document. The Company hereby assumes all risks of the acts or omissions of any beneficiary or transferee with respect to its use of any Letter of Credit or Bankers’ Acceptance;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(ix) of </w:t>
      </w:r>
      <w:r>
        <w:rPr>
          <w:rFonts w:ascii="Times New Roman" w:cs="Times New Roman" w:eastAsia="Times New Roman" w:hAnsi="Times New Roman"/>
          <w:sz w:val="21"/>
          <w:szCs w:val="21"/>
          <w:u w:val="single" w:color="auto"/>
          <w:color w:val="auto"/>
        </w:rPr>
        <w:t>Section 2.03(f)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or to honor any Bankers’ Acceptance presented for payment in strict compliance with its terms and conditions.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endorsing, transferring or assigning or purporting to endorse, transfer or assign a Letter of Credit or Bankers’ Acceptance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200" w:lineRule="exact"/>
        <w:rPr>
          <w:rFonts w:ascii="Times New Roman" w:cs="Times New Roman" w:eastAsia="Times New Roman" w:hAnsi="Times New Roman"/>
          <w:sz w:val="21"/>
          <w:szCs w:val="21"/>
          <w:color w:val="auto"/>
        </w:rPr>
      </w:pPr>
    </w:p>
    <w:p>
      <w:pPr>
        <w:spacing w:after="0" w:line="259" w:lineRule="exact"/>
        <w:rPr>
          <w:rFonts w:ascii="Times New Roman" w:cs="Times New Roman" w:eastAsia="Times New Roman" w:hAnsi="Times New Roman"/>
          <w:sz w:val="21"/>
          <w:szCs w:val="21"/>
          <w:color w:val="auto"/>
        </w:rPr>
      </w:pPr>
    </w:p>
    <w:p>
      <w:pPr>
        <w:ind w:right="20" w:firstLine="656"/>
        <w:spacing w:after="0" w:line="271" w:lineRule="auto"/>
        <w:tabs>
          <w:tab w:leader="none" w:pos="112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ISP and UCP</w:t>
      </w:r>
      <w:r>
        <w:rPr>
          <w:rFonts w:ascii="Times New Roman" w:cs="Times New Roman" w:eastAsia="Times New Roman" w:hAnsi="Times New Roman"/>
          <w:sz w:val="22"/>
          <w:szCs w:val="22"/>
          <w:color w:val="auto"/>
        </w:rPr>
        <w:t>. Unless otherwise expressly agreed by the L/C Issuer and the Company when a Letter of Credit is issued (including any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22" w:right="339" w:bottom="1440" w:gutter="0" w:footer="0" w:header="0"/>
        </w:sectPr>
      </w:pPr>
    </w:p>
    <w:bookmarkStart w:id="181" w:name="page182"/>
    <w:bookmarkEnd w:id="181"/>
    <w:p>
      <w:pPr>
        <w:jc w:val="both"/>
        <w:spacing w:after="0" w:line="250" w:lineRule="auto"/>
        <w:rPr>
          <w:sz w:val="20"/>
          <w:szCs w:val="20"/>
          <w:color w:val="auto"/>
        </w:rPr>
      </w:pPr>
      <w:r>
        <w:rPr>
          <w:rFonts w:ascii="Times New Roman" w:cs="Times New Roman" w:eastAsia="Times New Roman" w:hAnsi="Times New Roman"/>
          <w:sz w:val="22"/>
          <w:szCs w:val="22"/>
          <w:color w:val="auto"/>
        </w:rPr>
        <w:t>applicable to an Existing Letter of Credit), (i) the rules of the ISP shall apply to each standby Letter of Credit, and (ii) the rules of the UCP shall apply to each commercial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Bankers’ Acceptance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Bankers’ Acceptance chooses such law or practice.</w:t>
      </w:r>
    </w:p>
    <w:p>
      <w:pPr>
        <w:spacing w:after="0" w:line="180" w:lineRule="exact"/>
        <w:rPr>
          <w:sz w:val="20"/>
          <w:szCs w:val="20"/>
          <w:color w:val="auto"/>
        </w:rPr>
      </w:pPr>
    </w:p>
    <w:p>
      <w:pPr>
        <w:jc w:val="both"/>
        <w:ind w:firstLine="656"/>
        <w:spacing w:after="0" w:line="248" w:lineRule="auto"/>
        <w:tabs>
          <w:tab w:leader="none" w:pos="106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Fees</w:t>
      </w:r>
      <w:r>
        <w:rPr>
          <w:rFonts w:ascii="Times New Roman" w:cs="Times New Roman" w:eastAsia="Times New Roman" w:hAnsi="Times New Roman"/>
          <w:sz w:val="22"/>
          <w:szCs w:val="22"/>
          <w:color w:val="auto"/>
        </w:rPr>
        <w:t xml:space="preserve">. The Company shall pay to the Administrative Agent for the account of each Committed (USD) Lender in accordance, subject to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with its Applicable (USD) Percentage, in Dollars, a Letter of Credit fee (the “</w:t>
      </w:r>
      <w:r>
        <w:rPr>
          <w:rFonts w:ascii="Times New Roman" w:cs="Times New Roman" w:eastAsia="Times New Roman" w:hAnsi="Times New Roman"/>
          <w:sz w:val="22"/>
          <w:szCs w:val="22"/>
          <w:u w:val="single" w:color="auto"/>
          <w:color w:val="auto"/>
        </w:rPr>
        <w:t>Letter of Credit Fee</w:t>
      </w:r>
      <w:r>
        <w:rPr>
          <w:rFonts w:ascii="Times New Roman" w:cs="Times New Roman" w:eastAsia="Times New Roman" w:hAnsi="Times New Roman"/>
          <w:sz w:val="22"/>
          <w:szCs w:val="22"/>
          <w:color w:val="auto"/>
        </w:rPr>
        <w:t xml:space="preserve">”) for each Letter of Credit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(USD) Lenders, while any Event of Default exists, all Letter of Credit Fees shall accrue at the Default Rate.</w:t>
      </w:r>
    </w:p>
    <w:p>
      <w:pPr>
        <w:spacing w:after="0" w:line="184" w:lineRule="exact"/>
        <w:rPr>
          <w:rFonts w:ascii="Times New Roman" w:cs="Times New Roman" w:eastAsia="Times New Roman" w:hAnsi="Times New Roman"/>
          <w:sz w:val="22"/>
          <w:szCs w:val="22"/>
          <w:color w:val="auto"/>
        </w:rPr>
      </w:pPr>
    </w:p>
    <w:p>
      <w:pPr>
        <w:jc w:val="both"/>
        <w:ind w:firstLine="656"/>
        <w:spacing w:after="0" w:line="261" w:lineRule="auto"/>
        <w:tabs>
          <w:tab w:leader="none" w:pos="109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191919"/>
        </w:rPr>
        <w:t>BA Fees</w:t>
      </w:r>
      <w:r>
        <w:rPr>
          <w:rFonts w:ascii="Times New Roman" w:cs="Times New Roman" w:eastAsia="Times New Roman" w:hAnsi="Times New Roman"/>
          <w:sz w:val="21"/>
          <w:szCs w:val="21"/>
          <w:color w:val="191919"/>
        </w:rPr>
        <w:t xml:space="preserve">. The Company shall pay to the Administrative Agent for the account of each Committed (USD) Lender in accordance, subject to </w:t>
      </w:r>
      <w:r>
        <w:rPr>
          <w:rFonts w:ascii="Times New Roman" w:cs="Times New Roman" w:eastAsia="Times New Roman" w:hAnsi="Times New Roman"/>
          <w:sz w:val="21"/>
          <w:szCs w:val="21"/>
          <w:u w:val="single" w:color="auto"/>
          <w:color w:val="191919"/>
        </w:rPr>
        <w:t>Section 2.17</w:t>
      </w:r>
      <w:r>
        <w:rPr>
          <w:rFonts w:ascii="Times New Roman" w:cs="Times New Roman" w:eastAsia="Times New Roman" w:hAnsi="Times New Roman"/>
          <w:sz w:val="21"/>
          <w:szCs w:val="21"/>
          <w:color w:val="191919"/>
        </w:rPr>
        <w:t>, with its Applicable (USD) Percentage a Bankers’ Acceptance fee (the “</w:t>
      </w:r>
      <w:r>
        <w:rPr>
          <w:rFonts w:ascii="Times New Roman" w:cs="Times New Roman" w:eastAsia="Times New Roman" w:hAnsi="Times New Roman"/>
          <w:sz w:val="21"/>
          <w:szCs w:val="21"/>
          <w:u w:val="single" w:color="auto"/>
          <w:color w:val="191919"/>
        </w:rPr>
        <w:t>BA Fee</w:t>
      </w:r>
      <w:r>
        <w:rPr>
          <w:rFonts w:ascii="Times New Roman" w:cs="Times New Roman" w:eastAsia="Times New Roman" w:hAnsi="Times New Roman"/>
          <w:sz w:val="21"/>
          <w:szCs w:val="21"/>
          <w:color w:val="191919"/>
        </w:rPr>
        <w:t xml:space="preserve">”) equal to the Bankers’ Acceptance Rate </w:t>
      </w:r>
      <w:r>
        <w:rPr>
          <w:rFonts w:ascii="Times New Roman" w:cs="Times New Roman" w:eastAsia="Times New Roman" w:hAnsi="Times New Roman"/>
          <w:sz w:val="21"/>
          <w:szCs w:val="21"/>
          <w:u w:val="single" w:color="auto"/>
          <w:color w:val="191919"/>
        </w:rPr>
        <w:t>plus</w:t>
      </w:r>
      <w:r>
        <w:rPr>
          <w:rFonts w:ascii="Times New Roman" w:cs="Times New Roman" w:eastAsia="Times New Roman" w:hAnsi="Times New Roman"/>
          <w:sz w:val="21"/>
          <w:szCs w:val="21"/>
          <w:color w:val="191919"/>
        </w:rPr>
        <w:t xml:space="preserve"> the Applicable Rate </w:t>
      </w:r>
      <w:r>
        <w:rPr>
          <w:rFonts w:ascii="Times New Roman" w:cs="Times New Roman" w:eastAsia="Times New Roman" w:hAnsi="Times New Roman"/>
          <w:sz w:val="21"/>
          <w:szCs w:val="21"/>
          <w:u w:val="single" w:color="auto"/>
          <w:color w:val="191919"/>
        </w:rPr>
        <w:t>times</w:t>
      </w:r>
      <w:r>
        <w:rPr>
          <w:rFonts w:ascii="Times New Roman" w:cs="Times New Roman" w:eastAsia="Times New Roman" w:hAnsi="Times New Roman"/>
          <w:sz w:val="21"/>
          <w:szCs w:val="21"/>
          <w:color w:val="191919"/>
        </w:rPr>
        <w:t xml:space="preserve"> the Dollar Equivalent of the daily maximum stated amount of all outstanding Bankers’ Acceptances. BA Fees shall be (i) due and payable on the first Business Day after the end of each March, June, September and December, commencing with the first such date to occur after the issuance of such Bankers’ Acceptance, on the Maturity Date </w:t>
      </w:r>
      <w:r>
        <w:rPr>
          <w:rFonts w:ascii="Times New Roman" w:cs="Times New Roman" w:eastAsia="Times New Roman" w:hAnsi="Times New Roman"/>
          <w:sz w:val="21"/>
          <w:szCs w:val="21"/>
          <w:color w:val="000000"/>
        </w:rPr>
        <w:t>of the Committed (USD) Facility</w:t>
      </w:r>
      <w:r>
        <w:rPr>
          <w:rFonts w:ascii="Times New Roman" w:cs="Times New Roman" w:eastAsia="Times New Roman" w:hAnsi="Times New Roman"/>
          <w:sz w:val="21"/>
          <w:szCs w:val="21"/>
          <w:color w:val="191919"/>
        </w:rPr>
        <w:t xml:space="preserve"> and thereafter on demand and (ii) computed on a quarterly basis in arrears</w:t>
      </w:r>
      <w:r>
        <w:rPr>
          <w:rFonts w:ascii="Times New Roman" w:cs="Times New Roman" w:eastAsia="Times New Roman" w:hAnsi="Times New Roman"/>
          <w:sz w:val="21"/>
          <w:szCs w:val="21"/>
          <w:color w:val="000000"/>
        </w:rPr>
        <w:t>. If</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there is any change in the Bankers’ Acceptance Rate or the Applicable Rate for Bankers’ Acceptances during any quarter, the maximum stated amount of all outstanding Bankers’ Acceptances shall be computed and multiplied by the Bankers’ Acceptance Rate or Applicable Rate, as applicable, separately for each period during such quarter that such Bankers’ Acceptance Rate or Applicable Rate, as applicable, was in effect. Notwithstanding anything to the contrary contained herein, upon the request of the Required (USD) Lenders, while any Event of Default exists, all BA Fees shall accrue at the Default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22" w:right="339" w:bottom="1440" w:gutter="0" w:footer="0" w:header="0"/>
        </w:sectPr>
      </w:pPr>
    </w:p>
    <w:bookmarkStart w:id="182" w:name="page183"/>
    <w:bookmarkEnd w:id="182"/>
    <w:p>
      <w:pPr>
        <w:jc w:val="both"/>
        <w:ind w:firstLine="656"/>
        <w:spacing w:after="0" w:line="247" w:lineRule="auto"/>
        <w:tabs>
          <w:tab w:leader="none" w:pos="11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Fronting Fee and Documentary and Processing Charges Payable to L/C Issuer</w:t>
      </w:r>
      <w:r>
        <w:rPr>
          <w:rFonts w:ascii="Times New Roman" w:cs="Times New Roman" w:eastAsia="Times New Roman" w:hAnsi="Times New Roman"/>
          <w:sz w:val="22"/>
          <w:szCs w:val="22"/>
          <w:color w:val="auto"/>
        </w:rPr>
        <w:t xml:space="preserve">. The Company shall pay directly to the L/C Issuer for its own account, in Dollars, a fronting fee (i) with respect to each commercial Letter of Credit, at the rate specified in the Bank of America Fee Letter with respect to such Letters of Credit issued by Bank of America and, with respect to such Letters of Credit issued by any other L/C Issuer, at a rate determined by the Company and such L/C Issuer, computed on the Dollar Equivalent of the amount of such Letter of Credit, and payable upon the issuance thereof, (ii) with respect to any amendment of a commercial Letter of Credit increasing the amount of such Letter of Credit, at a rate separately agreed between the Borrower and the L/C Issuer, computed on the Dollar Equivalent of the amount of such increase, and payable upon the effectiveness of such amendment, and (iii) with respect to each standby Letter of Credit, at the rate per annum specified in the Bank of America Fee Letter with respect to such Letters of Credit issued by Bank of America and, with respect to such Letters of Credit issued by any other L/C Issuer, at a rate determined by the Company and such L/C Issuer, computed on the Dollar Equivalent of the daily amount available to be drawn under such Letter of Credit on a quarterly basis in arrears. The fronting fee referenced in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the immediately preceding sentence shall be due and payable on the tenth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In addition, the Company shall pay directly to the L/C Issuer for its own account, in Dollars, the customary issuance, presentation, amendment and other processing fees, and other standard costs and charges, of the L/C Issuer relating to letters of credit and bankers’ acceptances as from time to time in effect. Such customary fees and standard costs and charges are due and payable on demand and are nonrefundable.</w:t>
      </w:r>
    </w:p>
    <w:p>
      <w:pPr>
        <w:spacing w:after="0" w:line="192" w:lineRule="exact"/>
        <w:rPr>
          <w:rFonts w:ascii="Times New Roman" w:cs="Times New Roman" w:eastAsia="Times New Roman" w:hAnsi="Times New Roman"/>
          <w:sz w:val="22"/>
          <w:szCs w:val="22"/>
          <w:color w:val="auto"/>
        </w:rPr>
      </w:pPr>
    </w:p>
    <w:p>
      <w:pPr>
        <w:ind w:firstLine="656"/>
        <w:spacing w:after="0" w:line="271" w:lineRule="auto"/>
        <w:tabs>
          <w:tab w:leader="none" w:pos="112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 with Issuer Documents</w:t>
      </w:r>
      <w:r>
        <w:rPr>
          <w:rFonts w:ascii="Times New Roman" w:cs="Times New Roman" w:eastAsia="Times New Roman" w:hAnsi="Times New Roman"/>
          <w:sz w:val="22"/>
          <w:szCs w:val="22"/>
          <w:color w:val="auto"/>
        </w:rPr>
        <w:t>. In the event of any conflict between the terms hereof and the terms of any Issuer Document, the terms hereof shall control.</w:t>
      </w:r>
    </w:p>
    <w:p>
      <w:pPr>
        <w:spacing w:after="0" w:line="157" w:lineRule="exact"/>
        <w:rPr>
          <w:rFonts w:ascii="Times New Roman" w:cs="Times New Roman" w:eastAsia="Times New Roman" w:hAnsi="Times New Roman"/>
          <w:sz w:val="22"/>
          <w:szCs w:val="22"/>
          <w:color w:val="auto"/>
        </w:rPr>
      </w:pPr>
    </w:p>
    <w:p>
      <w:pPr>
        <w:jc w:val="both"/>
        <w:ind w:firstLine="656"/>
        <w:spacing w:after="0" w:line="250" w:lineRule="auto"/>
        <w:tabs>
          <w:tab w:leader="none" w:pos="1189"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Credit/Bankers’ Acceptances Issued for Subsidiaries</w:t>
      </w:r>
      <w:r>
        <w:rPr>
          <w:rFonts w:ascii="Times New Roman" w:cs="Times New Roman" w:eastAsia="Times New Roman" w:hAnsi="Times New Roman"/>
          <w:sz w:val="22"/>
          <w:szCs w:val="22"/>
          <w:color w:val="auto"/>
        </w:rPr>
        <w:t xml:space="preserve">. Notwithstanding that a Letter of Credit or Bankers’ Acceptance issued or outstanding hereunder is in support of any obligations of, or is for the account of, a Subsidiary, the Company shall be obligated to reimburse, indemnify and compensate the L/C Issuer hereunder for any and all drawings under such Letter of Credit or Bankers’ Acceptance, as applicable, </w:t>
      </w:r>
      <w:r>
        <w:rPr>
          <w:rFonts w:ascii="Times New Roman" w:cs="Times New Roman" w:eastAsia="Times New Roman" w:hAnsi="Times New Roman"/>
          <w:sz w:val="22"/>
          <w:szCs w:val="22"/>
          <w:color w:val="191919"/>
        </w:rPr>
        <w:t>as if such Letter of Credit or Bankers’ Acceptance, as 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had been issued solely for the account of a Borrower. Each Borrower irrevocably waives any and all defenses that might otherwise be available to it as a guarantor or surety of any or all of the obligations of such Subsidiary in respect of such Letter of Credit or Bankers’ Acceptance</w:t>
      </w:r>
      <w:r>
        <w:rPr>
          <w:rFonts w:ascii="Times New Roman" w:cs="Times New Roman" w:eastAsia="Times New Roman" w:hAnsi="Times New Roman"/>
          <w:sz w:val="22"/>
          <w:szCs w:val="22"/>
          <w:color w:val="000000"/>
        </w:rPr>
        <w:t>. The Company hereby acknowledges that the issuance of Letters of Credit or Bankers’</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Acceptances for the account of Subsidiaries inures to the benefit of the Company, that the Company’s business derives substantial benefits from the businesses of such Subsidiaries.</w:t>
      </w:r>
    </w:p>
    <w:p>
      <w:pPr>
        <w:spacing w:after="0" w:line="179" w:lineRule="exact"/>
        <w:rPr>
          <w:rFonts w:ascii="Times New Roman" w:cs="Times New Roman" w:eastAsia="Times New Roman" w:hAnsi="Times New Roman"/>
          <w:sz w:val="22"/>
          <w:szCs w:val="22"/>
          <w:color w:val="auto"/>
        </w:rPr>
      </w:pPr>
    </w:p>
    <w:p>
      <w:pPr>
        <w:ind w:firstLine="656"/>
        <w:spacing w:after="0" w:line="271" w:lineRule="auto"/>
        <w:tabs>
          <w:tab w:leader="none" w:pos="114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Reports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Unless otherwise agreed by the Administrative Agent, the L/C Issuer shall, in addition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its notification obligations set forth elsewhere in this </w:t>
      </w:r>
      <w:r>
        <w:rPr>
          <w:rFonts w:ascii="Times New Roman" w:cs="Times New Roman" w:eastAsia="Times New Roman" w:hAnsi="Times New Roman"/>
          <w:sz w:val="22"/>
          <w:szCs w:val="22"/>
          <w:u w:val="single" w:color="auto"/>
          <w:color w:val="191919"/>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22"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22"/>
          <w:szCs w:val="22"/>
          <w:u w:val="single" w:color="auto"/>
          <w:color w:val="191919"/>
        </w:rPr>
        <w:t>2.03</w:t>
      </w:r>
      <w:r>
        <w:rPr>
          <w:rFonts w:ascii="Times New Roman" w:cs="Times New Roman" w:eastAsia="Times New Roman" w:hAnsi="Times New Roman"/>
          <w:sz w:val="22"/>
          <w:szCs w:val="22"/>
          <w:color w:val="191919"/>
        </w:rPr>
        <w:t xml:space="preserve">, provide the Administrative Agent a Letter of Credit Report in the form of </w:t>
      </w:r>
      <w:r>
        <w:rPr>
          <w:rFonts w:ascii="Times New Roman" w:cs="Times New Roman" w:eastAsia="Times New Roman" w:hAnsi="Times New Roman"/>
          <w:sz w:val="22"/>
          <w:szCs w:val="22"/>
          <w:u w:val="single" w:color="auto"/>
          <w:color w:val="191919"/>
        </w:rPr>
        <w:t>Exhibit H</w:t>
      </w:r>
      <w:r>
        <w:rPr>
          <w:rFonts w:ascii="Times New Roman" w:cs="Times New Roman" w:eastAsia="Times New Roman" w:hAnsi="Times New Roman"/>
          <w:sz w:val="22"/>
          <w:szCs w:val="22"/>
          <w:color w:val="191919"/>
        </w:rPr>
        <w:t>, as set forth below:</w:t>
      </w:r>
    </w:p>
    <w:p>
      <w:pPr>
        <w:spacing w:after="0" w:line="220" w:lineRule="exact"/>
        <w:rPr>
          <w:sz w:val="20"/>
          <w:szCs w:val="20"/>
          <w:color w:val="auto"/>
        </w:rPr>
      </w:pPr>
    </w:p>
    <w:p>
      <w:pPr>
        <w:jc w:val="both"/>
        <w:ind w:left="900" w:firstLine="647"/>
        <w:spacing w:after="0" w:line="256" w:lineRule="auto"/>
        <w:tabs>
          <w:tab w:leader="none" w:pos="2035"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reasonably prior to the time that the L/C Issuer issues, amends, renews, increases or extends a Letter of Credit or Bankers’ Acceptance, the date of such issuance, amendment, renewal, increase or extension and the stated amount of the applicable Letters of Credit or Bankers’ Acceptance after giving effect to such issuance, amendment, renewal or extension (and whether the amounts thereof shall have changed);</w:t>
      </w:r>
    </w:p>
    <w:p>
      <w:pPr>
        <w:spacing w:after="0" w:line="176" w:lineRule="exact"/>
        <w:rPr>
          <w:rFonts w:ascii="Times New Roman" w:cs="Times New Roman" w:eastAsia="Times New Roman" w:hAnsi="Times New Roman"/>
          <w:sz w:val="22"/>
          <w:szCs w:val="22"/>
          <w:color w:val="auto"/>
        </w:rPr>
      </w:pPr>
    </w:p>
    <w:p>
      <w:pPr>
        <w:ind w:left="900" w:firstLine="647"/>
        <w:spacing w:after="0" w:line="271" w:lineRule="auto"/>
        <w:tabs>
          <w:tab w:leader="none" w:pos="2176"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on each Business Day on which the L/C Issuer makes a payment pursuant to a Letter of Credit or Bankers’ Acceptance, the date and amount of such payment;</w:t>
      </w:r>
    </w:p>
    <w:p>
      <w:pPr>
        <w:spacing w:after="0" w:line="157" w:lineRule="exact"/>
        <w:rPr>
          <w:rFonts w:ascii="Times New Roman" w:cs="Times New Roman" w:eastAsia="Times New Roman" w:hAnsi="Times New Roman"/>
          <w:sz w:val="22"/>
          <w:szCs w:val="22"/>
          <w:color w:val="auto"/>
        </w:rPr>
      </w:pPr>
    </w:p>
    <w:p>
      <w:pPr>
        <w:jc w:val="both"/>
        <w:ind w:left="900" w:firstLine="647"/>
        <w:spacing w:after="0" w:line="263" w:lineRule="auto"/>
        <w:tabs>
          <w:tab w:leader="none" w:pos="2155"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on any Business Day on which a Borrower fails to reimburse a payment made pursuant to a Letter of Credit or Bankers’ Acceptance required to be reimbursed to the L/C Issuer on such day, the date of such failure and the amount of such payment;</w:t>
      </w:r>
    </w:p>
    <w:p>
      <w:pPr>
        <w:spacing w:after="0" w:line="167" w:lineRule="exact"/>
        <w:rPr>
          <w:rFonts w:ascii="Times New Roman" w:cs="Times New Roman" w:eastAsia="Times New Roman" w:hAnsi="Times New Roman"/>
          <w:sz w:val="22"/>
          <w:szCs w:val="22"/>
          <w:color w:val="auto"/>
        </w:rPr>
      </w:pPr>
    </w:p>
    <w:p>
      <w:pPr>
        <w:ind w:left="900" w:right="20" w:firstLine="647"/>
        <w:spacing w:after="0" w:line="271" w:lineRule="auto"/>
        <w:tabs>
          <w:tab w:leader="none" w:pos="2103"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on any other Business Day, such other information as the Administrative Agent shall reasonably request as to the Letters of Credit or Bankers’ Acceptances issued by the L/C Issuer; and</w:t>
      </w:r>
    </w:p>
    <w:p>
      <w:pPr>
        <w:spacing w:after="0" w:line="157" w:lineRule="exact"/>
        <w:rPr>
          <w:rFonts w:ascii="Times New Roman" w:cs="Times New Roman" w:eastAsia="Times New Roman" w:hAnsi="Times New Roman"/>
          <w:sz w:val="22"/>
          <w:szCs w:val="22"/>
          <w:color w:val="auto"/>
        </w:rPr>
      </w:pPr>
    </w:p>
    <w:p>
      <w:pPr>
        <w:jc w:val="both"/>
        <w:ind w:left="900" w:firstLine="647"/>
        <w:spacing w:after="0" w:line="255" w:lineRule="auto"/>
        <w:tabs>
          <w:tab w:leader="none" w:pos="2083"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for so long as any Letter of Credit or Bankers’ Acceptance issued by the L/C Issuer is outstanding, the L/C Issuer shall deliver to the Administrative Agent (A) on the last Business Day of each calendar month, (B) at all other times a Letter of Credit Report is required to be delivered pursuant to this Agreement, and (C) on each date that</w:t>
      </w:r>
    </w:p>
    <w:p>
      <w:pPr>
        <w:jc w:val="both"/>
        <w:ind w:left="900" w:hanging="1"/>
        <w:spacing w:after="0" w:line="245" w:lineRule="auto"/>
        <w:tabs>
          <w:tab w:leader="none" w:pos="1216" w:val="left"/>
        </w:tabs>
        <w:numPr>
          <w:ilvl w:val="1"/>
          <w:numId w:val="98"/>
        </w:numPr>
        <w:rPr>
          <w:rFonts w:ascii="Times New Roman" w:cs="Times New Roman" w:eastAsia="Times New Roman" w:hAnsi="Times New Roman"/>
          <w:sz w:val="22"/>
          <w:szCs w:val="22"/>
          <w:color w:val="191919"/>
        </w:rPr>
      </w:pPr>
      <w:r>
        <w:rPr>
          <w:rFonts w:ascii="Times New Roman" w:cs="Times New Roman" w:eastAsia="Times New Roman" w:hAnsi="Times New Roman"/>
          <w:sz w:val="22"/>
          <w:szCs w:val="22"/>
          <w:color w:val="191919"/>
        </w:rPr>
        <w:t>an L/C Credit Extension occurs or (2) there is any expiration, cancellation and/or disbursement, in each case, with respect to any such Letter of Credit or Bankers’ Acceptance, a Letter of Credit Report appropriately completed with the information for every outstanding Letter of Credit and Bankers’ Acceptance issued by such L/C Issuer</w:t>
      </w:r>
      <w:r>
        <w:rPr>
          <w:rFonts w:ascii="Times New Roman" w:cs="Times New Roman" w:eastAsia="Times New Roman" w:hAnsi="Times New Roman"/>
          <w:sz w:val="22"/>
          <w:szCs w:val="22"/>
          <w:color w:val="000000"/>
        </w:rPr>
        <w:t>.</w:t>
      </w:r>
    </w:p>
    <w:p>
      <w:pPr>
        <w:spacing w:after="0" w:line="186" w:lineRule="exact"/>
        <w:rPr>
          <w:rFonts w:ascii="Times New Roman" w:cs="Times New Roman" w:eastAsia="Times New Roman" w:hAnsi="Times New Roman"/>
          <w:sz w:val="22"/>
          <w:szCs w:val="22"/>
          <w:color w:val="191919"/>
        </w:rPr>
      </w:pPr>
    </w:p>
    <w:p>
      <w:pPr>
        <w:jc w:val="both"/>
        <w:ind w:firstLine="656"/>
        <w:spacing w:after="0" w:line="263" w:lineRule="auto"/>
        <w:tabs>
          <w:tab w:leader="none" w:pos="122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the L/C Issuer</w:t>
      </w:r>
      <w:r>
        <w:rPr>
          <w:rFonts w:ascii="Times New Roman" w:cs="Times New Roman" w:eastAsia="Times New Roman" w:hAnsi="Times New Roman"/>
          <w:sz w:val="21"/>
          <w:szCs w:val="21"/>
          <w:color w:val="auto"/>
        </w:rPr>
        <w:t xml:space="preserve">. The L/C Issuer may be replaced at any time by written agreement between the Company, the Administrative Agent, the replaced L/C Issuer and the successor L/C Issuer. The Administrative Agent shall notify the Lenders of any such replacement of the L/C Issuer. At the time any such replacement shall become effective, the Company shall pay all unpaid fees accrued for the account of the replaced L/C Issuer pursuant to </w:t>
      </w:r>
      <w:r>
        <w:rPr>
          <w:rFonts w:ascii="Times New Roman" w:cs="Times New Roman" w:eastAsia="Times New Roman" w:hAnsi="Times New Roman"/>
          <w:sz w:val="21"/>
          <w:szCs w:val="21"/>
          <w:u w:val="single" w:color="auto"/>
          <w:color w:val="auto"/>
        </w:rPr>
        <w:t>Section 2.03(k)</w:t>
      </w:r>
      <w:r>
        <w:rPr>
          <w:rFonts w:ascii="Times New Roman" w:cs="Times New Roman" w:eastAsia="Times New Roman" w:hAnsi="Times New Roman"/>
          <w:sz w:val="21"/>
          <w:szCs w:val="21"/>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Issuers, as the context shall require. After the replacement of the L/C Issuer hereunder, the replaced L/C Issuer shall remain a party hereto and shall continue to have all the rights and obligations of an L/C Issuer under this Agreement with respect to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22"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2"/>
          <w:szCs w:val="22"/>
          <w:color w:val="auto"/>
        </w:rPr>
        <w:t>issued by it prior to such replacement but shall not be required to issue additional Letters of Credit.</w:t>
      </w:r>
    </w:p>
    <w:p>
      <w:pPr>
        <w:spacing w:after="0" w:line="2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2.04</w:t>
      </w:r>
      <w:r>
        <w:rPr>
          <w:sz w:val="20"/>
          <w:szCs w:val="20"/>
          <w:color w:val="auto"/>
        </w:rPr>
        <w:tab/>
      </w:r>
      <w:r>
        <w:rPr>
          <w:rFonts w:ascii="Times New Roman" w:cs="Times New Roman" w:eastAsia="Times New Roman" w:hAnsi="Times New Roman"/>
          <w:sz w:val="21"/>
          <w:szCs w:val="21"/>
          <w:b w:val="1"/>
          <w:bCs w:val="1"/>
          <w:color w:val="auto"/>
        </w:rPr>
        <w:t>Swing Line Loans.</w:t>
      </w:r>
    </w:p>
    <w:p>
      <w:pPr>
        <w:spacing w:after="0" w:line="224" w:lineRule="exact"/>
        <w:rPr>
          <w:sz w:val="20"/>
          <w:szCs w:val="20"/>
          <w:color w:val="auto"/>
        </w:rPr>
      </w:pPr>
    </w:p>
    <w:p>
      <w:pPr>
        <w:jc w:val="both"/>
        <w:ind w:firstLine="656"/>
        <w:spacing w:after="0" w:line="247" w:lineRule="auto"/>
        <w:tabs>
          <w:tab w:leader="none" w:pos="115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Swing Line</w:t>
      </w:r>
      <w:r>
        <w:rPr>
          <w:rFonts w:ascii="Times New Roman" w:cs="Times New Roman" w:eastAsia="Times New Roman" w:hAnsi="Times New Roman"/>
          <w:sz w:val="22"/>
          <w:szCs w:val="22"/>
          <w:color w:val="auto"/>
        </w:rPr>
        <w:t xml:space="preserve">. Subject to the terms and conditions set forth herein, the Swing Line Lender, in reliance upon the agreements of the other Committed (USD) Lenders set forth in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shall make loans in Dollars (each such loan, a “</w:t>
      </w:r>
      <w:r>
        <w:rPr>
          <w:rFonts w:ascii="Times New Roman" w:cs="Times New Roman" w:eastAsia="Times New Roman" w:hAnsi="Times New Roman"/>
          <w:sz w:val="22"/>
          <w:szCs w:val="22"/>
          <w:u w:val="single" w:color="auto"/>
          <w:color w:val="auto"/>
        </w:rPr>
        <w:t>Swing Line Loan</w:t>
      </w:r>
      <w:r>
        <w:rPr>
          <w:rFonts w:ascii="Times New Roman" w:cs="Times New Roman" w:eastAsia="Times New Roman" w:hAnsi="Times New Roman"/>
          <w:sz w:val="22"/>
          <w:szCs w:val="22"/>
          <w:color w:val="auto"/>
        </w:rPr>
        <w:t xml:space="preserve">”) to the Company from time to time on any Business Day during the Availability Period with respect to the Committed (USD) Facility in an aggregate amount not to exceed at any time outstanding the amount of the Swing Line Sublimit, notwithstanding the fact that such Swing Line Loans, when aggregated with the Applicable (USD) Percentage of the Outstanding Amount of Committed (USD) Loans and L/C Obligations of the Lender acting as Swing Line Lender, may exceed the amount of such Lender’s USD Commitment;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after giving effect to any Swing Line Loan, (i) the Total (USD) Outstandings shall not exceed the Aggregate (USD) Commitments and (ii) the aggregate Outstanding Amount of the Committed (USD) Loans of any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 Applicable (USD) Percentage of the Outstanding Amount of all L/C Obligations,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Lender’s Applicable (USD) Percentage of the Outstanding Amount of all Swing Line Loans shall not exceed such Lender’s USD Commitment,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prepay under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reborrow under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Each Swing Line Loan shall be a Base Rate Loan. Immediately upon the making of a Swing Line Loan, each Committed (USD) Lender shall be deemed to, and hereby irrevocably and unconditionally agrees to, purchase from the Swing Line Lender a risk participation in such Swing Line Loan in an amount equal to the product of such Lender’s Applicable (USD) Percentage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amount of such Swing Line Loan.</w:t>
      </w:r>
    </w:p>
    <w:p>
      <w:pPr>
        <w:spacing w:after="0" w:line="204" w:lineRule="exact"/>
        <w:rPr>
          <w:rFonts w:ascii="Times New Roman" w:cs="Times New Roman" w:eastAsia="Times New Roman" w:hAnsi="Times New Roman"/>
          <w:sz w:val="22"/>
          <w:szCs w:val="22"/>
          <w:color w:val="auto"/>
        </w:rPr>
      </w:pPr>
    </w:p>
    <w:p>
      <w:pPr>
        <w:jc w:val="both"/>
        <w:ind w:firstLine="656"/>
        <w:spacing w:after="0" w:line="247" w:lineRule="auto"/>
        <w:tabs>
          <w:tab w:leader="none" w:pos="118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Borrowing Procedures</w:t>
      </w:r>
      <w:r>
        <w:rPr>
          <w:rFonts w:ascii="Times New Roman" w:cs="Times New Roman" w:eastAsia="Times New Roman" w:hAnsi="Times New Roman"/>
          <w:sz w:val="22"/>
          <w:szCs w:val="22"/>
          <w:color w:val="auto"/>
        </w:rPr>
        <w:t xml:space="preserve">. Each Swing Line Borrowing shall be made upon the Company’s irrevocable notice to the Swing Line Lender and the Administrative Agent, which may be given by telephone. Each such notice must be received by the Swing Line Lender and the Administrative Agent not later than 2:00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Committed (USD) Lender) prior to 2:00 p.m.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2"/>
          <w:szCs w:val="22"/>
          <w:u w:val="single" w:color="auto"/>
          <w:color w:val="auto"/>
        </w:rPr>
        <w:t>Section 2.04(a)</w:t>
      </w:r>
      <w:r>
        <w:rPr>
          <w:rFonts w:ascii="Times New Roman" w:cs="Times New Roman" w:eastAsia="Times New Roman" w:hAnsi="Times New Roman"/>
          <w:sz w:val="22"/>
          <w:szCs w:val="22"/>
          <w:color w:val="auto"/>
        </w:rPr>
        <w:t>, or (B) that one or more of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22" w:right="339" w:bottom="1440" w:gutter="0" w:footer="0" w:header="0"/>
        </w:sectPr>
      </w:pPr>
    </w:p>
    <w:bookmarkStart w:id="185" w:name="page186"/>
    <w:bookmarkEnd w:id="185"/>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conditions specified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is not then satisfied, then, subject to the terms and conditions hereof, the Swing Line Lender will, not later than 4:00 p.m. on the borrowing date specified in such Swing Line Loan Notice, make the amount of its Swing Line Loan available to the Company.</w:t>
      </w:r>
    </w:p>
    <w:p>
      <w:pPr>
        <w:spacing w:after="0" w:line="186" w:lineRule="exact"/>
        <w:rPr>
          <w:sz w:val="20"/>
          <w:szCs w:val="20"/>
          <w:color w:val="auto"/>
        </w:rPr>
      </w:pPr>
    </w:p>
    <w:p>
      <w:pPr>
        <w:ind w:left="1120" w:hanging="464"/>
        <w:spacing w:after="0"/>
        <w:tabs>
          <w:tab w:leader="none" w:pos="11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Refinancing of Swing Line Loans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0" w:lineRule="auto"/>
        <w:tabs>
          <w:tab w:leader="none" w:pos="1733"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Swing Line Lender at any time in its sole and absolute discretion may request, on behalf of the Company (which hereby irrevocably authorizes the Swing Line Lender to so request on its behalf), that each Committed (USD) Lender make a Base Rate Committed (USD) Loan in an amount equal to such Lender's Applicable (USD)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without regard to the minimum and multiples specified therein for the principal amount of Base Rate Loans, but subject to the unutilized portion of the Aggregate (USD) Commitments and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Swing Line Lender shall furnish the Company with a copy of the applicable Loan Notice promptly after delivering such notice to the Administrative Agent. Each Committed (USD) Lender shall make an amount equal to its Applicable (USD)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1"/>
          <w:szCs w:val="21"/>
          <w:u w:val="single" w:color="auto"/>
          <w:color w:val="auto"/>
        </w:rPr>
        <w:t>Section 2.04(c)(ii)</w:t>
      </w:r>
      <w:r>
        <w:rPr>
          <w:rFonts w:ascii="Times New Roman" w:cs="Times New Roman" w:eastAsia="Times New Roman" w:hAnsi="Times New Roman"/>
          <w:sz w:val="21"/>
          <w:szCs w:val="21"/>
          <w:color w:val="auto"/>
        </w:rPr>
        <w:t>, each Committed (USD) Lender that so makes funds available shall be deemed to have made a Base Rate Committed (USD) Loan to the Company in such amount. The Administrative Agent shall remit the funds so received to the Swing Line Lender.</w:t>
      </w:r>
    </w:p>
    <w:p>
      <w:pPr>
        <w:spacing w:after="0" w:line="171" w:lineRule="exact"/>
        <w:rPr>
          <w:rFonts w:ascii="Times New Roman" w:cs="Times New Roman" w:eastAsia="Times New Roman" w:hAnsi="Times New Roman"/>
          <w:sz w:val="21"/>
          <w:szCs w:val="21"/>
          <w:color w:val="auto"/>
        </w:rPr>
      </w:pPr>
    </w:p>
    <w:p>
      <w:pPr>
        <w:jc w:val="both"/>
        <w:ind w:left="660" w:firstLine="644"/>
        <w:spacing w:after="0" w:line="251" w:lineRule="auto"/>
        <w:tabs>
          <w:tab w:leader="none" w:pos="1883"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for any reason any Swing Line Loan cannot be refinanced by such a Committed (USD) Borrowing in accordance with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the request for Base Rate Committed (USD) Loans submitted by the Swing Line Lender as set forth herein shall be deemed to be a request by the Swing Line Lender that each of the Committed (USD) Lenders fund its risk participation in the relevant Swing Line Loan and each Committed (USD) Lender’s payment to the Administrative Agent for the account of the Swing Line Lender pursuant to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xml:space="preserve"> shall be deemed payment in respect of such participation.</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8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Committed (USD)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2.04(c)</w:t>
      </w:r>
      <w:r>
        <w:rPr>
          <w:rFonts w:ascii="Times New Roman" w:cs="Times New Roman" w:eastAsia="Times New Roman" w:hAnsi="Times New Roman"/>
          <w:sz w:val="22"/>
          <w:szCs w:val="22"/>
          <w:color w:val="auto"/>
        </w:rPr>
        <w:t xml:space="preserve"> by the time specified in </w:t>
      </w:r>
      <w:r>
        <w:rPr>
          <w:rFonts w:ascii="Times New Roman" w:cs="Times New Roman" w:eastAsia="Times New Roman" w:hAnsi="Times New Roman"/>
          <w:sz w:val="22"/>
          <w:szCs w:val="22"/>
          <w:u w:val="single" w:color="auto"/>
          <w:color w:val="auto"/>
        </w:rPr>
        <w:t>Section 2.04(c)(i)</w:t>
      </w:r>
      <w:r>
        <w:rPr>
          <w:rFonts w:ascii="Times New Roman" w:cs="Times New Roman" w:eastAsia="Times New Roman" w:hAnsi="Times New Roman"/>
          <w:sz w:val="22"/>
          <w:szCs w:val="22"/>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22" w:right="339" w:bottom="1440" w:gutter="0" w:footer="0" w:header="0"/>
        </w:sectPr>
      </w:pPr>
    </w:p>
    <w:bookmarkStart w:id="186" w:name="page187"/>
    <w:bookmarkEnd w:id="186"/>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in connection with the foregoing. If such Committed (USD) Lender pays such amount (with interest and fees as aforesaid), the amount so paid shall constitute such Lender’s Committed (USD) Loan included in the relevant Committed (USD)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79" w:lineRule="exact"/>
        <w:rPr>
          <w:sz w:val="20"/>
          <w:szCs w:val="20"/>
          <w:color w:val="auto"/>
        </w:rPr>
      </w:pPr>
    </w:p>
    <w:p>
      <w:pPr>
        <w:jc w:val="both"/>
        <w:ind w:left="660" w:firstLine="644"/>
        <w:spacing w:after="0" w:line="248" w:lineRule="auto"/>
        <w:tabs>
          <w:tab w:leader="none" w:pos="185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Committed (USD) Lender’s obligation to make Committed (USD) Loans or to purchase and fund risk participations in Swing Line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each Committed (USD) Lender’s obligation to make Committed (USD) Loans pursuant to this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xml:space="preserve"> is subject to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No such funding of risk participations shall relieve or otherwise impair the obligation of the Company to repay Swing Line Loans, together with interest as provided herein.</w:t>
      </w:r>
    </w:p>
    <w:p>
      <w:pPr>
        <w:spacing w:after="0" w:line="19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Participations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79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any Committed (USD) Lender has purchased and funded a risk participation in a Swing Line Loan, if the Swing Line Lender receives any payment on account of such Swing Line Loan, the Swing Line Lender will distribute to such Lender its Applicable (USD) Percentage thereof in the same funds as those received by the Swing Line Lender.</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876"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(including pursuant to any settlement entered into by the Swing Line Lender in its discretion), each Committed (USD) Lender shall pay to the Swing Line Lender its Applicable (USD)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Committed (USD) Lenders under this clause shall survive the payment in full of the Obligations and the termination of this Agreement.</w:t>
      </w:r>
    </w:p>
    <w:p>
      <w:pPr>
        <w:spacing w:after="0" w:line="181" w:lineRule="exact"/>
        <w:rPr>
          <w:rFonts w:ascii="Times New Roman" w:cs="Times New Roman" w:eastAsia="Times New Roman" w:hAnsi="Times New Roman"/>
          <w:sz w:val="22"/>
          <w:szCs w:val="22"/>
          <w:color w:val="auto"/>
        </w:rPr>
      </w:pPr>
    </w:p>
    <w:p>
      <w:pPr>
        <w:jc w:val="both"/>
        <w:ind w:firstLine="656"/>
        <w:spacing w:after="0" w:line="257" w:lineRule="auto"/>
        <w:tabs>
          <w:tab w:leader="none" w:pos="111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for Account of Swing Line Lender</w:t>
      </w:r>
      <w:r>
        <w:rPr>
          <w:rFonts w:ascii="Times New Roman" w:cs="Times New Roman" w:eastAsia="Times New Roman" w:hAnsi="Times New Roman"/>
          <w:sz w:val="22"/>
          <w:szCs w:val="22"/>
          <w:color w:val="auto"/>
        </w:rPr>
        <w:t xml:space="preserve">. The Swing Line Lender shall be responsible for invoicing the Company for interest on the Swing Line Loans. Until each Committed (USD) Lender funds its Base Rate Committed (USD) Loan or risk participation pursuant to this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to refinance such Lender’s Applicable (USD) Percentage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22" w:right="339" w:bottom="1440" w:gutter="0" w:footer="0" w:header="0"/>
        </w:sectPr>
      </w:pPr>
    </w:p>
    <w:bookmarkStart w:id="187" w:name="page188"/>
    <w:bookmarkEnd w:id="187"/>
    <w:p>
      <w:pPr>
        <w:ind w:right="20"/>
        <w:spacing w:after="0" w:line="271" w:lineRule="auto"/>
        <w:rPr>
          <w:sz w:val="20"/>
          <w:szCs w:val="20"/>
          <w:color w:val="auto"/>
        </w:rPr>
      </w:pPr>
      <w:r>
        <w:rPr>
          <w:rFonts w:ascii="Times New Roman" w:cs="Times New Roman" w:eastAsia="Times New Roman" w:hAnsi="Times New Roman"/>
          <w:sz w:val="22"/>
          <w:szCs w:val="22"/>
          <w:color w:val="auto"/>
        </w:rPr>
        <w:t>Swing Line Loan, interest in respect of such Applicable (USD) Percentage shall be solely for the account of the Swing Line Lender.</w:t>
      </w:r>
    </w:p>
    <w:p>
      <w:pPr>
        <w:spacing w:after="0" w:line="158" w:lineRule="exact"/>
        <w:rPr>
          <w:sz w:val="20"/>
          <w:szCs w:val="20"/>
          <w:color w:val="auto"/>
        </w:rPr>
      </w:pPr>
    </w:p>
    <w:p>
      <w:pPr>
        <w:ind w:firstLine="656"/>
        <w:spacing w:after="0" w:line="284" w:lineRule="auto"/>
        <w:tabs>
          <w:tab w:leader="none" w:pos="10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Directly to Swing Line Lender</w:t>
      </w:r>
      <w:r>
        <w:rPr>
          <w:rFonts w:ascii="Times New Roman" w:cs="Times New Roman" w:eastAsia="Times New Roman" w:hAnsi="Times New Roman"/>
          <w:sz w:val="22"/>
          <w:szCs w:val="22"/>
          <w:color w:val="auto"/>
        </w:rPr>
        <w:t>. The Company shall make all payments of principal and interest in respect of the Swing Line Loans directly to the Swing Line Lender.</w:t>
      </w:r>
    </w:p>
    <w:p>
      <w:pPr>
        <w:spacing w:after="0" w:line="14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2.05 Prepayments. </w:t>
      </w:r>
      <w:r>
        <w:rPr>
          <w:rFonts w:ascii="Times New Roman" w:cs="Times New Roman" w:eastAsia="Times New Roman" w:hAnsi="Times New Roman"/>
          <w:sz w:val="21"/>
          <w:szCs w:val="21"/>
          <w:color w:val="auto"/>
        </w:rPr>
        <w:t>(a) Each Borrower may, upon notice from the Company to the Administrative Agent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delivery to the Administrative Agent of a Notice of Loan Prepayment, at any time or from time to time voluntarily prepay Committed Loans and Term Loans in whole or in part without premium or penalty subject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any such notice must be delivered to the Administrative Agent not later than 2:00 p.m. (A) two Business Days prior to any date of prepayment of Term SOFR Loans, (B) four Business Days prior to any date of prepayment of Alternative Currency Term Rate Loans and (C) on the date of prepayment of Base Rate Loans; (ii) any prepayment of Term SOFR Loans or Alternative Currency Term Rate Loans shall be in a principal amount of the Dollar Equivalent of $1,000,000 or a whole multiple of $100,000 in excess thereof; and (iii) any prepayment of Base Rate Loans shall be in a principal amount of $500,000 or a whole multiple of $100,000 in excess thereof or, in each case, if less, the entire principal amount thereof then outstanding. Each such notice shall specify the date, currency and amount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Term SOFR Loan or Alternative Currency Term Rate Loan shall be accompanied by all accrued interest on the amount prepaid, together with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each such prepayment shall be paid to the Lenders in accordance with their respective Applicable Percentages in respect of each of the relevant Facilities. Each prepayment of Term Loans pursuant to this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shall be applied to the principal repayment installments thereof as the Borrowers may direct.</w:t>
      </w:r>
    </w:p>
    <w:p>
      <w:pPr>
        <w:spacing w:after="0" w:line="183" w:lineRule="exact"/>
        <w:rPr>
          <w:sz w:val="20"/>
          <w:szCs w:val="20"/>
          <w:color w:val="auto"/>
        </w:rPr>
      </w:pPr>
    </w:p>
    <w:p>
      <w:pPr>
        <w:jc w:val="both"/>
        <w:ind w:firstLine="656"/>
        <w:spacing w:after="0" w:line="251" w:lineRule="auto"/>
        <w:tabs>
          <w:tab w:leader="none" w:pos="113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notice must be received by the Swing Line Lender and the Administrative Agent not later than 1:00 p.m. on the date of the prepayment, and (ii)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1"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the Total (USD) Outstandings exceed an amount equal to the Aggregate (USD) Commitments then in effect, the Borrowers shall prepay Loans in an aggregate amount sufficient to reduce such Outstanding Amount as of such date of payment to an amount not to exceed the Aggregate (USD) Commitments then in effect.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22" w:right="339" w:bottom="1440" w:gutter="0" w:footer="0" w:header="0"/>
        </w:sectPr>
      </w:pPr>
    </w:p>
    <w:bookmarkStart w:id="188" w:name="page189"/>
    <w:bookmarkEnd w:id="188"/>
    <w:p>
      <w:pPr>
        <w:ind w:right="20"/>
        <w:spacing w:after="0" w:line="271" w:lineRule="auto"/>
        <w:rPr>
          <w:sz w:val="20"/>
          <w:szCs w:val="20"/>
          <w:color w:val="auto"/>
        </w:rPr>
      </w:pPr>
      <w:r>
        <w:rPr>
          <w:rFonts w:ascii="Times New Roman" w:cs="Times New Roman" w:eastAsia="Times New Roman" w:hAnsi="Times New Roman"/>
          <w:sz w:val="22"/>
          <w:szCs w:val="22"/>
          <w:color w:val="auto"/>
        </w:rPr>
        <w:t>Cash Collateralization shall not cure or eliminate the Company’s obligation to prepay Loans in an amount necessary such that Total (USD) Outstandings would not exceed the Aggregate (USD) Commitments.</w:t>
      </w:r>
    </w:p>
    <w:p>
      <w:pPr>
        <w:spacing w:after="0" w:line="158" w:lineRule="exact"/>
        <w:rPr>
          <w:sz w:val="20"/>
          <w:szCs w:val="20"/>
          <w:color w:val="auto"/>
        </w:rPr>
      </w:pPr>
    </w:p>
    <w:p>
      <w:pPr>
        <w:ind w:firstLine="656"/>
        <w:spacing w:after="0" w:line="284" w:lineRule="auto"/>
        <w:tabs>
          <w:tab w:leader="none" w:pos="116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reason the Outstanding Amount of all Committed (MC) Loans at any time exceeds the Aggregate (MC) Commitments at such time, the Borrowers shall prepay Committed (MC) Loans in an aggregate amount equal to such excess.</w:t>
      </w:r>
    </w:p>
    <w:p>
      <w:pPr>
        <w:spacing w:after="0" w:line="14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2.06</w:t>
      </w:r>
      <w:r>
        <w:rPr>
          <w:sz w:val="20"/>
          <w:szCs w:val="20"/>
          <w:color w:val="auto"/>
        </w:rPr>
        <w:tab/>
      </w:r>
      <w:r>
        <w:rPr>
          <w:rFonts w:ascii="Times New Roman" w:cs="Times New Roman" w:eastAsia="Times New Roman" w:hAnsi="Times New Roman"/>
          <w:sz w:val="21"/>
          <w:szCs w:val="21"/>
          <w:b w:val="1"/>
          <w:bCs w:val="1"/>
          <w:color w:val="auto"/>
        </w:rPr>
        <w:t>Termination or Reduction of Commitments.</w:t>
      </w:r>
    </w:p>
    <w:p>
      <w:pPr>
        <w:spacing w:after="0" w:line="224" w:lineRule="exact"/>
        <w:rPr>
          <w:sz w:val="20"/>
          <w:szCs w:val="20"/>
          <w:color w:val="auto"/>
        </w:rPr>
      </w:pPr>
    </w:p>
    <w:p>
      <w:pPr>
        <w:jc w:val="both"/>
        <w:ind w:firstLine="656"/>
        <w:spacing w:after="0" w:line="247" w:lineRule="auto"/>
        <w:tabs>
          <w:tab w:leader="none" w:pos="1212"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w:t>
      </w:r>
      <w:r>
        <w:rPr>
          <w:rFonts w:ascii="Times New Roman" w:cs="Times New Roman" w:eastAsia="Times New Roman" w:hAnsi="Times New Roman"/>
          <w:sz w:val="22"/>
          <w:szCs w:val="22"/>
          <w:color w:val="auto"/>
        </w:rPr>
        <w:t xml:space="preserve">. The Borrowers may, upon written notice by the Company to the Administrative Agent, terminate the Aggregate (USD) Commitments, the Aggregate (MC) Commitments, the Alternative Currency Letter of Credit Sublimit, the Letter of Credit Sublimit or the Swing Line Sublimit, or from time to time permanently reduce the Aggregate (USD) Commitments, the Aggregate (MC) Commitments, the Alternative Currency Letter of Credit Sublimit, the Letter of Credit Sublimit or the Swing Line Sublimit;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any such notice shall be received by the Administrative Agent not later than 12:00 noon three Business Days prior to the date of termination or reduction, (ii) any such partial reduction shall be in an aggregate amount of $1,000,000 or any whole multiple of $100,000 in excess thereof and (iii) the Company shall not terminate or reduce (A) the Aggregate (USD) Commitments if, after giving effect thereto and to any concurrent prepayments hereunder, the Total (USD) Outstandings would exceed the Aggregate (USD) Commitments, (B) the Aggregate (MC) Commitments if, after giving effect thereto and to any concurrent prepayments hereunder, the aggregate Outstanding Amount of all Committed (MC) Loans would exceed the Aggregate (MC) Commitments, (C) </w:t>
      </w:r>
      <w:r>
        <w:rPr>
          <w:rFonts w:ascii="Times New Roman" w:cs="Times New Roman" w:eastAsia="Times New Roman" w:hAnsi="Times New Roman"/>
          <w:sz w:val="22"/>
          <w:szCs w:val="22"/>
          <w:color w:val="191919"/>
        </w:rPr>
        <w:t>the Alternative Currency Letter of</w:t>
      </w:r>
      <w:r>
        <w:rPr>
          <w:rFonts w:ascii="Times New Roman" w:cs="Times New Roman" w:eastAsia="Times New Roman" w:hAnsi="Times New Roman"/>
          <w:sz w:val="22"/>
          <w:szCs w:val="22"/>
          <w:color w:val="auto"/>
        </w:rPr>
        <w:t xml:space="preserve"> Credit Sublimit if, after giving effect thereto, the Outstanding Amount of L/C Obligations with respect to Letters of Credit and Bankers’ Acceptances denominated in an Alternative Currency not fully Cash Collateralized hereunder would exceed the Alternative Currency Letter of Credit Sublimit, (D) </w:t>
      </w:r>
      <w:r>
        <w:rPr>
          <w:rFonts w:ascii="Times New Roman" w:cs="Times New Roman" w:eastAsia="Times New Roman" w:hAnsi="Times New Roman"/>
          <w:sz w:val="22"/>
          <w:szCs w:val="22"/>
          <w:color w:val="191919"/>
        </w:rPr>
        <w:t>the Letter of Credit Sublimit if, after giving effect thereto, the Outstanding Amount of L/C Obligations 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respect to Letters of Credit and Bankers’ Acceptances not fully Cash Collateralized hereunder would exceed the Letter of Credit Sublimit </w:t>
      </w:r>
      <w:r>
        <w:rPr>
          <w:rFonts w:ascii="Times New Roman" w:cs="Times New Roman" w:eastAsia="Times New Roman" w:hAnsi="Times New Roman"/>
          <w:sz w:val="22"/>
          <w:szCs w:val="22"/>
          <w:color w:val="000000"/>
        </w:rPr>
        <w:t>or (E)</w:t>
      </w:r>
      <w:r>
        <w:rPr>
          <w:rFonts w:ascii="Times New Roman" w:cs="Times New Roman" w:eastAsia="Times New Roman" w:hAnsi="Times New Roman"/>
          <w:sz w:val="22"/>
          <w:szCs w:val="22"/>
          <w:color w:val="191919"/>
        </w:rPr>
        <w:t xml:space="preserve"> the Swing Line Sublimit if, after giving effect thereto, the Outstanding Amount of Swing Line Loans would exceed the Swing Line Sublimit.</w:t>
      </w:r>
    </w:p>
    <w:p>
      <w:pPr>
        <w:spacing w:after="0" w:line="190" w:lineRule="exact"/>
        <w:rPr>
          <w:rFonts w:ascii="Times New Roman" w:cs="Times New Roman" w:eastAsia="Times New Roman" w:hAnsi="Times New Roman"/>
          <w:sz w:val="22"/>
          <w:szCs w:val="22"/>
          <w:color w:val="auto"/>
        </w:rPr>
      </w:pPr>
    </w:p>
    <w:p>
      <w:pPr>
        <w:jc w:val="both"/>
        <w:ind w:firstLine="656"/>
        <w:spacing w:after="0" w:line="262" w:lineRule="auto"/>
        <w:tabs>
          <w:tab w:leader="none" w:pos="125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Commitment Reductions; Payment of Fees</w:t>
      </w:r>
      <w:r>
        <w:rPr>
          <w:rFonts w:ascii="Times New Roman" w:cs="Times New Roman" w:eastAsia="Times New Roman" w:hAnsi="Times New Roman"/>
          <w:sz w:val="21"/>
          <w:szCs w:val="21"/>
          <w:color w:val="auto"/>
        </w:rPr>
        <w:t xml:space="preserve">. The Administrative Agent will promptly notify the Lenders of any such notice of termination or reduction of the Aggregate (USD) Commitments, the Aggregate (MC) Commitments, the Alternative Currency Letter of Credit Sublimit, the Letter of Credit Sublimit or the Swing Line Sublimit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Any reduction of the Aggregate (USD) Commitments shall be applied to the USD Commitment of each Lender according to its Applicable (USD) Percentage. Any reduction of the Aggregate (MC) Commitments shall be applied to the MC Commitment of each Lender according to its Applicable Percentage with respect to the Committed (MC) Facility. All fees in respect of the applicable Facility accrued until the effective date of any termination of the Aggregate (USD) Commitments or Aggregate (MC) Commitments, as the case may be, shall be paid on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22" w:right="339" w:bottom="1440" w:gutter="0" w:footer="0" w:header="0"/>
        </w:sectPr>
      </w:pPr>
    </w:p>
    <w:bookmarkStart w:id="189" w:name="page190"/>
    <w:bookmarkEnd w:id="189"/>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2.07 Repayment of Loans. </w:t>
      </w:r>
      <w:r>
        <w:rPr>
          <w:rFonts w:ascii="Times New Roman" w:cs="Times New Roman" w:eastAsia="Times New Roman" w:hAnsi="Times New Roman"/>
          <w:sz w:val="22"/>
          <w:szCs w:val="22"/>
          <w:color w:val="auto"/>
        </w:rPr>
        <w:t>(a) Each Borrower shall repay to the Committed (USD) Lenders on the Maturity Date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Committed (USD) Facility the aggregate principal amount of Committed (USD) Loans made to such Borrower outstanding on such date.</w:t>
      </w:r>
    </w:p>
    <w:p>
      <w:pPr>
        <w:spacing w:after="0" w:line="184" w:lineRule="exact"/>
        <w:rPr>
          <w:sz w:val="20"/>
          <w:szCs w:val="20"/>
          <w:color w:val="auto"/>
        </w:rPr>
      </w:pPr>
    </w:p>
    <w:p>
      <w:pPr>
        <w:ind w:right="20" w:firstLine="656"/>
        <w:spacing w:after="0" w:line="271" w:lineRule="auto"/>
        <w:tabs>
          <w:tab w:leader="none" w:pos="115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repay to the Committed (MC) Lenders on the Maturity Date for the Committed (MC) Facility the aggregate principal amount of Committed (MC) Loans made to such Borrower outstanding on such date.</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13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repay each Swing Line Loan on the earlier to occur of (i) the date ten Business Days after such Loan is made and (ii) the Maturity Date for the Committed (USD) Facility.</w:t>
      </w:r>
    </w:p>
    <w:p>
      <w:pPr>
        <w:spacing w:after="0" w:line="157" w:lineRule="exact"/>
        <w:rPr>
          <w:rFonts w:ascii="Times New Roman" w:cs="Times New Roman" w:eastAsia="Times New Roman" w:hAnsi="Times New Roman"/>
          <w:sz w:val="22"/>
          <w:szCs w:val="22"/>
          <w:color w:val="auto"/>
        </w:rPr>
      </w:pPr>
    </w:p>
    <w:p>
      <w:pPr>
        <w:jc w:val="both"/>
        <w:ind w:firstLine="656"/>
        <w:spacing w:after="0" w:line="253" w:lineRule="auto"/>
        <w:tabs>
          <w:tab w:leader="none" w:pos="114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shall repay to the Term Loan Lenders the aggregate principal amount of all Term Loans as set forth on </w:t>
      </w:r>
      <w:r>
        <w:rPr>
          <w:rFonts w:ascii="Times New Roman" w:cs="Times New Roman" w:eastAsia="Times New Roman" w:hAnsi="Times New Roman"/>
          <w:sz w:val="22"/>
          <w:szCs w:val="22"/>
          <w:u w:val="single" w:color="auto"/>
          <w:color w:val="auto"/>
        </w:rPr>
        <w:t>Annex III</w:t>
      </w:r>
      <w:r>
        <w:rPr>
          <w:rFonts w:ascii="Times New Roman" w:cs="Times New Roman" w:eastAsia="Times New Roman" w:hAnsi="Times New Roman"/>
          <w:sz w:val="22"/>
          <w:szCs w:val="22"/>
          <w:color w:val="auto"/>
        </w:rPr>
        <w:t xml:space="preserve"> (which principal amounts shall be reduced as a result of the application of prepayments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final principal repayment installment of the Term Loans shall be repaid on the Maturity Date for the Term Loan Facility and in any event shall be in an amount equal to the aggregate principal amount of Term Loans made to the Borrowers that remain outstanding on such date.</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2.08 Interest. </w:t>
      </w:r>
      <w:r>
        <w:rPr>
          <w:rFonts w:ascii="Times New Roman" w:cs="Times New Roman" w:eastAsia="Times New Roman" w:hAnsi="Times New Roman"/>
          <w:sz w:val="22"/>
          <w:szCs w:val="22"/>
          <w:color w:val="auto"/>
        </w:rPr>
        <w:t>(a) Subject to the provisions of subsection (b) below, (i) each Term SOFR Loan shall bear interest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outstanding principal amount thereof for each Interest Period at a rate per annum equal to Term SOFR for such Interest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(iii) </w:t>
      </w:r>
      <w:r>
        <w:rPr>
          <w:rFonts w:ascii="Times New Roman" w:cs="Times New Roman" w:eastAsia="Times New Roman" w:hAnsi="Times New Roman"/>
          <w:sz w:val="22"/>
          <w:szCs w:val="22"/>
          <w:color w:val="191919"/>
        </w:rPr>
        <w:t>each Alternative Currency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Term Rate Loan shall bear interest on the outstanding principal amount thereof for each Interest Period at a rate per annum equal to the Alternative Currency Term </w:t>
      </w:r>
      <w:r>
        <w:rPr>
          <w:rFonts w:ascii="Times New Roman" w:cs="Times New Roman" w:eastAsia="Times New Roman" w:hAnsi="Times New Roman"/>
          <w:sz w:val="22"/>
          <w:szCs w:val="22"/>
          <w:color w:val="000000"/>
        </w:rPr>
        <w:t>Rate for such Interest Period</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u w:val="single" w:color="auto"/>
          <w:color w:val="191919"/>
        </w:rPr>
        <w:t>plus</w:t>
      </w:r>
      <w:r>
        <w:rPr>
          <w:rFonts w:ascii="Times New Roman" w:cs="Times New Roman" w:eastAsia="Times New Roman" w:hAnsi="Times New Roman"/>
          <w:sz w:val="22"/>
          <w:szCs w:val="22"/>
          <w:color w:val="191919"/>
        </w:rPr>
        <w:t xml:space="preserve"> the Applicable Rate </w:t>
      </w:r>
      <w:r>
        <w:rPr>
          <w:rFonts w:ascii="Times New Roman" w:cs="Times New Roman" w:eastAsia="Times New Roman" w:hAnsi="Times New Roman"/>
          <w:sz w:val="22"/>
          <w:szCs w:val="22"/>
          <w:color w:val="000000"/>
        </w:rPr>
        <w:t>and (iv) each Swing Line Loan shall bear</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 xml:space="preserve">interest on the outstanding principal amount thereof from the applicable borrowing date at a rate per annum equal to the Base Rate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000000"/>
        </w:rPr>
        <w:t xml:space="preserve"> the Applicable Rate.</w:t>
      </w:r>
    </w:p>
    <w:p>
      <w:pPr>
        <w:spacing w:after="0" w:line="182" w:lineRule="exact"/>
        <w:rPr>
          <w:sz w:val="20"/>
          <w:szCs w:val="20"/>
          <w:color w:val="auto"/>
        </w:rPr>
      </w:pPr>
    </w:p>
    <w:p>
      <w:pPr>
        <w:jc w:val="both"/>
        <w:ind w:firstLine="656"/>
        <w:spacing w:after="0" w:line="257" w:lineRule="auto"/>
        <w:tabs>
          <w:tab w:leader="none" w:pos="115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any amount of principal of any Loan is not paid when due (without regard to any applicable grace periods), whether at stated maturity, by acceleration or otherwise, such overdue amount shall thereafter bear interest at a fluctuating interest rate per annum at all times equal to the Default Rate to the fullest extent permitted by applicable Laws.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72" w:lineRule="auto"/>
        <w:tabs>
          <w:tab w:leader="none" w:pos="1810"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overdue amount shall thereafter bear interest at a fluctuating interest rate per annum at all times equal to the Default Rate to the fullest extent permitted by applicable Laws.</w:t>
      </w:r>
    </w:p>
    <w:p>
      <w:pPr>
        <w:spacing w:after="0" w:line="160"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86"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occurrence and during the continuation of any Event of Default under </w:t>
      </w:r>
      <w:r>
        <w:rPr>
          <w:rFonts w:ascii="Times New Roman" w:cs="Times New Roman" w:eastAsia="Times New Roman" w:hAnsi="Times New Roman"/>
          <w:sz w:val="22"/>
          <w:szCs w:val="22"/>
          <w:u w:val="single" w:color="auto"/>
          <w:color w:val="auto"/>
        </w:rPr>
        <w:t>Section 8.01(f)</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and upon the request of the Required Lenders while any Event of Default under </w:t>
      </w:r>
      <w:r>
        <w:rPr>
          <w:rFonts w:ascii="Times New Roman" w:cs="Times New Roman" w:eastAsia="Times New Roman" w:hAnsi="Times New Roman"/>
          <w:sz w:val="22"/>
          <w:szCs w:val="22"/>
          <w:u w:val="single" w:color="auto"/>
          <w:color w:val="auto"/>
        </w:rPr>
        <w:t>Section 8.01(b)</w:t>
      </w:r>
      <w:r>
        <w:rPr>
          <w:rFonts w:ascii="Times New Roman" w:cs="Times New Roman" w:eastAsia="Times New Roman" w:hAnsi="Times New Roman"/>
          <w:sz w:val="22"/>
          <w:szCs w:val="22"/>
          <w:color w:val="auto"/>
        </w:rPr>
        <w:t xml:space="preserve"> exists as a result of a failure to comply with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the Borrowers shall pay interest on the principal amount of all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18" w:right="339" w:bottom="1440" w:gutter="0" w:footer="0" w:header="0"/>
        </w:sectPr>
      </w:pPr>
    </w:p>
    <w:bookmarkStart w:id="190" w:name="page191"/>
    <w:bookmarkEnd w:id="190"/>
    <w:p>
      <w:pPr>
        <w:ind w:left="660"/>
        <w:spacing w:after="0" w:line="271" w:lineRule="auto"/>
        <w:rPr>
          <w:sz w:val="20"/>
          <w:szCs w:val="20"/>
          <w:color w:val="auto"/>
        </w:rPr>
      </w:pPr>
      <w:r>
        <w:rPr>
          <w:rFonts w:ascii="Times New Roman" w:cs="Times New Roman" w:eastAsia="Times New Roman" w:hAnsi="Times New Roman"/>
          <w:sz w:val="22"/>
          <w:szCs w:val="22"/>
          <w:color w:val="auto"/>
        </w:rPr>
        <w:t>Obligations hereunder at a fluctuating interest rate per annum at all times equal to the Default Rate to the fullest extent permitted by applicable Laws.</w:t>
      </w:r>
    </w:p>
    <w:p>
      <w:pPr>
        <w:spacing w:after="0" w:line="158" w:lineRule="exact"/>
        <w:rPr>
          <w:sz w:val="20"/>
          <w:szCs w:val="20"/>
          <w:color w:val="auto"/>
        </w:rPr>
      </w:pPr>
    </w:p>
    <w:p>
      <w:pPr>
        <w:ind w:left="660" w:firstLine="644"/>
        <w:spacing w:after="0" w:line="284" w:lineRule="auto"/>
        <w:tabs>
          <w:tab w:leader="none" w:pos="1878"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Accrued and unpaid interest on past due amounts (including interest on past due interest) shall be due and payable upon demand.</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5"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6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7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2.09</w:t>
      </w:r>
      <w:r>
        <w:rPr>
          <w:sz w:val="20"/>
          <w:szCs w:val="20"/>
          <w:color w:val="auto"/>
        </w:rPr>
        <w:tab/>
      </w:r>
      <w:r>
        <w:rPr>
          <w:rFonts w:ascii="Times New Roman" w:cs="Times New Roman" w:eastAsia="Times New Roman" w:hAnsi="Times New Roman"/>
          <w:sz w:val="21"/>
          <w:szCs w:val="21"/>
          <w:b w:val="1"/>
          <w:bCs w:val="1"/>
          <w:color w:val="auto"/>
        </w:rPr>
        <w:t xml:space="preserve">Fees. </w:t>
      </w:r>
      <w:r>
        <w:rPr>
          <w:rFonts w:ascii="Times New Roman" w:cs="Times New Roman" w:eastAsia="Times New Roman" w:hAnsi="Times New Roman"/>
          <w:sz w:val="21"/>
          <w:szCs w:val="21"/>
          <w:color w:val="auto"/>
        </w:rPr>
        <w:t>In addition to certain fees described in subsections (i), (j) and (k)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jc w:val="both"/>
        <w:ind w:firstLine="656"/>
        <w:spacing w:after="0" w:line="261" w:lineRule="auto"/>
        <w:tabs>
          <w:tab w:leader="none" w:pos="1104"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xml:space="preserve">. (i) The Company shall pay to the Administrative Agent for the account of each Committed (USD) Lender in accordance with its Applicable (USD) Percentage, a commitment fee in Dollars equal to the Applicable Rate </w:t>
      </w:r>
      <w:r>
        <w:rPr>
          <w:rFonts w:ascii="Times New Roman" w:cs="Times New Roman" w:eastAsia="Times New Roman" w:hAnsi="Times New Roman"/>
          <w:sz w:val="21"/>
          <w:szCs w:val="21"/>
          <w:u w:val="single" w:color="auto"/>
          <w:color w:val="auto"/>
        </w:rPr>
        <w:t>times</w:t>
      </w:r>
      <w:r>
        <w:rPr>
          <w:rFonts w:ascii="Times New Roman" w:cs="Times New Roman" w:eastAsia="Times New Roman" w:hAnsi="Times New Roman"/>
          <w:sz w:val="21"/>
          <w:szCs w:val="21"/>
          <w:color w:val="auto"/>
        </w:rPr>
        <w:t xml:space="preserve"> the actual daily amount by which the Aggregate (USD) Commitments exceed the sum of (i) the Outstanding Amount of Committed (USD) Loans and (ii) the Outstanding Amount of L/C Obligations, subject to adjustment as provided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The commitment fee shall accrue at all times during the Availability Period with respect to the Committed (USD) Facility, including at any time during which one or more of the conditions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For the avoidance of doubt, the Outstanding Amount of Swing Line Loans will not be considered when calculating the commitment fee above.</w:t>
      </w:r>
    </w:p>
    <w:p>
      <w:pPr>
        <w:spacing w:after="0" w:line="175"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87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pay to the Administrative Agent for the account of each Committed (MC) Lender in accordance with its Applicable Percentage in respect of the Committed (MC) Facility, a commitment fee in Dollars equal to the Applicable Rate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the actual daily amount by which the Aggregate (MC) Commitments exceed the Outstanding Amount of Committed (MC) Loans, subject to adjustment as provided in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The commitment fee shall accrue at all times during the Availability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22" w:right="339" w:bottom="1440" w:gutter="0" w:footer="0" w:header="0"/>
        </w:sectPr>
      </w:pPr>
    </w:p>
    <w:bookmarkStart w:id="191" w:name="page192"/>
    <w:bookmarkEnd w:id="191"/>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with respect to the Committed (MC) Facility, including at any time during which one or more of the conditions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is not met, and shall be due and payable quarterly in arrears on the last Business Day of each March, June, September and December, commencing with the first such date to occur after the Closing Date, and on the last day of such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1" w:lineRule="exact"/>
        <w:rPr>
          <w:sz w:val="20"/>
          <w:szCs w:val="20"/>
          <w:color w:val="auto"/>
        </w:rPr>
      </w:pPr>
    </w:p>
    <w:p>
      <w:pPr>
        <w:jc w:val="both"/>
        <w:ind w:firstLine="656"/>
        <w:spacing w:after="0" w:line="263" w:lineRule="auto"/>
        <w:tabs>
          <w:tab w:leader="none" w:pos="1224"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(i) The Company shall pay to the Arrangers and the Administrative Agent for their own respective accounts, in Dollars, fees in the amounts and at the times specified in the applicable Fee Letter. Such fees shall be fully earned when paid and shall not be refundable for any reason whatsoever.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48"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6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2.10 Computation of Interest and Fees; Retroactive Adjustments of Applicable Rate. </w:t>
      </w:r>
      <w:r>
        <w:rPr>
          <w:rFonts w:ascii="Times New Roman" w:cs="Times New Roman" w:eastAsia="Times New Roman" w:hAnsi="Times New Roman"/>
          <w:sz w:val="22"/>
          <w:szCs w:val="22"/>
          <w:color w:val="auto"/>
        </w:rPr>
        <w:t>(a) All computations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interest for Base Rate Loans (including Base Rate Loans determined by reference to Term SOFR) and for Committed (MC) Loans denominated in Alternative Currencies shall be made on the basis of a year of 365 or 366 days, as the case may be, and actual days elapsed, </w:t>
      </w:r>
      <w:r>
        <w:rPr>
          <w:rFonts w:ascii="Times New Roman" w:cs="Times New Roman" w:eastAsia="Times New Roman" w:hAnsi="Times New Roman"/>
          <w:sz w:val="22"/>
          <w:szCs w:val="22"/>
          <w:color w:val="191919"/>
        </w:rPr>
        <w:t>or, in the case of interest in respect of Loans denominated in Alternative Currencies as to which market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practice differs from the foregoing, in accordance with such market practice</w:t>
      </w:r>
      <w:r>
        <w:rPr>
          <w:rFonts w:ascii="Times New Roman" w:cs="Times New Roman" w:eastAsia="Times New Roman" w:hAnsi="Times New Roman"/>
          <w:sz w:val="22"/>
          <w:szCs w:val="22"/>
          <w:color w:val="000000"/>
        </w:rPr>
        <w:t>. Other than as provided under</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u w:val="single" w:color="auto"/>
          <w:color w:val="000000"/>
        </w:rPr>
        <w:t>Section 2.08(d)</w:t>
      </w:r>
      <w:r>
        <w:rPr>
          <w:rFonts w:ascii="Times New Roman" w:cs="Times New Roman" w:eastAsia="Times New Roman" w:hAnsi="Times New Roman"/>
          <w:sz w:val="22"/>
          <w:szCs w:val="22"/>
          <w:color w:val="000000"/>
        </w:rPr>
        <w:t>, all</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 xml:space="preserve">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any Loan that is repaid on the same day on which it is made shall, subject to </w:t>
      </w:r>
      <w:r>
        <w:rPr>
          <w:rFonts w:ascii="Times New Roman" w:cs="Times New Roman" w:eastAsia="Times New Roman" w:hAnsi="Times New Roman"/>
          <w:sz w:val="22"/>
          <w:szCs w:val="22"/>
          <w:u w:val="single" w:color="auto"/>
          <w:color w:val="000000"/>
        </w:rPr>
        <w:t>Section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2.12(a)</w:t>
      </w:r>
      <w:r>
        <w:rPr>
          <w:rFonts w:ascii="Times New Roman" w:cs="Times New Roman" w:eastAsia="Times New Roman" w:hAnsi="Times New Roman"/>
          <w:sz w:val="22"/>
          <w:szCs w:val="22"/>
          <w:color w:val="000000"/>
        </w:rPr>
        <w:t>, bear interest for one day. Each determination by the Administrative Agent of an interest rate or fee hereunder shall be conclusive and binding for all purposes, absent manifest error.</w:t>
      </w:r>
    </w:p>
    <w:p>
      <w:pPr>
        <w:spacing w:after="0" w:line="181" w:lineRule="exact"/>
        <w:rPr>
          <w:sz w:val="20"/>
          <w:szCs w:val="20"/>
          <w:color w:val="auto"/>
        </w:rPr>
      </w:pPr>
    </w:p>
    <w:p>
      <w:pPr>
        <w:jc w:val="both"/>
        <w:ind w:firstLine="656"/>
        <w:spacing w:after="0" w:line="250" w:lineRule="auto"/>
        <w:tabs>
          <w:tab w:leader="none" w:pos="115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22" w:right="339" w:bottom="1440" w:gutter="0" w:footer="0" w:header="0"/>
        </w:sectPr>
      </w:pPr>
    </w:p>
    <w:bookmarkStart w:id="192" w:name="page193"/>
    <w:bookmarkEnd w:id="192"/>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22"/>
          <w:szCs w:val="22"/>
          <w:u w:val="single" w:color="auto"/>
          <w:color w:val="auto"/>
        </w:rPr>
        <w:t>Section 2.03(d)(iii)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2.03(j)</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2.08(b)</w:t>
      </w:r>
      <w:r>
        <w:rPr>
          <w:rFonts w:ascii="Times New Roman" w:cs="Times New Roman" w:eastAsia="Times New Roman" w:hAnsi="Times New Roman"/>
          <w:sz w:val="22"/>
          <w:szCs w:val="22"/>
          <w:color w:val="auto"/>
        </w:rPr>
        <w:t xml:space="preserve"> or under </w:t>
      </w:r>
      <w:r>
        <w:rPr>
          <w:rFonts w:ascii="Times New Roman" w:cs="Times New Roman" w:eastAsia="Times New Roman" w:hAnsi="Times New Roman"/>
          <w:sz w:val="22"/>
          <w:szCs w:val="22"/>
          <w:u w:val="single" w:color="auto"/>
          <w:color w:val="auto"/>
        </w:rPr>
        <w:t>Article VIII</w:t>
      </w:r>
      <w:r>
        <w:rPr>
          <w:rFonts w:ascii="Times New Roman" w:cs="Times New Roman" w:eastAsia="Times New Roman" w:hAnsi="Times New Roman"/>
          <w:sz w:val="22"/>
          <w:szCs w:val="22"/>
          <w:color w:val="auto"/>
        </w:rPr>
        <w:t>. The Borrowers’ obligations under this paragraph shall survive the termination of the Aggregate Commitments and the repayment of all other Obligations hereunder.</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2.11 Evidence of Debt. </w:t>
      </w:r>
      <w:r>
        <w:rPr>
          <w:rFonts w:ascii="Times New Roman" w:cs="Times New Roman" w:eastAsia="Times New Roman" w:hAnsi="Times New Roman"/>
          <w:sz w:val="22"/>
          <w:szCs w:val="22"/>
          <w:color w:val="auto"/>
        </w:rPr>
        <w:t>(a) The Credit Extensions made by each Lender shall be evidenced by one or more accounts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records maintained by such Lender in the ordinary course of business. The Administrative Agent shall maintain the Register in accordance with </w:t>
      </w:r>
      <w:r>
        <w:rPr>
          <w:rFonts w:ascii="Times New Roman" w:cs="Times New Roman" w:eastAsia="Times New Roman" w:hAnsi="Times New Roman"/>
          <w:sz w:val="22"/>
          <w:szCs w:val="22"/>
          <w:u w:val="single" w:color="auto"/>
          <w:color w:val="auto"/>
        </w:rPr>
        <w:t>Section 10.06(c)</w:t>
      </w:r>
      <w:r>
        <w:rPr>
          <w:rFonts w:ascii="Times New Roman" w:cs="Times New Roman" w:eastAsia="Times New Roman" w:hAnsi="Times New Roman"/>
          <w:sz w:val="22"/>
          <w:szCs w:val="22"/>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in respect of such matters,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1" w:lineRule="exact"/>
        <w:rPr>
          <w:sz w:val="20"/>
          <w:szCs w:val="20"/>
          <w:color w:val="auto"/>
        </w:rPr>
      </w:pPr>
    </w:p>
    <w:p>
      <w:pPr>
        <w:jc w:val="both"/>
        <w:ind w:firstLine="656"/>
        <w:spacing w:after="0" w:line="253" w:lineRule="auto"/>
        <w:tabs>
          <w:tab w:leader="none" w:pos="113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accounts and records referred to in subsection (a), each Lender and the Administrative Agent shall maintain in accordance with its usual practice accounts or records evidencing the purchases and sales by such Lender of participations in Letters of Credit, Bankers’ Acceptances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2.12 Payments Generally; Administrative Agent’s Clawback.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payments to be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Committed (MC)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22" w:right="339" w:bottom="1440" w:gutter="0" w:footer="0" w:header="0"/>
        </w:sectPr>
      </w:pPr>
    </w:p>
    <w:bookmarkStart w:id="193" w:name="page194"/>
    <w:bookmarkEnd w:id="193"/>
    <w:p>
      <w:pPr>
        <w:jc w:val="both"/>
        <w:spacing w:after="0" w:line="263" w:lineRule="auto"/>
        <w:rPr>
          <w:sz w:val="20"/>
          <w:szCs w:val="20"/>
          <w:color w:val="auto"/>
        </w:rPr>
      </w:pPr>
      <w:r>
        <w:rPr>
          <w:rFonts w:ascii="Times New Roman" w:cs="Times New Roman" w:eastAsia="Times New Roman" w:hAnsi="Times New Roman"/>
          <w:sz w:val="21"/>
          <w:szCs w:val="21"/>
          <w:color w:val="auto"/>
        </w:rPr>
        <w:t>for any reason, any Borrower is prohibited by any Law from making any required payment hereunder in an Alternative Currency, such Borrower shall make such payment in Dollars in the Dollar Equivalent of such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70" w:lineRule="exact"/>
        <w:rPr>
          <w:sz w:val="20"/>
          <w:szCs w:val="20"/>
          <w:color w:val="auto"/>
        </w:rPr>
      </w:pPr>
    </w:p>
    <w:p>
      <w:pPr>
        <w:jc w:val="both"/>
        <w:ind w:firstLine="656"/>
        <w:spacing w:after="0" w:line="259" w:lineRule="auto"/>
        <w:tabs>
          <w:tab w:leader="none" w:pos="125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Funding by Lenders; Presumption by Administrative Agent</w:t>
      </w:r>
      <w:r>
        <w:rPr>
          <w:rFonts w:ascii="Times New Roman" w:cs="Times New Roman" w:eastAsia="Times New Roman" w:hAnsi="Times New Roman"/>
          <w:sz w:val="21"/>
          <w:szCs w:val="21"/>
          <w:color w:val="auto"/>
        </w:rPr>
        <w:t xml:space="preserve">. Unless the Administrative Agent shall have received notice from a Lender prior to the proposed date of any Borrowing of Term SOFR Loans or Alternative Currency Term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w:t>
      </w:r>
      <w:r>
        <w:rPr>
          <w:rFonts w:ascii="Times New Roman" w:cs="Times New Roman" w:eastAsia="Times New Roman" w:hAnsi="Times New Roman"/>
          <w:sz w:val="21"/>
          <w:szCs w:val="21"/>
          <w:color w:val="191919"/>
        </w:rPr>
        <w:t>or in the case of Alternative Currencies, in accordance with such market practice, in each case,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191919"/>
        </w:rPr>
        <w:t>applicable</w:t>
      </w:r>
      <w:r>
        <w:rPr>
          <w:rFonts w:ascii="Times New Roman" w:cs="Times New Roman" w:eastAsia="Times New Roman" w:hAnsi="Times New Roman"/>
          <w:sz w:val="21"/>
          <w:szCs w:val="21"/>
          <w:color w:val="000000"/>
        </w:rPr>
        <w:t>. If such Borrower and such Lender shall pay such interest to the Administrative Agent for the same or an overlapping</w:t>
      </w:r>
      <w:r>
        <w:rPr>
          <w:rFonts w:ascii="Times New Roman" w:cs="Times New Roman" w:eastAsia="Times New Roman" w:hAnsi="Times New Roman"/>
          <w:sz w:val="21"/>
          <w:szCs w:val="21"/>
          <w:color w:val="191919"/>
        </w:rPr>
        <w:t xml:space="preserve"> </w:t>
      </w:r>
      <w:r>
        <w:rPr>
          <w:rFonts w:ascii="Times New Roman" w:cs="Times New Roman" w:eastAsia="Times New Roman" w:hAnsi="Times New Roman"/>
          <w:sz w:val="21"/>
          <w:szCs w:val="21"/>
          <w:color w:val="000000"/>
        </w:rPr>
        <w:t>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8" w:lineRule="exact"/>
        <w:rPr>
          <w:rFonts w:ascii="Times New Roman" w:cs="Times New Roman" w:eastAsia="Times New Roman" w:hAnsi="Times New Roman"/>
          <w:sz w:val="21"/>
          <w:szCs w:val="21"/>
          <w:color w:val="auto"/>
        </w:rPr>
      </w:pPr>
    </w:p>
    <w:p>
      <w:pPr>
        <w:jc w:val="both"/>
        <w:ind w:left="660" w:firstLine="644"/>
        <w:spacing w:after="0" w:line="256" w:lineRule="auto"/>
        <w:tabs>
          <w:tab w:leader="none" w:pos="1788"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Borrowers; Presumptions by Administrative Agent</w:t>
      </w:r>
      <w:r>
        <w:rPr>
          <w:rFonts w:ascii="Times New Roman" w:cs="Times New Roman" w:eastAsia="Times New Roman" w:hAnsi="Times New Roman"/>
          <w:sz w:val="22"/>
          <w:szCs w:val="22"/>
          <w:color w:val="auto"/>
        </w:rPr>
        <w:t>. Unless the Administrative Agent shall have received notice from a Borrower prior to the time at which any payment is due to the Administrative Agent for the account of the Lenders or the L/C Issuer hereunder that such Borrower will not make such payment, the Administrative Agent may assume that such Borrower has made such payment on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22" w:right="339" w:bottom="1440" w:gutter="0" w:footer="0" w:header="0"/>
        </w:sectPr>
      </w:pPr>
    </w:p>
    <w:bookmarkStart w:id="194" w:name="page195"/>
    <w:bookmarkEnd w:id="194"/>
    <w:p>
      <w:pPr>
        <w:jc w:val="both"/>
        <w:ind w:left="660" w:right="20"/>
        <w:spacing w:after="0" w:line="271" w:lineRule="auto"/>
        <w:rPr>
          <w:sz w:val="20"/>
          <w:szCs w:val="20"/>
          <w:color w:val="auto"/>
        </w:rPr>
      </w:pPr>
      <w:r>
        <w:rPr>
          <w:rFonts w:ascii="Times New Roman" w:cs="Times New Roman" w:eastAsia="Times New Roman" w:hAnsi="Times New Roman"/>
          <w:sz w:val="22"/>
          <w:szCs w:val="22"/>
          <w:color w:val="auto"/>
        </w:rPr>
        <w:t>date in accordance herewith and may, in reliance upon such assumption, distribute to the Lenders or the L/C Issuer, as the case may be, the amount due.</w:t>
      </w:r>
    </w:p>
    <w:p>
      <w:pPr>
        <w:spacing w:after="0" w:line="158"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2"/>
          <w:szCs w:val="22"/>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2"/>
          <w:szCs w:val="22"/>
          <w:u w:val="single" w:color="auto"/>
          <w:color w:val="auto"/>
        </w:rPr>
        <w:t>Rescindable Amount</w:t>
      </w:r>
      <w:r>
        <w:rPr>
          <w:rFonts w:ascii="Times New Roman" w:cs="Times New Roman" w:eastAsia="Times New Roman" w:hAnsi="Times New Roman"/>
          <w:sz w:val="22"/>
          <w:szCs w:val="22"/>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 notice of the Administrative Agent to any Lender or Borrower with respect to any amount owing under this subsection</w:t>
      </w:r>
    </w:p>
    <w:p>
      <w:pPr>
        <w:spacing w:after="0" w:line="39"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conclusive, absent manifest error.</w:t>
      </w:r>
    </w:p>
    <w:p>
      <w:pPr>
        <w:spacing w:after="0" w:line="195" w:lineRule="exact"/>
        <w:rPr>
          <w:rFonts w:ascii="Times New Roman" w:cs="Times New Roman" w:eastAsia="Times New Roman" w:hAnsi="Times New Roman"/>
          <w:sz w:val="22"/>
          <w:szCs w:val="22"/>
          <w:color w:val="auto"/>
        </w:rPr>
      </w:pPr>
    </w:p>
    <w:p>
      <w:pPr>
        <w:jc w:val="both"/>
        <w:ind w:firstLine="656"/>
        <w:spacing w:after="0" w:line="253" w:lineRule="auto"/>
        <w:tabs>
          <w:tab w:leader="none" w:pos="1158"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Satisfy Conditions Precedent</w:t>
      </w:r>
      <w:r>
        <w:rPr>
          <w:rFonts w:ascii="Times New Roman" w:cs="Times New Roman" w:eastAsia="Times New Roman" w:hAnsi="Times New Roman"/>
          <w:sz w:val="22"/>
          <w:szCs w:val="22"/>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are not satisfied or waived in accordance with the terms hereof, the Administrative Agent shall promptly (if possible, on the same day) return such funds (in like funds as received from such Lender) to such Lender, without interest.</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156"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of Lenders Several</w:t>
      </w:r>
      <w:r>
        <w:rPr>
          <w:rFonts w:ascii="Times New Roman" w:cs="Times New Roman" w:eastAsia="Times New Roman" w:hAnsi="Times New Roman"/>
          <w:sz w:val="22"/>
          <w:szCs w:val="22"/>
          <w:color w:val="auto"/>
        </w:rPr>
        <w:t xml:space="preserve">. The obligations of the Lenders hereunder to make Loans, to fund participations in Letters of Credit, Swing Line Loans and Bankers’ Acceptances and to make payments pursuant to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10.04(c)</w:t>
      </w:r>
      <w:r>
        <w:rPr>
          <w:rFonts w:ascii="Times New Roman" w:cs="Times New Roman" w:eastAsia="Times New Roman" w:hAnsi="Times New Roman"/>
          <w:sz w:val="22"/>
          <w:szCs w:val="22"/>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jc w:val="both"/>
        <w:ind w:firstLine="656"/>
        <w:spacing w:after="0" w:line="257" w:lineRule="auto"/>
        <w:tabs>
          <w:tab w:leader="none" w:pos="118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Source</w:t>
      </w:r>
      <w:r>
        <w:rPr>
          <w:rFonts w:ascii="Times New Roman" w:cs="Times New Roman" w:eastAsia="Times New Roman" w:hAnsi="Times New Roman"/>
          <w:sz w:val="22"/>
          <w:szCs w:val="22"/>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2.13 Sharing of Payments by Lenders. </w:t>
      </w:r>
      <w:r>
        <w:rPr>
          <w:rFonts w:ascii="Times New Roman" w:cs="Times New Roman" w:eastAsia="Times New Roman" w:hAnsi="Times New Roman"/>
          <w:sz w:val="22"/>
          <w:szCs w:val="22"/>
          <w:color w:val="auto"/>
        </w:rPr>
        <w:t>If any Lender shall, by exercising any right of setoff or counterclaim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22" w:right="339" w:bottom="1440" w:gutter="0" w:footer="0" w:header="0"/>
        </w:sectPr>
      </w:pPr>
    </w:p>
    <w:bookmarkStart w:id="195" w:name="page196"/>
    <w:bookmarkEnd w:id="195"/>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3" w:lineRule="exact"/>
        <w:rPr>
          <w:sz w:val="20"/>
          <w:szCs w:val="20"/>
          <w:color w:val="auto"/>
        </w:rPr>
      </w:pPr>
    </w:p>
    <w:p>
      <w:pPr>
        <w:jc w:val="both"/>
        <w:ind w:left="660" w:firstLine="644"/>
        <w:spacing w:after="0" w:line="257" w:lineRule="auto"/>
        <w:tabs>
          <w:tab w:leader="none" w:pos="174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1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2.14</w:t>
      </w:r>
      <w:r>
        <w:rPr>
          <w:sz w:val="20"/>
          <w:szCs w:val="20"/>
          <w:color w:val="auto"/>
        </w:rPr>
        <w:tab/>
      </w:r>
      <w:r>
        <w:rPr>
          <w:rFonts w:ascii="Times New Roman" w:cs="Times New Roman" w:eastAsia="Times New Roman" w:hAnsi="Times New Roman"/>
          <w:sz w:val="21"/>
          <w:szCs w:val="21"/>
          <w:b w:val="1"/>
          <w:bCs w:val="1"/>
          <w:color w:val="auto"/>
        </w:rPr>
        <w:t>Company as Borrowing Agent; Joint and Several Liability.</w:t>
      </w:r>
    </w:p>
    <w:p>
      <w:pPr>
        <w:spacing w:after="0" w:line="224" w:lineRule="exact"/>
        <w:rPr>
          <w:sz w:val="20"/>
          <w:szCs w:val="20"/>
          <w:color w:val="auto"/>
        </w:rPr>
      </w:pPr>
    </w:p>
    <w:p>
      <w:pPr>
        <w:jc w:val="both"/>
        <w:ind w:firstLine="656"/>
        <w:spacing w:after="0" w:line="263" w:lineRule="auto"/>
        <w:tabs>
          <w:tab w:leader="none" w:pos="12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Because the operations and business activities of the Borrowers are highly integrated and interdependent, at any particular time it is in the mutual best interest of the Administrative Agent, the Lenders and the Borrowers for the Company, through one or more of its Responsible Officers, to deliver all Requests for Credit Extension and all other such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22" w:right="339" w:bottom="1440" w:gutter="0" w:footer="0" w:header="0"/>
        </w:sectPr>
      </w:pPr>
    </w:p>
    <w:bookmarkStart w:id="196" w:name="page197"/>
    <w:bookmarkEnd w:id="196"/>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and to take all other action of a Responsible Officer in this Agreement or in any other Loan Document, whether on behalf of the Company or any other Borrower, and to determine which of the Borrowers will directly receive the proceeds of a Loan. Each of the Borrowers hereby directs the Administrative Agent to disburse the proceeds of each Loan as directed by the Company through a Responsible Officer, and such distribution will, in all circumstances, be deemed to be made to the Borrower to which such proceeds are directed. Each Borrower hereby irrevocably designates, appoints, authorizes and directs the Company (including each Responsible Officer of the Company) to act on behalf of such Borrower for the purposes set forth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2.14</w:t>
      </w:r>
      <w:r>
        <w:rPr>
          <w:rFonts w:ascii="Times New Roman" w:cs="Times New Roman" w:eastAsia="Times New Roman" w:hAnsi="Times New Roman"/>
          <w:sz w:val="21"/>
          <w:szCs w:val="21"/>
          <w:color w:val="auto"/>
        </w:rPr>
        <w:t xml:space="preserve">, and to act on behalf of such Borrower for purposes of giving notice to the Administrative Agent of requests for Borrowings, conversions, continuations and for otherwise giving and receiving notices and certifications under this Agreement or any other Loan Document and otherwise for taking all other action contemplated to be taken by the Company (including each Responsible Officer of the Company) hereunder or under any other Loan Document. Each Borrower further appoints the Company as its agent for any service of process. The Administrative Agent is entitled to rely and act on the instructions of the Company, by and through any Responsible Officer, on behalf of each Borrower. Without limiting the provisions of </w:t>
      </w:r>
      <w:r>
        <w:rPr>
          <w:rFonts w:ascii="Times New Roman" w:cs="Times New Roman" w:eastAsia="Times New Roman" w:hAnsi="Times New Roman"/>
          <w:sz w:val="21"/>
          <w:szCs w:val="21"/>
          <w:u w:val="single" w:color="auto"/>
          <w:color w:val="auto"/>
        </w:rPr>
        <w:t>Section 10.04</w:t>
      </w:r>
      <w:r>
        <w:rPr>
          <w:rFonts w:ascii="Times New Roman" w:cs="Times New Roman" w:eastAsia="Times New Roman" w:hAnsi="Times New Roman"/>
          <w:sz w:val="21"/>
          <w:szCs w:val="21"/>
          <w:color w:val="auto"/>
        </w:rPr>
        <w:t xml:space="preserve">, each Borrower covenants and agrees to assume liability for and to protect, indemnify and hold harmless the Administrative Agent, the Lenders, the L/C Issuer and the Swing Line Lender from any and all liabilities, obligations, damages, penalties, claims, causes of action, costs, charges and expenses (including reasonable attorneys’ fees), which may be incurred by, imposed or asserted against the Administrative Agent, any Lender, the L/C Issuer or the Swing Line Lender, howsoever arising or incurred because of, out of or in connection with the disbursements of Loans and Credit Extensions in accordance with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the liability of the Borrowers pursuant to this indemnity shall not extend to any liability, obligation, damage, penalty, claim, cause of action, cost, charge or expense of any Person (i) determined by a court of competent jurisdiction by a final and nonappealable judgment to have resulted from the gross negligence or willful misconduct of the Administrative Agent, any Lender, the L/C Issuer or the Swing Line Lender, (ii) result from a claim brought by any Borrower against any Lender, the L/C Issuer or the Swing Line Lender for breach in bad faith of such Person’s obligations hereunder or under any other Loan Document, if such Borrower has obtained a final and nonappealable judgment in its favor on such claim as determined by a court of competent jurisdiction or (iii) attributable to any Taxes, other than Taxes that represent a liability, obligation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damage, penalty, claim, cause of action, cost, charge or expense arising from a non-Tax claim;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reimbursement of fees, charges and disbursements of counsel shall be limited to one counsel and one local counsel and one applicable regulatory counsel and local counsel in each relevant jurisdiction for the Persons indemnified pursuant to this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 The Company shall maintain detailed accounting and records of all disbursements and payments made to each Borrower with respect to proceeds of Loans. Not in any way in limitation of any other provisions set forth herein, such books and records may be reviewed and copied by the Administrative Agent at the Company’s expense at reasonable intervals and upon reasonable notice given by the Administrative Agent to the Company.</w:t>
      </w:r>
    </w:p>
    <w:p>
      <w:pPr>
        <w:spacing w:after="0" w:line="200" w:lineRule="exact"/>
        <w:rPr>
          <w:sz w:val="20"/>
          <w:szCs w:val="20"/>
          <w:color w:val="auto"/>
        </w:rPr>
      </w:pPr>
    </w:p>
    <w:p>
      <w:pPr>
        <w:spacing w:after="0" w:line="261" w:lineRule="exact"/>
        <w:rPr>
          <w:sz w:val="20"/>
          <w:szCs w:val="20"/>
          <w:color w:val="auto"/>
        </w:rPr>
      </w:pPr>
    </w:p>
    <w:p>
      <w:pPr>
        <w:ind w:firstLine="656"/>
        <w:spacing w:after="0" w:line="271" w:lineRule="auto"/>
        <w:tabs>
          <w:tab w:leader="none" w:pos="122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be jointly and severally liable for all Obligations. For the avoidance of doubt, each of the Borrowers agrees and understands that it shall be jointly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22" w:right="339" w:bottom="1440" w:gutter="0" w:footer="0" w:header="0"/>
        </w:sectPr>
      </w:pPr>
    </w:p>
    <w:bookmarkStart w:id="197" w:name="page198"/>
    <w:bookmarkEnd w:id="197"/>
    <w:p>
      <w:pPr>
        <w:ind w:right="20"/>
        <w:spacing w:after="0" w:line="271" w:lineRule="auto"/>
        <w:rPr>
          <w:sz w:val="20"/>
          <w:szCs w:val="20"/>
          <w:color w:val="auto"/>
        </w:rPr>
      </w:pPr>
      <w:r>
        <w:rPr>
          <w:rFonts w:ascii="Times New Roman" w:cs="Times New Roman" w:eastAsia="Times New Roman" w:hAnsi="Times New Roman"/>
          <w:sz w:val="22"/>
          <w:szCs w:val="22"/>
          <w:color w:val="auto"/>
        </w:rPr>
        <w:t>severally liable for the Obligations as described in the preceding sentence, without regard to the identity of the Borrower in whose name any Loan is made or other Obligation is incurred.</w:t>
      </w:r>
    </w:p>
    <w:p>
      <w:pPr>
        <w:spacing w:after="0" w:line="158" w:lineRule="exact"/>
        <w:rPr>
          <w:sz w:val="20"/>
          <w:szCs w:val="20"/>
          <w:color w:val="auto"/>
        </w:rPr>
      </w:pPr>
    </w:p>
    <w:p>
      <w:pPr>
        <w:jc w:val="both"/>
        <w:ind w:firstLine="656"/>
        <w:spacing w:after="0" w:line="263" w:lineRule="auto"/>
        <w:tabs>
          <w:tab w:leader="none" w:pos="118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the intention of the parties that with respect to each Borrower, its obligations under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 xml:space="preserve"> shall be absolute, unconditional and irrevocable irrespective of, and each Borrower hereby expressly waives, to the extent permitted by law, any defense to its Obligations under this Agreement and all the other Loan Documents to which it is a party by reason of:</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3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legality, validity or enforceability of this Agreement, of any of the Notes, of any other Loan Document or of any other agreement or instrument creating, providing security for, or otherwise relating to any of the Obligations (the Loan Documents and all such other agreements and instruments being collectively referred to as the “</w:t>
      </w:r>
      <w:r>
        <w:rPr>
          <w:rFonts w:ascii="Times New Roman" w:cs="Times New Roman" w:eastAsia="Times New Roman" w:hAnsi="Times New Roman"/>
          <w:sz w:val="22"/>
          <w:szCs w:val="22"/>
          <w:u w:val="single" w:color="auto"/>
          <w:color w:val="auto"/>
        </w:rPr>
        <w:t>Related Agreements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91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acceleration of the maturity of any of the Obligations or of any other obligations or liabilities of any Person under any of the Related Agreements;</w:t>
      </w:r>
    </w:p>
    <w:p>
      <w:pPr>
        <w:spacing w:after="0" w:line="17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55"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release, exchange, non-perfection, lapse in perfection, disposal, deterioration in value, or impairment of any security for any of the Obligations or for any other obligations or liabilities of any Person under any of the Related Agreements;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7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dissolution of any Borrower or any other party to a Related Agreement, or the combination or consolidation of any Borrower or any other party to a Related Agreement into or with another entity or any transfer or disposition of any assets of any Borrower or any other party to a Related Agreement;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4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w:t>
      </w:r>
    </w:p>
    <w:p>
      <w:pPr>
        <w:spacing w:after="0" w:line="192"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14"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addition, modification, termination, reduction or impairment of value, or release of any other guaranty (or security therefor) of any of the Obligations;</w:t>
      </w:r>
    </w:p>
    <w:p>
      <w:pPr>
        <w:spacing w:after="0" w:line="157" w:lineRule="exact"/>
        <w:rPr>
          <w:rFonts w:ascii="Times New Roman" w:cs="Times New Roman" w:eastAsia="Times New Roman" w:hAnsi="Times New Roman"/>
          <w:sz w:val="22"/>
          <w:szCs w:val="22"/>
          <w:color w:val="auto"/>
        </w:rPr>
      </w:pPr>
    </w:p>
    <w:p>
      <w:pPr>
        <w:jc w:val="both"/>
        <w:ind w:left="660" w:right="20" w:firstLine="644"/>
        <w:spacing w:after="0" w:line="252" w:lineRule="auto"/>
        <w:tabs>
          <w:tab w:leader="none" w:pos="200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of, forbearance or indulgence under, or other consent to any change in or departure from any term or provision contained in this Agreement, any other Loan Document or any other Related Agreement, including without limitation any term pertaining to the payment or performance of any of the Obligations or any of the obligations or liabilities of any party to any other Related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198" w:name="page199"/>
    <w:bookmarkEnd w:id="198"/>
    <w:p>
      <w:pPr>
        <w:jc w:val="both"/>
        <w:ind w:left="660" w:firstLine="644"/>
        <w:spacing w:after="0" w:line="256" w:lineRule="auto"/>
        <w:tabs>
          <w:tab w:leader="none" w:pos="1849"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circumstance whatsoever (with or without notice to or knowledge of any Borrower) which may or might in any manner or to any extent vary the risks of such Borrower, or might otherwise constitute a legal or equitable defense available to, or discharge of, a surety or a guarantor, including any right to require or claim that resort be had to any Borrower or to any collateral in respect of the Obligations.</w:t>
      </w:r>
    </w:p>
    <w:p>
      <w:pPr>
        <w:spacing w:after="0" w:line="176" w:lineRule="exact"/>
        <w:rPr>
          <w:rFonts w:ascii="Times New Roman" w:cs="Times New Roman" w:eastAsia="Times New Roman" w:hAnsi="Times New Roman"/>
          <w:sz w:val="22"/>
          <w:szCs w:val="22"/>
          <w:color w:val="auto"/>
        </w:rPr>
      </w:pPr>
    </w:p>
    <w:p>
      <w:pPr>
        <w:jc w:val="both"/>
        <w:ind w:firstLine="656"/>
        <w:spacing w:after="0" w:line="248" w:lineRule="auto"/>
        <w:tabs>
          <w:tab w:leader="none" w:pos="1165"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hereby waives to the extent permitted by law notice of the following events or occurrences: (i) the Administrative Agent, any L/C Issuer or any Lender heretofore, now or from time to time hereafter making Loans and otherwise loaning monies or giving or extending credit to or for the benefit of any other Borrower, or otherwise entering into arrangements with any other Borrower giving rise to Obligations, whether pursuant to this Agreement or the Notes or any other Loan Document or Related Agreement or any amendments, modifications, or supplements thereto, or replacements or extensions thereof; (ii) presentment, demand, default, non-payment, partial payment and protest; and (iii) any other event, condition, or occurrence described in </w:t>
      </w:r>
      <w:r>
        <w:rPr>
          <w:rFonts w:ascii="Times New Roman" w:cs="Times New Roman" w:eastAsia="Times New Roman" w:hAnsi="Times New Roman"/>
          <w:sz w:val="22"/>
          <w:szCs w:val="22"/>
          <w:u w:val="single" w:color="auto"/>
          <w:color w:val="auto"/>
        </w:rPr>
        <w:t>Section 2.14(c)</w:t>
      </w:r>
      <w:r>
        <w:rPr>
          <w:rFonts w:ascii="Times New Roman" w:cs="Times New Roman" w:eastAsia="Times New Roman" w:hAnsi="Times New Roman"/>
          <w:sz w:val="22"/>
          <w:szCs w:val="22"/>
          <w:color w:val="auto"/>
        </w:rPr>
        <w:t>. Each Borrower agrees that the Administrative Agent, each L/C Issuer and each Lender may heretofore, now or at any time hereafter do any or all of the foregoing in such manner, upon such terms and at such times as the Administrative Agent, such L/C Issuer or such Lender, as the case may be, in its sole and absolute discretion, deems advisable, without in any way or respect impairing, affecting, reducing or releasing such Borrower from its Obligations, and each Borrower hereby consents to each and all of the foregoing events or occurrences.</w:t>
      </w:r>
    </w:p>
    <w:p>
      <w:pPr>
        <w:spacing w:after="0" w:line="188" w:lineRule="exact"/>
        <w:rPr>
          <w:rFonts w:ascii="Times New Roman" w:cs="Times New Roman" w:eastAsia="Times New Roman" w:hAnsi="Times New Roman"/>
          <w:sz w:val="22"/>
          <w:szCs w:val="22"/>
          <w:color w:val="auto"/>
        </w:rPr>
      </w:pPr>
    </w:p>
    <w:p>
      <w:pPr>
        <w:jc w:val="both"/>
        <w:ind w:firstLine="656"/>
        <w:spacing w:after="0" w:line="252" w:lineRule="auto"/>
        <w:tabs>
          <w:tab w:leader="none" w:pos="113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each Borrower under this </w:t>
      </w:r>
      <w:r>
        <w:rPr>
          <w:rFonts w:ascii="Times New Roman" w:cs="Times New Roman" w:eastAsia="Times New Roman" w:hAnsi="Times New Roman"/>
          <w:sz w:val="22"/>
          <w:szCs w:val="22"/>
          <w:u w:val="single" w:color="auto"/>
          <w:color w:val="auto"/>
        </w:rPr>
        <w:t>Section 2.14</w:t>
      </w:r>
      <w:r>
        <w:rPr>
          <w:rFonts w:ascii="Times New Roman" w:cs="Times New Roman" w:eastAsia="Times New Roman" w:hAnsi="Times New Roman"/>
          <w:sz w:val="22"/>
          <w:szCs w:val="22"/>
          <w:color w:val="auto"/>
        </w:rPr>
        <w:t xml:space="preserve"> are independent, and a separate action or actions may be brought and prosecuted against any Borrower whether action is brought against any other Borrower or whether any other Borrower is joined in any such action or actions; and each Borrower waives the benefit of any statute of limitations affecting its liability hereunder.</w:t>
      </w:r>
    </w:p>
    <w:p>
      <w:pPr>
        <w:spacing w:after="0" w:line="192" w:lineRule="exact"/>
        <w:rPr>
          <w:rFonts w:ascii="Times New Roman" w:cs="Times New Roman" w:eastAsia="Times New Roman" w:hAnsi="Times New Roman"/>
          <w:sz w:val="22"/>
          <w:szCs w:val="22"/>
          <w:color w:val="auto"/>
        </w:rPr>
      </w:pPr>
    </w:p>
    <w:p>
      <w:pPr>
        <w:jc w:val="both"/>
        <w:ind w:firstLine="656"/>
        <w:spacing w:after="0" w:line="250" w:lineRule="auto"/>
        <w:tabs>
          <w:tab w:leader="none" w:pos="112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represents and warrants that the request for joint handling of the Loans and other Obligations made hereunder was made because (i) such Borrower expects to derive benefit, directly or indirectly, from such availability because the successful operation of the Borrowers is dependent on the continued successful performance of the functions of the group and (ii) the credit extended under this Agreement will enhance the overall financial strength and stability of the Borrowers’ consolidated group of companies.</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represents and warrants that (i) it has established adequate means of obtaining from the other Borrower on a continuing basis financial and other information pertaining to the business, operations and condition (financial and otherwise) of the other Borrower and its property, and (ii) it now is and hereafter will be completely familiar with the business, operations and condition (financial and otherwise) of the other Borrower and its property. Each Borrower hereby waives and relinquishes any duty on the part of the Administrative Agent, any L/C Issuer or any Lender to disclose to such Borrower any matter, fact or thing relating to the business, operations or condition (financial or otherwise) of the other Borrower, or the property of the other Borrower, whether now or hereafter known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22"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2"/>
          <w:szCs w:val="22"/>
          <w:color w:val="auto"/>
        </w:rPr>
        <w:t>Administrative Agent, such L/C Issuer or such Lender, as the case may be, during the life of this Agreement.</w:t>
      </w:r>
    </w:p>
    <w:p>
      <w:pPr>
        <w:spacing w:after="0" w:line="220" w:lineRule="exact"/>
        <w:rPr>
          <w:sz w:val="20"/>
          <w:szCs w:val="20"/>
          <w:color w:val="auto"/>
        </w:rPr>
      </w:pPr>
    </w:p>
    <w:p>
      <w:pPr>
        <w:jc w:val="both"/>
        <w:ind w:firstLine="656"/>
        <w:spacing w:after="0" w:line="251" w:lineRule="auto"/>
        <w:tabs>
          <w:tab w:leader="none" w:pos="1156"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elsewhere contained herein or in any other Loan Document to which any Borrower is a party, each Borrower waives any right to assert against the Administrative Agent, any L/C Issuers or any Lender as a defense, counterclaim, set-off, recoupment or cross claim in respect of its Obligations, any defense (legal or equitable) or other claim which such Borrower may now or at any time hereafter have against any other Borrower or any or all of the Administrative Agent, the L/C Issuers or the Lenders without waiving any additional defenses, set-offs, counterclaims or other claims otherwise available to such Borrower.</w:t>
      </w:r>
    </w:p>
    <w:p>
      <w:pPr>
        <w:spacing w:after="0" w:line="181" w:lineRule="exact"/>
        <w:rPr>
          <w:rFonts w:ascii="Times New Roman" w:cs="Times New Roman" w:eastAsia="Times New Roman" w:hAnsi="Times New Roman"/>
          <w:sz w:val="22"/>
          <w:szCs w:val="22"/>
          <w:color w:val="auto"/>
        </w:rPr>
      </w:pPr>
    </w:p>
    <w:p>
      <w:pPr>
        <w:jc w:val="both"/>
        <w:ind w:firstLine="656"/>
        <w:spacing w:after="0" w:line="250" w:lineRule="auto"/>
        <w:tabs>
          <w:tab w:leader="none" w:pos="116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unconditionally subordinates all present and future debts, liabilities or obligations now or hereafter owing to such Borrower of any other Borrower, to the payment in full of the Obligations. All amounts due under such subordinated debts, liabilities, or obligations shall, upon the occurrence and during the continuance of an Event of Default, be collected and, upon request by the Administrative Agent, paid over forthwith to the Administrative Agent for the benefit of the Administrative Agent, the L/C Issuers and the Lenders on account of the Obligations or such other obligations, as applicable, and, after such request and pending such payment, shall be held by such Borrower as agent and bailee of the Administrative Agent, the L/C Issuers and the Lenders separate and apart from all other funds, property and accounts of such Borrower.</w:t>
      </w:r>
    </w:p>
    <w:p>
      <w:pPr>
        <w:spacing w:after="0" w:line="19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b w:val="1"/>
          <w:bCs w:val="1"/>
          <w:color w:val="auto"/>
        </w:rPr>
        <w:t>Incremental Increases.</w:t>
      </w:r>
    </w:p>
    <w:p>
      <w:pPr>
        <w:spacing w:after="0" w:line="224" w:lineRule="exact"/>
        <w:rPr>
          <w:sz w:val="20"/>
          <w:szCs w:val="20"/>
          <w:color w:val="auto"/>
        </w:rPr>
      </w:pPr>
    </w:p>
    <w:p>
      <w:pPr>
        <w:jc w:val="both"/>
        <w:ind w:firstLine="656"/>
        <w:spacing w:after="0" w:line="249" w:lineRule="auto"/>
        <w:tabs>
          <w:tab w:leader="none" w:pos="126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 for Incremental Increase</w:t>
      </w:r>
      <w:r>
        <w:rPr>
          <w:rFonts w:ascii="Times New Roman" w:cs="Times New Roman" w:eastAsia="Times New Roman" w:hAnsi="Times New Roman"/>
          <w:sz w:val="22"/>
          <w:szCs w:val="22"/>
          <w:color w:val="auto"/>
        </w:rPr>
        <w:t>. Upon notice to the Administrative Agent (which shall promptly notify the Lenders), at any time after the Closing Date, the Company may request (i) one or more increases in the USD Commitments (each, an “</w:t>
      </w:r>
      <w:r>
        <w:rPr>
          <w:rFonts w:ascii="Times New Roman" w:cs="Times New Roman" w:eastAsia="Times New Roman" w:hAnsi="Times New Roman"/>
          <w:sz w:val="22"/>
          <w:szCs w:val="22"/>
          <w:u w:val="single" w:color="auto"/>
          <w:color w:val="auto"/>
        </w:rPr>
        <w:t>Incremental Committed (USD) Facility Increase</w:t>
      </w:r>
      <w:r>
        <w:rPr>
          <w:rFonts w:ascii="Times New Roman" w:cs="Times New Roman" w:eastAsia="Times New Roman" w:hAnsi="Times New Roman"/>
          <w:sz w:val="22"/>
          <w:szCs w:val="22"/>
          <w:color w:val="auto"/>
        </w:rPr>
        <w:t>”), (ii) one or more incremental term loan commitments (each, an “</w:t>
      </w:r>
      <w:r>
        <w:rPr>
          <w:rFonts w:ascii="Times New Roman" w:cs="Times New Roman" w:eastAsia="Times New Roman" w:hAnsi="Times New Roman"/>
          <w:sz w:val="22"/>
          <w:szCs w:val="22"/>
          <w:u w:val="single" w:color="auto"/>
          <w:color w:val="auto"/>
        </w:rPr>
        <w:t>Incremental Term Loan Commitment</w:t>
      </w:r>
      <w:r>
        <w:rPr>
          <w:rFonts w:ascii="Times New Roman" w:cs="Times New Roman" w:eastAsia="Times New Roman" w:hAnsi="Times New Roman"/>
          <w:sz w:val="22"/>
          <w:szCs w:val="22"/>
          <w:color w:val="auto"/>
        </w:rPr>
        <w:t>”) to make one or more additional term loans, including a borrowing of an additional term loan the principal amount of which will be added to the outstanding principal amount of the existing tranche of Term Loans with the latest scheduled maturity date (any such additional term loan, an “</w:t>
      </w:r>
      <w:r>
        <w:rPr>
          <w:rFonts w:ascii="Times New Roman" w:cs="Times New Roman" w:eastAsia="Times New Roman" w:hAnsi="Times New Roman"/>
          <w:sz w:val="22"/>
          <w:szCs w:val="22"/>
          <w:u w:val="single" w:color="auto"/>
          <w:color w:val="auto"/>
        </w:rPr>
        <w:t>Incremental Term Loan</w:t>
      </w:r>
      <w:r>
        <w:rPr>
          <w:rFonts w:ascii="Times New Roman" w:cs="Times New Roman" w:eastAsia="Times New Roman" w:hAnsi="Times New Roman"/>
          <w:sz w:val="22"/>
          <w:szCs w:val="22"/>
          <w:color w:val="auto"/>
        </w:rPr>
        <w:t>”) and/or (iii) one or more incremental revolving loan commitments under a new tranche of revolving loans (each, an “</w:t>
      </w:r>
      <w:r>
        <w:rPr>
          <w:rFonts w:ascii="Times New Roman" w:cs="Times New Roman" w:eastAsia="Times New Roman" w:hAnsi="Times New Roman"/>
          <w:sz w:val="22"/>
          <w:szCs w:val="22"/>
          <w:u w:val="single" w:color="auto"/>
          <w:color w:val="auto"/>
        </w:rPr>
        <w:t>Incremental Revolving Tranche</w:t>
      </w:r>
      <w:r>
        <w:rPr>
          <w:rFonts w:ascii="Times New Roman" w:cs="Times New Roman" w:eastAsia="Times New Roman" w:hAnsi="Times New Roman"/>
          <w:sz w:val="22"/>
          <w:szCs w:val="22"/>
          <w:color w:val="auto"/>
        </w:rPr>
        <w:t>” and, together with the Incremental Committed (USD) Facility Increases and the Incremental Term Loan Commitments and Incremental Term Loans, the “</w:t>
      </w:r>
      <w:r>
        <w:rPr>
          <w:rFonts w:ascii="Times New Roman" w:cs="Times New Roman" w:eastAsia="Times New Roman" w:hAnsi="Times New Roman"/>
          <w:sz w:val="22"/>
          <w:szCs w:val="22"/>
          <w:u w:val="single" w:color="auto"/>
          <w:color w:val="auto"/>
        </w:rPr>
        <w:t>Incremental Increases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Incremental Increase shall be in an aggregate amount of not less than $25,000,000 or any whole multiple of $5,000,000 in excess thereof.</w:t>
      </w:r>
    </w:p>
    <w:p>
      <w:pPr>
        <w:spacing w:after="0" w:line="183"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Ranking and Other Provisions</w:t>
      </w:r>
      <w:r>
        <w:rPr>
          <w:rFonts w:ascii="Times New Roman" w:cs="Times New Roman" w:eastAsia="Times New Roman" w:hAnsi="Times New Roman"/>
          <w:sz w:val="22"/>
          <w:szCs w:val="22"/>
          <w:color w:val="auto"/>
        </w:rPr>
        <w:t>. Each Incremental Term Loan or Incremental Revolving Tranche (i) shall rank pari passu in right of payment and security with respect to each of the Committed (USD) Facility, the Committed (MC) Facility and the Term Loan Facility, (ii) in the case of an Incremental Term Loan, shall not have a weighted average life to maturity shorter than the remaining weighted average life to maturity of the latest maturing Term Loans and shall require any mandatory prepayments thereof to be made on a pro rata basis (or less than pro rata basis) with all then existing Term Loans, (iii) shall not mature earlier than the latest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Maturity Date, (iv) shall not contain additional or different covenants or financial covenants that are more restrictive than the covenants in the Loan Documents at the time of the creation of such Incremental Increase unless either such covenants benefit all of the Lenders or are otherwise consented to by the Required Lenders and, in the case of any Incremental Revolving Tranche, the Required (USD) Lenders (such consent not to be unreasonably withheld or delayed) and (v) except as set forth herein, shall have such terms and conditions (including pricing, rate floors, discounts, fees, premiums, call protection and prepayment provisions) as may be agreed by the Borrower and the applicable Incremental Lenders. Each Incremental Committed (USD) Facility Increase shall have the same terms (including maturity and pricing) as the Committed (USD)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upfront fees payable by the Borrowers to the Incremental Lenders with respect to any Incremental Committed (USD) Facility Increase may differ from those paid with respect to any existing USD Commitments.</w:t>
      </w:r>
    </w:p>
    <w:p>
      <w:pPr>
        <w:spacing w:after="0" w:line="180" w:lineRule="exact"/>
        <w:rPr>
          <w:sz w:val="20"/>
          <w:szCs w:val="20"/>
          <w:color w:val="auto"/>
        </w:rPr>
      </w:pPr>
    </w:p>
    <w:p>
      <w:pPr>
        <w:jc w:val="both"/>
        <w:ind w:firstLine="656"/>
        <w:spacing w:after="0" w:line="246" w:lineRule="auto"/>
        <w:tabs>
          <w:tab w:leader="none" w:pos="121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Lender Elections</w:t>
      </w:r>
      <w:r>
        <w:rPr>
          <w:rFonts w:ascii="Times New Roman" w:cs="Times New Roman" w:eastAsia="Times New Roman" w:hAnsi="Times New Roman"/>
          <w:sz w:val="22"/>
          <w:szCs w:val="22"/>
          <w:color w:val="auto"/>
        </w:rPr>
        <w:t>. Each notice from the Company pursuant to this Section shall set forth the requested amount and proposed terms of the Incremental Increase. Incremental Increases (or any portion thereof) may be provided by any existing Lender or by any other bank or financial institution that is an Eligible Assignee (each such existing Lender or other bank or other financial institution, an “</w:t>
      </w:r>
      <w:r>
        <w:rPr>
          <w:rFonts w:ascii="Times New Roman" w:cs="Times New Roman" w:eastAsia="Times New Roman" w:hAnsi="Times New Roman"/>
          <w:sz w:val="22"/>
          <w:szCs w:val="22"/>
          <w:u w:val="single" w:color="auto"/>
          <w:color w:val="auto"/>
        </w:rPr>
        <w:t>Incremental Lender</w:t>
      </w:r>
      <w:r>
        <w:rPr>
          <w:rFonts w:ascii="Times New Roman" w:cs="Times New Roman" w:eastAsia="Times New Roman" w:hAnsi="Times New Roman"/>
          <w:sz w:val="22"/>
          <w:szCs w:val="22"/>
          <w:color w:val="auto"/>
        </w:rPr>
        <w:t xml:space="preserve">”), in each case on terms permitted in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and otherwise on terms reasonably acceptable to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existing Lender approached to provide all or a portion of any Incremental Increase may elect or decline, in its sole discretion, to provide all or a portion of such Incremental Increase. At the time of the sending of such notice, the Company (in consultation with the Administrative Agent) shall specify the time period within which each proposed Incremental Lender is requested to respond (which shall in no event be less than ten Business Days from the date of delivery of such notice to such proposed Incremental Lenders (or such shorter period agreed to by the Administrative Agent)). Each proposed Incremental Lender shall notify the Administrative Agent within such time period whether or not it agrees to provide any portion of the Incremental Increase and, if so, whether by an amount equal to, greater than, or less than requested. Any Person not responding within such time period shall be deemed to have declined to provide any portion of such Incremental Increase;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within three (3) Business Days following the date of delivery of notice to a proposed Incremental Lender of a request to provide a portion of the Incremental Increase, such proposed Incremental Lender fails to notify the Administrative Agent that it requires additional time in order to obtain approvals necessary to provide a portion of the Incremental Increase, then such proposed Incremental Lender may be deemed by the Company and the Administrative Agent to have declined to provide a portion of the Incremental Increase. The Administrative Agent shall notify the Company and each Lender of the Lenders’ responses to each request made hereunder. Any Eligible Assignee invited to become a Lender pursuant to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shall do so pursuant to a joinder agreement in form and substance reasonably satisfactory to the Administrative Agent and its counsel.</w:t>
      </w:r>
    </w:p>
    <w:p>
      <w:pPr>
        <w:spacing w:after="0" w:line="200"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Incremental Amendment</w:t>
      </w:r>
      <w:r>
        <w:rPr>
          <w:rFonts w:ascii="Times New Roman" w:cs="Times New Roman" w:eastAsia="Times New Roman" w:hAnsi="Times New Roman"/>
          <w:sz w:val="22"/>
          <w:szCs w:val="22"/>
          <w:color w:val="auto"/>
        </w:rPr>
        <w:t>. Each Incremental Increase shall be effected pursuant to an amendment (an “</w:t>
      </w:r>
      <w:r>
        <w:rPr>
          <w:rFonts w:ascii="Times New Roman" w:cs="Times New Roman" w:eastAsia="Times New Roman" w:hAnsi="Times New Roman"/>
          <w:sz w:val="22"/>
          <w:szCs w:val="22"/>
          <w:u w:val="single" w:color="auto"/>
          <w:color w:val="auto"/>
        </w:rPr>
        <w:t>Incremental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to this Agreement and, as appropriate, the other Loan Documents, executed by the Borrowers (unless waived by the Incremental Lenders party to such Incremental Amendment), the applicable Incremental Lenders and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Agent. An Incremental Amendment may, without the consent of any other Lenders, effect such technical amendments (including tranche voting rights) to any Loan Documents as may be necessary or appropriate, in the opinion of the Administrative Agent, to effect the provisions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Upon execution, the Administrative Agent shall provide a copy of any Incremental Amendment to all Lenders. No Incremental Increase shall increase the Alternative Currency Letter of Credit Sublimit, the Letter of Credit Sublimit or the Swing Line Sublimit without the written consent of the Required (USD) Lenders and the L/C Issuer or the Swing Line Lender, as applicable, except that, in connection with any Incremental Committed (USD) Facility Increase, the Letter of Credit Sublimit and/or the Swing Line Sublimit may be increased proportionally (or by a lesser amount) with the written consent of the L/C Issuer or the Swing Line Lender, as applicable, without the requirement of any consent from any other Lender.</w:t>
      </w:r>
    </w:p>
    <w:p>
      <w:pPr>
        <w:spacing w:after="0" w:line="186" w:lineRule="exact"/>
        <w:rPr>
          <w:sz w:val="20"/>
          <w:szCs w:val="20"/>
          <w:color w:val="auto"/>
        </w:rPr>
      </w:pPr>
    </w:p>
    <w:p>
      <w:pPr>
        <w:jc w:val="both"/>
        <w:ind w:firstLine="656"/>
        <w:spacing w:after="0" w:line="252" w:lineRule="auto"/>
        <w:tabs>
          <w:tab w:leader="none" w:pos="114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Effective Date and Allocations</w:t>
      </w:r>
      <w:r>
        <w:rPr>
          <w:rFonts w:ascii="Times New Roman" w:cs="Times New Roman" w:eastAsia="Times New Roman" w:hAnsi="Times New Roman"/>
          <w:sz w:val="22"/>
          <w:szCs w:val="22"/>
          <w:color w:val="auto"/>
        </w:rPr>
        <w:t>. The Administrative Agent and the Company shall determine the effective date (the “</w:t>
      </w:r>
      <w:r>
        <w:rPr>
          <w:rFonts w:ascii="Times New Roman" w:cs="Times New Roman" w:eastAsia="Times New Roman" w:hAnsi="Times New Roman"/>
          <w:sz w:val="22"/>
          <w:szCs w:val="22"/>
          <w:u w:val="single" w:color="auto"/>
          <w:color w:val="auto"/>
        </w:rPr>
        <w:t>Increase Effective Date</w:t>
      </w:r>
      <w:r>
        <w:rPr>
          <w:rFonts w:ascii="Times New Roman" w:cs="Times New Roman" w:eastAsia="Times New Roman" w:hAnsi="Times New Roman"/>
          <w:sz w:val="22"/>
          <w:szCs w:val="22"/>
          <w:color w:val="auto"/>
        </w:rPr>
        <w:t>”) and the final allocation of any Incremental Increase. The Administrative Agent shall promptly notify the Company and the Incremental Lenders of the final allocation of such Incremental Increase and the Increase Effective Date.</w:t>
      </w:r>
    </w:p>
    <w:p>
      <w:pPr>
        <w:spacing w:after="0" w:line="17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7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to Effectiveness of Incremental Increase</w:t>
      </w:r>
      <w:r>
        <w:rPr>
          <w:rFonts w:ascii="Times New Roman" w:cs="Times New Roman" w:eastAsia="Times New Roman" w:hAnsi="Times New Roman"/>
          <w:sz w:val="22"/>
          <w:szCs w:val="22"/>
          <w:color w:val="auto"/>
        </w:rPr>
        <w:t xml:space="preserve">. Any Incremental Increase shall become effective as of such Increase Effective Date and shall be subject to the following conditions precedent, which, in the case of an Incremental Term Loan incurred solely to finance a substantially concurrent Limited Condition Transaction, shall be subject to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2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Incremental Amendment in form and substance reasonably acceptable to the Company, the Administrative Agent and the applicable Incremental Lenders shall have been delivered to the Administrative Agent;</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91"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of the representations and warranties of each Borrower contained in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and contained in each other Loan Document shall be true and correct in all material respects on and as of such Increase Effective Date, except that (A) if a qualifier relating to materiality, Material Adverse Effect or a similar concept applies, such representation or warranty shall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true and correct in all respects as of such earlier date) and (C) for purposes of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the representations and warranties contained in </w:t>
      </w:r>
      <w:r>
        <w:rPr>
          <w:rFonts w:ascii="Times New Roman" w:cs="Times New Roman" w:eastAsia="Times New Roman" w:hAnsi="Times New Roman"/>
          <w:sz w:val="22"/>
          <w:szCs w:val="22"/>
          <w:u w:val="single" w:color="auto"/>
          <w:color w:val="auto"/>
        </w:rPr>
        <w:t>subsections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5.05</w:t>
      </w:r>
      <w:r>
        <w:rPr>
          <w:rFonts w:ascii="Times New Roman" w:cs="Times New Roman" w:eastAsia="Times New Roman" w:hAnsi="Times New Roman"/>
          <w:sz w:val="22"/>
          <w:szCs w:val="22"/>
          <w:color w:val="auto"/>
        </w:rPr>
        <w:t xml:space="preserve"> shall be deemed to refer to the most recent statements furnished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respectively,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28"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on such Increase Effective Date immediately prior to or after giving effect to such Incremental Increase or from the application of the proceeds thereof and, after giving effect to the incurrence of such additional Indebtedness and any transaction to be consummated using the proceeds of such additional Indebtedness and assuming that all commitments in respect of any proposed Incremental Increase are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22" w:right="339" w:bottom="1440" w:gutter="0" w:footer="0" w:header="0"/>
        </w:sectPr>
      </w:pPr>
    </w:p>
    <w:bookmarkStart w:id="202" w:name="page203"/>
    <w:bookmarkEnd w:id="202"/>
    <w:p>
      <w:pPr>
        <w:ind w:left="660"/>
        <w:spacing w:after="0" w:line="271" w:lineRule="auto"/>
        <w:rPr>
          <w:sz w:val="20"/>
          <w:szCs w:val="20"/>
          <w:color w:val="auto"/>
        </w:rPr>
      </w:pPr>
      <w:r>
        <w:rPr>
          <w:rFonts w:ascii="Times New Roman" w:cs="Times New Roman" w:eastAsia="Times New Roman" w:hAnsi="Times New Roman"/>
          <w:sz w:val="22"/>
          <w:szCs w:val="22"/>
          <w:color w:val="auto"/>
        </w:rPr>
        <w:t xml:space="preserve">drawn at such time, the Company and its Restricted Subsidiaries shall be in compliance, calculated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with the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660" w:firstLine="644"/>
        <w:spacing w:after="0" w:line="251" w:lineRule="auto"/>
        <w:tabs>
          <w:tab w:leader="none" w:pos="1909"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requested by the applicable Incremental Lenders, a certificate of each Borrower signed by a Responsible Officer of such Borrower certifying and attaching the resolutions adopted by the board of directors or other equivalent governing body of such Borrower approving or consenting to the Incremental Amendment and the Incremental Increase provided thereby, and in the case of each Borrower, certifying as to the satisfaction of the conditions set forth in clauses (ii) and (iii) this </w:t>
      </w:r>
      <w:r>
        <w:rPr>
          <w:rFonts w:ascii="Times New Roman" w:cs="Times New Roman" w:eastAsia="Times New Roman" w:hAnsi="Times New Roman"/>
          <w:sz w:val="22"/>
          <w:szCs w:val="22"/>
          <w:u w:val="single" w:color="auto"/>
          <w:color w:val="auto"/>
        </w:rPr>
        <w:t>Section 2.15(f)</w:t>
      </w:r>
      <w:r>
        <w:rPr>
          <w:rFonts w:ascii="Times New Roman" w:cs="Times New Roman" w:eastAsia="Times New Roman" w:hAnsi="Times New Roman"/>
          <w:sz w:val="22"/>
          <w:szCs w:val="22"/>
          <w:color w:val="auto"/>
        </w:rPr>
        <w:t>, which shall be in form and substance reasonably satisfactory to the Administrative Agent;</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4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requested by the applicable Incremental Lenders, a favorable opinion of counsel for the Borrower, addressed to the Administrative Agent and the Lenders (including the Incremental Lenders) and in form and substance reasonably satisfactory to the Administrative Agent;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0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Incremental Committed (USD) Facility Increase, the Borrowers shall have prepaid any Committed (USD) Loans outstanding on the Increase Effective Date (and any additional amounts required pursuant to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xml:space="preserve">) to the extent necessary to keep the outstanding Committed (USD) Loans ratable with any revised Applicable (USD) Percentages arising from any nonratable increase in the USD Commitments under this </w:t>
      </w:r>
      <w:r>
        <w:rPr>
          <w:rFonts w:ascii="Times New Roman" w:cs="Times New Roman" w:eastAsia="Times New Roman" w:hAnsi="Times New Roman"/>
          <w:sz w:val="22"/>
          <w:szCs w:val="22"/>
          <w:u w:val="single" w:color="auto"/>
          <w:color w:val="auto"/>
        </w:rPr>
        <w:t>Section 2.15</w:t>
      </w:r>
      <w:r>
        <w:rPr>
          <w:rFonts w:ascii="Times New Roman" w:cs="Times New Roman" w:eastAsia="Times New Roman" w:hAnsi="Times New Roman"/>
          <w:sz w:val="22"/>
          <w:szCs w:val="22"/>
          <w:color w:val="auto"/>
        </w:rPr>
        <w:t xml:space="preserve"> (it being understood that the Borrowers may use advances from the Lenders having new or increased commitments for such prepayment).</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Conflicting Provisions</w:t>
      </w:r>
      <w:r>
        <w:rPr>
          <w:rFonts w:ascii="Times New Roman" w:cs="Times New Roman" w:eastAsia="Times New Roman" w:hAnsi="Times New Roman"/>
          <w:sz w:val="22"/>
          <w:szCs w:val="22"/>
          <w:color w:val="auto"/>
        </w:rPr>
        <w:t xml:space="preserve">. This Section shall supersede any provisions in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10.01</w:t>
      </w:r>
      <w:r>
        <w:rPr>
          <w:rFonts w:ascii="Times New Roman" w:cs="Times New Roman" w:eastAsia="Times New Roman" w:hAnsi="Times New Roman"/>
          <w:sz w:val="22"/>
          <w:szCs w:val="22"/>
          <w:color w:val="auto"/>
        </w:rPr>
        <w:t xml:space="preserve"> to the contrary.</w:t>
      </w:r>
    </w:p>
    <w:p>
      <w:pPr>
        <w:spacing w:after="0" w:line="2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2.16</w:t>
      </w:r>
      <w:r>
        <w:rPr>
          <w:sz w:val="20"/>
          <w:szCs w:val="20"/>
          <w:color w:val="auto"/>
        </w:rPr>
        <w:tab/>
      </w:r>
      <w:r>
        <w:rPr>
          <w:rFonts w:ascii="Times New Roman" w:cs="Times New Roman" w:eastAsia="Times New Roman" w:hAnsi="Times New Roman"/>
          <w:sz w:val="21"/>
          <w:szCs w:val="21"/>
          <w:b w:val="1"/>
          <w:bCs w:val="1"/>
          <w:color w:val="auto"/>
        </w:rPr>
        <w:t>Cash Collateral.</w:t>
      </w:r>
    </w:p>
    <w:p>
      <w:pPr>
        <w:spacing w:after="0" w:line="237" w:lineRule="exact"/>
        <w:rPr>
          <w:sz w:val="20"/>
          <w:szCs w:val="20"/>
          <w:color w:val="auto"/>
        </w:rPr>
      </w:pPr>
    </w:p>
    <w:p>
      <w:pPr>
        <w:jc w:val="both"/>
        <w:ind w:firstLine="656"/>
        <w:spacing w:after="0" w:line="250" w:lineRule="auto"/>
        <w:tabs>
          <w:tab w:leader="none" w:pos="117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Credit Support Events</w:t>
      </w:r>
      <w:r>
        <w:rPr>
          <w:rFonts w:ascii="Times New Roman" w:cs="Times New Roman" w:eastAsia="Times New Roman" w:hAnsi="Times New Roman"/>
          <w:sz w:val="22"/>
          <w:szCs w:val="22"/>
          <w:color w:val="auto"/>
        </w:rPr>
        <w:t>. (i) Upon the request of the Administrative Agent or the L/C Issuer (A) if the L/C Issuer has honored any full or partial drawing request under any Letter of Credit or made any payment under any Bankers’ Acceptances and such drawing or payment has resulted in an L/C Borrowing, or (B) if, as of the Letter of Credit Expiration Date, any L/C Obligation for any reason remains outstanding, the Company shall, in each case, within one Business Day of receipt of such request, Cash Collateralize the then Outstanding Amount of all L/C Obligations.</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0"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any time that there shall exist a Defaulting Lender, upon the request of the Administrative Agent or the L/C Issuer, the Company shall, within one Business Day of receipt of such request, deliver to the Administrative Agent Cash Collateral in an amount sufficient to cover all Fronting Exposure (only to the extent any Fronting Exposure exists after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and any Cash Collateral provided by the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22" w:right="339" w:bottom="1440" w:gutter="0" w:footer="0" w:header="0"/>
        </w:sectPr>
      </w:pPr>
    </w:p>
    <w:bookmarkStart w:id="203" w:name="page204"/>
    <w:bookmarkEnd w:id="203"/>
    <w:p>
      <w:pPr>
        <w:jc w:val="both"/>
        <w:ind w:left="680" w:firstLine="610"/>
        <w:spacing w:after="0" w:line="251" w:lineRule="auto"/>
        <w:tabs>
          <w:tab w:leader="none" w:pos="1884"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if the Administrative Agent notifies the Company at any time that the Outstanding Amount of all L/C Obligations with respect to Letters of Credit and Bankers’ Acceptances denominated in an Alternative Currency at such time exceeds 105% of the Alternative Currency Letter of Credit Sublimit then in effect, then, within two Business Days after receipt of such notice, the Company shall Cash Collateralize such L/C Obligations in an aggregate amount sufficient to reduce such Outstanding Amount as of such date of payment to an amount not to exceed 100% of the Alternative Currency Letter of Credit Sublimit then in effect.</w:t>
      </w:r>
    </w:p>
    <w:p>
      <w:pPr>
        <w:spacing w:after="0" w:line="181" w:lineRule="exact"/>
        <w:rPr>
          <w:rFonts w:ascii="Times New Roman" w:cs="Times New Roman" w:eastAsia="Times New Roman" w:hAnsi="Times New Roman"/>
          <w:sz w:val="22"/>
          <w:szCs w:val="22"/>
          <w:color w:val="auto"/>
        </w:rPr>
      </w:pPr>
    </w:p>
    <w:p>
      <w:pPr>
        <w:jc w:val="both"/>
        <w:ind w:firstLine="656"/>
        <w:spacing w:after="0" w:line="247" w:lineRule="auto"/>
        <w:tabs>
          <w:tab w:leader="none" w:pos="117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All Cash Collateral (other than credit support not constituting funds subject to deposit) shall be maintained in blocked deposit accounts at Bank of America. The cash (together with any interest accrued thereon) held in such cash collateral account may be invested, in the Administrative Agent’s reasonable discretion, in Cash Equivalents. The Company, and to the extent provided by any Lender, such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(including by reason of exchange rate fluctuations), the Company or the relevant Defaulting Lender will, promptly upon demand by the Administrative Agent, pay or provide to the Administrative Agent additional Cash Collateral in an amount sufficient to eliminate such deficiency.</w:t>
      </w:r>
    </w:p>
    <w:p>
      <w:pPr>
        <w:spacing w:after="0" w:line="206" w:lineRule="exact"/>
        <w:rPr>
          <w:rFonts w:ascii="Times New Roman" w:cs="Times New Roman" w:eastAsia="Times New Roman" w:hAnsi="Times New Roman"/>
          <w:sz w:val="22"/>
          <w:szCs w:val="22"/>
          <w:color w:val="auto"/>
        </w:rPr>
      </w:pPr>
    </w:p>
    <w:p>
      <w:pPr>
        <w:jc w:val="both"/>
        <w:ind w:firstLine="656"/>
        <w:spacing w:after="0" w:line="250" w:lineRule="auto"/>
        <w:tabs>
          <w:tab w:leader="none" w:pos="113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Cash Collateral provided under any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xml:space="preserve"> in respect of Letters of Credit or Bankers’ Acceptances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19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2"/>
          <w:szCs w:val="22"/>
          <w:u w:val="single" w:color="auto"/>
          <w:color w:val="auto"/>
        </w:rPr>
        <w:t>Section 10.06(b)(vi)</w:t>
      </w:r>
      <w:r>
        <w:rPr>
          <w:rFonts w:ascii="Times New Roman" w:cs="Times New Roman" w:eastAsia="Times New Roman" w:hAnsi="Times New Roman"/>
          <w:sz w:val="22"/>
          <w:szCs w:val="22"/>
          <w:color w:val="auto"/>
        </w:rPr>
        <w:t xml:space="preserve">)) or (ii) the Administrative Agent’s good faith determination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(x) that Cash Collateral furnished by or on behalf of a Borrower shall not be released during the continuance of a Default or Event of Default (and following application as provided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may be otherwise applied in accordance with </w:t>
      </w:r>
      <w:r>
        <w:rPr>
          <w:rFonts w:ascii="Times New Roman" w:cs="Times New Roman" w:eastAsia="Times New Roman" w:hAnsi="Times New Roman"/>
          <w:sz w:val="22"/>
          <w:szCs w:val="22"/>
          <w:u w:val="single" w:color="auto"/>
          <w:color w:val="auto"/>
        </w:rPr>
        <w:t>Section 8.03</w:t>
      </w:r>
      <w:r>
        <w:rPr>
          <w:rFonts w:ascii="Times New Roman" w:cs="Times New Roman" w:eastAsia="Times New Roman" w:hAnsi="Times New Roman"/>
          <w:sz w:val="22"/>
          <w:szCs w:val="22"/>
          <w:color w:val="auto"/>
        </w:rPr>
        <w:t>) and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22" w:right="339" w:bottom="1440" w:gutter="0" w:footer="0" w:header="0"/>
        </w:sectPr>
      </w:pPr>
    </w:p>
    <w:bookmarkStart w:id="204" w:name="page205"/>
    <w:bookmarkEnd w:id="204"/>
    <w:p>
      <w:pPr>
        <w:spacing w:after="0" w:line="271" w:lineRule="auto"/>
        <w:rPr>
          <w:sz w:val="20"/>
          <w:szCs w:val="20"/>
          <w:color w:val="auto"/>
        </w:rPr>
      </w:pPr>
      <w:r>
        <w:rPr>
          <w:rFonts w:ascii="Times New Roman" w:cs="Times New Roman" w:eastAsia="Times New Roman" w:hAnsi="Times New Roman"/>
          <w:sz w:val="22"/>
          <w:szCs w:val="22"/>
          <w:color w:val="auto"/>
        </w:rPr>
        <w:t>the Person providing Cash Collateral and the L/C Issuer may agree that Cash Collateral shall not be released but instead held to support future anticipated Fronting Exposure or other obligations.</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b w:val="1"/>
          <w:bCs w:val="1"/>
          <w:color w:val="auto"/>
        </w:rPr>
        <w:t>Defaulting Lenders.</w:t>
      </w:r>
    </w:p>
    <w:p>
      <w:pPr>
        <w:spacing w:after="0" w:line="237" w:lineRule="exact"/>
        <w:rPr>
          <w:sz w:val="20"/>
          <w:szCs w:val="20"/>
          <w:color w:val="auto"/>
        </w:rPr>
      </w:pPr>
    </w:p>
    <w:p>
      <w:pPr>
        <w:jc w:val="both"/>
        <w:ind w:firstLine="656"/>
        <w:spacing w:after="0" w:line="257" w:lineRule="auto"/>
        <w:tabs>
          <w:tab w:leader="none" w:pos="123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without in any way limiting the Borrowers' rights against such Lender, until such time as that Lender is no longer a Defaulting Lender, to the extent permitted by applicable Law:</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55"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xml:space="preserve">. That Defaulting Lender’s right to approve or disapprove any amendment, waiver or consent with respect to this Agreement shall be restricted as set forth in the definitions of “Required Lenders”, “Required (USD) Lenders”, “Required (MC) Lenders” or “Required Term Loan Lenders” and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8" w:lineRule="auto"/>
        <w:tabs>
          <w:tab w:leader="none" w:pos="1909"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or otherwise) or received by the Administrative Agent from a Defaulting Lender pursuant to </w:t>
      </w:r>
      <w:r>
        <w:rPr>
          <w:rFonts w:ascii="Times New Roman" w:cs="Times New Roman" w:eastAsia="Times New Roman" w:hAnsi="Times New Roman"/>
          <w:sz w:val="21"/>
          <w:szCs w:val="21"/>
          <w:u w:val="single" w:color="auto"/>
          <w:color w:val="auto"/>
        </w:rPr>
        <w:t>Section 10.08</w:t>
      </w:r>
      <w:r>
        <w:rPr>
          <w:rFonts w:ascii="Times New Roman" w:cs="Times New Roman" w:eastAsia="Times New Roman" w:hAnsi="Times New Roman"/>
          <w:sz w:val="21"/>
          <w:szCs w:val="21"/>
          <w:color w:val="auto"/>
        </w:rPr>
        <w:t xml:space="preserve">,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that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pro rata basis of any amounts owing by that Defaulting Lender to the L/C Issuer or Swing 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L/C Issuer’s Fronting Exposure with respect to that Defaulting Lender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Administrative Agent and the Company, to be held in a non-interest bearing deposit account and released pro rata in order to (x) satisfy that Defaulting Lender’s potential future funding obligations with respect to Loans under this Agreement and (y) Cash Collateralize the L/C Issuer’s future Fronting Exposure with respect to that Defaulting Lender with respect to future Letters of Credit and Bankers’ Acceptances issued under this Agreement, in accordance with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the L/C Issuer or Swing Line Lender as a result of any judgment of a court of competent jurisdiction obtained by any Lender, the L/C Issuer or Swing Line Lender against that Defaulting Lender as a result of that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that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Loans or L/C Borrowings in respect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22" w:right="339" w:bottom="1440" w:gutter="0" w:footer="0" w:header="0"/>
        </w:sectPr>
      </w:pPr>
    </w:p>
    <w:bookmarkStart w:id="205" w:name="page206"/>
    <w:bookmarkEnd w:id="205"/>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that Defaulting Lender has not fully funded its appropriate share and (y) such Loans were made or the related Letters of Credit or Bankers’ Acceptances were issued at a time when the conditions set forth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2"/>
          <w:szCs w:val="22"/>
          <w:u w:val="single" w:color="auto"/>
          <w:color w:val="auto"/>
        </w:rPr>
        <w:t>Section 2.17(a)(ii)</w:t>
      </w:r>
      <w:r>
        <w:rPr>
          <w:rFonts w:ascii="Times New Roman" w:cs="Times New Roman" w:eastAsia="Times New Roman" w:hAnsi="Times New Roman"/>
          <w:sz w:val="22"/>
          <w:szCs w:val="22"/>
          <w:color w:val="auto"/>
        </w:rPr>
        <w:t xml:space="preserve"> shall be deemed paid to and redirected by that Defaulting Lender, and each Lender irrevocably consents hereto.</w:t>
      </w:r>
    </w:p>
    <w:p>
      <w:pPr>
        <w:spacing w:after="0" w:line="189" w:lineRule="exact"/>
        <w:rPr>
          <w:sz w:val="20"/>
          <w:szCs w:val="20"/>
          <w:color w:val="auto"/>
        </w:rPr>
      </w:pPr>
    </w:p>
    <w:p>
      <w:pPr>
        <w:ind w:left="1180" w:hanging="536"/>
        <w:spacing w:after="0"/>
        <w:tabs>
          <w:tab w:leader="none" w:pos="118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40" w:firstLine="652"/>
        <w:spacing w:after="0" w:line="263" w:lineRule="auto"/>
        <w:tabs>
          <w:tab w:leader="none" w:pos="180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Defaulting Lender shall be entitled to receive any commitment fee pursuant to </w:t>
      </w:r>
      <w:r>
        <w:rPr>
          <w:rFonts w:ascii="Times New Roman" w:cs="Times New Roman" w:eastAsia="Times New Roman" w:hAnsi="Times New Roman"/>
          <w:sz w:val="22"/>
          <w:szCs w:val="22"/>
          <w:u w:val="single" w:color="auto"/>
          <w:color w:val="auto"/>
        </w:rPr>
        <w:t>Section 2.09(a)</w:t>
      </w:r>
      <w:r>
        <w:rPr>
          <w:rFonts w:ascii="Times New Roman" w:cs="Times New Roman" w:eastAsia="Times New Roman" w:hAnsi="Times New Roman"/>
          <w:sz w:val="22"/>
          <w:szCs w:val="22"/>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67" w:lineRule="exact"/>
        <w:rPr>
          <w:rFonts w:ascii="Times New Roman" w:cs="Times New Roman" w:eastAsia="Times New Roman" w:hAnsi="Times New Roman"/>
          <w:sz w:val="22"/>
          <w:szCs w:val="22"/>
          <w:color w:val="auto"/>
        </w:rPr>
      </w:pPr>
    </w:p>
    <w:p>
      <w:pPr>
        <w:jc w:val="both"/>
        <w:ind w:left="640" w:firstLine="652"/>
        <w:spacing w:after="0" w:line="252" w:lineRule="auto"/>
        <w:tabs>
          <w:tab w:leader="none" w:pos="1861"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Defaulting Lender which is a Committed (USD) Lender shall be entitled to receive Letter of Credit Fees and BA Fees for any period during which that Lender is a Defaulting Lender only to the extent allocable to its Applicable (USD) Percentage of the stated amount of Letters of Credit or Bankers’ Acceptances, as the case may be, for which it has provided Cash Collateral pursuant to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left="640" w:firstLine="652"/>
        <w:spacing w:after="0" w:line="249" w:lineRule="auto"/>
        <w:tabs>
          <w:tab w:leader="none" w:pos="179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Letter of Credit Fee or BA Fee, as the case may be, not required to be paid to any Defaulting Lender pursuant to clause (B) above, the Company shall (x) pay to each Non-Defaulting Lender which is a Committed (USD) Lender that portion of any such Letter of Credit Fee or BA Fee, as the case may be, otherwise payable to such Defaulting Lender with respect to such Defaulting Lender’s participation in L/C Obligations that has been reallocated to such Non-Defaulting Lender pursuant to clause (iv) below, (y) pay to the applicable L/C Issuer the amount of any such fee otherwise payable to such Defaulting Lender to the extent allocable to such L/C Issuer’s Fronting Exposure to such Defaulting Lender, and (z) not be required to pay the remaining amount of any such fee.</w:t>
      </w:r>
    </w:p>
    <w:p>
      <w:pPr>
        <w:spacing w:after="0" w:line="181" w:lineRule="exact"/>
        <w:rPr>
          <w:rFonts w:ascii="Times New Roman" w:cs="Times New Roman" w:eastAsia="Times New Roman" w:hAnsi="Times New Roman"/>
          <w:sz w:val="22"/>
          <w:szCs w:val="22"/>
          <w:color w:val="auto"/>
        </w:rPr>
      </w:pPr>
    </w:p>
    <w:p>
      <w:pPr>
        <w:jc w:val="both"/>
        <w:ind w:firstLine="644"/>
        <w:spacing w:after="0" w:line="257" w:lineRule="auto"/>
        <w:tabs>
          <w:tab w:leader="none" w:pos="133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Applicable (USD) Percentages to Reduce Fronting Exposure</w:t>
      </w:r>
      <w:r>
        <w:rPr>
          <w:rFonts w:ascii="Times New Roman" w:cs="Times New Roman" w:eastAsia="Times New Roman" w:hAnsi="Times New Roman"/>
          <w:sz w:val="22"/>
          <w:szCs w:val="22"/>
          <w:color w:val="auto"/>
        </w:rPr>
        <w:t>. All or any part of that Defaulting Lender’s participation in L/C Obligations and Swing Line Loans shall be reallocated among the Non-Defaulting Lenders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0580"/>
          </w:cols>
          <w:pgMar w:left="980" w:top="1422" w:right="339" w:bottom="1440" w:gutter="0" w:footer="0" w:header="0"/>
        </w:sectPr>
      </w:pPr>
    </w:p>
    <w:bookmarkStart w:id="206" w:name="page207"/>
    <w:bookmarkEnd w:id="206"/>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 xml:space="preserve">Committed (USD) Lenders in accordance with their respective Applicable (USD) Percentages (calculated without regard to such Defaulting Lender’s USD Commitment) but only to the extent that such reallocation does not cause the aggregate principal amount of any Non-Defaulting Lender’s Committed (USD) Loans plus such Non-Defaulting Lender’s participations in L/C Obligations and Swing Line Loans to exceed such Non-Defaulting Lender’s USD Commitment. Subject to </w:t>
      </w:r>
      <w:r>
        <w:rPr>
          <w:rFonts w:ascii="Times New Roman" w:cs="Times New Roman" w:eastAsia="Times New Roman" w:hAnsi="Times New Roman"/>
          <w:sz w:val="21"/>
          <w:szCs w:val="21"/>
          <w:u w:val="single" w:color="auto"/>
          <w:color w:val="auto"/>
        </w:rPr>
        <w:t>Section 10.22</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3" w:lineRule="exact"/>
        <w:rPr>
          <w:sz w:val="20"/>
          <w:szCs w:val="20"/>
          <w:color w:val="auto"/>
        </w:rPr>
      </w:pPr>
    </w:p>
    <w:p>
      <w:pPr>
        <w:jc w:val="both"/>
        <w:ind w:left="660" w:firstLine="644"/>
        <w:spacing w:after="0" w:line="253" w:lineRule="auto"/>
        <w:tabs>
          <w:tab w:leader="none" w:pos="1911"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 Repayment of Swing Line Loans</w:t>
      </w:r>
      <w:r>
        <w:rPr>
          <w:rFonts w:ascii="Times New Roman" w:cs="Times New Roman" w:eastAsia="Times New Roman" w:hAnsi="Times New Roman"/>
          <w:sz w:val="22"/>
          <w:szCs w:val="22"/>
          <w:color w:val="auto"/>
        </w:rPr>
        <w:t xml:space="preserve">. If the reallocation described in </w:t>
      </w:r>
      <w:r>
        <w:rPr>
          <w:rFonts w:ascii="Times New Roman" w:cs="Times New Roman" w:eastAsia="Times New Roman" w:hAnsi="Times New Roman"/>
          <w:sz w:val="22"/>
          <w:szCs w:val="22"/>
          <w:u w:val="single" w:color="auto"/>
          <w:color w:val="auto"/>
        </w:rPr>
        <w:t>clause (a)(iv)</w:t>
      </w:r>
      <w:r>
        <w:rPr>
          <w:rFonts w:ascii="Times New Roman" w:cs="Times New Roman" w:eastAsia="Times New Roman" w:hAnsi="Times New Roman"/>
          <w:sz w:val="22"/>
          <w:szCs w:val="22"/>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18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Company, the Administrative Agent and, in the case that a Defaulting Lender is a Committed (USD) Lender, the Swing Line Lender and the L/C Issuer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Committed (USD) Facility, the funded and unfunded participations in Letters of Credit, Bankers’ Acceptances and Swing Line Loans to be held on a pro rata basis by the Lenders under such Facility in accordance with their Applicable Percentages (without giving effect to </w:t>
      </w:r>
      <w:r>
        <w:rPr>
          <w:rFonts w:ascii="Times New Roman" w:cs="Times New Roman" w:eastAsia="Times New Roman" w:hAnsi="Times New Roman"/>
          <w:sz w:val="22"/>
          <w:szCs w:val="22"/>
          <w:u w:val="single" w:color="auto"/>
          <w:color w:val="auto"/>
        </w:rPr>
        <w:t>Section 2.17(a)(iv)</w:t>
      </w:r>
      <w:r>
        <w:rPr>
          <w:rFonts w:ascii="Times New Roman" w:cs="Times New Roman" w:eastAsia="Times New Roman" w:hAnsi="Times New Roman"/>
          <w:sz w:val="22"/>
          <w:szCs w:val="22"/>
          <w:color w:val="auto"/>
        </w:rPr>
        <w:t xml:space="preserve">), whereupon that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Swing Line Loans/Letters of Credit</w:t>
      </w:r>
      <w:r>
        <w:rPr>
          <w:rFonts w:ascii="Times New Roman" w:cs="Times New Roman" w:eastAsia="Times New Roman" w:hAnsi="Times New Roman"/>
          <w:sz w:val="22"/>
          <w:szCs w:val="22"/>
          <w:color w:val="auto"/>
        </w:rPr>
        <w:t>. So long as any Committed (USD)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75" w:lineRule="exact"/>
        <w:rPr>
          <w:sz w:val="20"/>
          <w:szCs w:val="20"/>
          <w:color w:val="auto"/>
        </w:rPr>
      </w:pPr>
    </w:p>
    <w:p>
      <w:pPr>
        <w:ind w:left="82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b w:val="1"/>
          <w:bCs w:val="1"/>
          <w:color w:val="auto"/>
        </w:rPr>
        <w:t>Extensions of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22" w:right="339" w:bottom="1440" w:gutter="0" w:footer="0" w:header="0"/>
        </w:sectPr>
      </w:pPr>
    </w:p>
    <w:bookmarkStart w:id="207" w:name="page208"/>
    <w:bookmarkEnd w:id="207"/>
    <w:p>
      <w:pPr>
        <w:jc w:val="both"/>
        <w:ind w:firstLine="656"/>
        <w:spacing w:after="0" w:line="247" w:lineRule="auto"/>
        <w:tabs>
          <w:tab w:leader="none" w:pos="117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pursuant to one or more offers (each, an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Offer</w:t>
      </w:r>
      <w:r>
        <w:rPr>
          <w:rFonts w:ascii="Times New Roman" w:cs="Times New Roman" w:eastAsia="Times New Roman" w:hAnsi="Times New Roman"/>
          <w:sz w:val="22"/>
          <w:szCs w:val="22"/>
          <w:color w:val="auto"/>
        </w:rPr>
        <w:t>”) made from time to time by the Company to all Lenders of any tranche of MC Commitments or USD Commitments with a like maturity date, in each case on a pro rata basis (based on the aggregate outstanding principal amount of the respective tranche of MC Commitments or USD Commitments with a like maturity date, as the case may be) and on the same terms to each such Lender, each Borrower is hereby permitted to consummate from time to time transactions with individual Lenders that accept the terms contained in such Extension Offers to extend the maturity date of each such Lender’s MC Commitments or USD Commitments, as the case may be, of such tranche and otherwise modify the terms of such Commitments pursuant to the terms of the relevant Extension Offer (including, without limitation, by increasing the interest rate or fees payable in respect of such Commitments (and related outstandings)) (each, an “</w:t>
      </w:r>
      <w:r>
        <w:rPr>
          <w:rFonts w:ascii="Times New Roman" w:cs="Times New Roman" w:eastAsia="Times New Roman" w:hAnsi="Times New Roman"/>
          <w:sz w:val="22"/>
          <w:szCs w:val="22"/>
          <w:u w:val="single" w:color="auto"/>
          <w:color w:val="auto"/>
        </w:rPr>
        <w:t>Extension</w:t>
      </w:r>
      <w:r>
        <w:rPr>
          <w:rFonts w:ascii="Times New Roman" w:cs="Times New Roman" w:eastAsia="Times New Roman" w:hAnsi="Times New Roman"/>
          <w:sz w:val="22"/>
          <w:szCs w:val="22"/>
          <w:color w:val="auto"/>
        </w:rPr>
        <w:t>”, and each group of MC Commitments or USD Commitments, as applicable, in each case as so extended, as well as the original MC Commitments and the original USD Commitments (in each case not so extended), being a separate “tranche”; any Extended MC Commitments shall constitute a separate tranche of MC Commitments from the tranche of MC Commitments from which they were converted and any Extended USD Commitments shall constitute a separate tranche of USD Commitments from the tranche of USD Commitments from which they were converted), so long as the following terms are satisfied:</w:t>
      </w:r>
    </w:p>
    <w:p>
      <w:pPr>
        <w:spacing w:after="0" w:line="202" w:lineRule="exact"/>
        <w:rPr>
          <w:rFonts w:ascii="Times New Roman" w:cs="Times New Roman" w:eastAsia="Times New Roman" w:hAnsi="Times New Roman"/>
          <w:sz w:val="22"/>
          <w:szCs w:val="22"/>
          <w:color w:val="auto"/>
        </w:rPr>
      </w:pPr>
    </w:p>
    <w:p>
      <w:pPr>
        <w:ind w:left="660" w:firstLine="644"/>
        <w:spacing w:after="0" w:line="271" w:lineRule="auto"/>
        <w:tabs>
          <w:tab w:leader="none" w:pos="185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exists at the time the offering document in respect of an Extension Offer is delivered to the Lenders or immediately prior to the effectiveness of such Extension;</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8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interest rates, fees and final maturity (which shall be determined by the Borrower and set forth in the relevant Extension Offer), the MC Commitment or USD Commitment, as the case may be, of any Lender that agrees to an Extension with respect to such Commitment (each, an “</w:t>
      </w:r>
      <w:r>
        <w:rPr>
          <w:rFonts w:ascii="Times New Roman" w:cs="Times New Roman" w:eastAsia="Times New Roman" w:hAnsi="Times New Roman"/>
          <w:sz w:val="22"/>
          <w:szCs w:val="22"/>
          <w:u w:val="single" w:color="auto"/>
          <w:color w:val="auto"/>
        </w:rPr>
        <w:t>Extending Lender</w:t>
      </w:r>
      <w:r>
        <w:rPr>
          <w:rFonts w:ascii="Times New Roman" w:cs="Times New Roman" w:eastAsia="Times New Roman" w:hAnsi="Times New Roman"/>
          <w:sz w:val="22"/>
          <w:szCs w:val="22"/>
          <w:color w:val="auto"/>
        </w:rPr>
        <w:t>”) extended pursuant to an Extension (each, an “</w:t>
      </w:r>
      <w:r>
        <w:rPr>
          <w:rFonts w:ascii="Times New Roman" w:cs="Times New Roman" w:eastAsia="Times New Roman" w:hAnsi="Times New Roman"/>
          <w:sz w:val="22"/>
          <w:szCs w:val="22"/>
          <w:u w:val="single" w:color="auto"/>
          <w:color w:val="auto"/>
        </w:rPr>
        <w:t>Extended MC Commitment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Extended USD Commitment</w:t>
      </w:r>
      <w:r>
        <w:rPr>
          <w:rFonts w:ascii="Times New Roman" w:cs="Times New Roman" w:eastAsia="Times New Roman" w:hAnsi="Times New Roman"/>
          <w:sz w:val="22"/>
          <w:szCs w:val="22"/>
          <w:color w:val="auto"/>
        </w:rPr>
        <w:t xml:space="preserve">”, as applicable), and the related outstandings, shall be a MC Commitment (or related outstandings, as the case may be) or a USD Commitment (or related outstandings, as the case may be), as applicable, with the same terms as the original MC Commitments (and related outstandings) or the original USD Commitments (and related outstandings),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592" w:val="left"/>
        </w:tabs>
        <w:numPr>
          <w:ilvl w:val="2"/>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 and repayment (except for (1) payments of interest and fees at different rates on Extended MC Commitments (and related outstandings) or Extended USD Commitments (and related outstandings), (2) repayments required upon the maturity date of the non-extending MC Commitments or USD Commitments and (3) repayment made in connection with a permanent repayment and termination of commitments) of Loans with respect to Extended MC Commitments or Extended USD Commitments after the applicable Extension date shall be made on a pro rata basis with all other MC Commitments or USD Commitments,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22" w:right="339" w:bottom="1440" w:gutter="0" w:footer="0" w:header="0"/>
        </w:sectPr>
      </w:pPr>
    </w:p>
    <w:bookmarkStart w:id="208" w:name="page209"/>
    <w:bookmarkEnd w:id="208"/>
    <w:p>
      <w:pPr>
        <w:ind w:left="1300" w:firstLine="652"/>
        <w:spacing w:after="0" w:line="271" w:lineRule="auto"/>
        <w:tabs>
          <w:tab w:leader="none" w:pos="2474"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Swing Line Loans, Letters of Credit and Bankers’ Acceptances shall be participated on a pro rata basis by all Lenders with USD Commitments in accordance with their Applicable (USD) Percentages;</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87"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permanent repayment of Loans with respect to, and termination of, Extended MC Commitments or Extended USD Commitments after the applicable Extension date shall be made on a pro rata basis with all other MC Commitments or USD Commitments, as the case may be, except that the Borrowers shall be permitted to permanently repay and terminate commitments of any such tranche on a better than a pro rata basis as compared to any other tranche with a later maturity date than such tranche; and</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81" w:lineRule="auto"/>
        <w:tabs>
          <w:tab w:leader="none" w:pos="2493"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assignments and participations of Extended MC Commitments or Extended USD Commitments and extended Loans related thereto shall be governed by the same assignment and participation provisions applicable to MC Commitments and Loans related thereto or USD Commitments and Loans related thereto, as applicable;</w:t>
      </w:r>
    </w:p>
    <w:p>
      <w:pPr>
        <w:spacing w:after="0" w:line="150" w:lineRule="exact"/>
        <w:rPr>
          <w:rFonts w:ascii="Times New Roman" w:cs="Times New Roman" w:eastAsia="Times New Roman" w:hAnsi="Times New Roman"/>
          <w:sz w:val="21"/>
          <w:szCs w:val="21"/>
          <w:color w:val="auto"/>
        </w:rPr>
      </w:pPr>
    </w:p>
    <w:p>
      <w:pPr>
        <w:jc w:val="both"/>
        <w:ind w:left="660" w:firstLine="644"/>
        <w:spacing w:after="0" w:line="249" w:lineRule="auto"/>
        <w:tabs>
          <w:tab w:leader="none" w:pos="1975"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principal amount of MC Commitments or USD Commitments, as the case may be, in respect of which Committed (MC) Lenders or Committed (USD) Lenders, as the case may be, shall have accepted the relevant Extension Offer shall exceed the maximum aggregate principal amount of MC Commitments or USD Commitments, as the case may be, offered to be extended by the Company pursuant to such Extension Offer, then the MC Commitments or USD Commitments, as the case may be, of such Committed (MC) Lenders or Committed (USD) Lenders, as the case may be, shall be extended ratably up to such maximum amount based on the respective principal amounts (but not to exceed actual holdings of record) with respect to which such Committed (MC) Lenders or Committed (USD) Lenders, as the case may be, have accepted such Extension Offer; and</w:t>
      </w:r>
    </w:p>
    <w:p>
      <w:pPr>
        <w:spacing w:after="0" w:line="181"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documentation in respect of such Extension shall be consistent with the foregoing.</w:t>
      </w:r>
    </w:p>
    <w:p>
      <w:pPr>
        <w:spacing w:after="0" w:line="23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all Extensions consummated by the Borrowers pursuant to this Section, (i) such Extensions shall not constitute prepayments for purposes of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and (ii) unless otherwise agreed to by the Administrative Agent, each Extension Offer shall be in a minimum principal amount (to be specified in the relevant Extension Offer) for the applicable tranche to be extended of (A) $30,000,000 with respect to MC Commitments and (B) $200,000,000 with respect to USD Commitments (in each case, or, if less, the remaining amount of such tranche). The Administrative Agent and the Lenders hereby consent to the transactions contemplated by this Section (including, for the avoidance of doubt, payment of any interest, fees or premium in respect of any Extended MC Commitments and/or Extended USD Commitments on the such terms as may be set forth in the relevant Extension Offer) and hereby waive the requirements of any provision of this Agreement or any other Loan Document that may otherwise prohibit any such Extension or any other transaction contemplated by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22" w:right="339" w:bottom="1440" w:gutter="0" w:footer="0" w:header="0"/>
        </w:sectPr>
      </w:pPr>
    </w:p>
    <w:bookmarkStart w:id="209" w:name="page210"/>
    <w:bookmarkEnd w:id="209"/>
    <w:p>
      <w:pPr>
        <w:jc w:val="both"/>
        <w:ind w:firstLine="656"/>
        <w:spacing w:after="0" w:line="259" w:lineRule="auto"/>
        <w:tabs>
          <w:tab w:leader="none" w:pos="115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consent of any Lender or the Administrative Agent shall be required to effectuate any Extension, other than (i) the consent of each Lender agreeing to such Extension with respect to one or more of its MC Commitments and/or USD Commitments (or a portion thereof) and (ii) with respect to any Extension of the USD Commitments, the consent of the L/C Issuer and the Swing Line Lender, which consent shall not be unreasonably withheld, delayed or conditioned. All Extended MC Commitments, Extended USD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Borrowers as may be necessary in order to establish new tranches or sub-tranches in respect of MC Commitments or USD Commitments so extended and such technical amendments as may be necessary or appropriate in the reasonable opinion of the Administrative Agent and the Borrowers in connection with the establishment of such new tranches or sub-tranches, in each case on terms consistent with this Section. In addition, if so provided in such amendment and with the consent of the L/C Issuer, participations in Letters of Credit and Bankers’ Acceptances expiring on or after the Maturity Date in respect of the Committed (USD) Facility shall be re-allocated from Lenders holding USD Commitments to Lenders holding Extended USD Commitments in accordance with the terms of such amendment;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participation interests shall, upon receipt thereof by the relevant Lenders holding USD Commitments, be deemed to be participation interests in respect of such USD Commitments and the terms of such participation interests (including, without limitation, the commission applicable thereto) shall be adjusted accordingly.</w:t>
      </w:r>
    </w:p>
    <w:p>
      <w:pPr>
        <w:spacing w:after="0" w:line="186" w:lineRule="exact"/>
        <w:rPr>
          <w:rFonts w:ascii="Times New Roman" w:cs="Times New Roman" w:eastAsia="Times New Roman" w:hAnsi="Times New Roman"/>
          <w:sz w:val="21"/>
          <w:szCs w:val="21"/>
          <w:color w:val="auto"/>
        </w:rPr>
      </w:pPr>
    </w:p>
    <w:p>
      <w:pPr>
        <w:jc w:val="both"/>
        <w:ind w:firstLine="656"/>
        <w:spacing w:after="0" w:line="263" w:lineRule="auto"/>
        <w:tabs>
          <w:tab w:leader="none" w:pos="117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Extension, the Company shall provide the Administrative Agent at least 20 Business Days (or such shorter period as may be agreed by the Administrative Agent) prior written notice thereof, and shall agree to such procedures (including, without limitation, regarding timing, rounding and other adjustments to ensure reasonable administrative management of the credit facilities hereunder after such Extension), if any, as may be established by, or acceptable to, the Administrative Agent, in each case acting reasonably to accomplish the purposes of this Section, and such reasonable increases in the annual administrative agency fee as the Administrative Agent shall reasonably request in order to fairly compensate the Administrative Agent for the additional administrative management of the credit facilities hereunder after such Extension.</w:t>
      </w:r>
    </w:p>
    <w:p>
      <w:pPr>
        <w:spacing w:after="0" w:line="182" w:lineRule="exact"/>
        <w:rPr>
          <w:sz w:val="20"/>
          <w:szCs w:val="20"/>
          <w:color w:val="auto"/>
        </w:rPr>
      </w:pPr>
    </w:p>
    <w:p>
      <w:pPr>
        <w:ind w:left="82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b w:val="1"/>
          <w:bCs w:val="1"/>
          <w:color w:val="auto"/>
        </w:rPr>
        <w:t>ESG Adjustments.</w:t>
      </w:r>
    </w:p>
    <w:p>
      <w:pPr>
        <w:spacing w:after="0" w:line="224" w:lineRule="exact"/>
        <w:rPr>
          <w:sz w:val="20"/>
          <w:szCs w:val="20"/>
          <w:color w:val="auto"/>
        </w:rPr>
      </w:pPr>
    </w:p>
    <w:p>
      <w:pPr>
        <w:jc w:val="both"/>
        <w:ind w:firstLine="656"/>
        <w:spacing w:after="0" w:line="251" w:lineRule="auto"/>
        <w:tabs>
          <w:tab w:leader="none" w:pos="11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Date, the Company, in consultation with the Sustainability Coordinator, shall be entitled, in its sole discretion, to establish specified key performance indicators (“</w:t>
      </w:r>
      <w:r>
        <w:rPr>
          <w:rFonts w:ascii="Times New Roman" w:cs="Times New Roman" w:eastAsia="Times New Roman" w:hAnsi="Times New Roman"/>
          <w:sz w:val="22"/>
          <w:szCs w:val="22"/>
          <w:u w:val="single" w:color="auto"/>
          <w:color w:val="auto"/>
        </w:rPr>
        <w:t>KPIs</w:t>
      </w:r>
      <w:r>
        <w:rPr>
          <w:rFonts w:ascii="Times New Roman" w:cs="Times New Roman" w:eastAsia="Times New Roman" w:hAnsi="Times New Roman"/>
          <w:sz w:val="22"/>
          <w:szCs w:val="22"/>
          <w:color w:val="auto"/>
        </w:rPr>
        <w:t>”) with respect to certain environmental, social and governance (“</w:t>
      </w:r>
      <w:r>
        <w:rPr>
          <w:rFonts w:ascii="Times New Roman" w:cs="Times New Roman" w:eastAsia="Times New Roman" w:hAnsi="Times New Roman"/>
          <w:sz w:val="22"/>
          <w:szCs w:val="22"/>
          <w:u w:val="single" w:color="auto"/>
          <w:color w:val="auto"/>
        </w:rPr>
        <w:t>ESG</w:t>
      </w:r>
      <w:r>
        <w:rPr>
          <w:rFonts w:ascii="Times New Roman" w:cs="Times New Roman" w:eastAsia="Times New Roman" w:hAnsi="Times New Roman"/>
          <w:sz w:val="22"/>
          <w:szCs w:val="22"/>
          <w:color w:val="auto"/>
        </w:rPr>
        <w:t>”) targets of the Company and its Subsidiaries. The Sustainability Coordinator and the Company may amend this Agreement (such amendment, an “</w:t>
      </w:r>
      <w:r>
        <w:rPr>
          <w:rFonts w:ascii="Times New Roman" w:cs="Times New Roman" w:eastAsia="Times New Roman" w:hAnsi="Times New Roman"/>
          <w:sz w:val="22"/>
          <w:szCs w:val="22"/>
          <w:u w:val="single" w:color="auto"/>
          <w:color w:val="auto"/>
        </w:rPr>
        <w:t>ESG Amendment</w:t>
      </w:r>
      <w:r>
        <w:rPr>
          <w:rFonts w:ascii="Times New Roman" w:cs="Times New Roman" w:eastAsia="Times New Roman" w:hAnsi="Times New Roman"/>
          <w:sz w:val="22"/>
          <w:szCs w:val="22"/>
          <w:color w:val="auto"/>
        </w:rPr>
        <w:t>”) solely for the purpose of incorporating the KPIs and other related provisions (the “</w:t>
      </w:r>
      <w:r>
        <w:rPr>
          <w:rFonts w:ascii="Times New Roman" w:cs="Times New Roman" w:eastAsia="Times New Roman" w:hAnsi="Times New Roman"/>
          <w:sz w:val="22"/>
          <w:szCs w:val="22"/>
          <w:u w:val="single" w:color="auto"/>
          <w:color w:val="auto"/>
        </w:rPr>
        <w:t>ESG Pricing Provisions</w:t>
      </w:r>
      <w:r>
        <w:rPr>
          <w:rFonts w:ascii="Times New Roman" w:cs="Times New Roman" w:eastAsia="Times New Roman" w:hAnsi="Times New Roman"/>
          <w:sz w:val="22"/>
          <w:szCs w:val="22"/>
          <w:color w:val="auto"/>
        </w:rPr>
        <w:t>”) into this Agreement, and any such amendment shall become effective at 5:00 p.m. on the tenth (10th) Business Day after the Administrative Agent shall have posted such proposed amendment to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22" w:right="339" w:bottom="1440" w:gutter="0" w:footer="0" w:header="0"/>
        </w:sectPr>
      </w:pPr>
    </w:p>
    <w:bookmarkStart w:id="210" w:name="page211"/>
    <w:bookmarkEnd w:id="210"/>
    <w:p>
      <w:pPr>
        <w:jc w:val="both"/>
        <w:spacing w:after="0" w:line="259" w:lineRule="auto"/>
        <w:rPr>
          <w:sz w:val="20"/>
          <w:szCs w:val="20"/>
          <w:color w:val="auto"/>
        </w:rPr>
      </w:pPr>
      <w:r>
        <w:rPr>
          <w:rFonts w:ascii="Times New Roman" w:cs="Times New Roman" w:eastAsia="Times New Roman" w:hAnsi="Times New Roman"/>
          <w:sz w:val="21"/>
          <w:szCs w:val="21"/>
          <w:color w:val="auto"/>
        </w:rPr>
        <w:t>Lenders and the Company unless, prior to such time, Lenders comprising the Required Lenders have delivered to the Administrative Agent (who shall promptly notify the Company) written notice that such Required Lenders object to such ESG Amendment. In the event that Required Lenders deliver a written notice objecting to any such ESG Amendment, an alternative ESG Amendment may be effectuated with the consent of the Required Lenders, the Company and the Sustainability Coordinator. Upon the effectiveness of any such ESG Amendment, based on the Company’s performance against the KPIs, certain adjustments (increase, decrease or no adjustment) (such adjustments, the “</w:t>
      </w:r>
      <w:r>
        <w:rPr>
          <w:rFonts w:ascii="Times New Roman" w:cs="Times New Roman" w:eastAsia="Times New Roman" w:hAnsi="Times New Roman"/>
          <w:sz w:val="21"/>
          <w:szCs w:val="21"/>
          <w:u w:val="single" w:color="auto"/>
          <w:color w:val="auto"/>
        </w:rPr>
        <w:t>ESG Applicable Rate Adjustments</w:t>
      </w:r>
      <w:r>
        <w:rPr>
          <w:rFonts w:ascii="Times New Roman" w:cs="Times New Roman" w:eastAsia="Times New Roman" w:hAnsi="Times New Roman"/>
          <w:sz w:val="21"/>
          <w:szCs w:val="21"/>
          <w:color w:val="auto"/>
        </w:rPr>
        <w:t xml:space="preserve">”) to the otherwise applicable Applicable Rate for Term SOFR Loans, Alternative Currency Term Rate Loans, Base Rate Loans, Letter of Credit Fees, BA Fees and the Commitment Fee will be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such adjustments shall not exceed (i) in the case of the Applicable Rate for the Commitment Fee, an increase and/or decrease of 0.01% and (ii) in the case of the Applicable Rate for Term SOFR Loans, Alternative Currency Term Rate Loans, Base Rate Loans, Letter of Credit Fees and BA Fees, an increase and/or decrease of 0.05%;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in no event shall the Applicable Rate for Term SOFR Loans, Alternative Currency Term Rate Loans, Base Rate Loans, Letter of Credit Fees, BA Fees or Commitment Fees be less than zero. The KPIs, the Company’s performance against the KPIs, and any related ESG Applicable Rate Pricing Adjustments resulting therefrom, will be determined based on certain certificates, reports and other documents, in each case, setting forth the calculation and measurement of the KPIs in a manner that is aligned with the Sustainability Linked Loan Principles and to be mutually agreed between the Company and the Sustainability Coordinator (each acting reasonably). Following the effectiveness of an ESG Amendment, any modification to the ESG Pricing Provisions shall be subject only to the consent of the Required Lenders so long as such modification does not have the effect of reducing the Applicable Rate for Term SOFR Loans, Alternative Currency Term Rate Loans, Base Rate Loans, Letter of Credit Fees and BA Fees to a level not otherwise permitted by this </w:t>
      </w:r>
      <w:r>
        <w:rPr>
          <w:rFonts w:ascii="Times New Roman" w:cs="Times New Roman" w:eastAsia="Times New Roman" w:hAnsi="Times New Roman"/>
          <w:sz w:val="21"/>
          <w:szCs w:val="21"/>
          <w:u w:val="single" w:color="auto"/>
          <w:color w:val="auto"/>
        </w:rPr>
        <w:t>Section 2.19(a)</w:t>
      </w:r>
      <w:r>
        <w:rPr>
          <w:rFonts w:ascii="Times New Roman" w:cs="Times New Roman" w:eastAsia="Times New Roman" w:hAnsi="Times New Roman"/>
          <w:sz w:val="21"/>
          <w:szCs w:val="21"/>
          <w:color w:val="auto"/>
        </w:rPr>
        <w:t>.</w:t>
      </w:r>
    </w:p>
    <w:p>
      <w:pPr>
        <w:spacing w:after="0" w:line="192" w:lineRule="exact"/>
        <w:rPr>
          <w:sz w:val="20"/>
          <w:szCs w:val="20"/>
          <w:color w:val="auto"/>
        </w:rPr>
      </w:pPr>
    </w:p>
    <w:p>
      <w:pPr>
        <w:jc w:val="both"/>
        <w:ind w:firstLine="656"/>
        <w:spacing w:after="0" w:line="257" w:lineRule="auto"/>
        <w:tabs>
          <w:tab w:leader="none" w:pos="113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Sustainability Coordinator will (i) assist the Company in determining the ESG Pricing Provisions in connection with the ESG Amendment and (ii) assist the Company in preparing informational materials focused on ESG to be used in connection with the ESG Amendment.</w:t>
      </w:r>
    </w:p>
    <w:p>
      <w:pPr>
        <w:spacing w:after="0" w:line="17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2.19</w:t>
      </w:r>
      <w:r>
        <w:rPr>
          <w:rFonts w:ascii="Times New Roman" w:cs="Times New Roman" w:eastAsia="Times New Roman" w:hAnsi="Times New Roman"/>
          <w:sz w:val="22"/>
          <w:szCs w:val="22"/>
          <w:color w:val="auto"/>
        </w:rPr>
        <w:t xml:space="preserve"> shall supersede any provisions in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to the contrary.</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2.20 Designation of Restricted and Unrestricted Subsidiaries. </w:t>
      </w:r>
      <w:r>
        <w:rPr>
          <w:rFonts w:ascii="Times New Roman" w:cs="Times New Roman" w:eastAsia="Times New Roman" w:hAnsi="Times New Roman"/>
          <w:sz w:val="22"/>
          <w:szCs w:val="22"/>
          <w:color w:val="auto"/>
        </w:rPr>
        <w:t>The Company may at any time designate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Subsidiary (as used herein, a “</w:t>
      </w:r>
      <w:r>
        <w:rPr>
          <w:rFonts w:ascii="Times New Roman" w:cs="Times New Roman" w:eastAsia="Times New Roman" w:hAnsi="Times New Roman"/>
          <w:sz w:val="22"/>
          <w:szCs w:val="22"/>
          <w:u w:val="single" w:color="auto"/>
          <w:color w:val="auto"/>
        </w:rPr>
        <w:t>Proposed Re-Designated Subsidiary</w:t>
      </w:r>
      <w:r>
        <w:rPr>
          <w:rFonts w:ascii="Times New Roman" w:cs="Times New Roman" w:eastAsia="Times New Roman" w:hAnsi="Times New Roman"/>
          <w:sz w:val="22"/>
          <w:szCs w:val="22"/>
          <w:color w:val="auto"/>
        </w:rPr>
        <w:t xml:space="preserve">”) that is not a Borrower or a Material Subsidiary and has not previously been an Unrestricted Subsidiary as an Unrestricted Subsidiary; in each case, so long as (i) immediately before and after such designation, no Default shall have occurred and be continuing, (ii) no such Proposed Re-Designated Subsidiary may be designated as an Unrestricted Subsidiary if any of its Subsidiaries is a Restricted Subsidiary (in either case unless such Subsidiaries are also Proposed Re-Designated Subsidiaries being designated as Unrestricted Subsidiaries simultaneously therewith), (iii) immediately after giving effect to such designation the Company and its Restricted Subsidiaries shall be in compliance, calculated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with the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(iv) such Proposed Re-Designated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22" w:right="339" w:bottom="1440" w:gutter="0" w:footer="0" w:header="0"/>
        </w:sectPr>
      </w:pPr>
    </w:p>
    <w:bookmarkStart w:id="211" w:name="page212"/>
    <w:bookmarkEnd w:id="211"/>
    <w:p>
      <w:pPr>
        <w:jc w:val="both"/>
        <w:spacing w:after="0" w:line="247" w:lineRule="auto"/>
        <w:rPr>
          <w:sz w:val="20"/>
          <w:szCs w:val="20"/>
          <w:color w:val="auto"/>
        </w:rPr>
      </w:pPr>
      <w:r>
        <w:rPr>
          <w:rFonts w:ascii="Times New Roman" w:cs="Times New Roman" w:eastAsia="Times New Roman" w:hAnsi="Times New Roman"/>
          <w:sz w:val="22"/>
          <w:szCs w:val="22"/>
          <w:color w:val="auto"/>
        </w:rPr>
        <w:t>Subsidiary would not constitute a Material Subsidiary as of the end of the period of twelve consecutive months most recently ended, and (v) prior to the effectiveness of any such designation, the Company shall deliver to the Administrative Agent a certificate in form and substance reasonably acceptable to the Administrative Agent setting forth in reasonable detail the calculations demonstrating compliance with the preceding clauses (iii) through (vi). 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Borrower’s or Restricted Subsidiary’s business,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Borrower’s or Restricted Subsidiary’s business or (iii) the aggregate book value of all assets transferred (including by way of an exclusive license or otherwise) (after giving effect to such transfer) by the Company and its Restricted Subsidiaries from and after the Amendment No. 1 Effective Date to all Unrestricted Subsidiaries and their respective Subsidiaries equal or exceed an amount equal to 5.0% of Consolidated Total Assets at the time of such transfer.</w:t>
      </w:r>
    </w:p>
    <w:p>
      <w:pPr>
        <w:spacing w:after="0" w:line="19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TAXES, YIELD PROTECTION AND ILLEGALITY</w:t>
      </w:r>
    </w:p>
    <w:p>
      <w:pPr>
        <w:spacing w:after="0" w:line="19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3.01</w:t>
      </w:r>
      <w:r>
        <w:rPr>
          <w:sz w:val="20"/>
          <w:szCs w:val="20"/>
          <w:color w:val="auto"/>
        </w:rPr>
        <w:tab/>
      </w:r>
      <w:r>
        <w:rPr>
          <w:rFonts w:ascii="Times New Roman" w:cs="Times New Roman" w:eastAsia="Times New Roman" w:hAnsi="Times New Roman"/>
          <w:sz w:val="19"/>
          <w:szCs w:val="19"/>
          <w:b w:val="1"/>
          <w:bCs w:val="1"/>
          <w:color w:val="auto"/>
        </w:rPr>
        <w:t>Taxes.</w:t>
      </w:r>
    </w:p>
    <w:p>
      <w:pPr>
        <w:spacing w:after="0" w:line="224" w:lineRule="exact"/>
        <w:rPr>
          <w:sz w:val="20"/>
          <w:szCs w:val="20"/>
          <w:color w:val="auto"/>
        </w:rPr>
      </w:pPr>
    </w:p>
    <w:p>
      <w:pPr>
        <w:ind w:left="1120" w:hanging="464"/>
        <w:spacing w:after="0"/>
        <w:tabs>
          <w:tab w:leader="none" w:pos="11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Free of Taxes; Obligation to Withhold; Payments on Account of Taxes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73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or on account of any obligation of the respective Borrowers hereunder or under any other Loan Document shall to the extent permitted by applicable Laws be made free and clear of and without deduction or withholding for any Taxes. If, however, applicable Laws require any Borrower or the Administrative Agent to withhold or deduct any Tax, such Tax shall be withheld or deducted in accordance with such Laws as determined by the Company or the Administrative Agent, as the case may be, upon the basis of the information and documentation to be delivered pursuant to subsection (e) below.</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05"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Borrower or the Administrative Agent shall be required by the Code to withhold or deduct any Taxes, including both United States Federal backup withholding and withholding Taxes, from any payment, then (A) the Administrative Agent (acting on its own behalf and on behalf of such Borrower) shall withhold or make such deductions as are determined by the Administrative Agent and the Company to be required based upon the information and documentation they have received pursuant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below, (B) the Administrative Agent (acting on its own behalf and on behalf of such Borrower)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22" w:right="339" w:bottom="1440" w:gutter="0" w:footer="0" w:header="0"/>
        </w:sectPr>
      </w:pPr>
    </w:p>
    <w:bookmarkStart w:id="212" w:name="page213"/>
    <w:bookmarkEnd w:id="212"/>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 xml:space="preserve">required withholding or the making of all required deductions (including deductions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Administrative Agent, Lender or L/C Issuer, as the case may be, receives an amount equal to the sum it would have received had no such withholding or deduction in respect of Indemnified Taxes or Other Taxes been made.</w:t>
      </w:r>
    </w:p>
    <w:p>
      <w:pPr>
        <w:spacing w:after="0" w:line="176" w:lineRule="exact"/>
        <w:rPr>
          <w:sz w:val="20"/>
          <w:szCs w:val="20"/>
          <w:color w:val="auto"/>
        </w:rPr>
      </w:pPr>
    </w:p>
    <w:p>
      <w:pPr>
        <w:jc w:val="both"/>
        <w:ind w:left="660" w:firstLine="644"/>
        <w:spacing w:after="0" w:line="248" w:lineRule="auto"/>
        <w:tabs>
          <w:tab w:leader="none" w:pos="190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Borrower or the Administrative Agent shall be required by applicable Laws other than the Code to withhold or deduct any Taxes, including both United States Federal backup withholding and withholding Taxes, from any payment, then (A) such Borrower or the Administrative Agent, as required by such Laws shall withhold or make such deductions as are determined by the Administrative Agent and the Company to be required based upon the information and documentation they have received pursuant to </w:t>
      </w:r>
      <w:r>
        <w:rPr>
          <w:rFonts w:ascii="Times New Roman" w:cs="Times New Roman" w:eastAsia="Times New Roman" w:hAnsi="Times New Roman"/>
          <w:sz w:val="22"/>
          <w:szCs w:val="22"/>
          <w:u w:val="single" w:color="auto"/>
          <w:color w:val="auto"/>
        </w:rPr>
        <w:t>subsection (e)</w:t>
      </w:r>
      <w:r>
        <w:rPr>
          <w:rFonts w:ascii="Times New Roman" w:cs="Times New Roman" w:eastAsia="Times New Roman" w:hAnsi="Times New Roman"/>
          <w:sz w:val="22"/>
          <w:szCs w:val="22"/>
          <w:color w:val="auto"/>
        </w:rPr>
        <w:t xml:space="preserve"> below, (B) such Borrower or the Administrative Agent, to the extent required by such Laws, shall timely pay the full amount withheld or deducted to the relevant Governmental Authority in accordance with the Code, and (C) to the extent that the withholding or deduction is made on account of Indemnified Taxes or Other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Administrative Agent, Lender or L/C Issuer, as the case may be, receives an amount equal to the sum it would have received had no such withholding or deduction in respect of Indemnified Taxes or Other Taxes been made.</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15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Other Taxes by the Borrowers</w:t>
      </w:r>
      <w:r>
        <w:rPr>
          <w:rFonts w:ascii="Times New Roman" w:cs="Times New Roman" w:eastAsia="Times New Roman" w:hAnsi="Times New Roman"/>
          <w:sz w:val="22"/>
          <w:szCs w:val="22"/>
          <w:color w:val="auto"/>
        </w:rPr>
        <w:t>. Without limiting the provisions of subsection (a) above, each Borrower shall timely pay any Other Taxes to the relevant Governmental Authority in accordance with applicable Laws.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Indemnifications</w:t>
      </w:r>
      <w:r>
        <w:rPr>
          <w:rFonts w:ascii="Times New Roman" w:cs="Times New Roman" w:eastAsia="Times New Roman" w:hAnsi="Times New Roman"/>
          <w:sz w:val="22"/>
          <w:szCs w:val="22"/>
          <w:color w:val="auto"/>
        </w:rPr>
        <w:t>. Without limiting the provisions of subsection (a) or (b) above:</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75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Each Borrower shall, and does hereby, indemnify the Administrative Agent, each Lender and the L/C Issuer, and shall make payment in respect thereof within 30 days after demand therefor, for the full amount of any Indemnified Taxes or Other Taxes (including Indemnified Taxes or Other Taxes imposed or asserted on or attributable to amounts payable under this Section) withheld or deducted by such Borrower or the Administrative Agent or paid by the Administrative Agent, such Lender or the L/C Issuer, as the case may be, and any penalties, interest and reasonable out of pocket expenses arising therefrom or with respect thereto, whether or not such Indemnified Taxes or Other Taxes were correctly or legally imposed or asserted by the relevant Governmental Authority.</w:t>
      </w:r>
    </w:p>
    <w:p>
      <w:pPr>
        <w:spacing w:after="0" w:line="180"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560"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shall also, and does hereby, indemnify the Administrative Agent, and shall make payment in respect thereof within 30 days after demand therefor, for any amount which a Lender or the L/C Issuer for any reason fails to pay indefeasibly to the Administrative Agent as required by clause (ii) of this subsection; provided, that no Borrower shall be required to indemnify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22" w:right="339" w:bottom="1440" w:gutter="0" w:footer="0" w:header="0"/>
        </w:sectPr>
      </w:pPr>
    </w:p>
    <w:bookmarkStart w:id="213" w:name="page214"/>
    <w:bookmarkEnd w:id="213"/>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the Administrative Agent for any amount attributable to the Administrative Agent’s gross negligence or willful misconduct. Upon receipt of such indemnity payment and upon the request of the Borrower that made the indemnity payment, the Administrative Agent hereby agrees to assign to such Borrower any rights for compensation against such defaulting Lender or L/C Issuer (other than the right of set off pursuant to the penultimate sentence of Section 3.01(c)(ii) below) with respect to the amount it has been indemnified by the Borrower.</w:t>
      </w:r>
    </w:p>
    <w:p>
      <w:pPr>
        <w:spacing w:after="0" w:line="181" w:lineRule="exact"/>
        <w:rPr>
          <w:sz w:val="20"/>
          <w:szCs w:val="20"/>
          <w:color w:val="auto"/>
        </w:rPr>
      </w:pPr>
    </w:p>
    <w:p>
      <w:pPr>
        <w:jc w:val="both"/>
        <w:ind w:left="1300" w:firstLine="652"/>
        <w:spacing w:after="0" w:line="256" w:lineRule="auto"/>
        <w:tabs>
          <w:tab w:leader="none" w:pos="2452" w:val="left"/>
        </w:tabs>
        <w:numPr>
          <w:ilvl w:val="2"/>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prepared in good faith as to the amount of any such payment or liability delivered to the Company on behalf of the relevant Borrower by a Lender or the L/C Issuer (with a copy to the Administrative Agent), or by the Administrative Agent on its own behalf or on behalf of a Lender or the L/C Issuer, shall be conclusive absent manifest error.</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8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provisions of subsection (a) or (b) above, each Lender and the L/C Issuer shall, and does hereby, indemnify each Borrower and the Administrative Agent, and shall make payment in respect thereof within 30 days after demand therefor, against any and all Taxes and any and all related losses, claims, liabilities, penalties, interest and expenses (including the fees, charges and disbursements of any counsel for any Borrower or the Administrative Agent) incurred by or asserted against any Borrower or the Administrative Agent by any Governmental Authority (A) as a result of the failure by such Lender or the L/C Issuer, as the case may be, to deliver, or as a result of the inaccuracy, inadequacy or deficiency of, any documentation required to be delivered by such Lender or the L/C Issuer, as the case may be, to such Borrower or the Administrative Agent pursuant to subsection (e), or (B) attributable to such Lender’s or L/C Issuer’s failure to comply with the provisions of </w:t>
      </w:r>
      <w:r>
        <w:rPr>
          <w:rFonts w:ascii="Times New Roman" w:cs="Times New Roman" w:eastAsia="Times New Roman" w:hAnsi="Times New Roman"/>
          <w:sz w:val="22"/>
          <w:szCs w:val="22"/>
          <w:u w:val="single" w:color="auto"/>
          <w:color w:val="auto"/>
        </w:rPr>
        <w:t>Section 10.06(d)</w:t>
      </w:r>
      <w:r>
        <w:rPr>
          <w:rFonts w:ascii="Times New Roman" w:cs="Times New Roman" w:eastAsia="Times New Roman" w:hAnsi="Times New Roman"/>
          <w:sz w:val="22"/>
          <w:szCs w:val="22"/>
          <w:color w:val="auto"/>
        </w:rPr>
        <w:t xml:space="preserve"> relating to the maintenance of a Participant Register.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clause (ii). The agreements in this clause (ii) shall survive the resignation and/or replacement of the Administrative Agent, any assignment of rights by, or the replacement of, a Lender or the L/C Issuer, the termination of the Aggregate Commitments and the repayment, satisfaction or discharge of all other Obligations.</w:t>
      </w:r>
    </w:p>
    <w:p>
      <w:pPr>
        <w:spacing w:after="0" w:line="182" w:lineRule="exact"/>
        <w:rPr>
          <w:rFonts w:ascii="Times New Roman" w:cs="Times New Roman" w:eastAsia="Times New Roman" w:hAnsi="Times New Roman"/>
          <w:sz w:val="22"/>
          <w:szCs w:val="22"/>
          <w:color w:val="auto"/>
        </w:rPr>
      </w:pPr>
    </w:p>
    <w:p>
      <w:pPr>
        <w:jc w:val="both"/>
        <w:ind w:firstLine="656"/>
        <w:spacing w:after="0" w:line="250" w:lineRule="auto"/>
        <w:tabs>
          <w:tab w:leader="none" w:pos="125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Evidence of Payments</w:t>
      </w:r>
      <w:r>
        <w:rPr>
          <w:rFonts w:ascii="Times New Roman" w:cs="Times New Roman" w:eastAsia="Times New Roman" w:hAnsi="Times New Roman"/>
          <w:sz w:val="22"/>
          <w:szCs w:val="22"/>
          <w:color w:val="auto"/>
        </w:rPr>
        <w:t xml:space="preserve">. Upon request by the Company on behalf of any Borrower or upon the request by the Administrative Agent, as the case may be, after any payment of Taxes by such Borrower or by the Administrative Agent to a Governmental Authority as provided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the Company on behalf of such Borrower shall deliver to the Administrative Agent or the Administrative Agent shall deliver to the Company on behalf of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22" w:right="339" w:bottom="1440" w:gutter="0" w:footer="0" w:header="0"/>
        </w:sectPr>
      </w:pPr>
    </w:p>
    <w:bookmarkStart w:id="214" w:name="page215"/>
    <w:bookmarkEnd w:id="214"/>
    <w:p>
      <w:pPr>
        <w:ind w:left="464" w:hanging="464"/>
        <w:spacing w:after="0"/>
        <w:tabs>
          <w:tab w:leader="none" w:pos="46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Tax Documentation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093"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and the L/C Issuer shall deliver to the Company and to the Administrative Agent, at the time or times prescribed by applicable Laws or when reasonably requested by the Company or the Administrative Agent, such properly completed and executed documentation prescribed by applicable Laws or by the taxing authorities of any jurisdiction and such other reasonably requested information as will permit the Company or the Administrative Agent, as the case may be, to determine (A) whether or not payments made by the respective Borrowers hereunder or under any other Loan Document are subject to Taxes, (B) if applicable, the required rate of withholding or deduction, and (C) such Lender’s or the L/C Issuer’s entitlement to any available exemption from, or reduction of, applicable Taxes in respect of all payments to be made to such Lender or the L/C Issuer by the respective Borrowers pursuant to this Agreement or otherwise to establish such Lender’s or the L/C Issuer’s status for withholding Tax purposes in the applicable jurisdictions. Notwithstanding anything to the contrary in the preceding sentence, the completion, execution and submission of such documentation (other than such documentation set forth in </w:t>
      </w:r>
      <w:r>
        <w:rPr>
          <w:rFonts w:ascii="Times New Roman" w:cs="Times New Roman" w:eastAsia="Times New Roman" w:hAnsi="Times New Roman"/>
          <w:sz w:val="22"/>
          <w:szCs w:val="22"/>
          <w:u w:val="single" w:color="auto"/>
          <w:color w:val="auto"/>
        </w:rPr>
        <w:t>Section 3.01(e)(ii)(A)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3.01(e)(ii)(B)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3.01(e)(iv)</w:t>
      </w:r>
      <w:r>
        <w:rPr>
          <w:rFonts w:ascii="Times New Roman" w:cs="Times New Roman" w:eastAsia="Times New Roman" w:hAnsi="Times New Roman"/>
          <w:sz w:val="22"/>
          <w:szCs w:val="22"/>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rFonts w:ascii="Times New Roman" w:cs="Times New Roman" w:eastAsia="Times New Roman" w:hAnsi="Times New Roman"/>
          <w:sz w:val="22"/>
          <w:szCs w:val="22"/>
          <w:color w:val="auto"/>
        </w:rPr>
      </w:pPr>
    </w:p>
    <w:p>
      <w:pPr>
        <w:ind w:left="1184" w:hanging="536"/>
        <w:spacing w:after="0"/>
        <w:tabs>
          <w:tab w:leader="none" w:pos="118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w:t>
      </w:r>
    </w:p>
    <w:p>
      <w:pPr>
        <w:spacing w:after="0" w:line="219" w:lineRule="exact"/>
        <w:rPr>
          <w:rFonts w:ascii="Times New Roman" w:cs="Times New Roman" w:eastAsia="Times New Roman" w:hAnsi="Times New Roman"/>
          <w:sz w:val="22"/>
          <w:szCs w:val="22"/>
          <w:color w:val="auto"/>
        </w:rPr>
      </w:pPr>
    </w:p>
    <w:p>
      <w:pPr>
        <w:jc w:val="both"/>
        <w:ind w:left="644" w:firstLine="652"/>
        <w:spacing w:after="0" w:line="263" w:lineRule="auto"/>
        <w:tabs>
          <w:tab w:leader="none" w:pos="1936"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and any Lender that is a “United States person” within the meaning of Section 7701(a)(30) of the Code shall deliver to the Company and the Administrative Agent (in such number of copies as shall be requested by the recipient), on or before the date it becomes a party to this Agreement, executed originals of Internal Revenue Service Form W-9, or any subsequent versions thereof or successors thereto, or such other documentation or information prescribed by applicable Laws or reasonably requested by the Company or the Administrative Agent as will enable such Borrower or the Administrative Agent, as the case may be, to determine whether or not such Lender is subject to backup withholding or information reporting requirements; and</w:t>
      </w:r>
    </w:p>
    <w:p>
      <w:pPr>
        <w:spacing w:after="0" w:line="172" w:lineRule="exact"/>
        <w:rPr>
          <w:rFonts w:ascii="Times New Roman" w:cs="Times New Roman" w:eastAsia="Times New Roman" w:hAnsi="Times New Roman"/>
          <w:sz w:val="21"/>
          <w:szCs w:val="21"/>
          <w:color w:val="auto"/>
        </w:rPr>
      </w:pPr>
    </w:p>
    <w:p>
      <w:pPr>
        <w:jc w:val="both"/>
        <w:ind w:left="644" w:firstLine="652"/>
        <w:spacing w:after="0" w:line="251" w:lineRule="auto"/>
        <w:tabs>
          <w:tab w:leader="none" w:pos="1809"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Lender that is entitled under the Code or any applicable treaty to an exemption from or reduction of withholding Tax with respect to payments hereunder or under any other Loan Document shall deliver to the Company and the Administrative Agent (in such number of copies as shall be requested by the recipient) on or prior to the date on which such Foreign Lender becomes a Lender under this Agreement (and from time to time thereafter upon the request of the Company on behalf of any Borrower or the Administrative Agent, but only if such Foreign Lender is legally entitled to do so), whichever of the following is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0584"/>
          </w:cols>
          <w:pgMar w:left="976" w:top="1422" w:right="339" w:bottom="1440" w:gutter="0" w:footer="0" w:header="0"/>
        </w:sectPr>
      </w:pPr>
    </w:p>
    <w:bookmarkStart w:id="215" w:name="page216"/>
    <w:bookmarkEnd w:id="215"/>
    <w:p>
      <w:pPr>
        <w:jc w:val="both"/>
        <w:ind w:left="840" w:firstLine="664"/>
        <w:spacing w:after="0" w:line="257" w:lineRule="auto"/>
        <w:tabs>
          <w:tab w:leader="none" w:pos="194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Internal Revenue Service Form W-8BEN-E (or W-8BEN, as applicable), or any subsequent versions thereof or successors thereto, claiming eligibility for benefits of an income tax treaty to which the United States is a party,</w:t>
      </w:r>
    </w:p>
    <w:p>
      <w:pPr>
        <w:spacing w:after="0" w:line="186" w:lineRule="exact"/>
        <w:rPr>
          <w:sz w:val="20"/>
          <w:szCs w:val="20"/>
          <w:color w:val="auto"/>
        </w:rPr>
      </w:pPr>
    </w:p>
    <w:p>
      <w:pPr>
        <w:ind w:left="840" w:right="20" w:firstLine="640"/>
        <w:spacing w:after="0" w:line="271" w:lineRule="auto"/>
        <w:tabs>
          <w:tab w:leader="none" w:pos="2082"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Internal Revenue Service Form W-8ECI, or any subsequent versions thereof or successors thereto,</w:t>
      </w:r>
    </w:p>
    <w:p>
      <w:pPr>
        <w:spacing w:after="0" w:line="158" w:lineRule="exact"/>
        <w:rPr>
          <w:sz w:val="20"/>
          <w:szCs w:val="20"/>
          <w:color w:val="auto"/>
        </w:rPr>
      </w:pPr>
    </w:p>
    <w:p>
      <w:pPr>
        <w:ind w:left="840" w:firstLine="640"/>
        <w:spacing w:after="0" w:line="271" w:lineRule="auto"/>
        <w:tabs>
          <w:tab w:leader="none" w:pos="212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originals of Internal Revenue Service Form W-8IMY, or any subsequent versions thereof or successors thereto, and all required supporting documentation,</w:t>
      </w:r>
    </w:p>
    <w:p>
      <w:pPr>
        <w:spacing w:after="0" w:line="158" w:lineRule="exact"/>
        <w:rPr>
          <w:sz w:val="20"/>
          <w:szCs w:val="20"/>
          <w:color w:val="auto"/>
        </w:rPr>
      </w:pPr>
    </w:p>
    <w:p>
      <w:pPr>
        <w:jc w:val="both"/>
        <w:ind w:left="8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to the effect that such Foreign Lender is not (A) a “bank” within the meaning of section 881(c)(3)(A) of the Code, (B) a “10 percent shareholder” of such Borrower within the meaning of section 881(c)(3)(B) of the Code, or (C) a “controlled foreign corporation” described in section 881(c)(3)(C) of the Code (a “</w:t>
      </w:r>
      <w:r>
        <w:rPr>
          <w:rFonts w:ascii="Times New Roman" w:cs="Times New Roman" w:eastAsia="Times New Roman" w:hAnsi="Times New Roman"/>
          <w:sz w:val="22"/>
          <w:szCs w:val="22"/>
          <w:u w:val="single" w:color="auto"/>
          <w:color w:val="auto"/>
        </w:rPr>
        <w:t>U.S. Tax Compliance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and (y) executed originals of Internal Revenue Service Form W-8BEN-E (or W-8BEN, as applicable), or any subsequent versions thereof or successors thereto, or</w:t>
      </w:r>
    </w:p>
    <w:p>
      <w:pPr>
        <w:spacing w:after="0" w:line="194" w:lineRule="exact"/>
        <w:rPr>
          <w:sz w:val="20"/>
          <w:szCs w:val="20"/>
          <w:color w:val="auto"/>
        </w:rPr>
      </w:pPr>
    </w:p>
    <w:p>
      <w:pPr>
        <w:jc w:val="both"/>
        <w:ind w:left="840" w:firstLine="640"/>
        <w:spacing w:after="0" w:line="248" w:lineRule="auto"/>
        <w:tabs>
          <w:tab w:leader="none" w:pos="2058"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191919"/>
        </w:rPr>
        <w:t>to the extent a Foreign Lender is not the beneficial owner with respect to an interest in any Loan, executed originals of Internal Revenue Service Form W-8IMY, accompanied by Internal Revenue Service Form W-8ECI, Internal Revenue Service Form W-8BEN</w:t>
      </w:r>
      <w:r>
        <w:rPr>
          <w:rFonts w:ascii="Times New Roman" w:cs="Times New Roman" w:eastAsia="Times New Roman" w:hAnsi="Times New Roman"/>
          <w:sz w:val="22"/>
          <w:szCs w:val="22"/>
          <w:color w:val="000000"/>
        </w:rPr>
        <w:t>-E (or W-8BEN, as applicable)</w:t>
      </w:r>
      <w:r>
        <w:rPr>
          <w:rFonts w:ascii="Times New Roman" w:cs="Times New Roman" w:eastAsia="Times New Roman" w:hAnsi="Times New Roman"/>
          <w:sz w:val="22"/>
          <w:szCs w:val="22"/>
          <w:color w:val="191919"/>
        </w:rPr>
        <w:t xml:space="preserve">, a U.S. Tax Compliance Certificate substantially in the form of </w:t>
      </w:r>
      <w:r>
        <w:rPr>
          <w:rFonts w:ascii="Times New Roman" w:cs="Times New Roman" w:eastAsia="Times New Roman" w:hAnsi="Times New Roman"/>
          <w:sz w:val="22"/>
          <w:szCs w:val="22"/>
          <w:u w:val="single" w:color="auto"/>
          <w:color w:val="191919"/>
        </w:rPr>
        <w:t>Exhibit F-2</w:t>
      </w:r>
      <w:r>
        <w:rPr>
          <w:rFonts w:ascii="Times New Roman" w:cs="Times New Roman" w:eastAsia="Times New Roman" w:hAnsi="Times New Roman"/>
          <w:sz w:val="22"/>
          <w:szCs w:val="22"/>
          <w:color w:val="191919"/>
        </w:rPr>
        <w:t xml:space="preserve"> or </w:t>
      </w:r>
      <w:r>
        <w:rPr>
          <w:rFonts w:ascii="Times New Roman" w:cs="Times New Roman" w:eastAsia="Times New Roman" w:hAnsi="Times New Roman"/>
          <w:sz w:val="22"/>
          <w:szCs w:val="22"/>
          <w:u w:val="single" w:color="auto"/>
          <w:color w:val="191919"/>
        </w:rPr>
        <w:t>Exhibit F-3</w:t>
      </w:r>
      <w:r>
        <w:rPr>
          <w:rFonts w:ascii="Times New Roman" w:cs="Times New Roman" w:eastAsia="Times New Roman" w:hAnsi="Times New Roman"/>
          <w:sz w:val="22"/>
          <w:szCs w:val="22"/>
          <w:color w:val="191919"/>
        </w:rPr>
        <w:t xml:space="preserve">, Internal Revenue Service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2"/>
          <w:szCs w:val="22"/>
          <w:u w:val="single" w:color="auto"/>
          <w:color w:val="191919"/>
        </w:rPr>
        <w:t>Exhibit F-4</w:t>
      </w:r>
      <w:r>
        <w:rPr>
          <w:rFonts w:ascii="Times New Roman" w:cs="Times New Roman" w:eastAsia="Times New Roman" w:hAnsi="Times New Roman"/>
          <w:sz w:val="22"/>
          <w:szCs w:val="22"/>
          <w:color w:val="191919"/>
        </w:rPr>
        <w:t xml:space="preserve"> on behalf of each such direct and indirect partner</w:t>
      </w:r>
      <w:r>
        <w:rPr>
          <w:rFonts w:ascii="Times New Roman" w:cs="Times New Roman" w:eastAsia="Times New Roman" w:hAnsi="Times New Roman"/>
          <w:sz w:val="22"/>
          <w:szCs w:val="22"/>
          <w:color w:val="000000"/>
        </w:rPr>
        <w:t>.</w:t>
      </w:r>
    </w:p>
    <w:p>
      <w:pPr>
        <w:spacing w:after="0" w:line="185"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any Borrower or the Administrative Agent) executed originals of any other form prescribed by applicable Laws as a basis for claiming exemption from or a reduction in United States Federal withholding tax together with such supplementary documentation as may be prescribed by applicable Laws to permit such Borrower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0120"/>
          </w:cols>
          <w:pgMar w:left="1440" w:top="1422" w:right="339" w:bottom="1440" w:gutter="0" w:footer="0" w:header="0"/>
        </w:sectPr>
      </w:pPr>
    </w:p>
    <w:bookmarkStart w:id="216" w:name="page217"/>
    <w:bookmarkEnd w:id="216"/>
    <w:p>
      <w:pPr>
        <w:ind w:left="1300"/>
        <w:spacing w:after="0"/>
        <w:rPr>
          <w:sz w:val="20"/>
          <w:szCs w:val="20"/>
          <w:color w:val="auto"/>
        </w:rPr>
      </w:pPr>
      <w:r>
        <w:rPr>
          <w:rFonts w:ascii="Times New Roman" w:cs="Times New Roman" w:eastAsia="Times New Roman" w:hAnsi="Times New Roman"/>
          <w:sz w:val="22"/>
          <w:szCs w:val="22"/>
          <w:color w:val="auto"/>
        </w:rPr>
        <w:t>Administrative Agent to determine the withholding or deduction required to be made.</w:t>
      </w:r>
    </w:p>
    <w:p>
      <w:pPr>
        <w:spacing w:after="0" w:line="220" w:lineRule="exact"/>
        <w:rPr>
          <w:sz w:val="20"/>
          <w:szCs w:val="20"/>
          <w:color w:val="auto"/>
        </w:rPr>
      </w:pPr>
    </w:p>
    <w:p>
      <w:pPr>
        <w:jc w:val="both"/>
        <w:ind w:left="660" w:firstLine="644"/>
        <w:spacing w:after="0" w:line="251" w:lineRule="auto"/>
        <w:tabs>
          <w:tab w:leader="none" w:pos="190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L/C Issuer and each Lender shall promptly (A) notify the Company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85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payment made pursuant to this Agreement to any Lender, the L/C Issuer or any other recipient of any payment to be made by or on account of any obligation under this Agreement would be subject to U.S. Federal withholding Tax imposed by FATCA if such recipient were to fail to comply with the applicable reporting requirements of FATCA (including those contained in Section 1471(b) or 1472(b) of the Code, as applicable), each such Lender, the L/C Issuer or other recipient shall deliver to the Company and the Administrative Agent at the time or times prescribed by applicable Laws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recipient has complied with such recipient’s obligations under FATCA or to determine the amount to deduct and withhold from such payment. For purposes of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“Law” shall include FATCA, and, solely for purposes of this clause (iv), “FATCA” shall include any amendments made to FATCA after the date of this Agreement.</w:t>
      </w:r>
    </w:p>
    <w:p>
      <w:pPr>
        <w:spacing w:after="0" w:line="198"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color w:val="auto"/>
        </w:rPr>
        <w:t>Each Lender, the L/C Issuer and any other recipient of any payment to be made by or on account of any obligation under this Agreement agrees that if any form or certification it previously delivered expires or becomes obsolete or inaccurate in any respect, it shall update and deliver to the Company and Administrative Agent such form or certification or promptly notify the Company and the Administrative Agent in writing of its legal inability to do so.</w:t>
      </w:r>
    </w:p>
    <w:p>
      <w:pPr>
        <w:spacing w:after="0" w:line="179" w:lineRule="exact"/>
        <w:rPr>
          <w:sz w:val="20"/>
          <w:szCs w:val="20"/>
          <w:color w:val="auto"/>
        </w:rPr>
      </w:pPr>
    </w:p>
    <w:p>
      <w:pPr>
        <w:jc w:val="both"/>
        <w:ind w:firstLine="656"/>
        <w:spacing w:after="0" w:line="251" w:lineRule="auto"/>
        <w:tabs>
          <w:tab w:leader="none" w:pos="112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Certain Refunds</w:t>
      </w:r>
      <w:r>
        <w:rPr>
          <w:rFonts w:ascii="Times New Roman" w:cs="Times New Roman" w:eastAsia="Times New Roman" w:hAnsi="Times New Roman"/>
          <w:sz w:val="22"/>
          <w:szCs w:val="22"/>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w:t>
      </w:r>
      <w:r>
        <w:rPr>
          <w:rFonts w:ascii="Times New Roman" w:cs="Times New Roman" w:eastAsia="Times New Roman" w:hAnsi="Times New Roman"/>
          <w:sz w:val="22"/>
          <w:szCs w:val="22"/>
          <w:color w:val="191919"/>
        </w:rPr>
        <w:t>exercised in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faith</w:t>
      </w:r>
      <w:r>
        <w:rPr>
          <w:rFonts w:ascii="Times New Roman" w:cs="Times New Roman" w:eastAsia="Times New Roman" w:hAnsi="Times New Roman"/>
          <w:sz w:val="22"/>
          <w:szCs w:val="22"/>
          <w:color w:val="000000"/>
        </w:rPr>
        <w:t>, that it has received a refund of any Taxes or Other Taxes as to which it has been indemnified by any Borrower or with</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respect to which any Borrower has paid additional amounts pursuant to this Section, it shall pay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22" w:right="339" w:bottom="1440" w:gutter="0" w:footer="0" w:header="0"/>
        </w:sectPr>
      </w:pPr>
    </w:p>
    <w:bookmarkStart w:id="217" w:name="page218"/>
    <w:bookmarkEnd w:id="217"/>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Borrower an amount equal to such refund (but only to the extent of indemnity payments made, or additional amounts paid, by such Borrower under this Section with respect to the Taxes or Other Taxes giving rise to such refund), net of all out-of-pocket expenses incurred by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Administrative Agent, any Lender or the L/C Issuer be required to pay any amount to any Borrower pursuant to this subsection the payment of which would place Administrative Agent, any Lender or the L/C Issuer in a less favorable net after-Tax position than such Person would have been in if the indemnification payments or additional amounts giving rise to such refund had never been paid. This subsection (f) shall not be construed to require the Administrative Agent, any Lender or the L/C Issuer to make available its Tax returns (or any other information relating to its Taxes that it deems confidential) to any Borrower or any other Person.</w:t>
      </w:r>
    </w:p>
    <w:p>
      <w:pPr>
        <w:spacing w:after="0" w:line="177" w:lineRule="exact"/>
        <w:rPr>
          <w:sz w:val="20"/>
          <w:szCs w:val="20"/>
          <w:color w:val="auto"/>
        </w:rPr>
      </w:pPr>
    </w:p>
    <w:p>
      <w:pPr>
        <w:jc w:val="both"/>
        <w:ind w:firstLine="656"/>
        <w:spacing w:after="0" w:line="263" w:lineRule="auto"/>
        <w:tabs>
          <w:tab w:leader="none" w:pos="111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Section 3.01</w:t>
      </w:r>
      <w:r>
        <w:rPr>
          <w:rFonts w:ascii="Times New Roman" w:cs="Times New Roman" w:eastAsia="Times New Roman" w:hAnsi="Times New Roman"/>
          <w:sz w:val="22"/>
          <w:szCs w:val="22"/>
          <w:color w:val="auto"/>
        </w:rPr>
        <w:t xml:space="preserve">. The agreements in this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shall survive the resignation and/or the replacement of the Administrative Agent, and any assignment of its rights by, or the replacement of a Lender or the L/C Issuer, the termination of the Aggregate Commitments, and the repayment, satisfaction or discharge of all other Obligations.</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3.02 Illegality. </w:t>
      </w:r>
      <w:r>
        <w:rPr>
          <w:rFonts w:ascii="Times New Roman" w:cs="Times New Roman" w:eastAsia="Times New Roman" w:hAnsi="Times New Roman"/>
          <w:sz w:val="22"/>
          <w:szCs w:val="22"/>
          <w:color w:val="auto"/>
        </w:rPr>
        <w:t>If any Lender reasonably determines that any Law has made it unlawful, or that any Governmental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Authority has asserted that it is unlawful, for any Lender or its applicable Lending Office to make, maintain or fund Loans whose interest is determined by reference to a Relevant Rate, or to determine or charge interest rates based upon a Relevant Rate or to purchase or sell, or to take deposits of, Dollars or any Alternative Currency in the applicable interbank market, then, upon notice thereof by such Lender to the Company (through the Administrative Agent), (a) any obligation of such Lender to make or maintain Alternative Currency Term Rate Loans in the affected currency or currencies or, in the case of Loans denominated in Dollars, to make or continue Term SOFR Loans or to convert Base Rate Loans to Term SOFR Loans shall be, in each case,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Alternative Currency Term Rate Loans, as applicable, in the affected currency or currencies or, if applicable and such Loans are denominated in Dollars, convert all such Term SOFR Loans of such Lender to Base Rate Loans (the interest rate on which Base Rate Loans of such Lender shall, if necessary to avoid such illegality, be determined by the Administrative Agent without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22" w:right="339" w:bottom="1440" w:gutter="0" w:footer="0" w:header="0"/>
        </w:sectPr>
      </w:pPr>
    </w:p>
    <w:bookmarkStart w:id="218" w:name="page219"/>
    <w:bookmarkEnd w:id="218"/>
    <w:p>
      <w:pPr>
        <w:jc w:val="both"/>
        <w:spacing w:after="0" w:line="249" w:lineRule="auto"/>
        <w:rPr>
          <w:sz w:val="20"/>
          <w:szCs w:val="20"/>
          <w:color w:val="auto"/>
        </w:rPr>
      </w:pPr>
      <w:r>
        <w:rPr>
          <w:rFonts w:ascii="Times New Roman" w:cs="Times New Roman" w:eastAsia="Times New Roman" w:hAnsi="Times New Roman"/>
          <w:sz w:val="22"/>
          <w:szCs w:val="22"/>
          <w:color w:val="auto"/>
        </w:rPr>
        <w:t>to the Term SOFR component of the Base Rate), in each case, immediately, or, in the case of Alternative Currency Term Rate Loans and Term SOFR Loans, on the last day of the Interest Period therefor, if such Lender may lawfully continue to maintain such Alternative Currency Term Rate Loans or Term SOFR Loans, as applicable, to such day and (ii)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w:t>
      </w:r>
    </w:p>
    <w:p>
      <w:pPr>
        <w:spacing w:after="0" w:line="19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3.03</w:t>
      </w:r>
      <w:r>
        <w:rPr>
          <w:sz w:val="20"/>
          <w:szCs w:val="20"/>
          <w:color w:val="auto"/>
        </w:rPr>
        <w:tab/>
      </w:r>
      <w:r>
        <w:rPr>
          <w:rFonts w:ascii="Times New Roman" w:cs="Times New Roman" w:eastAsia="Times New Roman" w:hAnsi="Times New Roman"/>
          <w:sz w:val="21"/>
          <w:szCs w:val="21"/>
          <w:b w:val="1"/>
          <w:bCs w:val="1"/>
          <w:color w:val="auto"/>
        </w:rPr>
        <w:t>Inability to Determine Rates.</w:t>
      </w:r>
    </w:p>
    <w:p>
      <w:pPr>
        <w:spacing w:after="0" w:line="224" w:lineRule="exact"/>
        <w:rPr>
          <w:sz w:val="20"/>
          <w:szCs w:val="20"/>
          <w:color w:val="auto"/>
        </w:rPr>
      </w:pPr>
    </w:p>
    <w:p>
      <w:pPr>
        <w:jc w:val="both"/>
        <w:ind w:firstLine="656"/>
        <w:spacing w:after="0" w:line="246" w:lineRule="auto"/>
        <w:tabs>
          <w:tab w:leader="none" w:pos="110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in connection with any request for a Term SOFR Loan or an Alternative Currency Term Rate Loan or a conversion of Base Rate Loans to Term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and the circumstances under clause (i) of </w:t>
      </w:r>
      <w:r>
        <w:rPr>
          <w:rFonts w:ascii="Times New Roman" w:cs="Times New Roman" w:eastAsia="Times New Roman" w:hAnsi="Times New Roman"/>
          <w:sz w:val="22"/>
          <w:szCs w:val="22"/>
          <w:u w:val="single" w:color="auto"/>
          <w:color w:val="auto"/>
        </w:rPr>
        <w:t>Section 3.03(b)</w:t>
      </w:r>
      <w:r>
        <w:rPr>
          <w:rFonts w:ascii="Times New Roman" w:cs="Times New Roman" w:eastAsia="Times New Roman" w:hAnsi="Times New Roman"/>
          <w:sz w:val="22"/>
          <w:szCs w:val="22"/>
          <w:color w:val="auto"/>
        </w:rPr>
        <w:t xml:space="preserve"> or of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Alternative Currency Term Rate Loan or in connection with an existing or proposed Base Rate Loan, or (ii) the Administrative Agent or the Required (USD) Lenders, in the case of the Committed (USD) facility, the Required (MC) Lenders, in the case of the Committed (MC) Facility, or the Required Term Loan Lenders, in the case of the Term Loan Facility, determine that, for any reason,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 Thereafter, (x) the obligation of the Lenders under the appropriate Facility to make or maintain Loans in the affected currency or currencies, as applicable, or to convert Base Rate Loans to Term SOFR Loans, shall be suspended (to the extent of the affected Term SOFR Loans, Alternative Currency Term Rate Loans, Interest Periods or determination date(s))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(USD) Lenders, the Required (MC) Lenders or Required Term Loan Lenders, as the case may be, described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3.03(a)</w:t>
      </w:r>
      <w:r>
        <w:rPr>
          <w:rFonts w:ascii="Times New Roman" w:cs="Times New Roman" w:eastAsia="Times New Roman" w:hAnsi="Times New Roman"/>
          <w:sz w:val="22"/>
          <w:szCs w:val="22"/>
          <w:color w:val="auto"/>
        </w:rPr>
        <w:t>, until the Administrative Agent upon instruction of the Required (USD) Lenders, the Required (MC) Lenders or Required Term Loan Lenders, as the case may be) revokes such notice. Upon receipt of such notice, (i) the Company may revoke any pending request for a Borrowing of, or conversion to, or continuation of Term SOFR Loans, or a Borrowing of, or continuation of, Alternative Currency Term Rate Loans (to the extent of the affected Term SOFR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22" w:right="339" w:bottom="1440" w:gutter="0" w:footer="0" w:header="0"/>
        </w:sectPr>
      </w:pPr>
    </w:p>
    <w:bookmarkStart w:id="219" w:name="page220"/>
    <w:bookmarkEnd w:id="219"/>
    <w:p>
      <w:pPr>
        <w:jc w:val="both"/>
        <w:spacing w:after="0" w:line="262" w:lineRule="auto"/>
        <w:rPr>
          <w:sz w:val="20"/>
          <w:szCs w:val="20"/>
          <w:color w:val="auto"/>
        </w:rPr>
      </w:pPr>
      <w:r>
        <w:rPr>
          <w:rFonts w:ascii="Times New Roman" w:cs="Times New Roman" w:eastAsia="Times New Roman" w:hAnsi="Times New Roman"/>
          <w:sz w:val="21"/>
          <w:szCs w:val="21"/>
          <w:color w:val="auto"/>
        </w:rPr>
        <w:t>Alternative Currency Term Rate Loans, Interest Periods or determination date(s), as applicable) under the appropriate Facility or, failing that, will be deemed to have converted such request into a request for a Borrowing of Base Rate Loans denominated in Dollars under the appropriate Facility in the Dollar Equivalent of the amount specified therein and (ii) (A) any outstanding Term SOFR Loans shall be deemed to have been converted to Base Rate Loans immediately at the end of their respective applicable Interest Period and (B) any outstanding affected Alternative Currency Term Rate Loans, at the Company’s election, shall either</w:t>
      </w:r>
    </w:p>
    <w:p>
      <w:pPr>
        <w:spacing w:after="0" w:line="2" w:lineRule="exact"/>
        <w:rPr>
          <w:sz w:val="20"/>
          <w:szCs w:val="20"/>
          <w:color w:val="auto"/>
        </w:rPr>
      </w:pPr>
    </w:p>
    <w:p>
      <w:pPr>
        <w:jc w:val="both"/>
        <w:ind w:firstLine="8"/>
        <w:spacing w:after="0" w:line="247" w:lineRule="auto"/>
        <w:tabs>
          <w:tab w:leader="none" w:pos="32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 converted into a Borrowing of Base Rate Loans denominated in Dollars in the Dollar Equivalent of the amount of such outstanding Alternative Currency Term Rate Loan immediately at the end of their respective applicable Interest Period or (2) be prepaid in full immediately at the end of their respective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Company by the last day of the current Interest Period for the applicable Alternative Currency Term Rate Loan, the Company shall be deemed to have elected clause (1) above.</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0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6"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59"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2"/>
          <w:szCs w:val="22"/>
          <w:u w:val="single" w:color="auto"/>
          <w:color w:val="auto"/>
        </w:rPr>
        <w:t>SOFR Scheduled Unavailability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then, on a date and time determined by the Administrative Agent (any such date, the “</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above, no later than the SOFR Scheduled Unavailability Date, Term SOFR will be replaced hereunder and under any Loan Document with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 for any payment period for interest calculated that can be determined by the Administrative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22" w:right="339" w:bottom="1440" w:gutter="0" w:footer="0" w:header="0"/>
        </w:sectPr>
      </w:pPr>
    </w:p>
    <w:bookmarkStart w:id="220" w:name="page221"/>
    <w:bookmarkEnd w:id="220"/>
    <w:p>
      <w:pPr>
        <w:jc w:val="both"/>
        <w:spacing w:after="0" w:line="271" w:lineRule="auto"/>
        <w:rPr>
          <w:sz w:val="20"/>
          <w:szCs w:val="20"/>
          <w:color w:val="auto"/>
        </w:rPr>
      </w:pPr>
      <w:r>
        <w:rPr>
          <w:rFonts w:ascii="Times New Roman" w:cs="Times New Roman" w:eastAsia="Times New Roman" w:hAnsi="Times New Roman"/>
          <w:sz w:val="22"/>
          <w:szCs w:val="22"/>
          <w:color w:val="auto"/>
        </w:rPr>
        <w:t>Agent, in each case, without any amendment to, or further action or consent of any other party to, this Agreement or any other Loan Document (the “</w:t>
      </w:r>
      <w:r>
        <w:rPr>
          <w:rFonts w:ascii="Times New Roman" w:cs="Times New Roman" w:eastAsia="Times New Roman" w:hAnsi="Times New Roman"/>
          <w:sz w:val="22"/>
          <w:szCs w:val="22"/>
          <w:u w:val="single" w:color="auto"/>
          <w:color w:val="auto"/>
        </w:rPr>
        <w:t>SOFR Successor Rate</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If the SOFR Successor Rate is Daily Simple SOFR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SOFR Adjustment, all interest payments will be payable on a monthly basis.</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2"/>
          <w:szCs w:val="22"/>
          <w:u w:val="single" w:color="auto"/>
          <w:color w:val="auto"/>
        </w:rPr>
        <w:t>Section 3.03(b)(i)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have occurred with respect to the SOFR Successor Rate then in effect, then, in each case, the Administrative Agent and the Company may amend this Agreement solely for the purpose of replacing Term SOFR or any then current SOFR Successor Rate in accordance with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“SOFR Successor Rate”. Any such amendment shall become effective at 5:00 p.m. on the fifth Business Day after the Administrative Agent shall have posted such proposed amendment to all Lenders and the Borrowers unless, prior to such time, Lenders comprising the Required Lenders have delivered to the Administrative Agent written notice that such Required Lenders object to such amendment.</w:t>
      </w:r>
    </w:p>
    <w:p>
      <w:pPr>
        <w:spacing w:after="0" w:line="222" w:lineRule="exact"/>
        <w:rPr>
          <w:sz w:val="20"/>
          <w:szCs w:val="20"/>
          <w:color w:val="auto"/>
        </w:rPr>
      </w:pPr>
    </w:p>
    <w:p>
      <w:pPr>
        <w:jc w:val="both"/>
        <w:ind w:left="80" w:firstLine="576"/>
        <w:spacing w:after="0" w:line="252" w:lineRule="auto"/>
        <w:tabs>
          <w:tab w:leader="none" w:pos="110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Relevant Rate or Successor Rate</w:t>
      </w:r>
      <w:r>
        <w:rPr>
          <w:rFonts w:ascii="Times New Roman" w:cs="Times New Roman" w:eastAsia="Times New Roman" w:hAnsi="Times New Roman"/>
          <w:sz w:val="22"/>
          <w:szCs w:val="22"/>
          <w:color w:val="auto"/>
        </w:rPr>
        <w:t>. Notwithstanding anything to the contrary in this Agreement or any other Loan Documents, if the Administrative Agent determines (which determination shall be conclusive absent manifest error), or the Company or Required (MC) Lenders notify the Administrative Agent (with, in the case of the Required (MC) Lenders, a copy to the Company) that the Company or Required (MC) Lenders (as applicable) have determined, that:</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75" w:lineRule="auto"/>
        <w:tabs>
          <w:tab w:leader="none" w:pos="1728"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adequate and reasonable means do not exist for ascertaining the Relevant Rate (other than Term SOFR) for an Agreed Currency (other than Dollars) because none of the tenors of such Relevant Rate (other than Term SOFR) under this Agreement is available or published on a current basis, and such circumstances are unlikely to be temporary; or</w:t>
      </w:r>
    </w:p>
    <w:p>
      <w:pPr>
        <w:spacing w:after="0" w:line="155"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03"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22" w:right="339" w:bottom="1440" w:gutter="0" w:footer="0" w:header="0"/>
        </w:sectPr>
      </w:pPr>
    </w:p>
    <w:bookmarkStart w:id="221" w:name="page222"/>
    <w:bookmarkEnd w:id="221"/>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xml:space="preserve">of syndicated loans denominated in such Agreed Currency (other than Dollars), or shall or will otherwise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at the time of such statement, there is no successor administrator that is satisfactory to the Administrative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2"/>
          <w:szCs w:val="22"/>
          <w:u w:val="single" w:color="auto"/>
          <w:color w:val="auto"/>
        </w:rPr>
        <w:t>Scheduled Unavailability Date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or if the events or circumstances of the type described in </w:t>
      </w:r>
      <w:r>
        <w:rPr>
          <w:rFonts w:ascii="Times New Roman" w:cs="Times New Roman" w:eastAsia="Times New Roman" w:hAnsi="Times New Roman"/>
          <w:sz w:val="22"/>
          <w:szCs w:val="22"/>
          <w:u w:val="single" w:color="auto"/>
          <w:color w:val="auto"/>
        </w:rPr>
        <w:t>Section 3.03(c)(i)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have occurred with respect to the Non-SOFR Successor Rate then in effect, then, the Administrative Agent and the Company may amend this Agreement solely for the purpose of replacing such Relevant Rate for such Agreed Currency or any then current Non-SOFR Successor Rate for an Agreed Currency in accordance with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with an alternative benchmark rate giving due consideration to any evolving or then existing convention for similar credit facilities syndicated and agented in the United States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22"/>
          <w:szCs w:val="22"/>
          <w:u w:val="single" w:color="auto"/>
          <w:color w:val="auto"/>
        </w:rPr>
        <w:t>Non-SOFR Successor Rate</w:t>
      </w:r>
      <w:r>
        <w:rPr>
          <w:rFonts w:ascii="Times New Roman" w:cs="Times New Roman" w:eastAsia="Times New Roman" w:hAnsi="Times New Roman"/>
          <w:sz w:val="22"/>
          <w:szCs w:val="22"/>
          <w:color w:val="auto"/>
        </w:rPr>
        <w:t>”, and collectively with the SOFR Successor Rate, each a “</w:t>
      </w: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and any such amendment shall become effective at 5:00 p.m. on the fifth Business Day after the Administrative Agent shall have posted such proposed amendment to all Lenders and the Borrowers unless, prior to such time, Lenders comprising the Required (MC) Lenders have delivered to the Administrative Agent written notice that such Required (MC) Lenders object to such amendment.</w:t>
      </w:r>
    </w:p>
    <w:p>
      <w:pPr>
        <w:spacing w:after="0" w:line="183" w:lineRule="exact"/>
        <w:rPr>
          <w:sz w:val="20"/>
          <w:szCs w:val="20"/>
          <w:color w:val="auto"/>
        </w:rPr>
      </w:pPr>
    </w:p>
    <w:p>
      <w:pPr>
        <w:ind w:firstLine="656"/>
        <w:spacing w:after="0" w:line="271" w:lineRule="auto"/>
        <w:tabs>
          <w:tab w:leader="none" w:pos="1197"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Rate</w:t>
      </w:r>
      <w:r>
        <w:rPr>
          <w:rFonts w:ascii="Times New Roman" w:cs="Times New Roman" w:eastAsia="Times New Roman" w:hAnsi="Times New Roman"/>
          <w:sz w:val="22"/>
          <w:szCs w:val="22"/>
          <w:color w:val="auto"/>
        </w:rPr>
        <w:t>. The Administrative Agent will promptly (in one or more notices) notify the Company and each Lender of the implementation of any Successor Rate.</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Any Successor Rate shall be applied in a manner consistent with market practice;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22" w:right="339" w:bottom="1440" w:gutter="0" w:footer="0" w:header="0"/>
        </w:sectPr>
      </w:pPr>
    </w:p>
    <w:bookmarkStart w:id="222" w:name="page223"/>
    <w:bookmarkEnd w:id="222"/>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other party to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86" w:lineRule="exact"/>
        <w:rPr>
          <w:sz w:val="20"/>
          <w:szCs w:val="20"/>
          <w:color w:val="auto"/>
        </w:rPr>
      </w:pPr>
    </w:p>
    <w:p>
      <w:pPr>
        <w:jc w:val="both"/>
        <w:ind w:firstLine="656"/>
        <w:spacing w:after="0" w:line="257" w:lineRule="auto"/>
        <w:tabs>
          <w:tab w:leader="none" w:pos="115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those Lenders that either have not made, or do not have an obligation under this Agreement to make, the relevant Loans in the relevant Alternative Currency shall be excluded from any determination of Required Lenders.</w:t>
      </w:r>
    </w:p>
    <w:p>
      <w:pPr>
        <w:spacing w:after="0" w:line="16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3.04</w:t>
      </w:r>
      <w:r>
        <w:rPr>
          <w:sz w:val="20"/>
          <w:szCs w:val="20"/>
          <w:color w:val="auto"/>
        </w:rPr>
        <w:tab/>
      </w:r>
      <w:r>
        <w:rPr>
          <w:rFonts w:ascii="Times New Roman" w:cs="Times New Roman" w:eastAsia="Times New Roman" w:hAnsi="Times New Roman"/>
          <w:sz w:val="21"/>
          <w:szCs w:val="21"/>
          <w:b w:val="1"/>
          <w:bCs w:val="1"/>
          <w:color w:val="auto"/>
        </w:rPr>
        <w:t>Increased Costs.</w:t>
      </w:r>
    </w:p>
    <w:p>
      <w:pPr>
        <w:spacing w:after="0" w:line="224" w:lineRule="exact"/>
        <w:rPr>
          <w:sz w:val="20"/>
          <w:szCs w:val="20"/>
          <w:color w:val="auto"/>
        </w:rPr>
      </w:pPr>
    </w:p>
    <w:p>
      <w:pPr>
        <w:ind w:left="1120" w:hanging="464"/>
        <w:spacing w:after="0"/>
        <w:tabs>
          <w:tab w:leader="none" w:pos="112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23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34"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4" w:lineRule="auto"/>
        <w:tabs>
          <w:tab w:leader="none" w:pos="1811"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Lender or the L/C Issuer to any Tax of any kind whatsoever with respect to this Agreement, any Letter of Credit, any Bankers’ Acceptance, any participation in a Letter of Credit or Bankers’ Acceptance or any Term SOFR Loan or Alternative Currency Term Rate Loan made by it, or change the basis of taxation of payments to such Lender or the L/C Issuer in respect thereof (except for (A) Indemnified Taxes, (B) Taxes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through</w:t>
      </w:r>
    </w:p>
    <w:p>
      <w:pPr>
        <w:ind w:left="940" w:hanging="284"/>
        <w:spacing w:after="0"/>
        <w:tabs>
          <w:tab w:leader="none" w:pos="940" w:val="left"/>
        </w:tabs>
        <w:numPr>
          <w:ilvl w:val="0"/>
          <w:numId w:val="16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definition of Excluded Taxes and (C) Connection Income Taxes); or</w:t>
      </w:r>
    </w:p>
    <w:p>
      <w:pPr>
        <w:spacing w:after="0" w:line="195" w:lineRule="exact"/>
        <w:rPr>
          <w:rFonts w:ascii="Times New Roman" w:cs="Times New Roman" w:eastAsia="Times New Roman" w:hAnsi="Times New Roman"/>
          <w:sz w:val="22"/>
          <w:szCs w:val="22"/>
          <w:u w:val="single" w:color="auto"/>
          <w:color w:val="auto"/>
        </w:rPr>
      </w:pPr>
    </w:p>
    <w:p>
      <w:pPr>
        <w:jc w:val="both"/>
        <w:ind w:left="660" w:firstLine="644"/>
        <w:spacing w:after="0" w:line="257" w:lineRule="auto"/>
        <w:tabs>
          <w:tab w:leader="none" w:pos="1935"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on any Lender or the L/C Issuer or any applicable interbank market any other condition, cost or expense (other than any Tax) affecting this Agreement or Term SOFR Loans or Alternative Currency Term Rate Loans made by such Lender or any Letter of Credit or Bankers’ Acceptance or participation therein;</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of making, converting to, continuing or maintaining any Loan (or of maintaining its obligation to make any Loan), or to increase the cost to such Lender or the L/C Issuer of participating in, issuing or maintaining any Letter of Credit or Bankers’ Acceptance (or of maintaining its obligation to participate in or to issue any Letter of Credit or Bankers’ Acceptance),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182" w:lineRule="exact"/>
        <w:rPr>
          <w:sz w:val="20"/>
          <w:szCs w:val="20"/>
          <w:color w:val="auto"/>
        </w:rPr>
      </w:pPr>
    </w:p>
    <w:p>
      <w:pPr>
        <w:jc w:val="both"/>
        <w:ind w:firstLine="656"/>
        <w:spacing w:after="0" w:line="256" w:lineRule="auto"/>
        <w:tabs>
          <w:tab w:leader="none" w:pos="111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the L/C Issuer reasonably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22" w:right="339" w:bottom="1440" w:gutter="0" w:footer="0" w:header="0"/>
        </w:sectPr>
      </w:pPr>
    </w:p>
    <w:bookmarkStart w:id="223" w:name="page224"/>
    <w:bookmarkEnd w:id="223"/>
    <w:p>
      <w:pPr>
        <w:jc w:val="both"/>
        <w:spacing w:after="0" w:line="249" w:lineRule="auto"/>
        <w:rPr>
          <w:sz w:val="20"/>
          <w:szCs w:val="20"/>
          <w:color w:val="auto"/>
        </w:rPr>
      </w:pPr>
      <w:r>
        <w:rPr>
          <w:rFonts w:ascii="Times New Roman" w:cs="Times New Roman" w:eastAsia="Times New Roman" w:hAnsi="Times New Roman"/>
          <w:sz w:val="22"/>
          <w:szCs w:val="22"/>
          <w:color w:val="auto"/>
        </w:rPr>
        <w:t>company, if any, as a consequence of this Agreement, the Commitments of such Lender or the Loans made by, or participations in Letters of Credit, Bankers’ Acceptances or Swing Line Loans held by, such Lender, or the Letters of Credit or Bankers’ Acceptances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195" w:lineRule="exact"/>
        <w:rPr>
          <w:sz w:val="20"/>
          <w:szCs w:val="20"/>
          <w:color w:val="auto"/>
        </w:rPr>
      </w:pPr>
    </w:p>
    <w:p>
      <w:pPr>
        <w:jc w:val="both"/>
        <w:ind w:firstLine="656"/>
        <w:spacing w:after="0" w:line="250" w:lineRule="auto"/>
        <w:tabs>
          <w:tab w:leader="none" w:pos="119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or the L/C Issuer setting forth the amount or amounts necessary to compensate such Lender or the L/C Issuer or its holding company, as the case may be, as specified in subsection (a) or (b) of this Section and delivered to the Company shall be conclusive absent manifest error. The Company shall pay (or cause the applicable Borrower to pay) such Lender or the L/C Issuer, as the case may be, the amount shown as due on any such certificate within 10 Business Days after receipt thereof.</w:t>
      </w:r>
    </w:p>
    <w:p>
      <w:pPr>
        <w:spacing w:after="0" w:line="180" w:lineRule="exact"/>
        <w:rPr>
          <w:rFonts w:ascii="Times New Roman" w:cs="Times New Roman" w:eastAsia="Times New Roman" w:hAnsi="Times New Roman"/>
          <w:sz w:val="22"/>
          <w:szCs w:val="22"/>
          <w:color w:val="auto"/>
        </w:rPr>
      </w:pPr>
    </w:p>
    <w:p>
      <w:pPr>
        <w:jc w:val="both"/>
        <w:ind w:firstLine="656"/>
        <w:spacing w:after="0" w:line="250" w:lineRule="auto"/>
        <w:tabs>
          <w:tab w:leader="none" w:pos="111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Requests</w:t>
      </w:r>
      <w:r>
        <w:rPr>
          <w:rFonts w:ascii="Times New Roman" w:cs="Times New Roman" w:eastAsia="Times New Roman" w:hAnsi="Times New Roman"/>
          <w:sz w:val="22"/>
          <w:szCs w:val="22"/>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Borrower shall be required to compensate a Lender or the L/C Issuer pursuant to the foregoing provisions of this Section for any increased costs incurred or reductions suffered more than six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6" w:lineRule="exact"/>
        <w:rPr>
          <w:rFonts w:ascii="Times New Roman" w:cs="Times New Roman" w:eastAsia="Times New Roman" w:hAnsi="Times New Roman"/>
          <w:sz w:val="22"/>
          <w:szCs w:val="22"/>
          <w:color w:val="auto"/>
        </w:rPr>
      </w:pPr>
    </w:p>
    <w:p>
      <w:pPr>
        <w:jc w:val="both"/>
        <w:ind w:firstLine="656"/>
        <w:spacing w:after="0" w:line="253" w:lineRule="auto"/>
        <w:tabs>
          <w:tab w:leader="none" w:pos="1198"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Limitations</w:t>
      </w:r>
      <w:r>
        <w:rPr>
          <w:rFonts w:ascii="Times New Roman" w:cs="Times New Roman" w:eastAsia="Times New Roman" w:hAnsi="Times New Roman"/>
          <w:sz w:val="22"/>
          <w:szCs w:val="22"/>
          <w:color w:val="auto"/>
        </w:rPr>
        <w:t xml:space="preserve">. Notwithstanding any other provision of this Section, no Lender or L/C Issuer shall demand compensation for any increased cost or reduction pursuant to this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if it shall not at the time be the general policy or practice of such Lender or L/C Issuer to demand such compensation from similarly situated customers under comparable provisions of similar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shall require any Lender or any L/C Issuer to disclose any confidential information related to similarly situated customers, comparable provisions of similar agreements or otherwise.</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3.05 Compensation for Losses. </w:t>
      </w:r>
      <w:r>
        <w:rPr>
          <w:rFonts w:ascii="Times New Roman" w:cs="Times New Roman" w:eastAsia="Times New Roman" w:hAnsi="Times New Roman"/>
          <w:sz w:val="22"/>
          <w:szCs w:val="22"/>
          <w:color w:val="auto"/>
        </w:rPr>
        <w:t>Upon demand of any Lender (with a copy to the Administrative Agent) from time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the Company shall promptly compensate (or cause the applicable Borrower to compensate) such Lender for and hold such Lender harmless from any loss, cost or expense incurred by it as a result of:</w:t>
      </w:r>
    </w:p>
    <w:p>
      <w:pPr>
        <w:spacing w:after="0" w:line="170" w:lineRule="exact"/>
        <w:rPr>
          <w:sz w:val="20"/>
          <w:szCs w:val="20"/>
          <w:color w:val="auto"/>
        </w:rPr>
      </w:pPr>
    </w:p>
    <w:p>
      <w:pPr>
        <w:jc w:val="both"/>
        <w:ind w:firstLine="656"/>
        <w:spacing w:after="0" w:line="263" w:lineRule="auto"/>
        <w:tabs>
          <w:tab w:leader="none" w:pos="1132"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22" w:right="339" w:bottom="1440" w:gutter="0" w:footer="0" w:header="0"/>
        </w:sectPr>
      </w:pPr>
    </w:p>
    <w:bookmarkStart w:id="224" w:name="page225"/>
    <w:bookmarkEnd w:id="224"/>
    <w:p>
      <w:pPr>
        <w:jc w:val="both"/>
        <w:ind w:firstLine="656"/>
        <w:spacing w:after="0" w:line="257" w:lineRule="auto"/>
        <w:tabs>
          <w:tab w:leader="none" w:pos="1153"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(for a reason other than the failure of such Lender to make a Loan) to prepay, borrow, continue or convert any Loan other than a Base Rate Loan on the date or in the amount notified by the Company or the applicable Borrower;</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21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by any Borrower to make payment of any Loan or drawing under any Letter of Credit or Bankers’ Acceptance (or interest due thereon) denominated in an Alternative Currency on its scheduled due date or any payment thereof in a different currency; or</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15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For purposes of calculating amounts payable by the Company (or the applicable Borrower) to the Lenders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each Lender shall be deemed to have funded each Alternative Currency Term Rate Loan made by it at the Alternative Currency Term Rate for such Loan by a matching deposit or other borrowing in the interbank market for such currency for a comparable amount and for a comparable period, whether or not such Alternative Currency Term Rate Loan was in fact so funded.</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3.06</w:t>
      </w:r>
      <w:r>
        <w:rPr>
          <w:sz w:val="20"/>
          <w:szCs w:val="20"/>
          <w:color w:val="auto"/>
        </w:rPr>
        <w:tab/>
      </w:r>
      <w:r>
        <w:rPr>
          <w:rFonts w:ascii="Times New Roman" w:cs="Times New Roman" w:eastAsia="Times New Roman" w:hAnsi="Times New Roman"/>
          <w:sz w:val="21"/>
          <w:szCs w:val="21"/>
          <w:b w:val="1"/>
          <w:bCs w:val="1"/>
          <w:color w:val="auto"/>
        </w:rPr>
        <w:t>Mitigation Obligations; Replacement of Lenders.</w:t>
      </w:r>
    </w:p>
    <w:p>
      <w:pPr>
        <w:spacing w:after="0" w:line="224" w:lineRule="exact"/>
        <w:rPr>
          <w:sz w:val="20"/>
          <w:szCs w:val="20"/>
          <w:color w:val="auto"/>
        </w:rPr>
      </w:pPr>
    </w:p>
    <w:p>
      <w:pPr>
        <w:jc w:val="both"/>
        <w:ind w:firstLine="656"/>
        <w:spacing w:after="0" w:line="248" w:lineRule="auto"/>
        <w:tabs>
          <w:tab w:leader="none" w:pos="11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 Different Lending Office</w:t>
      </w:r>
      <w:r>
        <w:rPr>
          <w:rFonts w:ascii="Times New Roman" w:cs="Times New Roman" w:eastAsia="Times New Roman" w:hAnsi="Times New Roman"/>
          <w:sz w:val="22"/>
          <w:szCs w:val="22"/>
          <w:color w:val="auto"/>
        </w:rPr>
        <w:t xml:space="preserve">. Each Lender may make any Credit Extension to any Borrower through any Lending Office, provided that the exercise of this option shall not affect the obligation of the Borrowers to repay the Credit Extension in accordance with the terms of this Agreement.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any Borrower is required to pay any additional amount to any Lender, the L/C Issuer or any Governmental Authority for the account of any Lender or the L/C Issuer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if any Lender gives a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as the case may be, in the future, or eliminate the need for the notice pursuant to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22" w:right="339" w:bottom="1440" w:gutter="0" w:footer="0" w:header="0"/>
        </w:sectPr>
      </w:pPr>
    </w:p>
    <w:bookmarkStart w:id="225" w:name="page226"/>
    <w:bookmarkEnd w:id="225"/>
    <w:p>
      <w:pPr>
        <w:jc w:val="both"/>
        <w:ind w:firstLine="656"/>
        <w:spacing w:after="0" w:line="256" w:lineRule="auto"/>
        <w:tabs>
          <w:tab w:leader="none" w:pos="11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Lenders</w:t>
      </w:r>
      <w:r>
        <w:rPr>
          <w:rFonts w:ascii="Times New Roman" w:cs="Times New Roman" w:eastAsia="Times New Roman" w:hAnsi="Times New Roman"/>
          <w:sz w:val="22"/>
          <w:szCs w:val="22"/>
          <w:color w:val="auto"/>
        </w:rPr>
        <w:t xml:space="preserve">. If any Lender requests compensation under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or if any Borrower is required to pay any additional amount to any Lender or any Governmental Authority for the account of any Lender pursuant to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and, in each case, such Lender has declined or is unable to designate a different lending office in accordance with </w:t>
      </w:r>
      <w:r>
        <w:rPr>
          <w:rFonts w:ascii="Times New Roman" w:cs="Times New Roman" w:eastAsia="Times New Roman" w:hAnsi="Times New Roman"/>
          <w:sz w:val="22"/>
          <w:szCs w:val="22"/>
          <w:u w:val="single" w:color="auto"/>
          <w:color w:val="auto"/>
        </w:rPr>
        <w:t>Section 3.06(a)</w:t>
      </w:r>
      <w:r>
        <w:rPr>
          <w:rFonts w:ascii="Times New Roman" w:cs="Times New Roman" w:eastAsia="Times New Roman" w:hAnsi="Times New Roman"/>
          <w:sz w:val="22"/>
          <w:szCs w:val="22"/>
          <w:color w:val="auto"/>
        </w:rPr>
        <w:t xml:space="preserve">, the Company may replace such Lender in accordance with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3.07 Survival. </w:t>
      </w:r>
      <w:r>
        <w:rPr>
          <w:rFonts w:ascii="Times New Roman" w:cs="Times New Roman" w:eastAsia="Times New Roman" w:hAnsi="Times New Roman"/>
          <w:sz w:val="22"/>
          <w:szCs w:val="22"/>
          <w:color w:val="auto"/>
        </w:rPr>
        <w:t>All of the Borrowers’ obligations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survive termination of the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Commitments, repayment of all other Obligations hereunder and resignation of the Administrative Agent.</w:t>
      </w:r>
    </w:p>
    <w:p>
      <w:pPr>
        <w:spacing w:after="0" w:line="14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 TO CREDIT EXTENSIONS</w:t>
      </w:r>
    </w:p>
    <w:p>
      <w:pPr>
        <w:spacing w:after="0" w:line="20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4.01</w:t>
      </w:r>
      <w:r>
        <w:rPr>
          <w:sz w:val="20"/>
          <w:szCs w:val="20"/>
          <w:color w:val="auto"/>
        </w:rPr>
        <w:tab/>
      </w:r>
      <w:r>
        <w:rPr>
          <w:rFonts w:ascii="Times New Roman" w:cs="Times New Roman" w:eastAsia="Times New Roman" w:hAnsi="Times New Roman"/>
          <w:sz w:val="21"/>
          <w:szCs w:val="21"/>
          <w:b w:val="1"/>
          <w:bCs w:val="1"/>
          <w:color w:val="auto"/>
        </w:rPr>
        <w:t>Conditions of Initial Credit Extension. [Reserved].</w:t>
      </w:r>
    </w:p>
    <w:p>
      <w:pPr>
        <w:spacing w:after="0" w:line="22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4.02 Conditions to all Credit Extensions. </w:t>
      </w:r>
      <w:r>
        <w:rPr>
          <w:rFonts w:ascii="Times New Roman" w:cs="Times New Roman" w:eastAsia="Times New Roman" w:hAnsi="Times New Roman"/>
          <w:sz w:val="21"/>
          <w:szCs w:val="21"/>
          <w:color w:val="auto"/>
        </w:rPr>
        <w:t>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the obligation of each Lender and each L/C Issuer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honor any Request for Credit Extension (other than a Loan Notice requesting only a conversion of Loans to the other Type, or a continuation of Term SOFR Loans or Alternative Currency Term Rate Loans) is subject to the following conditions precedent:</w:t>
      </w:r>
    </w:p>
    <w:p>
      <w:pPr>
        <w:spacing w:after="0" w:line="153" w:lineRule="exact"/>
        <w:rPr>
          <w:sz w:val="20"/>
          <w:szCs w:val="20"/>
          <w:color w:val="auto"/>
        </w:rPr>
      </w:pPr>
    </w:p>
    <w:p>
      <w:pPr>
        <w:jc w:val="both"/>
        <w:ind w:firstLine="656"/>
        <w:spacing w:after="0" w:line="260" w:lineRule="auto"/>
        <w:tabs>
          <w:tab w:leader="none" w:pos="1121"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each Borrower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in each other Loan Document or in any document furnished at any time under or in connection herewith or therewith, shall be true and correct in all material respects on and as of the date of such Credit Extension, except that (A) if a qualifier relating to materiality, Material Adverse Effect or a similar concept applies, such representation or warranty shall be required to be true and correct in all respects, (B) to the extent that such representations and warranties specifically refer to an earlier date, in which case they shall be true and correct in all material respects as of such earlier date (except that if a qualifier relating to materiality, Material Adverse Effect or a similar concept applies, such representation or warranty shall be required to be true and correct in all respects as of such earlier date), and</w:t>
      </w:r>
    </w:p>
    <w:p>
      <w:pPr>
        <w:spacing w:after="0" w:line="3" w:lineRule="exact"/>
        <w:rPr>
          <w:rFonts w:ascii="Times New Roman" w:cs="Times New Roman" w:eastAsia="Times New Roman" w:hAnsi="Times New Roman"/>
          <w:sz w:val="21"/>
          <w:szCs w:val="21"/>
          <w:color w:val="auto"/>
        </w:rPr>
      </w:pPr>
    </w:p>
    <w:p>
      <w:pPr>
        <w:ind w:firstLine="8"/>
        <w:spacing w:after="0" w:line="283" w:lineRule="auto"/>
        <w:tabs>
          <w:tab w:leader="none" w:pos="35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representations and warranties contained in subsections (a), (b) and (c)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clauses (a) and (b),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shall exist, or would result from such proposed Credit Extension or the application of the proceeds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195" w:lineRule="exact"/>
        <w:rPr>
          <w:rFonts w:ascii="Times New Roman" w:cs="Times New Roman" w:eastAsia="Times New Roman" w:hAnsi="Times New Roman"/>
          <w:sz w:val="22"/>
          <w:szCs w:val="22"/>
          <w:color w:val="auto"/>
        </w:rPr>
      </w:pPr>
    </w:p>
    <w:p>
      <w:pPr>
        <w:ind w:firstLine="656"/>
        <w:spacing w:after="0" w:line="284" w:lineRule="auto"/>
        <w:tabs>
          <w:tab w:leader="none" w:pos="111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if applicable, the L/C Issuer or the Swing Line Lender shall have received a Request for Credit Extension in accordance with the requirements hereof.</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(MC) Lenders (in the case of any Loans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22" w:right="339" w:bottom="1440" w:gutter="0" w:footer="0" w:header="0"/>
        </w:sectPr>
      </w:pPr>
    </w:p>
    <w:bookmarkStart w:id="226" w:name="page227"/>
    <w:bookmarkEnd w:id="22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denominated in an Alternative Currency) or the L/C Issuer (in the case of any Letter of Credit or Bankers’ Acceptance to be denominated in an Alternative Currency) would make it impracticable for such Credit Extension to be denominated in such Alternative Currency. Notwithstanding the foregoing, neither any Lender nor the L/C Issuer shall be absolved from any obligation to honor any Request for Credit Extension as a result of this </w:t>
      </w:r>
      <w:r>
        <w:rPr>
          <w:rFonts w:ascii="Times New Roman" w:cs="Times New Roman" w:eastAsia="Times New Roman" w:hAnsi="Times New Roman"/>
          <w:sz w:val="22"/>
          <w:szCs w:val="22"/>
          <w:u w:val="single" w:color="auto"/>
          <w:color w:val="auto"/>
        </w:rPr>
        <w:t>Section 4.02(d)</w:t>
      </w:r>
      <w:r>
        <w:rPr>
          <w:rFonts w:ascii="Times New Roman" w:cs="Times New Roman" w:eastAsia="Times New Roman" w:hAnsi="Times New Roman"/>
          <w:sz w:val="22"/>
          <w:szCs w:val="22"/>
          <w:color w:val="auto"/>
        </w:rPr>
        <w:t xml:space="preserve"> unless any of the Administrative Agent, the Required (MC) Lenders or the L/C Issuer, as applicable, is generally electing not to make extensions of credit of the type referred to herein to similarly situated customers under similar agreements as a result of one or more of the events described 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Section shall require the Administrative Agent, any Lender or the L/C Issuer to disclose any confidential information related to similarly situated customers, comparable provisions of similar agreements or otherwise.</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Each Request for Credit Extension (other than a Loan Notice requesting only a conversion of Loans to the other Type or a continuation of Term SOFR Loans or Alternative Currency Term Rate Loans) submitted by the Company shall be deemed to be a representation and warranty that the conditions specified in </w:t>
      </w:r>
      <w:r>
        <w:rPr>
          <w:rFonts w:ascii="Times New Roman" w:cs="Times New Roman" w:eastAsia="Times New Roman" w:hAnsi="Times New Roman"/>
          <w:sz w:val="22"/>
          <w:szCs w:val="22"/>
          <w:u w:val="single" w:color="auto"/>
          <w:color w:val="auto"/>
        </w:rPr>
        <w:t>Sections 4.02(a)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 on and as of the date of the applicable Credit Extension.</w:t>
      </w:r>
    </w:p>
    <w:p>
      <w:pPr>
        <w:spacing w:after="0" w:line="28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REPRESENTATIONS AND WARRANTIES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Each Borrower represents and warrants to the Administrative Agent and the Lenders that:</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5.01 Existence, Qualification and Power. </w:t>
      </w:r>
      <w:r>
        <w:rPr>
          <w:rFonts w:ascii="Times New Roman" w:cs="Times New Roman" w:eastAsia="Times New Roman" w:hAnsi="Times New Roman"/>
          <w:sz w:val="22"/>
          <w:szCs w:val="22"/>
          <w:color w:val="auto"/>
        </w:rPr>
        <w:t>Each Borrower and each Restricted Subsidiary (a) is duly organized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could not reasonably be expected to have a Material Adverse Effect.</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5.02 Authorization; No Contravention. </w:t>
      </w:r>
      <w:r>
        <w:rPr>
          <w:rFonts w:ascii="Times New Roman" w:cs="Times New Roman" w:eastAsia="Times New Roman" w:hAnsi="Times New Roman"/>
          <w:sz w:val="21"/>
          <w:szCs w:val="21"/>
          <w:color w:val="auto"/>
        </w:rPr>
        <w:t>The execution, delivery and performance by each Borrower of each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to which such Borrower is party, have been duly authorized by all necessary corporate or other organizational action. The execution, delivery and performance by each Borrower of each Loan Document to which such Borrower is party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violate any Law; except in each case 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22"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2"/>
          <w:szCs w:val="22"/>
          <w:color w:val="auto"/>
        </w:rPr>
        <w:t>to in clause (b) or (c), to the extent that could not reasonably be expected to have a Material Adverse Effect.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5.03 Governmental Authorization; Other Consents. </w:t>
      </w:r>
      <w:r>
        <w:rPr>
          <w:rFonts w:ascii="Times New Roman" w:cs="Times New Roman" w:eastAsia="Times New Roman" w:hAnsi="Times New Roman"/>
          <w:sz w:val="22"/>
          <w:szCs w:val="22"/>
          <w:color w:val="auto"/>
        </w:rPr>
        <w:t>No approval, consent, exemption, authorization, or other 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or notice to, or filing with, any Governmental Authority or any other Person is necessary or required in connection with the execution, delivery or performance by, or enforcement against, any Borrower of this Agreement or any other Loan Document, except for the authorizations, approvals, actions, notices and filings which have been duly obtained, taken, given or made and are in full force and effect.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5.04 Binding Effect. </w:t>
      </w:r>
      <w:r>
        <w:rPr>
          <w:rFonts w:ascii="Times New Roman" w:cs="Times New Roman" w:eastAsia="Times New Roman" w:hAnsi="Times New Roman"/>
          <w:sz w:val="22"/>
          <w:szCs w:val="22"/>
          <w:color w:val="auto"/>
        </w:rPr>
        <w:t>This Agreement has been, and each other Loan Document, when delivered hereunder, will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been, duly executed and delivered by each Borrower that is party thereto. This Agreement constitutes, and each other Loan Document when so delivered will constitute, a legal, valid and binding obligation of such Borrower, enforceable against each Borrower that is party thereto in accordance with its terms, except as enforcement may be limited by equitable principles relating to or limiting creditors’ rights generally or by bankruptcy, insolvency, reorganization, moratorium or similar laws.</w:t>
      </w:r>
    </w:p>
    <w:p>
      <w:pPr>
        <w:spacing w:after="0" w:line="17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5.05</w:t>
      </w:r>
      <w:r>
        <w:rPr>
          <w:sz w:val="20"/>
          <w:szCs w:val="20"/>
          <w:color w:val="auto"/>
        </w:rPr>
        <w:tab/>
      </w:r>
      <w:r>
        <w:rPr>
          <w:rFonts w:ascii="Times New Roman" w:cs="Times New Roman" w:eastAsia="Times New Roman" w:hAnsi="Times New Roman"/>
          <w:sz w:val="21"/>
          <w:szCs w:val="21"/>
          <w:b w:val="1"/>
          <w:bCs w:val="1"/>
          <w:color w:val="auto"/>
        </w:rPr>
        <w:t>Financial Statements; No Material Adverse Effect.</w:t>
      </w:r>
    </w:p>
    <w:p>
      <w:pPr>
        <w:spacing w:after="0" w:line="224" w:lineRule="exact"/>
        <w:rPr>
          <w:sz w:val="20"/>
          <w:szCs w:val="20"/>
          <w:color w:val="auto"/>
        </w:rPr>
      </w:pPr>
    </w:p>
    <w:p>
      <w:pPr>
        <w:jc w:val="both"/>
        <w:ind w:firstLine="656"/>
        <w:spacing w:after="0" w:line="250" w:lineRule="auto"/>
        <w:tabs>
          <w:tab w:leader="none" w:pos="114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material Taxes, commitments and Indebtedness.</w:t>
      </w:r>
    </w:p>
    <w:p>
      <w:pPr>
        <w:spacing w:after="0" w:line="193" w:lineRule="exact"/>
        <w:rPr>
          <w:rFonts w:ascii="Times New Roman" w:cs="Times New Roman" w:eastAsia="Times New Roman" w:hAnsi="Times New Roman"/>
          <w:sz w:val="22"/>
          <w:szCs w:val="22"/>
          <w:color w:val="auto"/>
        </w:rPr>
      </w:pPr>
    </w:p>
    <w:p>
      <w:pPr>
        <w:jc w:val="both"/>
        <w:ind w:firstLine="656"/>
        <w:spacing w:after="0" w:line="248" w:lineRule="auto"/>
        <w:tabs>
          <w:tab w:leader="none" w:pos="1145"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unaudited consolidated balance sheet of the Company and its Subsidiaries dated June 30, 2021, and the related consolidated statement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clauses (i) and (ii), to the absence of footnotes and to normal year-end audit adjustments.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5.05</w:t>
      </w:r>
      <w:r>
        <w:rPr>
          <w:rFonts w:ascii="Times New Roman" w:cs="Times New Roman" w:eastAsia="Times New Roman" w:hAnsi="Times New Roman"/>
          <w:sz w:val="22"/>
          <w:szCs w:val="22"/>
          <w:color w:val="auto"/>
        </w:rPr>
        <w:t xml:space="preserve"> sets forth all material indebtedness and other liabilities, direct or contingent, of the Company and its consolidated Subsidiaries as of the date of such financial statements delivered to the Administrative Agent prior to the Closing Date, including liabilities for material Taxes, commitments and Indebtedness.</w:t>
      </w:r>
    </w:p>
    <w:p>
      <w:pPr>
        <w:spacing w:after="0" w:line="185"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0"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Reconciliations delivered with respect to the financial statements described in clauses (a) and (b) above (i) were prepared in accordance with GAAP consistently applied throughout the period covered thereby, except as otherwise expressly noted therein and (ii) fairly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22" w:right="339" w:bottom="1440" w:gutter="0" w:footer="0" w:header="0"/>
        </w:sectPr>
      </w:pPr>
    </w:p>
    <w:bookmarkStart w:id="228" w:name="page229"/>
    <w:bookmarkEnd w:id="228"/>
    <w:p>
      <w:pPr>
        <w:jc w:val="both"/>
        <w:spacing w:after="0" w:line="257" w:lineRule="auto"/>
        <w:rPr>
          <w:sz w:val="20"/>
          <w:szCs w:val="20"/>
          <w:color w:val="auto"/>
        </w:rPr>
      </w:pPr>
      <w:r>
        <w:rPr>
          <w:rFonts w:ascii="Times New Roman" w:cs="Times New Roman" w:eastAsia="Times New Roman" w:hAnsi="Times New Roman"/>
          <w:sz w:val="22"/>
          <w:szCs w:val="22"/>
          <w:color w:val="auto"/>
        </w:rPr>
        <w:t>present in all material respects the financial condition of the Company and its Restricted Subsidiaries as of the date thereof and their results of operations for the period covered thereby, subject, in the case of the financial statements described in clause (b), to the absence of footnotes and to normal year-end audit adjustments.</w:t>
      </w:r>
    </w:p>
    <w:p>
      <w:pPr>
        <w:spacing w:after="0" w:line="186" w:lineRule="exact"/>
        <w:rPr>
          <w:sz w:val="20"/>
          <w:szCs w:val="20"/>
          <w:color w:val="auto"/>
        </w:rPr>
      </w:pPr>
    </w:p>
    <w:p>
      <w:pPr>
        <w:ind w:firstLine="656"/>
        <w:spacing w:after="0" w:line="271" w:lineRule="auto"/>
        <w:tabs>
          <w:tab w:leader="none" w:pos="1148"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2020, there has been no event or circumstance, either individually or in the aggregate, that has had or could reasonably be expected to have a Material Adverse Effect.</w:t>
      </w:r>
    </w:p>
    <w:p>
      <w:pPr>
        <w:spacing w:after="0" w:line="157" w:lineRule="exact"/>
        <w:rPr>
          <w:rFonts w:ascii="Times New Roman" w:cs="Times New Roman" w:eastAsia="Times New Roman" w:hAnsi="Times New Roman"/>
          <w:sz w:val="22"/>
          <w:szCs w:val="22"/>
          <w:color w:val="auto"/>
        </w:rPr>
      </w:pPr>
    </w:p>
    <w:p>
      <w:pPr>
        <w:jc w:val="both"/>
        <w:ind w:firstLine="656"/>
        <w:spacing w:after="0" w:line="248" w:lineRule="auto"/>
        <w:tabs>
          <w:tab w:leader="none" w:pos="1265"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consolidated forecasted balance sheet and statements of income and cash flows of the Company and its Restricted Subsidiaries delivered pursuant to </w:t>
      </w:r>
      <w:r>
        <w:rPr>
          <w:rFonts w:ascii="Times New Roman" w:cs="Times New Roman" w:eastAsia="Times New Roman" w:hAnsi="Times New Roman"/>
          <w:sz w:val="22"/>
          <w:szCs w:val="22"/>
          <w:u w:val="single" w:color="auto"/>
          <w:color w:val="auto"/>
        </w:rPr>
        <w:t>Section 6.01(c)</w:t>
      </w:r>
      <w:r>
        <w:rPr>
          <w:rFonts w:ascii="Times New Roman" w:cs="Times New Roman" w:eastAsia="Times New Roman" w:hAnsi="Times New Roman"/>
          <w:sz w:val="22"/>
          <w:szCs w:val="22"/>
          <w:color w:val="auto"/>
        </w:rPr>
        <w:t xml:space="preserve"> were prepared in good faith on the basis of the assumptions stated therein, which assumptions were fair in light of the conditions existing at the time of delivery of such forecasts, and represented, at the time of delivery, the Company’s best estimate of its future financial condition and performance (it being understood that projected financial information is as to future events and are not to be viewed as facts, projected financial information is subject to significant uncertainties and contingencies, many of which are beyond the control of the Company and its Restricted Subsidiaries,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5.06 Litigation. </w:t>
      </w:r>
      <w:r>
        <w:rPr>
          <w:rFonts w:ascii="Times New Roman" w:cs="Times New Roman" w:eastAsia="Times New Roman" w:hAnsi="Times New Roman"/>
          <w:sz w:val="22"/>
          <w:szCs w:val="22"/>
          <w:color w:val="auto"/>
        </w:rPr>
        <w:t>There are no actions, suits, proceedings, claims or disputes pending or, to the knowledge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threatened or contemplated, at law, in equity, in arbitration or before any Governmental Authority, by or against the Company or any of its Restricted Subsidiaries or against any of their respective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5.07 No Default. </w:t>
      </w:r>
      <w:r>
        <w:rPr>
          <w:rFonts w:ascii="Times New Roman" w:cs="Times New Roman" w:eastAsia="Times New Roman" w:hAnsi="Times New Roman"/>
          <w:sz w:val="22"/>
          <w:szCs w:val="22"/>
          <w:color w:val="auto"/>
        </w:rPr>
        <w:t>Neither the Company nor any of its Restricted Subsidiaries is in default under or with respect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Contractual Obligation the breach of which could, either individually or in the aggregate, reasonably be expected to have a Material Adverse Effect or (b) any Senior Notes Document. No Default has occurred and is continuing or would result from the consummation of the transactions contemplated by this Agreement or any other Loan Document.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5.08 Ownership of Property; Liens. </w:t>
      </w:r>
      <w:r>
        <w:rPr>
          <w:rFonts w:ascii="Times New Roman" w:cs="Times New Roman" w:eastAsia="Times New Roman" w:hAnsi="Times New Roman"/>
          <w:sz w:val="22"/>
          <w:szCs w:val="22"/>
          <w:color w:val="auto"/>
        </w:rPr>
        <w:t>The Company and each of its Restricted Subsidiaries has good record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Company and each of its Restricted Subsidiaries is subject to no Liens, other than Liens permitted by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5.09 Environmental Compliance. </w:t>
      </w:r>
      <w:r>
        <w:rPr>
          <w:rFonts w:ascii="Times New Roman" w:cs="Times New Roman" w:eastAsia="Times New Roman" w:hAnsi="Times New Roman"/>
          <w:sz w:val="22"/>
          <w:szCs w:val="22"/>
          <w:color w:val="auto"/>
        </w:rPr>
        <w:t>The Company has reasonably concluded that existing Environmental Laws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alleging potential liability or responsibility for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22" w:right="339" w:bottom="1440" w:gutter="0" w:footer="0" w:header="0"/>
        </w:sectPr>
      </w:pPr>
    </w:p>
    <w:bookmarkStart w:id="229" w:name="page230"/>
    <w:bookmarkEnd w:id="22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of any Environmental Law on their respective businesses, operations and properties could not, individually or in the aggregate, reasonably be expected to have a Material Adverse Effect.</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5.10 Insurance. </w:t>
      </w:r>
      <w:r>
        <w:rPr>
          <w:rFonts w:ascii="Times New Roman" w:cs="Times New Roman" w:eastAsia="Times New Roman" w:hAnsi="Times New Roman"/>
          <w:sz w:val="22"/>
          <w:szCs w:val="22"/>
          <w:color w:val="auto"/>
        </w:rPr>
        <w:t>The properties of the Company and its Restricted Subsidiaries are insured with (a) financially sound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reputable insurance companies not Affiliates of the Company and/or (b) a Captive Insurance Subsidiary, in such amounts (after giving effect to any self-insurance compatible with the following standards), with such deductibles and covering such risks as are customarily carried by companies engaged in similar businesses and owning similar properties in localities where the Company or the applicable Restricted Subsidiary operates and as otherwise required by the applicable provisions of this Agreement.</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5.11 Taxes. </w:t>
      </w:r>
      <w:r>
        <w:rPr>
          <w:rFonts w:ascii="Times New Roman" w:cs="Times New Roman" w:eastAsia="Times New Roman" w:hAnsi="Times New Roman"/>
          <w:sz w:val="22"/>
          <w:szCs w:val="22"/>
          <w:color w:val="auto"/>
        </w:rPr>
        <w:t>The Company and its Subsidiaries have filed all U.S. Federal and all other material Tax returns and reports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be filed, and have paid all U.S. Federal and all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in writing against the Company or any Restricted Subsidiary that would, if made, have a Material Adverse Effect.</w:t>
      </w:r>
    </w:p>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color w:val="auto"/>
        </w:rPr>
        <w:t>ERISA Compliance.</w:t>
      </w:r>
    </w:p>
    <w:p>
      <w:pPr>
        <w:spacing w:after="0" w:line="224" w:lineRule="exact"/>
        <w:rPr>
          <w:sz w:val="20"/>
          <w:szCs w:val="20"/>
          <w:color w:val="auto"/>
        </w:rPr>
      </w:pPr>
    </w:p>
    <w:p>
      <w:pPr>
        <w:jc w:val="both"/>
        <w:ind w:firstLine="656"/>
        <w:spacing w:after="0" w:line="249" w:lineRule="auto"/>
        <w:tabs>
          <w:tab w:leader="none" w:pos="119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Plan is in compliance in all material respects with the applicable provisions of ERISA, the Code and other Federal or state laws. Each Plan that is intended to be a qualified plan under Section 401(a) of the Code has received a favorable determination letter from the Internal Revenue Service, or is entitled to rely upon an opinion letter or advisory opinion issued by the Internal Revenue Service with respect to a prototype plan document,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prevent or cause the loss of such tax-qualified status.</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13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3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Other than those listed on </w:t>
      </w:r>
      <w:r>
        <w:rPr>
          <w:rFonts w:ascii="Times New Roman" w:cs="Times New Roman" w:eastAsia="Times New Roman" w:hAnsi="Times New Roman"/>
          <w:sz w:val="22"/>
          <w:szCs w:val="22"/>
          <w:u w:val="single" w:color="auto"/>
          <w:color w:val="auto"/>
        </w:rPr>
        <w:t>Schedule 5.12(c)</w:t>
      </w:r>
      <w:r>
        <w:rPr>
          <w:rFonts w:ascii="Times New Roman" w:cs="Times New Roman" w:eastAsia="Times New Roman" w:hAnsi="Times New Roman"/>
          <w:sz w:val="22"/>
          <w:szCs w:val="22"/>
          <w:color w:val="auto"/>
        </w:rPr>
        <w:t xml:space="preserve"> hereto,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Single Employer Pension Plan (and to the actual knowledge of the Company and its ERISA Affiliates, in respect of each Multiemployer Plan and Multiple Employer Plan) and no waiver of the minimum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22" w:right="339" w:bottom="1440" w:gutter="0" w:footer="0" w:header="0"/>
        </w:sectPr>
      </w:pPr>
    </w:p>
    <w:bookmarkStart w:id="230" w:name="page231"/>
    <w:bookmarkEnd w:id="230"/>
    <w:p>
      <w:pPr>
        <w:jc w:val="both"/>
        <w:spacing w:after="0" w:line="248" w:lineRule="auto"/>
        <w:rPr>
          <w:sz w:val="20"/>
          <w:szCs w:val="20"/>
          <w:color w:val="auto"/>
        </w:rPr>
      </w:pPr>
      <w:r>
        <w:rPr>
          <w:rFonts w:ascii="Times New Roman" w:cs="Times New Roman" w:eastAsia="Times New Roman" w:hAnsi="Times New Roman"/>
          <w:sz w:val="22"/>
          <w:szCs w:val="22"/>
          <w:color w:val="auto"/>
        </w:rPr>
        <w:t>standards under the Pension Funding Rules has been applied for or obtained with respect to any Single Employer Pension Plan (and to the actual knowledge of the Company and its ERISA Affiliate, with respect to any Multiemployer Plan and Multiple Employer Plan); (iii) as of the most recent valuation date for any Single Employer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9" w:lineRule="exact"/>
        <w:rPr>
          <w:sz w:val="20"/>
          <w:szCs w:val="20"/>
          <w:color w:val="auto"/>
        </w:rPr>
      </w:pPr>
    </w:p>
    <w:p>
      <w:pPr>
        <w:jc w:val="both"/>
        <w:ind w:firstLine="656"/>
        <w:spacing w:after="0" w:line="257" w:lineRule="auto"/>
        <w:tabs>
          <w:tab w:leader="none" w:pos="123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Company nor any ERISA Affiliate maintains or contributes to, or has any unsatisfied obligation to contribute to, or liability under, any active or terminated Pension Plan other than (A) on the Closing Date, those listed on </w:t>
      </w:r>
      <w:r>
        <w:rPr>
          <w:rFonts w:ascii="Times New Roman" w:cs="Times New Roman" w:eastAsia="Times New Roman" w:hAnsi="Times New Roman"/>
          <w:sz w:val="22"/>
          <w:szCs w:val="22"/>
          <w:u w:val="single" w:color="auto"/>
          <w:color w:val="auto"/>
        </w:rPr>
        <w:t>Schedule 5.12(d)</w:t>
      </w:r>
      <w:r>
        <w:rPr>
          <w:rFonts w:ascii="Times New Roman" w:cs="Times New Roman" w:eastAsia="Times New Roman" w:hAnsi="Times New Roman"/>
          <w:sz w:val="22"/>
          <w:szCs w:val="22"/>
          <w:color w:val="auto"/>
        </w:rPr>
        <w:t xml:space="preserve"> hereto and (B) thereafter, Pension Plans not otherwise prohibited by this Agreement.</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7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scheme or arrangement mandated by a government other than the United States (a “</w:t>
      </w:r>
      <w:r>
        <w:rPr>
          <w:rFonts w:ascii="Times New Roman" w:cs="Times New Roman" w:eastAsia="Times New Roman" w:hAnsi="Times New Roman"/>
          <w:sz w:val="22"/>
          <w:szCs w:val="22"/>
          <w:u w:val="single" w:color="auto"/>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Government Scheme or Arrangement</w:t>
      </w:r>
      <w:r>
        <w:rPr>
          <w:rFonts w:ascii="Times New Roman" w:cs="Times New Roman" w:eastAsia="Times New Roman" w:hAnsi="Times New Roman"/>
          <w:sz w:val="22"/>
          <w:szCs w:val="22"/>
          <w:color w:val="auto"/>
        </w:rPr>
        <w:t>”) and with respect to each employee benefit plan maintained or contributed to by any Borrower or any Restricted Subsidiary of any Borrower that is not subject to United States law (a “</w:t>
      </w:r>
      <w:r>
        <w:rPr>
          <w:rFonts w:ascii="Times New Roman" w:cs="Times New Roman" w:eastAsia="Times New Roman" w:hAnsi="Times New Roman"/>
          <w:sz w:val="22"/>
          <w:szCs w:val="22"/>
          <w:u w:val="single" w:color="auto"/>
          <w:color w:val="auto"/>
        </w:rPr>
        <w:t>Foreign Plan</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64"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employer and employee contributions required by law or by the terms of any Foreign Government Scheme or Arrangement or any Foreign Plan have been made, or, if applicable, accrued, in accordance with normal accounting practices, except to the extent that the failure to comply with such law or such terms could not reasonably be expected to have a Material Adverse Effect;</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25"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Closing Date, with respect to all current and former participants in such Foreign Plan according to the actuarial assumptions and valuations most recently used to account for such obligations in accordance with applicable generally accepted accounting principles, except to the extent that such insufficiency could not reasonably be expected to have a Material Adverse Effect;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05"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Foreign Plan required to be registered has been registered and has been maintained in good standing with applicable regulatory authorities, except to the extent that such failure to register or maintain good standing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22" w:right="339" w:bottom="1440" w:gutter="0" w:footer="0" w:header="0"/>
        </w:sectPr>
      </w:pPr>
    </w:p>
    <w:bookmarkStart w:id="231" w:name="page232"/>
    <w:bookmarkEnd w:id="231"/>
    <w:p>
      <w:pPr>
        <w:jc w:val="both"/>
        <w:ind w:firstLine="656"/>
        <w:spacing w:after="0" w:line="257" w:lineRule="auto"/>
        <w:tabs>
          <w:tab w:leader="none" w:pos="110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represents and warrants as of the Closing Date that such Borrower is not and will not be using “plan assets” (within the meaning of 29 CFR § 2510.3-101, as modified by Section 3(42) of ERISA, or otherwise) of one or more Benefit Plans in connection with the Loans, the Letters of Credit or the Commitments.</w:t>
      </w:r>
    </w:p>
    <w:p>
      <w:pPr>
        <w:spacing w:after="0" w:line="18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5.13 Subsidiaries; Equity Interests. </w:t>
      </w:r>
      <w:r>
        <w:rPr>
          <w:rFonts w:ascii="Times New Roman" w:cs="Times New Roman" w:eastAsia="Times New Roman" w:hAnsi="Times New Roman"/>
          <w:sz w:val="22"/>
          <w:szCs w:val="22"/>
          <w:color w:val="auto"/>
        </w:rPr>
        <w:t>As of the Closing Date, the Company has no Subsidiaries other than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specifically disclosed in Part (a)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and all of the outstanding Equity Interests in such Subsidiaries have been validly issued, are fully paid and nonassessable and are owned by the Persons in the amounts specified on Part (a) of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w:t>
      </w:r>
      <w:r>
        <w:rPr>
          <w:rFonts w:ascii="Times New Roman" w:cs="Times New Roman" w:eastAsia="Times New Roman" w:hAnsi="Times New Roman"/>
          <w:sz w:val="22"/>
          <w:szCs w:val="22"/>
          <w:color w:val="auto"/>
        </w:rPr>
        <w:t xml:space="preserve"> free and clear of all Liens except Liens permitted by </w:t>
      </w:r>
      <w:r>
        <w:rPr>
          <w:rFonts w:ascii="Times New Roman" w:cs="Times New Roman" w:eastAsia="Times New Roman" w:hAnsi="Times New Roman"/>
          <w:sz w:val="22"/>
          <w:szCs w:val="22"/>
          <w:u w:val="single" w:color="auto"/>
          <w:color w:val="auto"/>
        </w:rPr>
        <w:t>Section 7.01(c)</w:t>
      </w:r>
      <w:r>
        <w:rPr>
          <w:rFonts w:ascii="Times New Roman" w:cs="Times New Roman" w:eastAsia="Times New Roman" w:hAnsi="Times New Roman"/>
          <w:sz w:val="22"/>
          <w:szCs w:val="22"/>
          <w:color w:val="auto"/>
        </w:rPr>
        <w:t xml:space="preserve">. As of the Closing Date, the Company has no equity investments in any other corporation or entity other than those separately disclosed in the Schedule of Investments provided to the Administrative Agent and the Lenders on the Closing Date. All of the outstanding Equity Interests in the Company have been validly issued and are fully paid and nonassessable. Set forth on Part (c) of </w:t>
      </w:r>
      <w:r>
        <w:rPr>
          <w:rFonts w:ascii="Times New Roman" w:cs="Times New Roman" w:eastAsia="Times New Roman" w:hAnsi="Times New Roman"/>
          <w:sz w:val="22"/>
          <w:szCs w:val="22"/>
          <w:u w:val="single" w:color="auto"/>
          <w:color w:val="auto"/>
        </w:rPr>
        <w:t>Schedule 5.13</w:t>
      </w:r>
      <w:r>
        <w:rPr>
          <w:rFonts w:ascii="Times New Roman" w:cs="Times New Roman" w:eastAsia="Times New Roman" w:hAnsi="Times New Roman"/>
          <w:sz w:val="22"/>
          <w:szCs w:val="22"/>
          <w:color w:val="auto"/>
        </w:rPr>
        <w:t xml:space="preserve"> is a complete and accurate list of all Restricted Subsidiaries and all Unrestricted Subsidiaries as of the Closing Date. The copy of the charter of each Borrower and each amendment thereto provided pursuant to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is a true and correct copy of each such document, each of which is valid and in full force and effect.</w:t>
      </w:r>
    </w:p>
    <w:p>
      <w:pPr>
        <w:spacing w:after="0" w:line="18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color w:val="auto"/>
        </w:rPr>
        <w:t>Margin Regulations; Investment Company Act.</w:t>
      </w:r>
    </w:p>
    <w:p>
      <w:pPr>
        <w:spacing w:after="0" w:line="237" w:lineRule="exact"/>
        <w:rPr>
          <w:sz w:val="20"/>
          <w:szCs w:val="20"/>
          <w:color w:val="auto"/>
        </w:rPr>
      </w:pPr>
    </w:p>
    <w:p>
      <w:pPr>
        <w:jc w:val="both"/>
        <w:ind w:firstLine="656"/>
        <w:spacing w:after="0" w:line="257" w:lineRule="auto"/>
        <w:tabs>
          <w:tab w:leader="none" w:pos="110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72" w:lineRule="exact"/>
        <w:rPr>
          <w:rFonts w:ascii="Times New Roman" w:cs="Times New Roman" w:eastAsia="Times New Roman" w:hAnsi="Times New Roman"/>
          <w:sz w:val="22"/>
          <w:szCs w:val="22"/>
          <w:color w:val="auto"/>
        </w:rPr>
      </w:pPr>
    </w:p>
    <w:p>
      <w:pPr>
        <w:ind w:firstLine="656"/>
        <w:spacing w:after="0" w:line="271" w:lineRule="auto"/>
        <w:tabs>
          <w:tab w:leader="none" w:pos="115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Person Controlling the Company, or any Subsidiary is or is required to be registered as an “investment company” under the Investment Company Act of 1940.</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5.15 Disclosure. </w:t>
      </w:r>
      <w:r>
        <w:rPr>
          <w:rFonts w:ascii="Times New Roman" w:cs="Times New Roman" w:eastAsia="Times New Roman" w:hAnsi="Times New Roman"/>
          <w:sz w:val="22"/>
          <w:szCs w:val="22"/>
          <w:color w:val="auto"/>
        </w:rPr>
        <w:t>The Company has disclosed to the Administrative Agent and the Lenders all agreements, instruments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Borrower to the Administrative Agent or any Lender in connection with the transactions contemplated hereby and the negotiation of this Agreement or delivered hereunder or under any other Loan Document (in each case, as modified or supplemented by other written information so furnished) contains any material misstatement of fact or omits to state any material fact necessary to make the statements therein, taken as a whole and in the light of the circumstances under which they were made, not misleading;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no actual or purported oral statement shall be deemed to modify or qualify any written statement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projected financial information, the Borrowers represent only that such information was prepared in good faith based upon assumptions believed to be reasonable at the time (it being understood that projected financial information is as to future events and are not to be viewed as facts, projected financial information is subject to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22" w:right="339" w:bottom="1440" w:gutter="0" w:footer="0" w:header="0"/>
        </w:sectPr>
      </w:pPr>
    </w:p>
    <w:bookmarkStart w:id="232" w:name="page233"/>
    <w:bookmarkEnd w:id="232"/>
    <w:p>
      <w:pPr>
        <w:jc w:val="both"/>
        <w:spacing w:after="0" w:line="275" w:lineRule="auto"/>
        <w:rPr>
          <w:sz w:val="20"/>
          <w:szCs w:val="20"/>
          <w:color w:val="auto"/>
        </w:rPr>
      </w:pPr>
      <w:r>
        <w:rPr>
          <w:rFonts w:ascii="Times New Roman" w:cs="Times New Roman" w:eastAsia="Times New Roman" w:hAnsi="Times New Roman"/>
          <w:sz w:val="21"/>
          <w:szCs w:val="21"/>
          <w:color w:val="auto"/>
        </w:rPr>
        <w:t>uncertainties and contingencies, many of which are beyond the control of the Borrowers, that no assurance can be given that any particular projected financial information will be realized and that actual results during the period or periods covered by any of such projected financial information may differ significantly from the projected results and such differences may be material).</w:t>
      </w:r>
    </w:p>
    <w:p>
      <w:pPr>
        <w:spacing w:after="0" w:line="16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5.16 Compliance with Laws. </w:t>
      </w:r>
      <w:r>
        <w:rPr>
          <w:rFonts w:ascii="Times New Roman" w:cs="Times New Roman" w:eastAsia="Times New Roman" w:hAnsi="Times New Roman"/>
          <w:sz w:val="22"/>
          <w:szCs w:val="22"/>
          <w:color w:val="auto"/>
        </w:rPr>
        <w:t>Each Borrower and each Subsidiary is in compliance in all material respects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5.17 Taxpayer Identification Number; Other Identifying Information. </w:t>
      </w:r>
      <w:r>
        <w:rPr>
          <w:rFonts w:ascii="Times New Roman" w:cs="Times New Roman" w:eastAsia="Times New Roman" w:hAnsi="Times New Roman"/>
          <w:sz w:val="22"/>
          <w:szCs w:val="22"/>
          <w:color w:val="auto"/>
        </w:rPr>
        <w:t>The true and correct U.S. taxpayer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identification number of the Company is set forth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5.18 Intellectual Property; Licenses, Etc. </w:t>
      </w:r>
      <w:r>
        <w:rPr>
          <w:rFonts w:ascii="Times New Roman" w:cs="Times New Roman" w:eastAsia="Times New Roman" w:hAnsi="Times New Roman"/>
          <w:sz w:val="22"/>
          <w:szCs w:val="22"/>
          <w:color w:val="auto"/>
        </w:rPr>
        <w:t>To the best knowledge of the Company and except where failure to do so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could not reasonably be expected to have a Material Adverse Effect, (i) the Company and its Restricted Subsidiaries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22"/>
          <w:szCs w:val="22"/>
          <w:u w:val="single" w:color="auto"/>
          <w:color w:val="auto"/>
        </w:rPr>
        <w:t>IP Rights</w:t>
      </w:r>
      <w:r>
        <w:rPr>
          <w:rFonts w:ascii="Times New Roman" w:cs="Times New Roman" w:eastAsia="Times New Roman" w:hAnsi="Times New Roman"/>
          <w:sz w:val="22"/>
          <w:szCs w:val="22"/>
          <w:color w:val="auto"/>
        </w:rPr>
        <w:t>”) that are reasonably necessary for the operation of their respective businesses, without conflict with the rights of any other Person and (ii)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9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5.19 Solvency. </w:t>
      </w:r>
      <w:r>
        <w:rPr>
          <w:rFonts w:ascii="Times New Roman" w:cs="Times New Roman" w:eastAsia="Times New Roman" w:hAnsi="Times New Roman"/>
          <w:sz w:val="22"/>
          <w:szCs w:val="22"/>
          <w:color w:val="auto"/>
        </w:rPr>
        <w:t>The Company is, together with its Restricted Subsidiaries on a consolidated basis, Solvent,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Borrowers are, on a consolidated basis, Solvent.</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5.20 Casualty, Etc. </w:t>
      </w:r>
      <w:r>
        <w:rPr>
          <w:rFonts w:ascii="Times New Roman" w:cs="Times New Roman" w:eastAsia="Times New Roman" w:hAnsi="Times New Roman"/>
          <w:sz w:val="22"/>
          <w:szCs w:val="22"/>
          <w:color w:val="auto"/>
        </w:rPr>
        <w:t>Neither the businesses nor the properties of any Borrower or any Restricted Subsidiary are affected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5.21 Labor Matters. </w:t>
      </w:r>
      <w:r>
        <w:rPr>
          <w:rFonts w:ascii="Times New Roman" w:cs="Times New Roman" w:eastAsia="Times New Roman" w:hAnsi="Times New Roman"/>
          <w:sz w:val="22"/>
          <w:szCs w:val="22"/>
          <w:color w:val="auto"/>
        </w:rPr>
        <w:t>Except as specifically disclosed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5.21</w:t>
      </w:r>
      <w:r>
        <w:rPr>
          <w:rFonts w:ascii="Times New Roman" w:cs="Times New Roman" w:eastAsia="Times New Roman" w:hAnsi="Times New Roman"/>
          <w:sz w:val="22"/>
          <w:szCs w:val="22"/>
          <w:color w:val="auto"/>
        </w:rPr>
        <w:t>, there are no collective bargaining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Multiemployer Plans covering the employees of the Company or any of its Restricted Subsidiaries as of the Closing Date and neither the Company nor any of its Restricted Subsidiaries has suffered any strikes, walkouts, work stoppages or other material labor difficulty within the last five years.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22" w:right="339" w:bottom="1440" w:gutter="0" w:footer="0" w:header="0"/>
        </w:sectPr>
      </w:pPr>
    </w:p>
    <w:bookmarkStart w:id="233" w:name="page234"/>
    <w:bookmarkEnd w:id="233"/>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5.23</w:t>
      </w:r>
      <w:r>
        <w:rPr>
          <w:sz w:val="20"/>
          <w:szCs w:val="20"/>
          <w:color w:val="auto"/>
        </w:rPr>
        <w:tab/>
      </w:r>
      <w:r>
        <w:rPr>
          <w:rFonts w:ascii="Times New Roman" w:cs="Times New Roman" w:eastAsia="Times New Roman" w:hAnsi="Times New Roman"/>
          <w:sz w:val="21"/>
          <w:szCs w:val="21"/>
          <w:b w:val="1"/>
          <w:bCs w:val="1"/>
          <w:color w:val="auto"/>
        </w:rPr>
        <w:t>OFAC; Anti-Corruption Laws.</w:t>
      </w:r>
    </w:p>
    <w:p>
      <w:pPr>
        <w:spacing w:after="0" w:line="224" w:lineRule="exact"/>
        <w:rPr>
          <w:sz w:val="20"/>
          <w:szCs w:val="20"/>
          <w:color w:val="auto"/>
        </w:rPr>
      </w:pPr>
    </w:p>
    <w:p>
      <w:pPr>
        <w:jc w:val="both"/>
        <w:ind w:firstLine="656"/>
        <w:spacing w:after="0" w:line="251" w:lineRule="auto"/>
        <w:tabs>
          <w:tab w:leader="none" w:pos="115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Borrower nor any of its Subsidiaries, nor, to the knowledge of any Borrower and its Subsidiaries, any director, officer, employee, agent, or representative thereof, is an individual or entity that is or is owned or controlled by any individual or entity that is, (i) currently the subject or target of any applicable Sanctions, (ii) included on OFAC’s List of Specially Designated Nationals, Her Majesty’s Treasury’s Consolidated List of Financial Sanctions Targets and the Investment Ban List, or any similar list enforced by any other relevant sanctions authority or (iii) located, organized or resident in a Designated Jurisdiction.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6" w:lineRule="auto"/>
        <w:tabs>
          <w:tab w:leader="none" w:pos="1182"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have conducted their businesses in compliance in all material respects with all Anti-Corruption Laws and Sanctions and, to the extent applicable, Anti-Money Laundering Laws and have instituted and maintained policies and procedures reasonably designed to promote and achieve compliance with such Anti-Corruption Laws, such Anti-Money Laundering Laws and Sanctions.</w:t>
      </w:r>
    </w:p>
    <w:p>
      <w:pPr>
        <w:spacing w:after="0" w:line="17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5.24</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5.25</w:t>
      </w:r>
      <w:r>
        <w:rPr>
          <w:sz w:val="20"/>
          <w:szCs w:val="20"/>
          <w:color w:val="auto"/>
        </w:rPr>
        <w:tab/>
      </w:r>
      <w:r>
        <w:rPr>
          <w:rFonts w:ascii="Times New Roman" w:cs="Times New Roman" w:eastAsia="Times New Roman" w:hAnsi="Times New Roman"/>
          <w:sz w:val="21"/>
          <w:szCs w:val="21"/>
          <w:b w:val="1"/>
          <w:bCs w:val="1"/>
          <w:color w:val="auto"/>
        </w:rPr>
        <w:t xml:space="preserve">Affected Financial Institution. </w:t>
      </w:r>
      <w:r>
        <w:rPr>
          <w:rFonts w:ascii="Times New Roman" w:cs="Times New Roman" w:eastAsia="Times New Roman" w:hAnsi="Times New Roman"/>
          <w:sz w:val="21"/>
          <w:szCs w:val="21"/>
          <w:color w:val="auto"/>
        </w:rPr>
        <w:t>No Borrower is an Affected Financial Institution.</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5.26 Beneficial Ownership Certification. </w:t>
      </w:r>
      <w:r>
        <w:rPr>
          <w:rFonts w:ascii="Times New Roman" w:cs="Times New Roman" w:eastAsia="Times New Roman" w:hAnsi="Times New Roman"/>
          <w:sz w:val="22"/>
          <w:szCs w:val="22"/>
          <w:color w:val="auto"/>
        </w:rPr>
        <w:t>As of the Closing Date, the information included in any Beneficial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Certification, if applicable, is true and correct in all material respects.</w:t>
      </w:r>
    </w:p>
    <w:p>
      <w:pPr>
        <w:spacing w:after="0" w:line="137"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5.27</w:t>
      </w:r>
      <w:r>
        <w:rPr>
          <w:sz w:val="20"/>
          <w:szCs w:val="20"/>
          <w:color w:val="auto"/>
        </w:rPr>
        <w:tab/>
      </w:r>
      <w:r>
        <w:rPr>
          <w:rFonts w:ascii="Times New Roman" w:cs="Times New Roman" w:eastAsia="Times New Roman" w:hAnsi="Times New Roman"/>
          <w:sz w:val="21"/>
          <w:szCs w:val="21"/>
          <w:b w:val="1"/>
          <w:bCs w:val="1"/>
          <w:color w:val="auto"/>
        </w:rPr>
        <w:t xml:space="preserve">Covered Entities. </w:t>
      </w:r>
      <w:r>
        <w:rPr>
          <w:rFonts w:ascii="Times New Roman" w:cs="Times New Roman" w:eastAsia="Times New Roman" w:hAnsi="Times New Roman"/>
          <w:sz w:val="21"/>
          <w:szCs w:val="21"/>
          <w:color w:val="auto"/>
        </w:rPr>
        <w:t>No Borrower is a Covered Entity.</w:t>
      </w:r>
    </w:p>
    <w:p>
      <w:pPr>
        <w:spacing w:after="0" w:line="22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AFFIRMATIVE COVENANTS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and shall (except in the case of the covenants set forth in </w:t>
      </w:r>
      <w:r>
        <w:rPr>
          <w:rFonts w:ascii="Times New Roman" w:cs="Times New Roman" w:eastAsia="Times New Roman" w:hAnsi="Times New Roman"/>
          <w:sz w:val="22"/>
          <w:szCs w:val="22"/>
          <w:u w:val="single" w:color="auto"/>
          <w:color w:val="auto"/>
        </w:rPr>
        <w:t>Sections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6.03</w:t>
      </w:r>
      <w:r>
        <w:rPr>
          <w:rFonts w:ascii="Times New Roman" w:cs="Times New Roman" w:eastAsia="Times New Roman" w:hAnsi="Times New Roman"/>
          <w:sz w:val="22"/>
          <w:szCs w:val="22"/>
          <w:color w:val="auto"/>
        </w:rPr>
        <w:t>) cause each Restricted Subsidiary to:</w:t>
      </w:r>
    </w:p>
    <w:p>
      <w:pPr>
        <w:spacing w:after="0" w:line="17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6.01 Financial Statements. </w:t>
      </w:r>
      <w:r>
        <w:rPr>
          <w:rFonts w:ascii="Times New Roman" w:cs="Times New Roman" w:eastAsia="Times New Roman" w:hAnsi="Times New Roman"/>
          <w:sz w:val="22"/>
          <w:szCs w:val="22"/>
          <w:color w:val="auto"/>
        </w:rPr>
        <w:t>Deliver to the Administrative Agent and each Lender, in form and detail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satisfactory to the Administrative Agent:</w:t>
      </w:r>
    </w:p>
    <w:p>
      <w:pPr>
        <w:spacing w:after="0" w:line="167" w:lineRule="exact"/>
        <w:rPr>
          <w:sz w:val="20"/>
          <w:szCs w:val="20"/>
          <w:color w:val="auto"/>
        </w:rPr>
      </w:pPr>
    </w:p>
    <w:p>
      <w:pPr>
        <w:jc w:val="both"/>
        <w:ind w:firstLine="656"/>
        <w:spacing w:after="0" w:line="248" w:lineRule="auto"/>
        <w:tabs>
          <w:tab w:leader="none" w:pos="113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90 days after the end of each fiscal year of the Company (or, if earlier, 15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(commencing with the fiscal year ended December 31, 2021), (i) a consolidated balance sheet of the Company and its Subsidiaries as at the end of such fiscal year, and the related consolidated statements of income 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18" w:right="339" w:bottom="1440" w:gutter="0" w:footer="0" w:header="0"/>
        </w:sectPr>
      </w:pPr>
    </w:p>
    <w:bookmarkStart w:id="234" w:name="page235"/>
    <w:bookmarkEnd w:id="234"/>
    <w:p>
      <w:pPr>
        <w:jc w:val="both"/>
        <w:spacing w:after="0" w:line="248" w:lineRule="auto"/>
        <w:rPr>
          <w:sz w:val="20"/>
          <w:szCs w:val="20"/>
          <w:color w:val="auto"/>
        </w:rPr>
      </w:pPr>
      <w:r>
        <w:rPr>
          <w:rFonts w:ascii="Times New Roman" w:cs="Times New Roman" w:eastAsia="Times New Roman" w:hAnsi="Times New Roman"/>
          <w:sz w:val="22"/>
          <w:szCs w:val="22"/>
          <w:color w:val="auto"/>
        </w:rPr>
        <w:t>changes in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BDO USA, LLP or another independent certified public accountant of nationally recognized standing, which report and opinion shall be prepared in accordance with generally accepted auditing standards and shall not be subject to any “going concern” or like qualification or exception (other than with respect to, or resulting from, a current debt maturity) or any qualification or exception as to the scope of such audit, (ii) to the extent there are any Unrestricted Subsidiaries as of the end of such fiscal year,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year;</w:t>
      </w:r>
    </w:p>
    <w:p>
      <w:pPr>
        <w:spacing w:after="0" w:line="184" w:lineRule="exact"/>
        <w:rPr>
          <w:sz w:val="20"/>
          <w:szCs w:val="20"/>
          <w:color w:val="auto"/>
        </w:rPr>
      </w:pPr>
    </w:p>
    <w:p>
      <w:pPr>
        <w:jc w:val="both"/>
        <w:ind w:firstLine="656"/>
        <w:spacing w:after="0" w:line="247" w:lineRule="auto"/>
        <w:tabs>
          <w:tab w:leader="none" w:pos="117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45 days after the end of each of the first three fiscal quarters of each fiscal year of the Company (or, if earlier, 5 days after the date required to be filed with the SEC (giving effect to any extension permitted by the SEC so long as the Company provides the Administrative Agent, prior to the date of any such extension, with a reasonably detailed written explanation of its reason for seeking such extension)), (i) a consolidated balance sheet of the Company and its Subsidiaries as at the end of such fiscal quarter, and the related consolidated statement of income or operations for such fiscal quarter and for the portion of the Company’s fiscal year then ended, and the related consolidated statement of changes in shareholders’ equity, and cash flows for the portion of the Company’s fiscal year then ended, in each case setting forth in each case in comparative form, as applicable,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Subsidiaries in accordance with GAAP, subject only to normal year-end audit adjustments and the absence of footnotes, (ii) to the extent there are any Unrestricted Subsidiaries as of the end of such fiscal quarter, a Reconciliation with respect to each of the financial statements described in the foregoing clause (i), all in reasonable detail, such consolidated statements to be certified by the chief executive officer, chief financial officer, treasurer or controller of the Company as fairly presenting in all material respects the financial condition, results of operations, shareholders’ equity and cash flows of the Company and its Restricted Subsidiaries in accordance with GAAP, subject only to normal year-end audit adjustments and the absence of footnotes and (iii) a report summarizing contracts in progress as at the end of such fiscal quarter; and</w:t>
      </w:r>
    </w:p>
    <w:p>
      <w:pPr>
        <w:spacing w:after="0" w:line="200"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but in any event no later than the date on which the financial statements referred to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6.01(a)</w:t>
      </w:r>
      <w:r>
        <w:rPr>
          <w:rFonts w:ascii="Times New Roman" w:cs="Times New Roman" w:eastAsia="Times New Roman" w:hAnsi="Times New Roman"/>
          <w:sz w:val="22"/>
          <w:szCs w:val="22"/>
          <w:color w:val="auto"/>
        </w:rPr>
        <w:t xml:space="preserve"> are required to be delivered for any fiscal year of the Company, forecasts prepared by management of the Company of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22" w:right="339" w:bottom="1440" w:gutter="0" w:footer="0" w:header="0"/>
        </w:sectPr>
      </w:pPr>
    </w:p>
    <w:bookmarkStart w:id="235" w:name="page236"/>
    <w:bookmarkEnd w:id="235"/>
    <w:p>
      <w:pPr>
        <w:jc w:val="both"/>
        <w:spacing w:after="0" w:line="271" w:lineRule="auto"/>
        <w:rPr>
          <w:sz w:val="20"/>
          <w:szCs w:val="20"/>
          <w:color w:val="auto"/>
        </w:rPr>
      </w:pPr>
      <w:r>
        <w:rPr>
          <w:rFonts w:ascii="Times New Roman" w:cs="Times New Roman" w:eastAsia="Times New Roman" w:hAnsi="Times New Roman"/>
          <w:sz w:val="22"/>
          <w:szCs w:val="22"/>
          <w:color w:val="auto"/>
        </w:rPr>
        <w:t>and statements of income or operations and cash flows of the Company and its Restricted Subsidiaries on a quarterly basis for the immediately following such fiscal year (including the fiscal year in which the latest Maturity Date occurs).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As to any information contained in materials furnished pursuant to </w:t>
      </w:r>
      <w:r>
        <w:rPr>
          <w:rFonts w:ascii="Times New Roman" w:cs="Times New Roman" w:eastAsia="Times New Roman" w:hAnsi="Times New Roman"/>
          <w:sz w:val="22"/>
          <w:szCs w:val="22"/>
          <w:u w:val="single" w:color="auto"/>
          <w:color w:val="auto"/>
        </w:rPr>
        <w:t>Section 6.02(c)</w:t>
      </w:r>
      <w:r>
        <w:rPr>
          <w:rFonts w:ascii="Times New Roman" w:cs="Times New Roman" w:eastAsia="Times New Roman" w:hAnsi="Times New Roman"/>
          <w:sz w:val="22"/>
          <w:szCs w:val="22"/>
          <w:color w:val="auto"/>
        </w:rPr>
        <w:t>, the Company shall not be separately required to furnish such information under clause (a) or (b) above, but the foregoing shall not be in derogation of the obligation of the Company to furnish the information and materials described in clauses (a) and (b) above at the times specified therein.</w:t>
      </w:r>
    </w:p>
    <w:p>
      <w:pPr>
        <w:spacing w:after="0" w:line="16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6.02</w:t>
      </w:r>
      <w:r>
        <w:rPr>
          <w:sz w:val="20"/>
          <w:szCs w:val="20"/>
          <w:color w:val="auto"/>
        </w:rPr>
        <w:tab/>
      </w:r>
      <w:r>
        <w:rPr>
          <w:rFonts w:ascii="Times New Roman" w:cs="Times New Roman" w:eastAsia="Times New Roman" w:hAnsi="Times New Roman"/>
          <w:sz w:val="21"/>
          <w:szCs w:val="21"/>
          <w:b w:val="1"/>
          <w:bCs w:val="1"/>
          <w:color w:val="auto"/>
        </w:rPr>
        <w:t xml:space="preserve">Certificates; Other Information. </w:t>
      </w:r>
      <w:r>
        <w:rPr>
          <w:rFonts w:ascii="Times New Roman" w:cs="Times New Roman" w:eastAsia="Times New Roman" w:hAnsi="Times New Roman"/>
          <w:sz w:val="21"/>
          <w:szCs w:val="21"/>
          <w:color w:val="auto"/>
        </w:rPr>
        <w:t>Deliver to the Administrative Agent and each Lender:</w:t>
      </w:r>
    </w:p>
    <w:p>
      <w:pPr>
        <w:spacing w:after="0" w:line="224" w:lineRule="exact"/>
        <w:rPr>
          <w:sz w:val="20"/>
          <w:szCs w:val="20"/>
          <w:color w:val="auto"/>
        </w:rPr>
      </w:pPr>
    </w:p>
    <w:p>
      <w:pPr>
        <w:jc w:val="both"/>
        <w:ind w:firstLine="656"/>
        <w:spacing w:after="0" w:line="256" w:lineRule="auto"/>
        <w:tabs>
          <w:tab w:leader="none" w:pos="115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concurrently with the delivery of the financial statements referred to in </w:t>
      </w:r>
      <w:r>
        <w:rPr>
          <w:rFonts w:ascii="Times New Roman" w:cs="Times New Roman" w:eastAsia="Times New Roman" w:hAnsi="Times New Roman"/>
          <w:sz w:val="22"/>
          <w:szCs w:val="22"/>
          <w:u w:val="single" w:color="auto"/>
          <w:color w:val="auto"/>
        </w:rPr>
        <w:t>Sections 6.01(a)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duly completed Compliance Certificate signed by the chief executive officer, chief financial officer, treasurer or controller of the Company (which delivery may, unless the Administrative Agent, or a Lender requests executed originals, be by electronic communication including fax or email and shall be deemed to be an original authentic counterpart thereof for all purposes);</w:t>
      </w:r>
    </w:p>
    <w:p>
      <w:pPr>
        <w:spacing w:after="0" w:line="17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86"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any request by the Administrative Agent or any Lender, copies of any detailed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1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after the furnishing thereof, copies of any material statement or report furnished to any holder of debt securities of any Borrower or any Restricted Subsidiary pursuant to the terms of any indenture, loan or credit or similar agreement, in each case, evidencing Indebtedness in excess of $40,000,000 (including, without limitation, copies of all material notices and other information delivered to or received from the Surety) and not otherwise required to be furnished to the Lenders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any other clause of this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4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and in any event within five Business Days after receipt thereof by the Company or any Restricted Subsidiary,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656"/>
        <w:spacing w:after="0" w:line="257" w:lineRule="auto"/>
        <w:tabs>
          <w:tab w:leader="none" w:pos="109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information and documentation reasonably requested by the Administrative Agent or any Lender for purposes of compliance with applicable “know your customer” rules and regulations and Anti-Money Laundering Laws, including, without limitation, the Act and the Beneficial Ownership Regulation; and</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6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information regarding the business, financial or corporate affairs of the Company or any Restricted Subsidiary, or compliance with the terms of the Loan Documents, as the Administrative Agent or any Lender (acting through the Administrative Agent) may from time to time reasonably request.</w:t>
      </w:r>
    </w:p>
    <w:p>
      <w:pPr>
        <w:spacing w:after="0" w:line="17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Documents required to be delivered pursuant to </w:t>
      </w:r>
      <w:r>
        <w:rPr>
          <w:rFonts w:ascii="Times New Roman" w:cs="Times New Roman" w:eastAsia="Times New Roman" w:hAnsi="Times New Roman"/>
          <w:sz w:val="22"/>
          <w:szCs w:val="22"/>
          <w:u w:val="single" w:color="auto"/>
          <w:color w:val="auto"/>
        </w:rPr>
        <w:t>Section 6.01(a)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6.02(c)</w:t>
      </w:r>
      <w:r>
        <w:rPr>
          <w:rFonts w:ascii="Times New Roman" w:cs="Times New Roman" w:eastAsia="Times New Roman" w:hAnsi="Times New Roman"/>
          <w:sz w:val="22"/>
          <w:szCs w:val="22"/>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deliver paper copies or soft copies (i.e. by electronic mail) of such documents to the Administrative Agent or any Lender upon its request to the Company to deliver such paper copies or soft copies.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Each Borrower hereby acknowledges that (a) the Administrative Agent and/or an Arranger may, but shall not be obligated to, make available to the Lenders and the L/C Issuer materials and/or information provided by or on behalf of the Borrowers hereunder (collectively, “</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by posting the Borrower Materials on Debt Domain, IntraLinks, SyndTrak or another similar electronic transmission system (the “</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and (b) certain of the Lenders (each, a “</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(although it may be sensitive and proprietary) with respect to such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10.07</w:t>
      </w:r>
      <w:r>
        <w:rPr>
          <w:rFonts w:ascii="Times New Roman" w:cs="Times New Roman" w:eastAsia="Times New Roman" w:hAnsi="Times New Roman"/>
          <w:sz w:val="21"/>
          <w:szCs w:val="21"/>
          <w:color w:val="auto"/>
        </w:rPr>
        <w:t>); (y) all Borrower Materials marked “PUBLIC” are permitted to be made available through a portion of the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22" w:right="339" w:bottom="1440" w:gutter="0" w:footer="0" w:header="0"/>
        </w:sectPr>
      </w:pPr>
    </w:p>
    <w:bookmarkStart w:id="237" w:name="page238"/>
    <w:bookmarkEnd w:id="237"/>
    <w:p>
      <w:pPr>
        <w:jc w:val="both"/>
        <w:spacing w:after="0" w:line="257" w:lineRule="auto"/>
        <w:rPr>
          <w:sz w:val="20"/>
          <w:szCs w:val="20"/>
          <w:color w:val="auto"/>
        </w:rPr>
      </w:pPr>
      <w:r>
        <w:rPr>
          <w:rFonts w:ascii="Times New Roman" w:cs="Times New Roman" w:eastAsia="Times New Roman" w:hAnsi="Times New Roman"/>
          <w:sz w:val="22"/>
          <w:szCs w:val="22"/>
          <w:color w:val="auto"/>
        </w:rPr>
        <w:t>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6.03 Notices. </w:t>
      </w:r>
      <w:r>
        <w:rPr>
          <w:rFonts w:ascii="Times New Roman" w:cs="Times New Roman" w:eastAsia="Times New Roman" w:hAnsi="Times New Roman"/>
          <w:sz w:val="22"/>
          <w:szCs w:val="22"/>
          <w:color w:val="auto"/>
        </w:rPr>
        <w:t>Reasonably promptly (and in any event within 5 Business Days) after any Borrower obtains 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thereof notify the Administrative Agent and each Lender (it being agreed that notice to the Lenders may be accomplished by the Administrative Agent posting such information on the Platform to the extent requested by the Company):</w:t>
      </w:r>
    </w:p>
    <w:p>
      <w:pPr>
        <w:spacing w:after="0" w:line="170" w:lineRule="exact"/>
        <w:rPr>
          <w:sz w:val="20"/>
          <w:szCs w:val="20"/>
          <w:color w:val="auto"/>
        </w:rPr>
      </w:pPr>
    </w:p>
    <w:p>
      <w:pPr>
        <w:ind w:left="1120" w:hanging="464"/>
        <w:spacing w:after="0"/>
        <w:tabs>
          <w:tab w:leader="none" w:pos="112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Default;</w:t>
      </w:r>
    </w:p>
    <w:p>
      <w:pPr>
        <w:spacing w:after="0" w:line="219" w:lineRule="exact"/>
        <w:rPr>
          <w:rFonts w:ascii="Times New Roman" w:cs="Times New Roman" w:eastAsia="Times New Roman" w:hAnsi="Times New Roman"/>
          <w:sz w:val="22"/>
          <w:szCs w:val="22"/>
          <w:color w:val="auto"/>
        </w:rPr>
      </w:pPr>
    </w:p>
    <w:p>
      <w:pPr>
        <w:jc w:val="both"/>
        <w:ind w:firstLine="656"/>
        <w:spacing w:after="0" w:line="251" w:lineRule="auto"/>
        <w:tabs>
          <w:tab w:leader="none" w:pos="117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matter that has resulted or could reasonably be expected to result in a Material Adverse Effect, including a Material Adverse Effect that has resulted, or could reasonably be expected to result, from (i) a breach or non-performance of, or any default under, a Contractual Obligation of the Company or any Restricted Subsidiary; (ii) any dispute, litigation, investigation, proceeding or suspension between the Company or any Subsidiary and any Governmental Authority; or (iii) the commencement of, or any material development in, any litigation or proceeding affecting the Company or any Restricted Subsidiary, including pursuant to any applicable Environmental Laws;</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occurrence of any ERISA Event;</w:t>
      </w:r>
    </w:p>
    <w:p>
      <w:pPr>
        <w:spacing w:after="0" w:line="233" w:lineRule="exact"/>
        <w:rPr>
          <w:rFonts w:ascii="Times New Roman" w:cs="Times New Roman" w:eastAsia="Times New Roman" w:hAnsi="Times New Roman"/>
          <w:sz w:val="22"/>
          <w:szCs w:val="22"/>
          <w:color w:val="auto"/>
        </w:rPr>
      </w:pPr>
    </w:p>
    <w:p>
      <w:pPr>
        <w:ind w:right="20" w:firstLine="656"/>
        <w:spacing w:after="0" w:line="271" w:lineRule="auto"/>
        <w:tabs>
          <w:tab w:leader="none" w:pos="120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any material change in accounting policies or financial reporting practices by the Company or any Restricted Subsidiary, including any determination by the Company referred to in </w:t>
      </w:r>
      <w:r>
        <w:rPr>
          <w:rFonts w:ascii="Times New Roman" w:cs="Times New Roman" w:eastAsia="Times New Roman" w:hAnsi="Times New Roman"/>
          <w:sz w:val="22"/>
          <w:szCs w:val="22"/>
          <w:u w:val="single" w:color="auto"/>
          <w:color w:val="auto"/>
        </w:rPr>
        <w:t>Section 2.10(b)</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any default under any Senior Notes Document; and</w:t>
      </w:r>
    </w:p>
    <w:p>
      <w:pPr>
        <w:spacing w:after="0" w:line="219" w:lineRule="exact"/>
        <w:rPr>
          <w:rFonts w:ascii="Times New Roman" w:cs="Times New Roman" w:eastAsia="Times New Roman" w:hAnsi="Times New Roman"/>
          <w:sz w:val="22"/>
          <w:szCs w:val="22"/>
          <w:color w:val="auto"/>
        </w:rPr>
      </w:pPr>
    </w:p>
    <w:p>
      <w:pPr>
        <w:jc w:val="both"/>
        <w:ind w:firstLine="656"/>
        <w:spacing w:after="0" w:line="281" w:lineRule="auto"/>
        <w:tabs>
          <w:tab w:leader="none" w:pos="1106"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addition of any Restricted Subsidiary as an Indemnitor under the Indemnity Agreement and of the occurrence of (i) any Default under and as defined in the Indemnity Agreement or (ii) of any fact, condition or event that only with the giving of notice or the passage of time or both, would become a Default under and as defined in the Indemnity Agreement.</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Each notice pursuant to this </w:t>
      </w:r>
      <w:r>
        <w:rPr>
          <w:rFonts w:ascii="Times New Roman" w:cs="Times New Roman" w:eastAsia="Times New Roman" w:hAnsi="Times New Roman"/>
          <w:sz w:val="22"/>
          <w:szCs w:val="22"/>
          <w:u w:val="single" w:color="auto"/>
          <w:color w:val="auto"/>
        </w:rPr>
        <w:t>Section 6.03</w:t>
      </w:r>
      <w:r>
        <w:rPr>
          <w:rFonts w:ascii="Times New Roman" w:cs="Times New Roman" w:eastAsia="Times New Roman" w:hAnsi="Times New Roman"/>
          <w:sz w:val="22"/>
          <w:szCs w:val="22"/>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2"/>
          <w:szCs w:val="22"/>
          <w:u w:val="single" w:color="auto"/>
          <w:color w:val="auto"/>
        </w:rPr>
        <w:t>Section 6.03(a)</w:t>
      </w:r>
      <w:r>
        <w:rPr>
          <w:rFonts w:ascii="Times New Roman" w:cs="Times New Roman" w:eastAsia="Times New Roman" w:hAnsi="Times New Roman"/>
          <w:sz w:val="22"/>
          <w:szCs w:val="22"/>
          <w:color w:val="auto"/>
        </w:rPr>
        <w:t xml:space="preserve"> shall describe with particularity any and all provisions of this Agreement and any other Loan Document that have been breached. Each notice pursuant to </w:t>
      </w:r>
      <w:r>
        <w:rPr>
          <w:rFonts w:ascii="Times New Roman" w:cs="Times New Roman" w:eastAsia="Times New Roman" w:hAnsi="Times New Roman"/>
          <w:sz w:val="22"/>
          <w:szCs w:val="22"/>
          <w:u w:val="single" w:color="auto"/>
          <w:color w:val="auto"/>
        </w:rPr>
        <w:t>Section 6.03(f)</w:t>
      </w:r>
      <w:r>
        <w:rPr>
          <w:rFonts w:ascii="Times New Roman" w:cs="Times New Roman" w:eastAsia="Times New Roman" w:hAnsi="Times New Roman"/>
          <w:sz w:val="22"/>
          <w:szCs w:val="22"/>
          <w:color w:val="auto"/>
        </w:rPr>
        <w:t xml:space="preserve"> shall describe with particularity any and all provisions of any Surety Credit Documents that have been breached.</w:t>
      </w:r>
    </w:p>
    <w:p>
      <w:pPr>
        <w:spacing w:after="0" w:line="175"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6.04 Payment of Obligations. </w:t>
      </w:r>
      <w:r>
        <w:rPr>
          <w:rFonts w:ascii="Times New Roman" w:cs="Times New Roman" w:eastAsia="Times New Roman" w:hAnsi="Times New Roman"/>
          <w:sz w:val="21"/>
          <w:szCs w:val="21"/>
          <w:color w:val="auto"/>
        </w:rPr>
        <w:t>Pay and discharge as the same shall become due and payable (a) all U.S. Federal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material Tax liabilities, assessments and governmental charges or levies upon it or its properties or assets, unless the same are being contested in good faith by appropriate proceedings diligently conducted and adequate reserves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71" w:lineRule="auto"/>
        <w:rPr>
          <w:sz w:val="20"/>
          <w:szCs w:val="20"/>
          <w:color w:val="auto"/>
        </w:rPr>
      </w:pPr>
      <w:r>
        <w:rPr>
          <w:rFonts w:ascii="Times New Roman" w:cs="Times New Roman" w:eastAsia="Times New Roman" w:hAnsi="Times New Roman"/>
          <w:sz w:val="22"/>
          <w:szCs w:val="22"/>
          <w:color w:val="auto"/>
        </w:rPr>
        <w:t>GAAP are being maintained by the Company or such Subsidiary; and (b) all lawful material claims which, if unpaid, would by law become a Lien upon its property.</w:t>
      </w:r>
    </w:p>
    <w:p>
      <w:pPr>
        <w:spacing w:after="0" w:line="15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6.05 Preservation of Existence, Etc. </w:t>
      </w:r>
      <w:r>
        <w:rPr>
          <w:rFonts w:ascii="Times New Roman" w:cs="Times New Roman" w:eastAsia="Times New Roman" w:hAnsi="Times New Roman"/>
          <w:sz w:val="22"/>
          <w:szCs w:val="22"/>
          <w:color w:val="auto"/>
        </w:rPr>
        <w:t>(a) Preserve, renew and maintain in full force and effect its legal existence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good standing under the Laws of the jurisdiction of its organization except in a transaction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7.05</w:t>
      </w:r>
      <w:r>
        <w:rPr>
          <w:rFonts w:ascii="Times New Roman" w:cs="Times New Roman" w:eastAsia="Times New Roman" w:hAnsi="Times New Roman"/>
          <w:sz w:val="22"/>
          <w:szCs w:val="22"/>
          <w:color w:val="auto"/>
        </w:rPr>
        <w:t>, except to the extent a failure to maintain good standing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6.06 Maintenance of Properties. </w:t>
      </w:r>
      <w:r>
        <w:rPr>
          <w:rFonts w:ascii="Times New Roman" w:cs="Times New Roman" w:eastAsia="Times New Roman" w:hAnsi="Times New Roman"/>
          <w:sz w:val="22"/>
          <w:szCs w:val="22"/>
          <w:color w:val="auto"/>
        </w:rPr>
        <w:t>Except where the failure to do so could not reasonably be expected to have a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Adverse Effect, (a) maintain, preserve and protect all of its material properties and equipment necessary in the operation of its business in good working order and condition, ordinary wear and tear excepted; and (b) make all necessary repairs thereto and renewals and replacements thereof.</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6.07 Maintenance of Insurance. </w:t>
      </w:r>
      <w:r>
        <w:rPr>
          <w:rFonts w:ascii="Times New Roman" w:cs="Times New Roman" w:eastAsia="Times New Roman" w:hAnsi="Times New Roman"/>
          <w:sz w:val="22"/>
          <w:szCs w:val="22"/>
          <w:color w:val="auto"/>
        </w:rPr>
        <w:t>Maintain with (a) financially sound and reputable insurance companies not 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and/or (b) a Captive Insurance Subsidiary, (i)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(ii) business interruption insurance in an amount not less than $3,000,000 per occurrence.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6.08 Compliance with Laws. </w:t>
      </w:r>
      <w:r>
        <w:rPr>
          <w:rFonts w:ascii="Times New Roman" w:cs="Times New Roman" w:eastAsia="Times New Roman" w:hAnsi="Times New Roman"/>
          <w:sz w:val="21"/>
          <w:szCs w:val="21"/>
          <w:color w:val="auto"/>
        </w:rPr>
        <w:t>Comply in all material respects with the requirements of all Laws and all orders, writs,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and its Subsidiaries shall comply with all Laws, orders, writs, injunctions and decrees described in </w:t>
      </w:r>
      <w:r>
        <w:rPr>
          <w:rFonts w:ascii="Times New Roman" w:cs="Times New Roman" w:eastAsia="Times New Roman" w:hAnsi="Times New Roman"/>
          <w:sz w:val="21"/>
          <w:szCs w:val="21"/>
          <w:u w:val="single" w:color="auto"/>
          <w:color w:val="auto"/>
        </w:rPr>
        <w:t>Section 5.23</w:t>
      </w:r>
      <w:r>
        <w:rPr>
          <w:rFonts w:ascii="Times New Roman" w:cs="Times New Roman" w:eastAsia="Times New Roman" w:hAnsi="Times New Roman"/>
          <w:sz w:val="21"/>
          <w:szCs w:val="21"/>
          <w:color w:val="auto"/>
        </w:rPr>
        <w:t xml:space="preserve"> in all respects.</w:t>
      </w:r>
    </w:p>
    <w:p>
      <w:pPr>
        <w:spacing w:after="0" w:line="17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6.09 Books and Records. </w:t>
      </w:r>
      <w:r>
        <w:rPr>
          <w:rFonts w:ascii="Times New Roman" w:cs="Times New Roman" w:eastAsia="Times New Roman" w:hAnsi="Times New Roman"/>
          <w:sz w:val="22"/>
          <w:szCs w:val="22"/>
          <w:color w:val="auto"/>
        </w:rPr>
        <w:t>Maintain proper books of record and account, in which full, true and correct entries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conformity with GAAP consistently applied shall be made of all financial transactions and matters involving the assets and business of the Company or such Restricted Subsidiary, as the case may be.</w:t>
      </w:r>
    </w:p>
    <w:p>
      <w:pPr>
        <w:spacing w:after="0" w:line="1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6.10 Inspection Rights. </w:t>
      </w:r>
      <w:r>
        <w:rPr>
          <w:rFonts w:ascii="Times New Roman" w:cs="Times New Roman" w:eastAsia="Times New Roman" w:hAnsi="Times New Roman"/>
          <w:sz w:val="22"/>
          <w:szCs w:val="22"/>
          <w:color w:val="auto"/>
        </w:rPr>
        <w:t>Permit representatives and independent contractors of the Administrative Agent to visit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 representatives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22" w:right="339" w:bottom="1440" w:gutter="0" w:footer="0" w:header="0"/>
        </w:sectPr>
      </w:pPr>
    </w:p>
    <w:bookmarkStart w:id="239" w:name="page240"/>
    <w:bookmarkEnd w:id="239"/>
    <w:p>
      <w:pPr>
        <w:jc w:val="both"/>
        <w:spacing w:after="0" w:line="251" w:lineRule="auto"/>
        <w:rPr>
          <w:sz w:val="20"/>
          <w:szCs w:val="20"/>
          <w:color w:val="auto"/>
        </w:rPr>
      </w:pPr>
      <w:r>
        <w:rPr>
          <w:rFonts w:ascii="Times New Roman" w:cs="Times New Roman" w:eastAsia="Times New Roman" w:hAnsi="Times New Roman"/>
          <w:sz w:val="22"/>
          <w:szCs w:val="22"/>
          <w:color w:val="auto"/>
        </w:rPr>
        <w:t>independent contractors of each Lender may accompany the representatives and independent contractors of the Administrative Agent on each such visit and inspection and participate therein, but at such Lender’s own expense, (b) unless an Event of Default exists, only one such visit, inspection, examination or discussion may be conducted per fiscal year and (c) when an Event of Default exists the Administrative Agent or any Lender (or any of their respective representatives or independent contractors) may do any of the foregoing as often as may be reasonably desired at the expense of the Company at any time during normal business hours and without advance notice.</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6.11 Use of Proceeds. </w:t>
      </w:r>
      <w:r>
        <w:rPr>
          <w:rFonts w:ascii="Times New Roman" w:cs="Times New Roman" w:eastAsia="Times New Roman" w:hAnsi="Times New Roman"/>
          <w:sz w:val="22"/>
          <w:szCs w:val="22"/>
          <w:color w:val="auto"/>
        </w:rPr>
        <w:t>Use the proceeds of the Credit Extensions (a) for working capital, capital expenditures and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corporate purposes not in contravention of any Law or of any Loan Document, (b) to finance Permitted Acquisitions, (c) to repay, prepay, redeem or repurchase the Senior Notes Indebtedness or any other Indebtedness and (d) in the case of the Loans advanced on the Closing Date, to repay in full all obligations outstanding under the Existing Credit Agreement.</w:t>
      </w:r>
    </w:p>
    <w:p>
      <w:pPr>
        <w:spacing w:after="0" w:line="168"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6.12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6.13 Compliance with Environmental Laws. </w:t>
      </w:r>
      <w:r>
        <w:rPr>
          <w:rFonts w:ascii="Times New Roman" w:cs="Times New Roman" w:eastAsia="Times New Roman" w:hAnsi="Times New Roman"/>
          <w:sz w:val="21"/>
          <w:szCs w:val="21"/>
          <w:color w:val="auto"/>
        </w:rPr>
        <w:t>Except where the failure to do so would not reasonably be expected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have a Material Adverse Effect,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applicable Environmental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neither the Company nor any of its Restricted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6.14 Further Assurances. </w:t>
      </w:r>
      <w:r>
        <w:rPr>
          <w:rFonts w:ascii="Times New Roman" w:cs="Times New Roman" w:eastAsia="Times New Roman" w:hAnsi="Times New Roman"/>
          <w:sz w:val="22"/>
          <w:szCs w:val="22"/>
          <w:color w:val="auto"/>
        </w:rPr>
        <w:t>Promptly upon request by the Administrative Agent, or any Lender through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carry out more effectively the purposes of the Loan Documents.</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6.15 Material Contracts. </w:t>
      </w:r>
      <w:r>
        <w:rPr>
          <w:rFonts w:ascii="Times New Roman" w:cs="Times New Roman" w:eastAsia="Times New Roman" w:hAnsi="Times New Roman"/>
          <w:sz w:val="22"/>
          <w:szCs w:val="22"/>
          <w:color w:val="auto"/>
        </w:rPr>
        <w:t>Except as could not reasonably be expected to have a Material Adverse Effect, perform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observe all the terms and provisions of each Material Contract to be performed or observed by it.</w:t>
      </w:r>
    </w:p>
    <w:p>
      <w:pPr>
        <w:spacing w:after="0" w:line="14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6.16 Designation as Senior Debt. </w:t>
      </w:r>
      <w:r>
        <w:rPr>
          <w:rFonts w:ascii="Times New Roman" w:cs="Times New Roman" w:eastAsia="Times New Roman" w:hAnsi="Times New Roman"/>
          <w:sz w:val="22"/>
          <w:szCs w:val="22"/>
          <w:color w:val="auto"/>
        </w:rPr>
        <w:t>Designate all Obligations as “Designated Senior Indebtedness” (or any similar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and defined in, any documentation evidencing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22"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other Indebtedness of the Company or any of its Restricted Subsidiaries in which such concept is applicable.</w:t>
      </w:r>
    </w:p>
    <w:p>
      <w:pPr>
        <w:spacing w:after="0" w:line="21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6.17</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6.18 Foreign Finance Company Plan</w:t>
      </w:r>
      <w:r>
        <w:rPr>
          <w:rFonts w:ascii="Times New Roman" w:cs="Times New Roman" w:eastAsia="Times New Roman" w:hAnsi="Times New Roman"/>
          <w:sz w:val="22"/>
          <w:szCs w:val="22"/>
          <w:color w:val="auto"/>
        </w:rPr>
        <w:t>. Cause all interest payments made on the FFC Notes to be paid to Luxco,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 of such notes, and immediately transferred to US Holdco as a Restricted Payment and immediately transferred to the Company as a Restricted Payment, such that all such transfers are made within a single Business Day to the extent commercially feasible.</w:t>
      </w:r>
    </w:p>
    <w:p>
      <w:pPr>
        <w:spacing w:after="0" w:line="16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6.19 Anti-Corruption Laws; Anti-Money Laundering Laws; Sanctions. </w:t>
      </w:r>
      <w:r>
        <w:rPr>
          <w:rFonts w:ascii="Times New Roman" w:cs="Times New Roman" w:eastAsia="Times New Roman" w:hAnsi="Times New Roman"/>
          <w:sz w:val="22"/>
          <w:szCs w:val="22"/>
          <w:color w:val="auto"/>
        </w:rPr>
        <w:t>Conduct its businesses in compliance in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material respects with all Anti-Corruption Laws and, to the extent applicable, all Anti-Money Laundering Laws, and maintain policies and procedures reasonably designed to promote and achieve compliance with such Laws and Sanctions.</w:t>
      </w:r>
    </w:p>
    <w:p>
      <w:pPr>
        <w:spacing w:after="0" w:line="16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NEGATIVE COVENANTS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So long as any Lender shall have any Commitment hereunder, any Loan or other Obligation (other than any contingent obligation in respect of which no claim has been made) hereunder shall remain unpaid or unsatisfied, or any Letter of Credit or Bankers’ Acceptance shall remain outstanding, the Company shall not, nor shall it permit any Restricted Subsidiary to, directly or indirectly, and solely in the case of </w:t>
      </w:r>
      <w:r>
        <w:rPr>
          <w:rFonts w:ascii="Times New Roman" w:cs="Times New Roman" w:eastAsia="Times New Roman" w:hAnsi="Times New Roman"/>
          <w:sz w:val="22"/>
          <w:szCs w:val="22"/>
          <w:u w:val="single" w:color="auto"/>
          <w:color w:val="auto"/>
        </w:rPr>
        <w:t>Section 7.19</w:t>
      </w:r>
      <w:r>
        <w:rPr>
          <w:rFonts w:ascii="Times New Roman" w:cs="Times New Roman" w:eastAsia="Times New Roman" w:hAnsi="Times New Roman"/>
          <w:sz w:val="22"/>
          <w:szCs w:val="22"/>
          <w:color w:val="auto"/>
        </w:rPr>
        <w:t>, the Company shall not:</w:t>
      </w:r>
    </w:p>
    <w:p>
      <w:pPr>
        <w:spacing w:after="0" w:line="172"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7.01 Liens. </w:t>
      </w:r>
      <w:r>
        <w:rPr>
          <w:rFonts w:ascii="Times New Roman" w:cs="Times New Roman" w:eastAsia="Times New Roman" w:hAnsi="Times New Roman"/>
          <w:sz w:val="22"/>
          <w:szCs w:val="22"/>
          <w:color w:val="auto"/>
        </w:rPr>
        <w:t>Create, incur, assume or suffer to exist any Lien upon any of its property, assets or revenues, whether now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or hereafter acquired, other than the following:</w:t>
      </w:r>
    </w:p>
    <w:p>
      <w:pPr>
        <w:spacing w:after="0" w:line="153" w:lineRule="exact"/>
        <w:rPr>
          <w:sz w:val="20"/>
          <w:szCs w:val="20"/>
          <w:color w:val="auto"/>
        </w:rPr>
      </w:pPr>
    </w:p>
    <w:p>
      <w:pPr>
        <w:ind w:left="1120" w:hanging="464"/>
        <w:spacing w:after="0"/>
        <w:tabs>
          <w:tab w:leader="none" w:pos="112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pursuant to any Loan Document;</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listed on </w:t>
      </w:r>
      <w:r>
        <w:rPr>
          <w:rFonts w:ascii="Times New Roman" w:cs="Times New Roman" w:eastAsia="Times New Roman" w:hAnsi="Times New Roman"/>
          <w:sz w:val="22"/>
          <w:szCs w:val="22"/>
          <w:u w:val="single" w:color="auto"/>
          <w:color w:val="auto"/>
        </w:rPr>
        <w:t>Schedule 7.01(b)</w:t>
      </w:r>
      <w:r>
        <w:rPr>
          <w:rFonts w:ascii="Times New Roman" w:cs="Times New Roman" w:eastAsia="Times New Roman" w:hAnsi="Times New Roman"/>
          <w:sz w:val="22"/>
          <w:szCs w:val="22"/>
          <w:color w:val="auto"/>
        </w:rPr>
        <w:t xml:space="preserve"> and any renewals or extensions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22"/>
          <w:szCs w:val="22"/>
          <w:u w:val="single" w:color="auto"/>
          <w:color w:val="auto"/>
        </w:rPr>
        <w:t>Section 7.03(d)</w:t>
      </w:r>
      <w:r>
        <w:rPr>
          <w:rFonts w:ascii="Times New Roman" w:cs="Times New Roman" w:eastAsia="Times New Roman" w:hAnsi="Times New Roman"/>
          <w:sz w:val="22"/>
          <w:szCs w:val="22"/>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2"/>
          <w:szCs w:val="22"/>
          <w:u w:val="single" w:color="auto"/>
          <w:color w:val="auto"/>
        </w:rPr>
        <w:t>Section 7.03(d)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12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statutory and common law liens of landlords and 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22" w:right="339" w:bottom="1440" w:gutter="0" w:footer="0" w:header="0"/>
        </w:sectPr>
      </w:pPr>
    </w:p>
    <w:bookmarkStart w:id="241" w:name="page242"/>
    <w:bookmarkEnd w:id="241"/>
    <w:p>
      <w:pPr>
        <w:ind w:firstLine="656"/>
        <w:spacing w:after="0" w:line="271" w:lineRule="auto"/>
        <w:tabs>
          <w:tab w:leader="none" w:pos="118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the ordinary course of business in connection with workers’ compensation, unemployment insurance and other social security legislation, other than any Lien imposed by ERISA;</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0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tenders, bids, trade contracts and leases (other than Indebtedness), statutory or regulatory obligations, bankers’ acceptances, appeal bonds, government contracts, and other obligations of a like nature incurred in the ordinary course of business;</w:t>
      </w:r>
    </w:p>
    <w:p>
      <w:pPr>
        <w:spacing w:after="0" w:line="167"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5"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municipal and zoning ordinances and other similar encumbrances affecting real property which, in the aggregate, are not substantial in amount, and which do not materially interfere with the ordinary conduct of the business of the applicable Person;</w:t>
      </w:r>
    </w:p>
    <w:p>
      <w:pPr>
        <w:spacing w:after="0" w:line="18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judgments for the payment of money not constituting an Event of Default under </w:t>
      </w:r>
      <w:r>
        <w:rPr>
          <w:rFonts w:ascii="Times New Roman" w:cs="Times New Roman" w:eastAsia="Times New Roman" w:hAnsi="Times New Roman"/>
          <w:sz w:val="22"/>
          <w:szCs w:val="22"/>
          <w:u w:val="single" w:color="auto"/>
          <w:color w:val="auto"/>
        </w:rPr>
        <w:t>Section 8.01(h)</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24"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Indebtedness permitted under </w:t>
      </w:r>
      <w:r>
        <w:rPr>
          <w:rFonts w:ascii="Times New Roman" w:cs="Times New Roman" w:eastAsia="Times New Roman" w:hAnsi="Times New Roman"/>
          <w:sz w:val="22"/>
          <w:szCs w:val="22"/>
          <w:u w:val="single" w:color="auto"/>
          <w:color w:val="auto"/>
        </w:rPr>
        <w:t>Section 7.03(g)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Liens do not at any time encumber any property other than the property financed by such Indebtedness and (ii) the Indebtedness secured thereby does not exceed the cost or fair market value (as determined by the Company in good faith), whichever is lower, of the property being acquired on the date of acquisition;</w:t>
      </w:r>
    </w:p>
    <w:p>
      <w:pPr>
        <w:spacing w:after="0" w:line="179" w:lineRule="exact"/>
        <w:rPr>
          <w:rFonts w:ascii="Times New Roman" w:cs="Times New Roman" w:eastAsia="Times New Roman" w:hAnsi="Times New Roman"/>
          <w:sz w:val="22"/>
          <w:szCs w:val="22"/>
          <w:color w:val="auto"/>
        </w:rPr>
      </w:pPr>
    </w:p>
    <w:p>
      <w:pPr>
        <w:ind w:firstLine="656"/>
        <w:spacing w:after="0" w:line="284" w:lineRule="auto"/>
        <w:tabs>
          <w:tab w:leader="none" w:pos="1117"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and customary rights of setoff upon deposits of cash in favor of banks and other depositary institutions and Liens of a collecting bank arising under the UCC on checks and other items of payment in the course of collection;</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8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Receivables sold in a Permitted Receivables Transaction arising solely as a result of a judicial or arbitral re-characterization of such Permitted Receivables Transaction;</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07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as a matter of law which secure the obligations of the Company or any Restricted Subsidiary (including any Person that becomes a Restricted Subsidiary pursuant to a Permitted Acquisition or an Investment permitted by this Agreement) under any surety bond provided in the ordinary course of business;</w:t>
      </w:r>
    </w:p>
    <w:p>
      <w:pPr>
        <w:spacing w:after="0" w:line="16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2"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set aside with respect to any Indebtedness in connection with a prepayment permitted hereunder, or government securities purchased with such cash, in either case, to the extent but only to the extent that such cash or government securities pre-fund the payment of principal and/or interest on such Indebtedness and are held in a collateral or escrow account or similar arrangement to be applied for such purpose;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22"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is permitted to be defeased under the terms thereof at the time such cash is set aside or securities are purchased;</w:t>
      </w:r>
    </w:p>
    <w:p>
      <w:pPr>
        <w:spacing w:after="0" w:line="220" w:lineRule="exact"/>
        <w:rPr>
          <w:sz w:val="20"/>
          <w:szCs w:val="20"/>
          <w:color w:val="auto"/>
        </w:rPr>
      </w:pPr>
    </w:p>
    <w:p>
      <w:pPr>
        <w:ind w:firstLine="656"/>
        <w:spacing w:after="0" w:line="271" w:lineRule="auto"/>
        <w:tabs>
          <w:tab w:leader="none" w:pos="1219"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granted to others that do not materially interfere with the ordinary course of business of the Company and its Restricted Subsidiaries, taken as a whole;</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0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lessors in any property subject to any operating lease, including Liens arising from precautionary UCC financing statements or similar filings made in respect of such leases;</w:t>
      </w:r>
    </w:p>
    <w:p>
      <w:pPr>
        <w:spacing w:after="0" w:line="157"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any Borrower;</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firstLine="656"/>
        <w:spacing w:after="0" w:line="271" w:lineRule="auto"/>
        <w:tabs>
          <w:tab w:leader="none" w:pos="1147"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7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the sale of goods entered into by the Company or any of its Restricted Subsidiaries in the ordinary course of business in accordance with the past practices of the Company and its Restricted Subsidiaries prior to the Closing Date;</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15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cash earnest money deposits made in connection with any letter of intent or purchase agreement in connection with an Investment permitted hereunder;</w:t>
      </w:r>
    </w:p>
    <w:p>
      <w:pPr>
        <w:spacing w:after="0" w:line="15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40"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(including put and call arrangements) with respect to capital stock of any joint venture or similar arrangement pursuant to any joint venture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entity formed as part of such joint venture remains subject to the provisions of this Agreement to the extent provided herein;</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5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reserves securing Indebtedness of the Company and its Subsidiaries in respect of surety bonds permitted by </w:t>
      </w:r>
      <w:r>
        <w:rPr>
          <w:rFonts w:ascii="Times New Roman" w:cs="Times New Roman" w:eastAsia="Times New Roman" w:hAnsi="Times New Roman"/>
          <w:sz w:val="22"/>
          <w:szCs w:val="22"/>
          <w:u w:val="single" w:color="auto"/>
          <w:color w:val="auto"/>
        </w:rPr>
        <w:t>Section 7.03(o)(i)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deposits and cash reserves provided by the Company and its Subsidiaries in respect of surety bonds permitted by </w:t>
      </w:r>
      <w:r>
        <w:rPr>
          <w:rFonts w:ascii="Times New Roman" w:cs="Times New Roman" w:eastAsia="Times New Roman" w:hAnsi="Times New Roman"/>
          <w:sz w:val="22"/>
          <w:szCs w:val="22"/>
          <w:u w:val="single" w:color="auto"/>
          <w:color w:val="auto"/>
        </w:rPr>
        <w:t>Section 7.03(o)(i)</w:t>
      </w:r>
      <w:r>
        <w:rPr>
          <w:rFonts w:ascii="Times New Roman" w:cs="Times New Roman" w:eastAsia="Times New Roman" w:hAnsi="Times New Roman"/>
          <w:sz w:val="22"/>
          <w:szCs w:val="22"/>
          <w:color w:val="auto"/>
        </w:rPr>
        <w:t xml:space="preserve"> shall not, at any time, exceed 10% of the aggregate amount of all such surety bonds; and</w:t>
      </w:r>
    </w:p>
    <w:p>
      <w:pPr>
        <w:spacing w:after="0" w:line="179" w:lineRule="exact"/>
        <w:rPr>
          <w:sz w:val="20"/>
          <w:szCs w:val="20"/>
          <w:color w:val="auto"/>
        </w:rPr>
      </w:pPr>
    </w:p>
    <w:p>
      <w:pPr>
        <w:jc w:val="both"/>
        <w:ind w:firstLine="656"/>
        <w:spacing w:after="0" w:line="263" w:lineRule="auto"/>
        <w:tabs>
          <w:tab w:leader="none" w:pos="1272"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amount of all Priority Indebtedness shall not exceed, at the time of creation, incurrence or assumption of such Lien (and after giving effect thereto), the greater of (i) $500,000,000 and (ii) an amount equal to 10% of Consolidated Net Tangible Assets at the time of such creation, incurrence or assumption.</w:t>
      </w:r>
    </w:p>
    <w:p>
      <w:pPr>
        <w:spacing w:after="0" w:line="16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7.02</w:t>
      </w:r>
      <w:r>
        <w:rPr>
          <w:sz w:val="20"/>
          <w:szCs w:val="20"/>
          <w:color w:val="auto"/>
        </w:rPr>
        <w:tab/>
      </w:r>
      <w:r>
        <w:rPr>
          <w:rFonts w:ascii="Times New Roman" w:cs="Times New Roman" w:eastAsia="Times New Roman" w:hAnsi="Times New Roman"/>
          <w:sz w:val="21"/>
          <w:szCs w:val="21"/>
          <w:b w:val="1"/>
          <w:bCs w:val="1"/>
          <w:color w:val="auto"/>
        </w:rPr>
        <w:t xml:space="preserve">Acquisitions. </w:t>
      </w:r>
      <w:r>
        <w:rPr>
          <w:rFonts w:ascii="Times New Roman" w:cs="Times New Roman" w:eastAsia="Times New Roman" w:hAnsi="Times New Roman"/>
          <w:sz w:val="21"/>
          <w:szCs w:val="21"/>
          <w:color w:val="auto"/>
        </w:rPr>
        <w:t>Make any Acquisition, except Permitted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22" w:right="339" w:bottom="1440" w:gutter="0" w:footer="0" w:header="0"/>
        </w:sectPr>
      </w:pPr>
    </w:p>
    <w:bookmarkStart w:id="243" w:name="page244"/>
    <w:bookmarkEnd w:id="243"/>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7.03</w:t>
      </w:r>
      <w:r>
        <w:rPr>
          <w:sz w:val="20"/>
          <w:szCs w:val="20"/>
          <w:color w:val="auto"/>
        </w:rPr>
        <w:tab/>
      </w:r>
      <w:r>
        <w:rPr>
          <w:rFonts w:ascii="Times New Roman" w:cs="Times New Roman" w:eastAsia="Times New Roman" w:hAnsi="Times New Roman"/>
          <w:sz w:val="21"/>
          <w:szCs w:val="21"/>
          <w:b w:val="1"/>
          <w:bCs w:val="1"/>
          <w:color w:val="auto"/>
        </w:rPr>
        <w:t xml:space="preserve">Indebtedness. </w:t>
      </w:r>
      <w:r>
        <w:rPr>
          <w:rFonts w:ascii="Times New Roman" w:cs="Times New Roman" w:eastAsia="Times New Roman" w:hAnsi="Times New Roman"/>
          <w:sz w:val="21"/>
          <w:szCs w:val="21"/>
          <w:color w:val="auto"/>
        </w:rPr>
        <w:t>Create, incur, assume or suffer to exist any Indebtedness, except:</w:t>
      </w:r>
    </w:p>
    <w:p>
      <w:pPr>
        <w:spacing w:after="0" w:line="224" w:lineRule="exact"/>
        <w:rPr>
          <w:sz w:val="20"/>
          <w:szCs w:val="20"/>
          <w:color w:val="auto"/>
        </w:rPr>
      </w:pPr>
    </w:p>
    <w:p>
      <w:pPr>
        <w:ind w:left="1120" w:hanging="464"/>
        <w:spacing w:after="0"/>
        <w:tabs>
          <w:tab w:leader="none" w:pos="11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Loan Documents;</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outstanding on the Closing Date and listed on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 xml:space="preserve"> and any Permitted Refinancing thereof;</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Guarantees of any Borrower in respect of Indebtedness otherwise permitted hereunder of any Borrower and (ii) Guarantees of any Restricted Subsidiary (other than MasTec NA) in respect of Indebtedness otherwise permitted hereunder of any other Restricted Subsidiary (other than MasTec NA);</w:t>
      </w:r>
    </w:p>
    <w:p>
      <w:pPr>
        <w:spacing w:after="0" w:line="186" w:lineRule="exact"/>
        <w:rPr>
          <w:rFonts w:ascii="Times New Roman" w:cs="Times New Roman" w:eastAsia="Times New Roman" w:hAnsi="Times New Roman"/>
          <w:sz w:val="22"/>
          <w:szCs w:val="22"/>
          <w:color w:val="auto"/>
        </w:rPr>
      </w:pPr>
    </w:p>
    <w:p>
      <w:pPr>
        <w:jc w:val="both"/>
        <w:ind w:firstLine="656"/>
        <w:spacing w:after="0" w:line="268" w:lineRule="auto"/>
        <w:tabs>
          <w:tab w:leader="none" w:pos="1179"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(contingent or otherwise) of the Company or any Restricted Subsidiary existing or arising under any Swap Contract,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w:t>
      </w:r>
    </w:p>
    <w:p>
      <w:pPr>
        <w:spacing w:after="0" w:line="163" w:lineRule="exact"/>
        <w:rPr>
          <w:rFonts w:ascii="Times New Roman" w:cs="Times New Roman" w:eastAsia="Times New Roman" w:hAnsi="Times New Roman"/>
          <w:sz w:val="21"/>
          <w:szCs w:val="21"/>
          <w:color w:val="auto"/>
        </w:rPr>
      </w:pPr>
    </w:p>
    <w:p>
      <w:pPr>
        <w:jc w:val="both"/>
        <w:ind w:firstLine="656"/>
        <w:spacing w:after="0" w:line="251" w:lineRule="auto"/>
        <w:tabs>
          <w:tab w:leader="none" w:pos="11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in respect of Capital Leases, Synthetic Lease Obligations and purchase money obligations for fixed or capital assets within the limitations set forth in </w:t>
      </w:r>
      <w:r>
        <w:rPr>
          <w:rFonts w:ascii="Times New Roman" w:cs="Times New Roman" w:eastAsia="Times New Roman" w:hAnsi="Times New Roman"/>
          <w:sz w:val="22"/>
          <w:szCs w:val="22"/>
          <w:u w:val="single" w:color="auto"/>
          <w:color w:val="auto"/>
        </w:rPr>
        <w:t>Section 7.01(i)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aggregate amount of all such Indebtedness, together with the aggregate amount of all Indebtedness outstanding pursuant to subclause (ii) of this clause (g), outstanding at the time of such incurrence (after giving effect to such Indebtedness) shall not exceed an amount equal to 10% of Consolidated Total Assets at the time of such incurrence; and (ii) Permitted Refinancings of Indebtedness incurred pursuant to the foregoing subclause (i) of this clause (g);</w:t>
      </w:r>
    </w:p>
    <w:p>
      <w:pPr>
        <w:spacing w:after="0" w:line="18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7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of any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 immediately after giving effect to the incurrence of any such Indebtedness, the Company will be in compliance, calculated on a Pro Forma Basis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1.09</w:t>
      </w:r>
      <w:r>
        <w:rPr>
          <w:rFonts w:ascii="Times New Roman" w:cs="Times New Roman" w:eastAsia="Times New Roman" w:hAnsi="Times New Roman"/>
          <w:sz w:val="22"/>
          <w:szCs w:val="22"/>
          <w:color w:val="auto"/>
        </w:rPr>
        <w:t xml:space="preserve">, with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(ii) such Indebtedness shall not mature earlier than the date that is 91 days after the latest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Indebtedness consisting of a customary bridge facility shall be deemed to satisfy this requirement so long as such Indebtedness automatically converts into long-term debt which satisfies this clause (ii), and (iii) such Indebtedness shall not be subject to any financial covenant which is more restrictive than the financial covenants in the Loan Documents at the time of the incurrence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18" w:right="339" w:bottom="1440" w:gutter="0" w:footer="0" w:header="0"/>
        </w:sectPr>
      </w:pPr>
    </w:p>
    <w:bookmarkStart w:id="244" w:name="page245"/>
    <w:bookmarkEnd w:id="244"/>
    <w:p>
      <w:pPr>
        <w:ind w:left="1220" w:hanging="564"/>
        <w:spacing w:after="0"/>
        <w:tabs>
          <w:tab w:leader="none" w:pos="122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(which is unsecured if owed by a Borrower) owed (i) to a Borrower or (ii) to any other Restricted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95" w:lineRule="exact"/>
        <w:rPr>
          <w:rFonts w:ascii="Times New Roman" w:cs="Times New Roman" w:eastAsia="Times New Roman" w:hAnsi="Times New Roman"/>
          <w:sz w:val="22"/>
          <w:szCs w:val="22"/>
          <w:color w:val="auto"/>
        </w:rPr>
      </w:pPr>
    </w:p>
    <w:p>
      <w:pPr>
        <w:jc w:val="both"/>
        <w:ind w:firstLine="656"/>
        <w:spacing w:after="0" w:line="263" w:lineRule="auto"/>
        <w:tabs>
          <w:tab w:leader="none" w:pos="108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the honoring by a bank or other financial institution of a check, draft or similar instrument inadvertently drawn against insufficient funds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Indebtedness is extinguished within five Business Days of incurrence;</w:t>
      </w:r>
    </w:p>
    <w:p>
      <w:pPr>
        <w:spacing w:after="0" w:line="167"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223"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adjustment of purchase price, earnout or similar obligations (including any Earnout Obligations), in each case, on customary terms incurred or assumed in connection with any Permitted Acquisition or permitted Disposition of any business or assets of any Restricted Subsidiary or Equity Interests of a Restricted Subsidiary;</w:t>
      </w:r>
    </w:p>
    <w:p>
      <w:pPr>
        <w:spacing w:after="0" w:line="18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deposits and advance payments received in the ordinary course of business;</w:t>
      </w:r>
    </w:p>
    <w:p>
      <w:pPr>
        <w:spacing w:after="0" w:line="219" w:lineRule="exact"/>
        <w:rPr>
          <w:rFonts w:ascii="Times New Roman" w:cs="Times New Roman" w:eastAsia="Times New Roman" w:hAnsi="Times New Roman"/>
          <w:sz w:val="22"/>
          <w:szCs w:val="22"/>
          <w:color w:val="auto"/>
        </w:rPr>
      </w:pPr>
    </w:p>
    <w:p>
      <w:pPr>
        <w:jc w:val="both"/>
        <w:ind w:firstLine="656"/>
        <w:spacing w:after="0" w:line="259" w:lineRule="auto"/>
        <w:tabs>
          <w:tab w:leader="none" w:pos="1154"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obligations of any Borrower or any Restricted Subsidiary under surety bonds provided in the ordinary course of business (and indemnity and reimbursement obligations related thereto), (ii) obligations of the Company and its Restricted Subsidiaries under any Surety Credit Documents, and (iii) obligations of any Restricted Subsidiary of the Company (including any Person with which such Restricted Subsidiary is merged or consolidated pursuant to the applicable Permitted Acquisition or other Investment permitted by this Agreement) that in either case is acquired subsequent to the Closing Date pursuant to a Permitted Acquisition or other Investment permitted by this Agreement with respect to any surety bonds in existence at the time of the applicable Permitted Acquisition or other Investment;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surety bonds (x) were provided in the ordinary course of business or (y) are released or replaced with surety bonds issued pursuant to Surety Credit Documents in accordance with this Agreement, or replaced with surety bonds provided in the ordinary course of business, within two hundred twenty-five</w:t>
      </w:r>
    </w:p>
    <w:p>
      <w:pPr>
        <w:ind w:left="520" w:hanging="512"/>
        <w:spacing w:after="0"/>
        <w:tabs>
          <w:tab w:leader="none" w:pos="52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date of such Permitted Acquisition or other Investment;</w:t>
      </w:r>
    </w:p>
    <w:p>
      <w:pPr>
        <w:spacing w:after="0" w:line="20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97"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repurchase or indemnification obligations arising as a result of any breach of any covenant or representation made as part of any Permitted Receivables Transaction; and</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116"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amount of all Priority Indebtedness shall not exceed, at the time of creation, incurrence or assumption of such Indebtedness (and after giving effect thereto), the greater of (i) $500,000,000 and (ii) an amount equal to 10% of Consolidated Net Tangible Assets at the time of such creation, incurrence or assumption.</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7.04 Fundamental Changes. </w:t>
      </w:r>
      <w:r>
        <w:rPr>
          <w:rFonts w:ascii="Times New Roman" w:cs="Times New Roman" w:eastAsia="Times New Roman" w:hAnsi="Times New Roman"/>
          <w:sz w:val="22"/>
          <w:szCs w:val="22"/>
          <w:color w:val="auto"/>
        </w:rPr>
        <w:t>Merge, dissolve, liquidate, consolidate with or into another Person, or Dispose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(whether in one transaction or in a series of transactions) all or substantially all of its assets (whether now owned or hereafter acquired) to or in favor of any Person, except that, so long as no Default exists or would result therefrom (other than in the case of the Indigo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22" w:right="339" w:bottom="1440" w:gutter="0" w:footer="0" w:header="0"/>
        </w:sectPr>
      </w:pPr>
    </w:p>
    <w:bookmarkStart w:id="245" w:name="page246"/>
    <w:bookmarkEnd w:id="245"/>
    <w:p>
      <w:pPr>
        <w:jc w:val="both"/>
        <w:ind w:firstLine="656"/>
        <w:spacing w:after="0" w:line="257" w:lineRule="auto"/>
        <w:tabs>
          <w:tab w:leader="none" w:pos="112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merge into or consolidate with (i)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be the continuing or surviving Person, or (ii) any one or more other Restricted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when MasTec NA is merging into or consolidating with another Restricted Subsidiary, MasTec NA shall be the continuing or surviving Person;</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345"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Subsidiary may Dispose of all or substantially all of its assets (upon voluntary liquidation or otherwise) to the Company or to another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transferor in such a transaction is MasTec NA, then the transferee must be the Company;</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6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Permitted Acquisition, any Restricted Subsidiary of the Company may merge into or consolidate with any other Person or permit any other Person to merge into or consolidate with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Person surviving such merger or consolidation shall be a Restricted Subsidiary of the Company and (ii) in the case of any such merger or consolidation to which MasTec NA is a party, MasTec NA or the Company shall be the continuing or surviving Person; and</w:t>
      </w:r>
    </w:p>
    <w:p>
      <w:pPr>
        <w:spacing w:after="0" w:line="176" w:lineRule="exact"/>
        <w:rPr>
          <w:rFonts w:ascii="Times New Roman" w:cs="Times New Roman" w:eastAsia="Times New Roman" w:hAnsi="Times New Roman"/>
          <w:sz w:val="22"/>
          <w:szCs w:val="22"/>
          <w:color w:val="auto"/>
        </w:rPr>
      </w:pPr>
    </w:p>
    <w:p>
      <w:pPr>
        <w:jc w:val="both"/>
        <w:ind w:firstLine="656"/>
        <w:spacing w:after="0" w:line="261" w:lineRule="auto"/>
        <w:tabs>
          <w:tab w:leader="none" w:pos="1142"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Company and any of its Restricted Subsidiaries may merge into or consolidate with any other Person or permit any other Person to merge into or consolidate with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merger or consolidation is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(and, if not an Acquisition, such merger or consolidation is part of a transaction or series of transactions that would satisfy the requirements set forth in the definition of “Permitted Acquisition”, if such merger or consolidation were an Acquisition, and does not conflict with any other provision of this Agreement)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each case, immediately after giving effect thereto (i) in the case of any such merger or consolidation to which the Company is a party, the Company is the surviving Person and (ii) in the case of any merger or consolidation to which the Company is not a party, (A) the Person surviving such merger or consolidation shall be a Restricted Subsidiary and (B) in the case of any such merger or consolidation to which MasTec NA is a party, MasTec NA or the Company shall be the continuing or surviving Person.</w:t>
      </w:r>
    </w:p>
    <w:p>
      <w:pPr>
        <w:spacing w:after="0" w:line="18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7.05</w:t>
      </w:r>
      <w:r>
        <w:rPr>
          <w:sz w:val="20"/>
          <w:szCs w:val="20"/>
          <w:color w:val="auto"/>
        </w:rPr>
        <w:tab/>
      </w:r>
      <w:r>
        <w:rPr>
          <w:rFonts w:ascii="Times New Roman" w:cs="Times New Roman" w:eastAsia="Times New Roman" w:hAnsi="Times New Roman"/>
          <w:sz w:val="21"/>
          <w:szCs w:val="21"/>
          <w:b w:val="1"/>
          <w:bCs w:val="1"/>
          <w:color w:val="auto"/>
        </w:rPr>
        <w:t xml:space="preserve">Dispositions. </w:t>
      </w:r>
      <w:r>
        <w:rPr>
          <w:rFonts w:ascii="Times New Roman" w:cs="Times New Roman" w:eastAsia="Times New Roman" w:hAnsi="Times New Roman"/>
          <w:sz w:val="21"/>
          <w:szCs w:val="21"/>
          <w:color w:val="auto"/>
        </w:rPr>
        <w:t>Make any Disposition or enter into any agreement to make any Disposition, except:</w:t>
      </w:r>
    </w:p>
    <w:p>
      <w:pPr>
        <w:spacing w:after="0" w:line="224" w:lineRule="exact"/>
        <w:rPr>
          <w:sz w:val="20"/>
          <w:szCs w:val="20"/>
          <w:color w:val="auto"/>
        </w:rPr>
      </w:pPr>
    </w:p>
    <w:p>
      <w:pPr>
        <w:ind w:firstLine="656"/>
        <w:spacing w:after="0" w:line="271" w:lineRule="auto"/>
        <w:tabs>
          <w:tab w:leader="none" w:pos="1104"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obsolete, worn out, excess, surplus or idle property or property no longer used in the business of such Person, whether now owned or hereafter acquired, in the ordinary course of business;</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inventory in the ordinary course of business;</w:t>
      </w:r>
    </w:p>
    <w:p>
      <w:pPr>
        <w:spacing w:after="0" w:line="219" w:lineRule="exact"/>
        <w:rPr>
          <w:rFonts w:ascii="Times New Roman" w:cs="Times New Roman" w:eastAsia="Times New Roman" w:hAnsi="Times New Roman"/>
          <w:sz w:val="22"/>
          <w:szCs w:val="22"/>
          <w:color w:val="auto"/>
        </w:rPr>
      </w:pPr>
    </w:p>
    <w:p>
      <w:pPr>
        <w:jc w:val="both"/>
        <w:ind w:firstLine="656"/>
        <w:spacing w:after="0" w:line="263" w:lineRule="auto"/>
        <w:tabs>
          <w:tab w:leader="none" w:pos="118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property by any Borrower or Restricted Subsidiary to any Borrower or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22" w:right="339" w:bottom="1440" w:gutter="0" w:footer="0" w:header="0"/>
        </w:sectPr>
      </w:pPr>
    </w:p>
    <w:bookmarkStart w:id="246" w:name="page247"/>
    <w:bookmarkEnd w:id="246"/>
    <w:p>
      <w:pPr>
        <w:ind w:left="1120" w:hanging="464"/>
        <w:spacing w:after="0"/>
        <w:tabs>
          <w:tab w:leader="none" w:pos="112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permitted by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made as part of the Foreign Finance Company Plan;</w:t>
      </w:r>
    </w:p>
    <w:p>
      <w:pPr>
        <w:spacing w:after="0" w:line="219" w:lineRule="exact"/>
        <w:rPr>
          <w:rFonts w:ascii="Times New Roman" w:cs="Times New Roman" w:eastAsia="Times New Roman" w:hAnsi="Times New Roman"/>
          <w:sz w:val="22"/>
          <w:szCs w:val="22"/>
          <w:color w:val="auto"/>
        </w:rPr>
      </w:pPr>
    </w:p>
    <w:p>
      <w:pPr>
        <w:jc w:val="both"/>
        <w:ind w:firstLine="656"/>
        <w:spacing w:after="0" w:line="252" w:lineRule="auto"/>
        <w:tabs>
          <w:tab w:leader="none" w:pos="126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by the Company and its Restricted Subsidiaries not otherwise permitted under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Disposition, (i) no Default shall exist or would result from such Disposition, (ii) the aggregate book value of all property Disposed of in reliance on this clause (g) (after giving effect to such Disposition) after the Closing Date shall not exceed an amount equal to 35% of Consolidated Total Assets at the time of such Disposition and (iii) the aggregate book value of all property Disposed of in reliance on this clause (g) (after giving effect to such Disposition) after the Closing Date in a single Disposition transaction shall not exceed an amount equal to 20% of Consolidated Total Assets at the time of such Disposition;</w:t>
      </w:r>
    </w:p>
    <w:p>
      <w:pPr>
        <w:spacing w:after="0" w:line="179"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non-exclusive licenses or sublicenses of IP Rights in the ordinary course of business and substantially consistent with past practice, and leases or subleases granted to others that do not materially interfere with the ordinary course of business of the Company or any of its Restricted Subsidiaries;</w:t>
      </w:r>
    </w:p>
    <w:p>
      <w:pPr>
        <w:spacing w:after="0" w:line="172" w:lineRule="exact"/>
        <w:rPr>
          <w:rFonts w:ascii="Times New Roman" w:cs="Times New Roman" w:eastAsia="Times New Roman" w:hAnsi="Times New Roman"/>
          <w:sz w:val="22"/>
          <w:szCs w:val="22"/>
          <w:color w:val="auto"/>
        </w:rPr>
      </w:pPr>
    </w:p>
    <w:p>
      <w:pPr>
        <w:jc w:val="both"/>
        <w:ind w:firstLine="656"/>
        <w:spacing w:after="0" w:line="256" w:lineRule="auto"/>
        <w:tabs>
          <w:tab w:leader="none" w:pos="1235"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non-core assets acquired in a Permitted Acquisition by the Company or any of its Restricted Subsidiaries within 18 months of such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non-core assets, in the aggregate, do not exceed 40% of the consolidated net assets (measured using the definition of “Consolidated Net Assets”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measured as of the date of such Permitted Acquisition) acquired pursuant to such Permitted Acquisition;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97"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of or payment in respect of, or series of settlements or payments in respect of, any property or casualty insurance claim or any condemnation proceeding relating to any asset of the Company or any of its Restricted Subsidiaries;</w:t>
      </w:r>
    </w:p>
    <w:p>
      <w:pPr>
        <w:spacing w:after="0" w:line="186" w:lineRule="exact"/>
        <w:rPr>
          <w:rFonts w:ascii="Times New Roman" w:cs="Times New Roman" w:eastAsia="Times New Roman" w:hAnsi="Times New Roman"/>
          <w:sz w:val="22"/>
          <w:szCs w:val="22"/>
          <w:color w:val="auto"/>
        </w:rPr>
      </w:pPr>
    </w:p>
    <w:p>
      <w:pPr>
        <w:ind w:right="20" w:firstLine="656"/>
        <w:spacing w:after="0" w:line="271" w:lineRule="auto"/>
        <w:tabs>
          <w:tab w:leader="none" w:pos="1181"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Dispositions of property constituting the making of Investments permitted under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and Dispositions of property constituting the making of Restricted Payments permitted by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right="20" w:firstLine="656"/>
        <w:spacing w:after="0" w:line="271" w:lineRule="auto"/>
        <w:tabs>
          <w:tab w:leader="none" w:pos="121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sale of past due accounts receivable in the ordinary course of business consistent with the practices of similarly situated companies and (ii) Dispositions made as part of a Permitted Receivables Transaction; and</w:t>
      </w:r>
    </w:p>
    <w:p>
      <w:pPr>
        <w:spacing w:after="0" w:line="157"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 Leaseback Transactions permitted by </w:t>
      </w:r>
      <w:r>
        <w:rPr>
          <w:rFonts w:ascii="Times New Roman" w:cs="Times New Roman" w:eastAsia="Times New Roman" w:hAnsi="Times New Roman"/>
          <w:sz w:val="22"/>
          <w:szCs w:val="22"/>
          <w:u w:val="single" w:color="auto"/>
          <w:color w:val="auto"/>
        </w:rPr>
        <w:t>Section 7.17</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Disposition pursuant to clauses (a) through (m) shall be for fair market value.</w:t>
      </w:r>
    </w:p>
    <w:p>
      <w:pPr>
        <w:spacing w:after="0" w:line="21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7.06 Restricted Payments. </w:t>
      </w:r>
      <w:r>
        <w:rPr>
          <w:rFonts w:ascii="Times New Roman" w:cs="Times New Roman" w:eastAsia="Times New Roman" w:hAnsi="Times New Roman"/>
          <w:sz w:val="22"/>
          <w:szCs w:val="22"/>
          <w:color w:val="auto"/>
        </w:rPr>
        <w:t>Declare or make, directly or indirectly, any Restricted Payment, or incur any obligation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(contingent or otherwise) to do so, except that, so long as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22"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2"/>
          <w:szCs w:val="22"/>
          <w:color w:val="auto"/>
        </w:rPr>
        <w:t>Default shall have occurred and be continuing at the time of any action described below or would result therefrom:</w:t>
      </w:r>
    </w:p>
    <w:p>
      <w:pPr>
        <w:spacing w:after="0" w:line="220" w:lineRule="exact"/>
        <w:rPr>
          <w:sz w:val="20"/>
          <w:szCs w:val="20"/>
          <w:color w:val="auto"/>
        </w:rPr>
      </w:pPr>
    </w:p>
    <w:p>
      <w:pPr>
        <w:jc w:val="both"/>
        <w:ind w:firstLine="656"/>
        <w:spacing w:after="0" w:line="263" w:lineRule="auto"/>
        <w:tabs>
          <w:tab w:leader="none" w:pos="121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may make Restricted Payments to any Borrower and any other Person that owns an Equity Interest in such Restricted Subsidiary, ratably according to their respective holdings of the type of Equity Interest in respect of which such Restricted Payment is being made;</w:t>
      </w:r>
    </w:p>
    <w:p>
      <w:pPr>
        <w:spacing w:after="0" w:line="167" w:lineRule="exact"/>
        <w:rPr>
          <w:rFonts w:ascii="Times New Roman" w:cs="Times New Roman" w:eastAsia="Times New Roman" w:hAnsi="Times New Roman"/>
          <w:sz w:val="22"/>
          <w:szCs w:val="22"/>
          <w:color w:val="auto"/>
        </w:rPr>
      </w:pPr>
    </w:p>
    <w:p>
      <w:pPr>
        <w:ind w:right="20" w:firstLine="656"/>
        <w:spacing w:after="0" w:line="271" w:lineRule="auto"/>
        <w:tabs>
          <w:tab w:leader="none" w:pos="126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Restricted Subsidiary may declare and make dividend payments or other distributions payable solely in the common stock or other common Equity Interests of such Person;</w:t>
      </w:r>
    </w:p>
    <w:p>
      <w:pPr>
        <w:spacing w:after="0" w:line="157" w:lineRule="exact"/>
        <w:rPr>
          <w:rFonts w:ascii="Times New Roman" w:cs="Times New Roman" w:eastAsia="Times New Roman" w:hAnsi="Times New Roman"/>
          <w:sz w:val="22"/>
          <w:szCs w:val="22"/>
          <w:color w:val="auto"/>
        </w:rPr>
      </w:pPr>
    </w:p>
    <w:p>
      <w:pPr>
        <w:jc w:val="both"/>
        <w:ind w:firstLine="656"/>
        <w:spacing w:after="0" w:line="263" w:lineRule="auto"/>
        <w:tabs>
          <w:tab w:leader="none" w:pos="1135"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Restricted Subsidiary may purchase, redeem or otherwise acquire Equity Interests issued by it with the proceeds received from the substantially concurrent issue of new shares of its common stock or other common Equity Interests;</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48"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make Restricted Payments, so long as (i) the Company is in compliance with the financial covenants set forth in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calculated on a Pro Forma Basis pursuant to </w:t>
      </w:r>
      <w:r>
        <w:rPr>
          <w:rFonts w:ascii="Times New Roman" w:cs="Times New Roman" w:eastAsia="Times New Roman" w:hAnsi="Times New Roman"/>
          <w:sz w:val="22"/>
          <w:szCs w:val="22"/>
          <w:u w:val="single" w:color="auto"/>
          <w:color w:val="auto"/>
        </w:rPr>
        <w:t>Section 1.09</w:t>
      </w:r>
      <w:r>
        <w:rPr>
          <w:rFonts w:ascii="Times New Roman" w:cs="Times New Roman" w:eastAsia="Times New Roman" w:hAnsi="Times New Roman"/>
          <w:sz w:val="22"/>
          <w:szCs w:val="22"/>
          <w:color w:val="auto"/>
        </w:rPr>
        <w:t xml:space="preserve"> after giving effect thereto and any Indebtedness incurred or to be incurred in connection therewith and (ii) immediately after giving effect thereto, the Available Liquidity shall not be less than $100,000,000; and</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Restricted Subsidiary may make Restricted Payments as part of the Foreign Finance Company Plan.</w:t>
      </w:r>
    </w:p>
    <w:p>
      <w:pPr>
        <w:spacing w:after="0" w:line="22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7.07 Change in Nature of Business. </w:t>
      </w:r>
      <w:r>
        <w:rPr>
          <w:rFonts w:ascii="Times New Roman" w:cs="Times New Roman" w:eastAsia="Times New Roman" w:hAnsi="Times New Roman"/>
          <w:sz w:val="22"/>
          <w:szCs w:val="22"/>
          <w:color w:val="auto"/>
        </w:rPr>
        <w:t>Engage in any material line of business substantially different from those lines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business conducted by it on the Closing Date and any business or activities which are similar, related or incidental thereto.</w:t>
      </w:r>
    </w:p>
    <w:p>
      <w:pPr>
        <w:spacing w:after="0" w:line="14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7.08 Transactions with Affiliates. </w:t>
      </w:r>
      <w:r>
        <w:rPr>
          <w:rFonts w:ascii="Times New Roman" w:cs="Times New Roman" w:eastAsia="Times New Roman" w:hAnsi="Times New Roman"/>
          <w:sz w:val="22"/>
          <w:szCs w:val="22"/>
          <w:color w:val="auto"/>
        </w:rPr>
        <w:t>Enter into any transaction of any kind with any Affiliate of the Company, whether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not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 shall not apply to (a) the transactions contemplated by the Loan Documents; (b) payment of reasonable compensation to officers and employees for services actually rendered to Borrowers or their respective Subsidiaries; (c) payment of customary directors’ fees and indemnities; (d) transactions with Affiliates that were consummated prior to the Closing Date and are set forth on </w:t>
      </w:r>
      <w:r>
        <w:rPr>
          <w:rFonts w:ascii="Times New Roman" w:cs="Times New Roman" w:eastAsia="Times New Roman" w:hAnsi="Times New Roman"/>
          <w:sz w:val="22"/>
          <w:szCs w:val="22"/>
          <w:u w:val="single" w:color="auto"/>
          <w:color w:val="auto"/>
        </w:rPr>
        <w:t>Schedule 7.08</w:t>
      </w:r>
      <w:r>
        <w:rPr>
          <w:rFonts w:ascii="Times New Roman" w:cs="Times New Roman" w:eastAsia="Times New Roman" w:hAnsi="Times New Roman"/>
          <w:sz w:val="22"/>
          <w:szCs w:val="22"/>
          <w:color w:val="auto"/>
        </w:rPr>
        <w:t xml:space="preserve">; (e) transactions with Affiliates upon fair and reasonable terms and are no less favorable to the Company or such Restricted Subsidiary than the Company or such Restricted Subsidiary would obtain in a comparable arm’s length transaction with a Person not an Affiliate of the Company or such Restricted Subsidiary; (f) transactions between or among the Borrowers and their Restricted Subsidiaries subject to compliance by such Subsidiaries with the other requirements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and (g) transactions (or a series of related transactions) not involving aggregate consideration in excess of $25,000,000.</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7.09 Burdensome Agreements. </w:t>
      </w:r>
      <w:r>
        <w:rPr>
          <w:rFonts w:ascii="Times New Roman" w:cs="Times New Roman" w:eastAsia="Times New Roman" w:hAnsi="Times New Roman"/>
          <w:sz w:val="22"/>
          <w:szCs w:val="22"/>
          <w:color w:val="auto"/>
        </w:rPr>
        <w:t>Enter into or permit to exist any Contractual Obligation (other than this Agreement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Loan Document) that (a) limits the ability (i) of any Restricted Subsidiary to make Restricted Payments to any Borrower or to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22" w:right="339" w:bottom="1440" w:gutter="0" w:footer="0" w:header="0"/>
        </w:sectPr>
      </w:pPr>
    </w:p>
    <w:bookmarkStart w:id="248" w:name="page249"/>
    <w:bookmarkEnd w:id="24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transfer property to any Borrower, except in each case for any agreement in effect on the Closing Date and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7.09</w:t>
      </w:r>
      <w:r>
        <w:rPr>
          <w:rFonts w:ascii="Times New Roman" w:cs="Times New Roman" w:eastAsia="Times New Roman" w:hAnsi="Times New Roman"/>
          <w:sz w:val="22"/>
          <w:szCs w:val="22"/>
          <w:color w:val="auto"/>
        </w:rPr>
        <w:t xml:space="preserve">, (ii) of any Restricted Subsidiary to Guarantee the Indebtedness of any Borrower or (iii) of the Company or any Restricted Subsidiary to create, incur, assume or suffer to exist Liens on property of such Person to secure the Obligations or (b) requires the grant of a Lien to secure an obligation of such Person if a Lien is granted to secure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shall not prohibit any restriction or requirement existing under or by reason of (i) applicable Law, (ii) any agreement relating to Indebtedness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xml:space="preserve">, (iii) customary non-assignment provisions with respect to leases or licensing agreements entered into by any Borrower or any of its Subsidiaries, (iv) customary restrictions contained in an agreement related to the sale of property (to the extent such sale is permitted pursuant to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that limit the transfer of such property pending the consummation of such sale, (v) customary provisions restricting assignment of any agreement entered into in the ordinary course of a business, (vi) customary provisions in joint venture agreements or other similar agreements applicable to joint ventures, or (vii) customary restrictions on cash or other deposits or net worth imposed by customers, suppliers or landlords or required by insurance, surety or bonding companies, in each case, under contracts entered into in the ordinary course of business.</w:t>
      </w:r>
    </w:p>
    <w:p>
      <w:pPr>
        <w:spacing w:after="0" w:line="18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7.10</w:t>
      </w:r>
      <w:r>
        <w:rPr>
          <w:sz w:val="20"/>
          <w:szCs w:val="20"/>
          <w:color w:val="auto"/>
        </w:rPr>
        <w:tab/>
      </w:r>
      <w:r>
        <w:rPr>
          <w:rFonts w:ascii="Times New Roman" w:cs="Times New Roman" w:eastAsia="Times New Roman" w:hAnsi="Times New Roman"/>
          <w:sz w:val="21"/>
          <w:szCs w:val="21"/>
          <w:b w:val="1"/>
          <w:bCs w:val="1"/>
          <w:color w:val="auto"/>
        </w:rPr>
        <w:t>Use of Proceeds.</w:t>
      </w:r>
    </w:p>
    <w:p>
      <w:pPr>
        <w:spacing w:after="0" w:line="237" w:lineRule="exact"/>
        <w:rPr>
          <w:sz w:val="20"/>
          <w:szCs w:val="20"/>
          <w:color w:val="auto"/>
        </w:rPr>
      </w:pPr>
    </w:p>
    <w:p>
      <w:pPr>
        <w:jc w:val="both"/>
        <w:ind w:firstLine="656"/>
        <w:spacing w:after="0" w:line="257" w:lineRule="auto"/>
        <w:tabs>
          <w:tab w:leader="none" w:pos="1161"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72" w:lineRule="exact"/>
        <w:rPr>
          <w:rFonts w:ascii="Times New Roman" w:cs="Times New Roman" w:eastAsia="Times New Roman" w:hAnsi="Times New Roman"/>
          <w:sz w:val="22"/>
          <w:szCs w:val="22"/>
          <w:color w:val="auto"/>
        </w:rPr>
      </w:pPr>
    </w:p>
    <w:p>
      <w:pPr>
        <w:jc w:val="both"/>
        <w:ind w:firstLine="656"/>
        <w:spacing w:after="0" w:line="251" w:lineRule="auto"/>
        <w:tabs>
          <w:tab w:leader="none" w:pos="111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to any Borrower’s knowledge,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 violation by any individual or entity (including any individual or entity participating in the transaction, whether as Lender, Arranger, Administrative Agent, L/C Issuer, Swing Line Lender, or otherwise) of applicable Sanctions.</w:t>
      </w:r>
    </w:p>
    <w:p>
      <w:pPr>
        <w:spacing w:after="0" w:line="181" w:lineRule="exact"/>
        <w:rPr>
          <w:rFonts w:ascii="Times New Roman" w:cs="Times New Roman" w:eastAsia="Times New Roman" w:hAnsi="Times New Roman"/>
          <w:sz w:val="22"/>
          <w:szCs w:val="22"/>
          <w:color w:val="auto"/>
        </w:rPr>
      </w:pPr>
    </w:p>
    <w:p>
      <w:pPr>
        <w:ind w:firstLine="656"/>
        <w:spacing w:after="0" w:line="284" w:lineRule="auto"/>
        <w:tabs>
          <w:tab w:leader="none" w:pos="110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to any Borrower’s knowledge, indirectly use the proceeds of any Credit Extension for any purpose which would breach any Anti-Corruption Law or any Anti-Money Laundering Law.</w:t>
      </w:r>
    </w:p>
    <w:p>
      <w:pPr>
        <w:spacing w:after="0" w:line="14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7.11</w:t>
      </w:r>
      <w:r>
        <w:rPr>
          <w:sz w:val="20"/>
          <w:szCs w:val="20"/>
          <w:color w:val="auto"/>
        </w:rPr>
        <w:tab/>
      </w:r>
      <w:r>
        <w:rPr>
          <w:rFonts w:ascii="Times New Roman" w:cs="Times New Roman" w:eastAsia="Times New Roman" w:hAnsi="Times New Roman"/>
          <w:sz w:val="21"/>
          <w:szCs w:val="21"/>
          <w:b w:val="1"/>
          <w:bCs w:val="1"/>
          <w:color w:val="auto"/>
        </w:rPr>
        <w:t>Financial Covenants.</w:t>
      </w:r>
    </w:p>
    <w:p>
      <w:pPr>
        <w:spacing w:after="0" w:line="220" w:lineRule="exact"/>
        <w:rPr>
          <w:sz w:val="20"/>
          <w:szCs w:val="20"/>
          <w:color w:val="auto"/>
        </w:rPr>
      </w:pPr>
    </w:p>
    <w:p>
      <w:pPr>
        <w:ind w:firstLine="656"/>
        <w:spacing w:after="0" w:line="275" w:lineRule="auto"/>
        <w:tabs>
          <w:tab w:leader="none" w:pos="1117"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Consolidated Interest Coverage Ratio. </w:t>
      </w:r>
      <w:r>
        <w:rPr>
          <w:rFonts w:ascii="Times New Roman" w:cs="Times New Roman" w:eastAsia="Times New Roman" w:hAnsi="Times New Roman"/>
          <w:sz w:val="22"/>
          <w:szCs w:val="22"/>
          <w:color w:val="auto"/>
        </w:rPr>
        <w:t>Permit the Consolidated Interest Coverage Ratio as of the end of any fiscal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quarter of the Company (commencing with the fiscal quarter ending September 30, 2021) to be less than 3.00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22" w:right="339" w:bottom="1440" w:gutter="0" w:footer="0" w:header="0"/>
        </w:sectPr>
      </w:pPr>
    </w:p>
    <w:bookmarkStart w:id="249" w:name="page250"/>
    <w:bookmarkEnd w:id="249"/>
    <w:p>
      <w:pPr>
        <w:ind w:right="20" w:firstLine="656"/>
        <w:spacing w:after="0" w:line="275" w:lineRule="auto"/>
        <w:tabs>
          <w:tab w:leader="none" w:pos="1183"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Consolidated Leverage Ratio. </w:t>
      </w:r>
      <w:r>
        <w:rPr>
          <w:rFonts w:ascii="Times New Roman" w:cs="Times New Roman" w:eastAsia="Times New Roman" w:hAnsi="Times New Roman"/>
          <w:sz w:val="22"/>
          <w:szCs w:val="22"/>
          <w:color w:val="auto"/>
        </w:rPr>
        <w:t>Permit the Consolidated Leverage Ratio as of the end of any fiscal quarter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(commencing with the fiscal quarter ending September 30, 2021) to be greater than 3.50 to 1.00.</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foregoing, if a Permitted Acquisition or series of Permitted Acquisitions with aggregate consideration of more than $100,000,000 occurs during a fiscal quarter ending on or after the Closing Date, the Company shall have the right to permit the Consolidated Leverage Ratio to exceed 3.50 to 1.00 during such fiscal quarter and the subsequent four fiscal quarters (such five fiscal quarters, an “</w:t>
      </w:r>
      <w:r>
        <w:rPr>
          <w:rFonts w:ascii="Times New Roman" w:cs="Times New Roman" w:eastAsia="Times New Roman" w:hAnsi="Times New Roman"/>
          <w:sz w:val="22"/>
          <w:szCs w:val="22"/>
          <w:u w:val="single" w:color="auto"/>
          <w:color w:val="auto"/>
        </w:rPr>
        <w:t>Elevated Ratio Period</w:t>
      </w:r>
      <w:r>
        <w:rPr>
          <w:rFonts w:ascii="Times New Roman" w:cs="Times New Roman" w:eastAsia="Times New Roman" w:hAnsi="Times New Roman"/>
          <w:sz w:val="22"/>
          <w:szCs w:val="22"/>
          <w:color w:val="auto"/>
        </w:rPr>
        <w:t>”) so long as (i) the Consolidated Leverage Ratio does not exceed 4.00 to 1.00 at any time during the Elevated Ratio Period, (ii) such right is not exercised more than two times during the term of this Agreement and (iii) there is at least one fiscal quarter between Elevated Ratio Periods during which the Consolidated Leverage Ratio is not in excess of 3.50 to 1.00 at any time.</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7.12</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7.13 Amendments of Organization Documents. </w:t>
      </w:r>
      <w:r>
        <w:rPr>
          <w:rFonts w:ascii="Times New Roman" w:cs="Times New Roman" w:eastAsia="Times New Roman" w:hAnsi="Times New Roman"/>
          <w:sz w:val="22"/>
          <w:szCs w:val="22"/>
          <w:color w:val="auto"/>
        </w:rPr>
        <w:t>Amend any of its Organization Documents, except for 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do not affect (a) the Company or such Restricted Subsidiary’s right and authority to enter into and perform its obligations under the Loan Documents to which it is a party or (b) the authority and obligation of the Company or such Restricted Subsidiary to perform and pay the Obligations.</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7.14 Accounting Changes. </w:t>
      </w:r>
      <w:r>
        <w:rPr>
          <w:rFonts w:ascii="Times New Roman" w:cs="Times New Roman" w:eastAsia="Times New Roman" w:hAnsi="Times New Roman"/>
          <w:sz w:val="22"/>
          <w:szCs w:val="22"/>
          <w:color w:val="auto"/>
        </w:rPr>
        <w:t>Make any (a) significant change in accounting policies or reporting practices, 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or permitted by Law or GAAP, or (b) change in its fiscal year.</w:t>
      </w:r>
    </w:p>
    <w:p>
      <w:pPr>
        <w:spacing w:after="0" w:line="14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7.15</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7.16</w:t>
      </w:r>
      <w:r>
        <w:rPr>
          <w:sz w:val="20"/>
          <w:szCs w:val="20"/>
          <w:color w:val="auto"/>
        </w:rPr>
        <w:tab/>
      </w:r>
      <w:r>
        <w:rPr>
          <w:rFonts w:ascii="Times New Roman" w:cs="Times New Roman" w:eastAsia="Times New Roman" w:hAnsi="Times New Roman"/>
          <w:sz w:val="21"/>
          <w:szCs w:val="21"/>
          <w:b w:val="1"/>
          <w:bCs w:val="1"/>
          <w:color w:val="auto"/>
        </w:rPr>
        <w:t>Amendment, Etc. of Indebtedness.</w:t>
      </w:r>
    </w:p>
    <w:p>
      <w:pPr>
        <w:spacing w:after="0" w:line="224" w:lineRule="exact"/>
        <w:rPr>
          <w:sz w:val="20"/>
          <w:szCs w:val="20"/>
          <w:color w:val="auto"/>
        </w:rPr>
      </w:pPr>
    </w:p>
    <w:p>
      <w:pPr>
        <w:jc w:val="both"/>
        <w:ind w:firstLine="656"/>
        <w:spacing w:after="0" w:line="263" w:lineRule="auto"/>
        <w:tabs>
          <w:tab w:leader="none" w:pos="130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change in any manner any term or condition of any Senior Notes Indebtedness or any Indebtedness set forth in </w:t>
      </w:r>
      <w:r>
        <w:rPr>
          <w:rFonts w:ascii="Times New Roman" w:cs="Times New Roman" w:eastAsia="Times New Roman" w:hAnsi="Times New Roman"/>
          <w:sz w:val="22"/>
          <w:szCs w:val="22"/>
          <w:u w:val="single" w:color="auto"/>
          <w:color w:val="auto"/>
        </w:rPr>
        <w:t>Schedule 7.03</w:t>
      </w:r>
      <w:r>
        <w:rPr>
          <w:rFonts w:ascii="Times New Roman" w:cs="Times New Roman" w:eastAsia="Times New Roman" w:hAnsi="Times New Roman"/>
          <w:sz w:val="22"/>
          <w:szCs w:val="22"/>
          <w:color w:val="auto"/>
        </w:rPr>
        <w:t>, except for an amendment, modification or change that complies with the requirements of the definition of Permitted Refinancing.</w:t>
      </w:r>
    </w:p>
    <w:p>
      <w:pPr>
        <w:spacing w:after="0" w:line="167" w:lineRule="exact"/>
        <w:rPr>
          <w:rFonts w:ascii="Times New Roman" w:cs="Times New Roman" w:eastAsia="Times New Roman" w:hAnsi="Times New Roman"/>
          <w:sz w:val="22"/>
          <w:szCs w:val="22"/>
          <w:color w:val="auto"/>
        </w:rPr>
      </w:pPr>
    </w:p>
    <w:p>
      <w:pPr>
        <w:jc w:val="both"/>
        <w:ind w:firstLine="656"/>
        <w:spacing w:after="0" w:line="272" w:lineRule="auto"/>
        <w:tabs>
          <w:tab w:leader="none" w:pos="116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or modify any of the terms of the Indemnity Agreement if such amendment or modification would add or change any terms in a manner adverse to the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w:t>
      </w:r>
      <w:r>
        <w:rPr>
          <w:rFonts w:ascii="Times New Roman" w:cs="Times New Roman" w:eastAsia="Times New Roman" w:hAnsi="Times New Roman"/>
          <w:sz w:val="21"/>
          <w:szCs w:val="21"/>
          <w:u w:val="single" w:color="auto"/>
          <w:color w:val="auto"/>
        </w:rPr>
        <w:t>Section 7.16</w:t>
      </w:r>
      <w:r>
        <w:rPr>
          <w:rFonts w:ascii="Times New Roman" w:cs="Times New Roman" w:eastAsia="Times New Roman" w:hAnsi="Times New Roman"/>
          <w:sz w:val="21"/>
          <w:szCs w:val="21"/>
          <w:color w:val="auto"/>
        </w:rPr>
        <w:t xml:space="preserve"> shall not prohibit the issuance of Bonds (as defined in the Indemnity Agreement), the joinder of or other change in any parties to the Surety Credit Documents in accordance with their terms or any amendment or modifications which do not require the consent of any Borrower or Subsidiary.</w:t>
      </w:r>
    </w:p>
    <w:p>
      <w:pPr>
        <w:spacing w:after="0" w:line="15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7.17 Sale and Leaseback Transactions. </w:t>
      </w:r>
      <w:r>
        <w:rPr>
          <w:rFonts w:ascii="Times New Roman" w:cs="Times New Roman" w:eastAsia="Times New Roman" w:hAnsi="Times New Roman"/>
          <w:sz w:val="22"/>
          <w:szCs w:val="22"/>
          <w:color w:val="auto"/>
        </w:rPr>
        <w:t>Enter into any arrangement, directly or indirectly, whereby it shall sell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any property, real or personal, used or useful in its business, whether now owned or hereinafter acquired, and thereafter rent or lease such property or other property that it intends to use for substantially the same purpose or purposes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18" w:right="339" w:bottom="1440" w:gutter="0" w:footer="0" w:header="0"/>
        </w:sectPr>
      </w:pPr>
    </w:p>
    <w:bookmarkStart w:id="250" w:name="page251"/>
    <w:bookmarkEnd w:id="250"/>
    <w:p>
      <w:pPr>
        <w:jc w:val="both"/>
        <w:spacing w:after="0" w:line="256" w:lineRule="auto"/>
        <w:rPr>
          <w:sz w:val="20"/>
          <w:szCs w:val="20"/>
          <w:color w:val="auto"/>
        </w:rPr>
      </w:pPr>
      <w:r>
        <w:rPr>
          <w:rFonts w:ascii="Times New Roman" w:cs="Times New Roman" w:eastAsia="Times New Roman" w:hAnsi="Times New Roman"/>
          <w:sz w:val="22"/>
          <w:szCs w:val="22"/>
          <w:color w:val="auto"/>
        </w:rPr>
        <w:t>property sold or transferred (any such arrangement a “</w:t>
      </w:r>
      <w:r>
        <w:rPr>
          <w:rFonts w:ascii="Times New Roman" w:cs="Times New Roman" w:eastAsia="Times New Roman" w:hAnsi="Times New Roman"/>
          <w:sz w:val="22"/>
          <w:szCs w:val="22"/>
          <w:u w:val="single" w:color="auto"/>
          <w:color w:val="auto"/>
        </w:rPr>
        <w:t>Sale Leaseback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or any Restricted Subsidiary may enter into Sale Leaseback Transactions for equipment and real property so long as any such Sale Leaseback Transaction could have been structured as a purchase money mortgage or a Capital Lease not otherwise prohibited hereunder.</w:t>
      </w:r>
    </w:p>
    <w:p>
      <w:pPr>
        <w:spacing w:after="0" w:line="17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7.18</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7.19 Holding Company. </w:t>
      </w:r>
      <w:r>
        <w:rPr>
          <w:rFonts w:ascii="Times New Roman" w:cs="Times New Roman" w:eastAsia="Times New Roman" w:hAnsi="Times New Roman"/>
          <w:sz w:val="22"/>
          <w:szCs w:val="22"/>
          <w:color w:val="auto"/>
        </w:rPr>
        <w:t>In the case of the Company, engage in any business or activity other than (a) the ownership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all outstanding Equity Interests in its Subsidiaries, (b) maintaining its corporate existence, (c) participating in tax, accounting and other administrative activities as the parent of the consolidated group of companies, (d) the execution and delivery of the Loan Documents to which it is a party and the performance of its obligations thereunder, (e) the incurrence of Liens permitted under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(f) the making of Investments (including Permitted Acquisitions), (g) the incurrence of Indebtedness permitted under </w:t>
      </w:r>
      <w:r>
        <w:rPr>
          <w:rFonts w:ascii="Times New Roman" w:cs="Times New Roman" w:eastAsia="Times New Roman" w:hAnsi="Times New Roman"/>
          <w:sz w:val="22"/>
          <w:szCs w:val="22"/>
          <w:u w:val="single" w:color="auto"/>
          <w:color w:val="auto"/>
        </w:rPr>
        <w:t>Section 7.03</w:t>
      </w:r>
      <w:r>
        <w:rPr>
          <w:rFonts w:ascii="Times New Roman" w:cs="Times New Roman" w:eastAsia="Times New Roman" w:hAnsi="Times New Roman"/>
          <w:sz w:val="22"/>
          <w:szCs w:val="22"/>
          <w:color w:val="auto"/>
        </w:rPr>
        <w:t>, (h) businesses or activities of a type engaged in prior to the Closing Date and (i) businesses or activities incidental to the businesses or activities described in clauses (a) through (h) of this Section and within the scope of operations as of the Closing Date.</w:t>
      </w:r>
    </w:p>
    <w:p>
      <w:pPr>
        <w:spacing w:after="0" w:line="18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7.20</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7.21 Operations of US Holdco and Luxco. </w:t>
      </w:r>
      <w:r>
        <w:rPr>
          <w:rFonts w:ascii="Times New Roman" w:cs="Times New Roman" w:eastAsia="Times New Roman" w:hAnsi="Times New Roman"/>
          <w:sz w:val="22"/>
          <w:szCs w:val="22"/>
          <w:color w:val="auto"/>
        </w:rPr>
        <w:t>Permit US Holdco or Luxco to (i) own any material assets other than,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case of US Holdco, the FFC Notes, one or more deposit accounts maintained in connection with the Foreign Finance Company Plan (and the assets held on deposit therein), the TPEC and 100% of the Equity Interests of Luxco and, in the case of Luxco, the FFC Notes, one or more deposit accounts maintained in connection with the Foreign Finance Company Plan (and the assets held on deposit therein) and the TPEC or (ii) engage in any business activity other than activities customary for special purpose vehicles engaging in transactions of the type contemplated by the Foreign Finance Company Plan.</w:t>
      </w:r>
    </w:p>
    <w:p>
      <w:pPr>
        <w:spacing w:after="0" w:line="17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EVENTS OF DEFAULT AND REMEDIES</w:t>
      </w:r>
    </w:p>
    <w:p>
      <w:pPr>
        <w:spacing w:after="0" w:line="19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8.01</w:t>
      </w:r>
      <w:r>
        <w:rPr>
          <w:sz w:val="20"/>
          <w:szCs w:val="20"/>
          <w:color w:val="auto"/>
        </w:rPr>
        <w:tab/>
      </w:r>
      <w:r>
        <w:rPr>
          <w:rFonts w:ascii="Times New Roman" w:cs="Times New Roman" w:eastAsia="Times New Roman" w:hAnsi="Times New Roman"/>
          <w:sz w:val="21"/>
          <w:szCs w:val="21"/>
          <w:b w:val="1"/>
          <w:bCs w:val="1"/>
          <w:color w:val="auto"/>
        </w:rPr>
        <w:t xml:space="preserve">Events of Default. </w:t>
      </w:r>
      <w:r>
        <w:rPr>
          <w:rFonts w:ascii="Times New Roman" w:cs="Times New Roman" w:eastAsia="Times New Roman" w:hAnsi="Times New Roman"/>
          <w:sz w:val="21"/>
          <w:szCs w:val="21"/>
          <w:color w:val="auto"/>
        </w:rPr>
        <w:t>Any of the following shall constitute an event of default, (each, an “</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firstLine="656"/>
        <w:spacing w:after="0" w:line="251" w:lineRule="auto"/>
        <w:tabs>
          <w:tab w:leader="none" w:pos="115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Non-Payment</w:t>
      </w:r>
      <w:r>
        <w:rPr>
          <w:rFonts w:ascii="Times New Roman" w:cs="Times New Roman" w:eastAsia="Times New Roman" w:hAnsi="Times New Roman"/>
          <w:sz w:val="22"/>
          <w:szCs w:val="22"/>
          <w:color w:val="auto"/>
        </w:rPr>
        <w:t xml:space="preserve">. Any Borrower fails to (i) pay when and as required to be paid herein, and in the currency required hereunder, any amount of principal of any Loan due on the final maturity date thereof or any L/C Obligation or deposit any funds as Cash Collateral in respect of L/C Obligations, (ii) pay within three Business Days after the same becomes due, any interest on any Loan or on any L/C Obligation, any fee due hereunder, or any amount of principal of any Term Loan due on the dates specified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(other than the final maturity date thereof), or (iii) pay within five Business Days after the same becomes due, any other amount payable hereunder or under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22" w:right="339" w:bottom="1440" w:gutter="0" w:footer="0" w:header="0"/>
        </w:sectPr>
      </w:pPr>
    </w:p>
    <w:bookmarkStart w:id="251" w:name="page252"/>
    <w:bookmarkEnd w:id="251"/>
    <w:p>
      <w:pPr>
        <w:ind w:right="20" w:firstLine="656"/>
        <w:spacing w:after="0" w:line="271" w:lineRule="auto"/>
        <w:tabs>
          <w:tab w:leader="none" w:pos="112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Covenants</w:t>
      </w:r>
      <w:r>
        <w:rPr>
          <w:rFonts w:ascii="Times New Roman" w:cs="Times New Roman" w:eastAsia="Times New Roman" w:hAnsi="Times New Roman"/>
          <w:sz w:val="22"/>
          <w:szCs w:val="22"/>
          <w:color w:val="auto"/>
        </w:rPr>
        <w:t xml:space="preserve">. (i) Any Borrower fails to perform or observe any term, covenant or agreement contained in any of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6.02(e)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6.05</w:t>
      </w:r>
      <w:r>
        <w:rPr>
          <w:rFonts w:ascii="Times New Roman" w:cs="Times New Roman" w:eastAsia="Times New Roman" w:hAnsi="Times New Roman"/>
          <w:sz w:val="22"/>
          <w:szCs w:val="22"/>
          <w:color w:val="auto"/>
        </w:rPr>
        <w:t xml:space="preserve"> (in respect of any Borrower), </w:t>
      </w:r>
      <w:r>
        <w:rPr>
          <w:rFonts w:ascii="Times New Roman" w:cs="Times New Roman" w:eastAsia="Times New Roman" w:hAnsi="Times New Roman"/>
          <w:sz w:val="22"/>
          <w:szCs w:val="22"/>
          <w:u w:val="single" w:color="auto"/>
          <w:color w:val="auto"/>
        </w:rPr>
        <w:t>6.10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6.16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or</w:t>
      </w:r>
    </w:p>
    <w:p>
      <w:pPr>
        <w:spacing w:after="0" w:line="157" w:lineRule="exact"/>
        <w:rPr>
          <w:rFonts w:ascii="Times New Roman" w:cs="Times New Roman" w:eastAsia="Times New Roman" w:hAnsi="Times New Roman"/>
          <w:sz w:val="22"/>
          <w:szCs w:val="22"/>
          <w:color w:val="auto"/>
        </w:rPr>
      </w:pPr>
    </w:p>
    <w:p>
      <w:pPr>
        <w:jc w:val="both"/>
        <w:ind w:firstLine="656"/>
        <w:spacing w:after="0" w:line="256" w:lineRule="auto"/>
        <w:tabs>
          <w:tab w:leader="none" w:pos="1252"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Defaults</w:t>
      </w:r>
      <w:r>
        <w:rPr>
          <w:rFonts w:ascii="Times New Roman" w:cs="Times New Roman" w:eastAsia="Times New Roman" w:hAnsi="Times New Roman"/>
          <w:sz w:val="22"/>
          <w:szCs w:val="22"/>
          <w:color w:val="auto"/>
        </w:rPr>
        <w:t>. Any Borrower fails to perform or observe any other covenant or agreement (not specified in subsection (a) or (b) above) contained in any Loan Document on its part to be performed or observed and such failure continues for 30 days following the earlier to occur of (i) the date a Responsible Officer obtains knowledge of such failure and (ii) the date that a Responsible Officer receives notice from the Administrative Agent of such failure; or</w:t>
      </w:r>
    </w:p>
    <w:p>
      <w:pPr>
        <w:spacing w:after="0" w:line="17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1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Any representation, warranty, certification or statement of fact made or deemed made by or on behalf of any Borrower herein, in any other Loan Document, or in any document delivered in connection herewith or therewith shall be incorrect or misleading in any material respect when made or deemed made; or</w:t>
      </w:r>
    </w:p>
    <w:p>
      <w:pPr>
        <w:spacing w:after="0" w:line="167" w:lineRule="exact"/>
        <w:rPr>
          <w:rFonts w:ascii="Times New Roman" w:cs="Times New Roman" w:eastAsia="Times New Roman" w:hAnsi="Times New Roman"/>
          <w:sz w:val="22"/>
          <w:szCs w:val="22"/>
          <w:color w:val="auto"/>
        </w:rPr>
      </w:pPr>
    </w:p>
    <w:p>
      <w:pPr>
        <w:jc w:val="both"/>
        <w:ind w:firstLine="656"/>
        <w:spacing w:after="0" w:line="247" w:lineRule="auto"/>
        <w:tabs>
          <w:tab w:leader="none" w:pos="113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Cross-Default</w:t>
      </w:r>
      <w:r>
        <w:rPr>
          <w:rFonts w:ascii="Times New Roman" w:cs="Times New Roman" w:eastAsia="Times New Roman" w:hAnsi="Times New Roman"/>
          <w:sz w:val="22"/>
          <w:szCs w:val="22"/>
          <w:color w:val="auto"/>
        </w:rPr>
        <w:t>. (i) The Company or any Restricted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penal sums under any surety bond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190" w:lineRule="exact"/>
        <w:rPr>
          <w:rFonts w:ascii="Times New Roman" w:cs="Times New Roman" w:eastAsia="Times New Roman" w:hAnsi="Times New Roman"/>
          <w:sz w:val="22"/>
          <w:szCs w:val="22"/>
          <w:color w:val="auto"/>
        </w:rPr>
      </w:pPr>
    </w:p>
    <w:p>
      <w:pPr>
        <w:jc w:val="both"/>
        <w:ind w:firstLine="656"/>
        <w:spacing w:after="0" w:line="253" w:lineRule="auto"/>
        <w:tabs>
          <w:tab w:leader="none" w:pos="112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Insolvency Proceedings, Etc.</w:t>
      </w:r>
      <w:r>
        <w:rPr>
          <w:rFonts w:ascii="Times New Roman" w:cs="Times New Roman" w:eastAsia="Times New Roman" w:hAnsi="Times New Roman"/>
          <w:sz w:val="22"/>
          <w:szCs w:val="22"/>
          <w:color w:val="auto"/>
        </w:rPr>
        <w:t xml:space="preserve"> The Company or any Significant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422" w:right="339" w:bottom="1440" w:gutter="0" w:footer="0" w:header="0"/>
        </w:sectPr>
      </w:pPr>
    </w:p>
    <w:bookmarkStart w:id="252" w:name="page253"/>
    <w:bookmarkEnd w:id="252"/>
    <w:p>
      <w:pPr>
        <w:jc w:val="both"/>
        <w:spacing w:after="0" w:line="257" w:lineRule="auto"/>
        <w:rPr>
          <w:sz w:val="20"/>
          <w:szCs w:val="20"/>
          <w:color w:val="auto"/>
        </w:rPr>
      </w:pPr>
      <w:r>
        <w:rPr>
          <w:rFonts w:ascii="Times New Roman" w:cs="Times New Roman" w:eastAsia="Times New Roman" w:hAnsi="Times New Roman"/>
          <w:sz w:val="22"/>
          <w:szCs w:val="22"/>
          <w:color w:val="auto"/>
        </w:rPr>
        <w:t>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6" w:lineRule="exact"/>
        <w:rPr>
          <w:sz w:val="20"/>
          <w:szCs w:val="20"/>
          <w:color w:val="auto"/>
        </w:rPr>
      </w:pPr>
    </w:p>
    <w:p>
      <w:pPr>
        <w:jc w:val="both"/>
        <w:ind w:firstLine="656"/>
        <w:spacing w:after="0" w:line="252" w:lineRule="auto"/>
        <w:tabs>
          <w:tab w:leader="none" w:pos="1183"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Pay Debts; Attachment</w:t>
      </w:r>
      <w:r>
        <w:rPr>
          <w:rFonts w:ascii="Times New Roman" w:cs="Times New Roman" w:eastAsia="Times New Roman" w:hAnsi="Times New Roman"/>
          <w:sz w:val="22"/>
          <w:szCs w:val="22"/>
          <w:color w:val="auto"/>
        </w:rPr>
        <w:t>. (i) The Company or any Significant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79" w:lineRule="exact"/>
        <w:rPr>
          <w:rFonts w:ascii="Times New Roman" w:cs="Times New Roman" w:eastAsia="Times New Roman" w:hAnsi="Times New Roman"/>
          <w:sz w:val="22"/>
          <w:szCs w:val="22"/>
          <w:color w:val="auto"/>
        </w:rPr>
      </w:pPr>
    </w:p>
    <w:p>
      <w:pPr>
        <w:jc w:val="both"/>
        <w:ind w:firstLine="656"/>
        <w:spacing w:after="0" w:line="250" w:lineRule="auto"/>
        <w:tabs>
          <w:tab w:leader="none" w:pos="1318"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Judgments</w:t>
      </w:r>
      <w:r>
        <w:rPr>
          <w:rFonts w:ascii="Times New Roman" w:cs="Times New Roman" w:eastAsia="Times New Roman" w:hAnsi="Times New Roman"/>
          <w:sz w:val="22"/>
          <w:szCs w:val="22"/>
          <w:color w:val="auto"/>
        </w:rPr>
        <w:t xml:space="preserve">. There is entered against the Company or any Restricted Subsidiary (other than any Immaterial Subsidiary) (i) one or more final judgments or orders for the payment of money in an aggregate amount (as to all such judgments and orders) exceeding the Threshold Amount (to the extent not covered by independent third-party insurance as to which the insurer meets the requirements set forth in </w:t>
      </w:r>
      <w:r>
        <w:rPr>
          <w:rFonts w:ascii="Times New Roman" w:cs="Times New Roman" w:eastAsia="Times New Roman" w:hAnsi="Times New Roman"/>
          <w:sz w:val="22"/>
          <w:szCs w:val="22"/>
          <w:u w:val="single" w:color="auto"/>
          <w:color w:val="auto"/>
        </w:rPr>
        <w:t>Section 6.07</w:t>
      </w:r>
      <w:r>
        <w:rPr>
          <w:rFonts w:ascii="Times New Roman" w:cs="Times New Roman" w:eastAsia="Times New Roman" w:hAnsi="Times New Roman"/>
          <w:sz w:val="22"/>
          <w:szCs w:val="22"/>
          <w:color w:val="auto"/>
        </w:rPr>
        <w:t>,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86" w:lineRule="exact"/>
        <w:rPr>
          <w:rFonts w:ascii="Times New Roman" w:cs="Times New Roman" w:eastAsia="Times New Roman" w:hAnsi="Times New Roman"/>
          <w:sz w:val="22"/>
          <w:szCs w:val="22"/>
          <w:color w:val="auto"/>
        </w:rPr>
      </w:pPr>
    </w:p>
    <w:p>
      <w:pPr>
        <w:jc w:val="both"/>
        <w:ind w:firstLine="656"/>
        <w:spacing w:after="0" w:line="262" w:lineRule="auto"/>
        <w:tabs>
          <w:tab w:leader="none" w:pos="1149" w:val="left"/>
        </w:tabs>
        <w:numPr>
          <w:ilvl w:val="1"/>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during any period of twelve consecutive months in excess of the Threshold Amount, or</w:t>
      </w:r>
    </w:p>
    <w:p>
      <w:pPr>
        <w:spacing w:after="0" w:line="2" w:lineRule="exact"/>
        <w:rPr>
          <w:rFonts w:ascii="Times New Roman" w:cs="Times New Roman" w:eastAsia="Times New Roman" w:hAnsi="Times New Roman"/>
          <w:sz w:val="21"/>
          <w:szCs w:val="21"/>
          <w:color w:val="auto"/>
        </w:rPr>
      </w:pPr>
    </w:p>
    <w:p>
      <w:pPr>
        <w:jc w:val="both"/>
        <w:ind w:firstLine="8"/>
        <w:spacing w:after="0" w:line="252" w:lineRule="auto"/>
        <w:tabs>
          <w:tab w:leader="none" w:pos="365"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8" w:lineRule="exact"/>
        <w:rPr>
          <w:rFonts w:ascii="Times New Roman" w:cs="Times New Roman" w:eastAsia="Times New Roman" w:hAnsi="Times New Roman"/>
          <w:sz w:val="22"/>
          <w:szCs w:val="22"/>
          <w:color w:val="auto"/>
        </w:rPr>
      </w:pPr>
    </w:p>
    <w:p>
      <w:pPr>
        <w:jc w:val="both"/>
        <w:ind w:firstLine="656"/>
        <w:spacing w:after="0" w:line="253" w:lineRule="auto"/>
        <w:tabs>
          <w:tab w:leader="none" w:pos="1135"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Invalidity of Loan Documents</w:t>
      </w:r>
      <w:r>
        <w:rPr>
          <w:rFonts w:ascii="Times New Roman" w:cs="Times New Roman" w:eastAsia="Times New Roman" w:hAnsi="Times New Roman"/>
          <w:sz w:val="22"/>
          <w:szCs w:val="22"/>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Borrower or any other Person contests in any manner the validity or enforceability of any Loan Document; or any Borrower denies that it has any or further liability or obligation under any Loan Document, or purports to revoke, terminate or rescind any Loan Document;</w:t>
      </w:r>
    </w:p>
    <w:p>
      <w:pPr>
        <w:spacing w:after="0" w:line="17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There occurs any Change of Control; or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081"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under Indemnity Agreement</w:t>
      </w:r>
      <w:r>
        <w:rPr>
          <w:rFonts w:ascii="Times New Roman" w:cs="Times New Roman" w:eastAsia="Times New Roman" w:hAnsi="Times New Roman"/>
          <w:sz w:val="22"/>
          <w:szCs w:val="22"/>
          <w:color w:val="auto"/>
        </w:rPr>
        <w:t>. There shall occur a Default under, and as defined in, the Indemnity Agreement and the Company (as defined in the Indemnity Agreement) shall have exercised any remedies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22" w:right="339" w:bottom="1440" w:gutter="0" w:footer="0" w:header="0"/>
        </w:sectPr>
      </w:pPr>
    </w:p>
    <w:bookmarkStart w:id="253" w:name="page254"/>
    <w:bookmarkEnd w:id="253"/>
    <w:p>
      <w:pPr>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8.02 Remedies Upon Event of Default. </w:t>
      </w:r>
      <w:r>
        <w:rPr>
          <w:rFonts w:ascii="Times New Roman" w:cs="Times New Roman" w:eastAsia="Times New Roman" w:hAnsi="Times New Roman"/>
          <w:sz w:val="22"/>
          <w:szCs w:val="22"/>
          <w:color w:val="auto"/>
        </w:rPr>
        <w:t>If any Event of Default occurs and is continuing, the Administrative Agent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at the request of, or may, with the consent of, the Required Lenders, take any or all of the following actions:</w:t>
      </w:r>
    </w:p>
    <w:p>
      <w:pPr>
        <w:spacing w:after="0" w:line="153" w:lineRule="exact"/>
        <w:rPr>
          <w:sz w:val="20"/>
          <w:szCs w:val="20"/>
          <w:color w:val="auto"/>
        </w:rPr>
      </w:pPr>
    </w:p>
    <w:p>
      <w:pPr>
        <w:ind w:firstLine="656"/>
        <w:spacing w:after="0" w:line="284" w:lineRule="auto"/>
        <w:tabs>
          <w:tab w:leader="none" w:pos="118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commitment of each Lender to make Loans and any obligation of the L/C Issuer to make L/C Credit Extensions to be terminated, whereupon such commitments and obligation shall be terminated;</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115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2" w:lineRule="exact"/>
        <w:rPr>
          <w:rFonts w:ascii="Times New Roman" w:cs="Times New Roman" w:eastAsia="Times New Roman" w:hAnsi="Times New Roman"/>
          <w:sz w:val="22"/>
          <w:szCs w:val="22"/>
          <w:color w:val="auto"/>
        </w:rPr>
      </w:pPr>
    </w:p>
    <w:p>
      <w:pPr>
        <w:ind w:firstLine="656"/>
        <w:spacing w:after="0" w:line="284" w:lineRule="auto"/>
        <w:tabs>
          <w:tab w:leader="none" w:pos="12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that the Company Cash Collateralize the L/C Obligations (in an amount equal to the then Outstanding Amount thereof); and</w:t>
      </w:r>
    </w:p>
    <w:p>
      <w:pPr>
        <w:spacing w:after="0" w:line="143" w:lineRule="exact"/>
        <w:rPr>
          <w:rFonts w:ascii="Times New Roman" w:cs="Times New Roman" w:eastAsia="Times New Roman" w:hAnsi="Times New Roman"/>
          <w:sz w:val="22"/>
          <w:szCs w:val="22"/>
          <w:color w:val="auto"/>
        </w:rPr>
      </w:pPr>
    </w:p>
    <w:p>
      <w:pPr>
        <w:ind w:firstLine="656"/>
        <w:spacing w:after="0" w:line="271" w:lineRule="auto"/>
        <w:tabs>
          <w:tab w:leader="none" w:pos="111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on behalf of itself, the Lenders and the L/C Issuer all rights and remedies available to it, the Lenders and the L/C Issuer under the Loan Documents;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8.03 Application of Funds. </w:t>
      </w:r>
      <w:r>
        <w:rPr>
          <w:rFonts w:ascii="Times New Roman" w:cs="Times New Roman" w:eastAsia="Times New Roman" w:hAnsi="Times New Roman"/>
          <w:sz w:val="22"/>
          <w:szCs w:val="22"/>
          <w:color w:val="auto"/>
        </w:rPr>
        <w:t>After the exercise of remedies provided for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after the Loans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automatically become immediately due and payable and the L/C Obligations have automatically been required to be Cash Collateralized as set forth in the proviso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any amounts received on account of the Obligations shall, subject to the provisions of </w:t>
      </w:r>
      <w:r>
        <w:rPr>
          <w:rFonts w:ascii="Times New Roman" w:cs="Times New Roman" w:eastAsia="Times New Roman" w:hAnsi="Times New Roman"/>
          <w:sz w:val="22"/>
          <w:szCs w:val="22"/>
          <w:u w:val="single" w:color="auto"/>
          <w:color w:val="auto"/>
        </w:rPr>
        <w:t>Sections 2.16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2.17</w:t>
      </w:r>
      <w:r>
        <w:rPr>
          <w:rFonts w:ascii="Times New Roman" w:cs="Times New Roman" w:eastAsia="Times New Roman" w:hAnsi="Times New Roman"/>
          <w:sz w:val="22"/>
          <w:szCs w:val="22"/>
          <w:color w:val="auto"/>
        </w:rPr>
        <w:t>, be applied by the Administrative Agent in the following order:</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payable to the Administrative Agent in its capacity as such;</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indemnities and other amounts (other than principal, interest, Letter of Credit Fees and BA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ratably among them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18" w:right="339" w:bottom="1440" w:gutter="0" w:footer="0" w:header="0"/>
        </w:sectPr>
      </w:pPr>
    </w:p>
    <w:bookmarkStart w:id="254" w:name="page255"/>
    <w:bookmarkEnd w:id="254"/>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Letter of Credit Fees and BA Fees and interest on the Loans, L/C Borrowings and other Obligations arising under the Loan Documents, ratably among the Lenders and the L/C Issuer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 w:cs="Times New Roman" w:eastAsia="Times New Roman" w:hAnsi="Times New Roman"/>
          <w:sz w:val="22"/>
          <w:szCs w:val="22"/>
          <w:u w:val="single" w:color="auto"/>
          <w:color w:val="auto"/>
        </w:rPr>
        <w:t>Fourth</w:t>
      </w:r>
      <w:r>
        <w:rPr>
          <w:rFonts w:ascii="Times New Roman" w:cs="Times New Roman" w:eastAsia="Times New Roman" w:hAnsi="Times New Roman"/>
          <w:sz w:val="22"/>
          <w:szCs w:val="22"/>
          <w:color w:val="auto"/>
        </w:rPr>
        <w:t xml:space="preserve"> held by them;</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to the Administrative Agent for the account of the L/C Issuer to Cash Collateralize that portion of L/C Obligations comprised of the aggregate undrawn amount of Letters of Credit, and Bankers’ Acceptances to the extent not otherwise Cash Collateralized by the Company pursuant to </w:t>
      </w:r>
      <w:r>
        <w:rPr>
          <w:rFonts w:ascii="Times New Roman" w:cs="Times New Roman" w:eastAsia="Times New Roman" w:hAnsi="Times New Roman"/>
          <w:sz w:val="22"/>
          <w:szCs w:val="22"/>
          <w:u w:val="single" w:color="auto"/>
          <w:color w:val="auto"/>
        </w:rPr>
        <w:t>Sections 2.03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ratably among the L/C Issuers in proportion to the respective amounts described in this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held by them; and</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indefeasibly paid in full, to the Company or as otherwise required by Law.</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2.16</w:t>
      </w:r>
      <w:r>
        <w:rPr>
          <w:rFonts w:ascii="Times New Roman" w:cs="Times New Roman" w:eastAsia="Times New Roman" w:hAnsi="Times New Roman"/>
          <w:sz w:val="22"/>
          <w:szCs w:val="22"/>
          <w:color w:val="auto"/>
        </w:rPr>
        <w:t xml:space="preserve">, amounts used to Cash Collateralize the aggregate undrawn amount of Letters of Credit or Bankers’ Acceptances pursuant to clause </w:t>
      </w:r>
      <w:r>
        <w:rPr>
          <w:rFonts w:ascii="Times New Roman" w:cs="Times New Roman" w:eastAsia="Times New Roman" w:hAnsi="Times New Roman"/>
          <w:sz w:val="22"/>
          <w:szCs w:val="22"/>
          <w:u w:val="single" w:color="auto"/>
          <w:color w:val="auto"/>
        </w:rPr>
        <w:t>Fifth</w:t>
      </w:r>
      <w:r>
        <w:rPr>
          <w:rFonts w:ascii="Times New Roman" w:cs="Times New Roman" w:eastAsia="Times New Roman" w:hAnsi="Times New Roman"/>
          <w:sz w:val="22"/>
          <w:szCs w:val="22"/>
          <w:color w:val="auto"/>
        </w:rPr>
        <w:t xml:space="preserve"> above shall be applied to satisfy drawings under such Letters of Credit or Bankers’ Acceptances as they occur. If any amount remains on deposit as Cash Collateral after all Letters of Credit and Bankers’ Acceptances have either been fully drawn or expired, such remaining amount shall be applied to the other Obligations, if any, in the order set forth above.</w:t>
      </w:r>
    </w:p>
    <w:p>
      <w:pPr>
        <w:spacing w:after="0" w:line="1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ADMINISTRATIVE AGENT</w:t>
      </w:r>
    </w:p>
    <w:p>
      <w:pPr>
        <w:spacing w:after="0" w:line="20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9.01 Appointment and Authority. </w:t>
      </w:r>
      <w:r>
        <w:rPr>
          <w:rFonts w:ascii="Times New Roman" w:cs="Times New Roman" w:eastAsia="Times New Roman" w:hAnsi="Times New Roman"/>
          <w:sz w:val="21"/>
          <w:szCs w:val="21"/>
          <w:color w:val="auto"/>
        </w:rPr>
        <w:t>Each of the Lenders and the L/C Issuer hereby irrevocably appoints Bank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9.02 Rights as a Lender. </w:t>
      </w:r>
      <w:r>
        <w:rPr>
          <w:rFonts w:ascii="Times New Roman" w:cs="Times New Roman" w:eastAsia="Times New Roman" w:hAnsi="Times New Roman"/>
          <w:sz w:val="22"/>
          <w:szCs w:val="22"/>
          <w:color w:val="auto"/>
        </w:rPr>
        <w:t>The Person serving as the Administrative Agent hereunder shall have the same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in its capacity as a Lender as any other Lender and may exercise the same as though it were not the Administrative Agent and the term “Lender” or “Lenders” shall, unless otherwise expressly indicated or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22" w:right="339" w:bottom="1440" w:gutter="0" w:footer="0" w:header="0"/>
        </w:sectPr>
      </w:pPr>
    </w:p>
    <w:bookmarkStart w:id="255" w:name="page256"/>
    <w:bookmarkEnd w:id="255"/>
    <w:p>
      <w:pPr>
        <w:jc w:val="both"/>
        <w:spacing w:after="0" w:line="253" w:lineRule="auto"/>
        <w:rPr>
          <w:sz w:val="20"/>
          <w:szCs w:val="20"/>
          <w:color w:val="auto"/>
        </w:rPr>
      </w:pPr>
      <w:r>
        <w:rPr>
          <w:rFonts w:ascii="Times New Roman" w:cs="Times New Roman" w:eastAsia="Times New Roman" w:hAnsi="Times New Roman"/>
          <w:sz w:val="22"/>
          <w:szCs w:val="22"/>
          <w:color w:val="auto"/>
        </w:rPr>
        <w:t>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the Borrowers or any Subsidiary or other Affiliate thereof as if such Person were not the Administrative Agent hereunder and without any duty to account therefor to the Lenders or to provide notice or consent of the Lenders with respect thereto.</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9.03 Exculpatory Provisions. </w:t>
      </w:r>
      <w:r>
        <w:rPr>
          <w:rFonts w:ascii="Times New Roman" w:cs="Times New Roman" w:eastAsia="Times New Roman" w:hAnsi="Times New Roman"/>
          <w:sz w:val="22"/>
          <w:szCs w:val="22"/>
          <w:color w:val="auto"/>
        </w:rPr>
        <w:t>Neither the Administrative Agent, nor any Arranger, as applicable, shall have any duties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obligations except those expressly set forth herein and in the other Loan Documents, and its duties hereunder shall be administrative in nature. Without limiting the generality of the foregoing, the Administrative Agent or any Arranger, as applicable, and its Related Parties:</w:t>
      </w:r>
    </w:p>
    <w:p>
      <w:pPr>
        <w:spacing w:after="0" w:line="172" w:lineRule="exact"/>
        <w:rPr>
          <w:sz w:val="20"/>
          <w:szCs w:val="20"/>
          <w:color w:val="auto"/>
        </w:rPr>
      </w:pPr>
    </w:p>
    <w:p>
      <w:pPr>
        <w:ind w:left="1160" w:hanging="504"/>
        <w:spacing w:after="0"/>
        <w:tabs>
          <w:tab w:leader="none" w:pos="116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w:t>
      </w:r>
    </w:p>
    <w:p>
      <w:pPr>
        <w:spacing w:after="0" w:line="2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continuing;</w:t>
      </w:r>
    </w:p>
    <w:p>
      <w:pPr>
        <w:spacing w:after="0" w:line="195"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6" w:lineRule="exact"/>
        <w:rPr>
          <w:rFonts w:ascii="Times New Roman" w:cs="Times New Roman" w:eastAsia="Times New Roman" w:hAnsi="Times New Roman"/>
          <w:sz w:val="20"/>
          <w:szCs w:val="20"/>
          <w:color w:val="auto"/>
        </w:rPr>
      </w:pPr>
    </w:p>
    <w:p>
      <w:pPr>
        <w:jc w:val="both"/>
        <w:ind w:firstLine="656"/>
        <w:spacing w:after="0" w:line="271" w:lineRule="auto"/>
        <w:tabs>
          <w:tab w:leader="none" w:pos="1092"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Borrowers or any of their respective Affiliates, that is communicated to, obtained or in the possession of, the Administrative Agent, any Arranger or any of their respective Related Parties in any capacity, except for notices, reports and other documents expressly required to be furnished to the Lenders by the Administrative Agent herein;</w:t>
      </w:r>
    </w:p>
    <w:p>
      <w:pPr>
        <w:spacing w:after="0" w:line="162" w:lineRule="exact"/>
        <w:rPr>
          <w:rFonts w:ascii="Times New Roman" w:cs="Times New Roman" w:eastAsia="Times New Roman" w:hAnsi="Times New Roman"/>
          <w:sz w:val="19"/>
          <w:szCs w:val="19"/>
          <w:color w:val="auto"/>
        </w:rPr>
      </w:pPr>
    </w:p>
    <w:p>
      <w:pPr>
        <w:jc w:val="both"/>
        <w:ind w:firstLine="656"/>
        <w:spacing w:after="0" w:line="250" w:lineRule="auto"/>
        <w:tabs>
          <w:tab w:leader="none" w:pos="113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2"/>
          <w:szCs w:val="22"/>
          <w:u w:val="single" w:color="auto"/>
          <w:color w:val="auto"/>
        </w:rPr>
        <w:t>Sections 10.01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22" w:right="339" w:bottom="1440" w:gutter="0" w:footer="0" w:header="0"/>
        </w:sectPr>
      </w:pPr>
    </w:p>
    <w:bookmarkStart w:id="256" w:name="page257"/>
    <w:bookmarkEnd w:id="256"/>
    <w:p>
      <w:pPr>
        <w:jc w:val="both"/>
        <w:ind w:firstLine="656"/>
        <w:spacing w:after="0" w:line="250" w:lineRule="auto"/>
        <w:tabs>
          <w:tab w:leader="none" w:pos="1187"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elsewhere herein, other than to confirm receipt of items expressly required to be delivered to the Administrative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b w:val="1"/>
          <w:bCs w:val="1"/>
          <w:color w:val="auto"/>
        </w:rPr>
        <w:t xml:space="preserve">9.04 Reliance by Administrative Agent. </w:t>
      </w:r>
      <w:r>
        <w:rPr>
          <w:rFonts w:ascii="Times New Roman" w:cs="Times New Roman" w:eastAsia="Times New Roman" w:hAnsi="Times New Roman"/>
          <w:sz w:val="21"/>
          <w:szCs w:val="21"/>
          <w:color w:val="auto"/>
        </w:rPr>
        <w:t>The Administrative Agent shall be entitled to rely upon, and shall not incur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or Bankers’ Acceptance,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or Bankers’ Acceptance.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9.05 Delegation of Duties. </w:t>
      </w:r>
      <w:r>
        <w:rPr>
          <w:rFonts w:ascii="Times New Roman" w:cs="Times New Roman" w:eastAsia="Times New Roman" w:hAnsi="Times New Roman"/>
          <w:sz w:val="22"/>
          <w:szCs w:val="22"/>
          <w:color w:val="auto"/>
        </w:rPr>
        <w:t>The Administrative Agent may perform any and all of its duties and exercise its rights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9.06 Resignation of Administrative Agent. </w:t>
      </w:r>
      <w:r>
        <w:rPr>
          <w:rFonts w:ascii="Times New Roman" w:cs="Times New Roman" w:eastAsia="Times New Roman" w:hAnsi="Times New Roman"/>
          <w:sz w:val="22"/>
          <w:szCs w:val="22"/>
          <w:color w:val="auto"/>
        </w:rPr>
        <w:t>The Administrative Agent may at any time give notice of its resignation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Lenders, the L/C Issuer and the Company. Upon receipt of any such notice of resignation, the Required Lenders shall have the right to appoint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22" w:right="339" w:bottom="1440" w:gutter="0" w:footer="0" w:header="0"/>
        </w:sectPr>
      </w:pPr>
    </w:p>
    <w:bookmarkStart w:id="257" w:name="page258"/>
    <w:bookmarkEnd w:id="257"/>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successor, which shall be a bank (a) with an office in the United States, or an Affiliate of any such bank with an office in the United States, and (b) prior to an Event of Default pursuant to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approved by the Company.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Administrative Agent shall notify the Company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Times New Roman" w:cs="Times New Roman" w:eastAsia="Times New Roman" w:hAnsi="Times New Roman"/>
          <w:sz w:val="22"/>
          <w:szCs w:val="22"/>
          <w:u w:val="single" w:color="auto"/>
          <w:color w:val="auto"/>
        </w:rPr>
        <w:t>Section 3.01(g)</w:t>
      </w:r>
      <w:r>
        <w:rPr>
          <w:rFonts w:ascii="Times New Roman" w:cs="Times New Roman" w:eastAsia="Times New Roman" w:hAnsi="Times New Roman"/>
          <w:sz w:val="22"/>
          <w:szCs w:val="22"/>
          <w:color w:val="auto"/>
        </w:rPr>
        <w:t xml:space="preserve"> and other than any rights to indemnity payments or other amounts owed to the retiring Administrative Agent as of the effective date of such resignation),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20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Any resignation by Bank of America as Administrative Agent pursuant to this Section shall also constitute its resignation as L/C Issuer and Swing Line Lender. If Bank of America resigns as the L/C Issuer, it shall retain all the rights, powers, privileges and duties of the L/C Issuer hereunder with respect to all Letters of Credit outstanding as of the effective date of its resignation as the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If Bank of America resigns as Swing Line Lender, it shall retain all the rights of the Swing Line Lender provided for hereunder with respect to Swing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22" w:right="339" w:bottom="1440" w:gutter="0" w:footer="0" w:header="0"/>
        </w:sectPr>
      </w:pPr>
    </w:p>
    <w:bookmarkStart w:id="258" w:name="page259"/>
    <w:bookmarkEnd w:id="258"/>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and bankers’ acceptances in substitution for the Letters of Credit and Bankers’ Acceptances, if any, outstanding at the time of such succession or make other arrangements satisfactory to the retiring L/C Issuer to effectively assume the obligations of the retiring L/C Issuer with respect to such Letters of Credit or Bankers’ Acceptances. Notwithstanding the foregoing, so long as another Lender is willing to act as a swing line lender, such successor shall not be required to succeed to and become vested with all of the rights, powers, privileges and duties of the retiring Swing Line Lender. Notwithstanding the foregoing, so long as another L/C Issuer is willing to and has satisfied the provisions of clause</w:t>
      </w:r>
    </w:p>
    <w:p>
      <w:pPr>
        <w:spacing w:after="0" w:line="6" w:lineRule="exact"/>
        <w:rPr>
          <w:sz w:val="20"/>
          <w:szCs w:val="20"/>
          <w:color w:val="auto"/>
        </w:rPr>
      </w:pPr>
    </w:p>
    <w:p>
      <w:pPr>
        <w:ind w:firstLine="8"/>
        <w:spacing w:after="0" w:line="248" w:lineRule="auto"/>
        <w:tabs>
          <w:tab w:leader="none" w:pos="2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preceding sentence, such successor shall not be required to succeed to and become vested with all of the rights, powers, privileges and duties of the retiring L/C Issuer nor satisfy the requirements of such clause (c).</w:t>
      </w:r>
    </w:p>
    <w:p>
      <w:pPr>
        <w:spacing w:after="0" w:line="17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9.07 Non-Reliance on the Administrative Agent, any Arranger and the Other Lenders. </w:t>
      </w:r>
      <w:r>
        <w:rPr>
          <w:rFonts w:ascii="Times New Roman" w:cs="Times New Roman" w:eastAsia="Times New Roman" w:hAnsi="Times New Roman"/>
          <w:sz w:val="22"/>
          <w:szCs w:val="22"/>
          <w:color w:val="auto"/>
        </w:rPr>
        <w:t>Each Lender and the L/C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Borrower or any Affiliate thereof, shall be deemed to constitute any representation or warranty by the Administrative Agent or such Arranger to any Lender or the L/C Issuer as to any matter, including whether the Administrative Agent or such Arranger has disclosed material information in their (or their Related Parties’) possession. Each Lender and the L/C Issuer represents to the Administrative Agent and the Arrangers that it has, independently and without reliance upon the Administrative Agent, the Arrangers,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the Arrangers,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Borrowers. Each Lender and the L/C Issuer represents and warrants that (i) the Loan Documents set forth the terms of a commercial lending facility and (ii) it is engaged in making, acquiring or holding commercial loans in the ordinary course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22" w:right="339" w:bottom="1440" w:gutter="0" w:footer="0" w:header="0"/>
        </w:sectPr>
      </w:pPr>
    </w:p>
    <w:bookmarkStart w:id="259" w:name="page260"/>
    <w:bookmarkEnd w:id="259"/>
    <w:p>
      <w:pPr>
        <w:jc w:val="both"/>
        <w:spacing w:after="0" w:line="249" w:lineRule="auto"/>
        <w:rPr>
          <w:sz w:val="20"/>
          <w:szCs w:val="20"/>
          <w:color w:val="auto"/>
        </w:rPr>
      </w:pPr>
      <w:r>
        <w:rPr>
          <w:rFonts w:ascii="Times New Roman" w:cs="Times New Roman" w:eastAsia="Times New Roman" w:hAnsi="Times New Roman"/>
          <w:sz w:val="22"/>
          <w:szCs w:val="22"/>
          <w:color w:val="auto"/>
        </w:rPr>
        <w:t>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9.08 No Other Duties, Etc. </w:t>
      </w:r>
      <w:r>
        <w:rPr>
          <w:rFonts w:ascii="Times New Roman" w:cs="Times New Roman" w:eastAsia="Times New Roman" w:hAnsi="Times New Roman"/>
          <w:sz w:val="22"/>
          <w:szCs w:val="22"/>
          <w:color w:val="auto"/>
        </w:rPr>
        <w:t>Anything herein to the contrary notwithstanding, none of the Co-Syndication Agents, Co-Documentation Agents, the Joint Lead Arrangers or Joint Bookrunners listed on the cover page hereof shall have any powers, duties or responsibilities under this Agreement or any of the other Loan Documents, except in its capacity, as applicable, as the Administrative Agent, a Lender or the L/C Issuer hereunder.</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9.09 Administrative Agent May File Proofs of Claim. </w:t>
      </w:r>
      <w:r>
        <w:rPr>
          <w:rFonts w:ascii="Times New Roman" w:cs="Times New Roman" w:eastAsia="Times New Roman" w:hAnsi="Times New Roman"/>
          <w:sz w:val="22"/>
          <w:szCs w:val="22"/>
          <w:color w:val="auto"/>
        </w:rPr>
        <w:t>In case of the pendency of any proceeding under any Debtor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Relief Law or any other judicial proceeding relative to any Borrower,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77" w:lineRule="exact"/>
        <w:rPr>
          <w:sz w:val="20"/>
          <w:szCs w:val="20"/>
          <w:color w:val="auto"/>
        </w:rPr>
      </w:pPr>
    </w:p>
    <w:p>
      <w:pPr>
        <w:jc w:val="both"/>
        <w:ind w:firstLine="656"/>
        <w:spacing w:after="0" w:line="251" w:lineRule="auto"/>
        <w:tabs>
          <w:tab w:leader="none" w:pos="110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2"/>
          <w:szCs w:val="22"/>
          <w:u w:val="single" w:color="auto"/>
          <w:color w:val="auto"/>
        </w:rPr>
        <w:t>Sections 2.03(i)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allowed in such judicial proceeding; and</w:t>
      </w:r>
    </w:p>
    <w:p>
      <w:pPr>
        <w:spacing w:after="0" w:line="181"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2"/>
          <w:szCs w:val="22"/>
          <w:u w:val="single" w:color="auto"/>
          <w:color w:val="auto"/>
        </w:rPr>
        <w:t>Sections 2.09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2.10(b)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Nothing contained herein shall be deemed to authorize the Administrative Agent to authorize or consent to or accept or adopt on behalf of any Lender or the L/C Issuer any plan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22" w:right="339" w:bottom="1440" w:gutter="0" w:footer="0" w:header="0"/>
        </w:sectPr>
      </w:pPr>
    </w:p>
    <w:bookmarkStart w:id="260" w:name="page261"/>
    <w:bookmarkEnd w:id="260"/>
    <w:p>
      <w:pPr>
        <w:spacing w:after="0" w:line="271" w:lineRule="auto"/>
        <w:rPr>
          <w:sz w:val="20"/>
          <w:szCs w:val="20"/>
          <w:color w:val="auto"/>
        </w:rPr>
      </w:pPr>
      <w:r>
        <w:rPr>
          <w:rFonts w:ascii="Times New Roman" w:cs="Times New Roman" w:eastAsia="Times New Roman" w:hAnsi="Times New Roman"/>
          <w:sz w:val="22"/>
          <w:szCs w:val="22"/>
          <w:color w:val="auto"/>
        </w:rPr>
        <w:t>reorganization, arrangement, adjustment or composition affecting the Obligations or the rights of any Lender or the L/C Issuer or authorize the Administrative Agent to vote in respect of the claim of any Lender or the L/C Issuer in any such proceeding.</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9.10</w:t>
      </w:r>
      <w:r>
        <w:rPr>
          <w:sz w:val="20"/>
          <w:szCs w:val="20"/>
          <w:color w:val="auto"/>
        </w:rPr>
        <w:tab/>
      </w:r>
      <w:r>
        <w:rPr>
          <w:rFonts w:ascii="Times New Roman" w:cs="Times New Roman" w:eastAsia="Times New Roman" w:hAnsi="Times New Roman"/>
          <w:sz w:val="21"/>
          <w:szCs w:val="21"/>
          <w:b w:val="1"/>
          <w:bCs w:val="1"/>
          <w:color w:val="auto"/>
        </w:rPr>
        <w:t>Certain ERISA Matters.</w:t>
      </w:r>
    </w:p>
    <w:p>
      <w:pPr>
        <w:spacing w:after="0" w:line="237" w:lineRule="exact"/>
        <w:rPr>
          <w:sz w:val="20"/>
          <w:szCs w:val="20"/>
          <w:color w:val="auto"/>
        </w:rPr>
      </w:pPr>
    </w:p>
    <w:p>
      <w:pPr>
        <w:jc w:val="both"/>
        <w:ind w:firstLine="656"/>
        <w:spacing w:after="0" w:line="252" w:lineRule="auto"/>
        <w:tabs>
          <w:tab w:leader="none" w:pos="1219"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at least one of the following is and will be true:</w:t>
      </w:r>
    </w:p>
    <w:p>
      <w:pPr>
        <w:spacing w:after="0" w:line="179" w:lineRule="exact"/>
        <w:rPr>
          <w:rFonts w:ascii="Times New Roman" w:cs="Times New Roman" w:eastAsia="Times New Roman" w:hAnsi="Times New Roman"/>
          <w:sz w:val="22"/>
          <w:szCs w:val="22"/>
          <w:color w:val="auto"/>
        </w:rPr>
      </w:pPr>
    </w:p>
    <w:p>
      <w:pPr>
        <w:jc w:val="both"/>
        <w:ind w:left="900" w:firstLine="647"/>
        <w:spacing w:after="0" w:line="263" w:lineRule="auto"/>
        <w:tabs>
          <w:tab w:leader="none" w:pos="1970" w:val="left"/>
        </w:tabs>
        <w:numPr>
          <w:ilvl w:val="2"/>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67" w:lineRule="exact"/>
        <w:rPr>
          <w:rFonts w:ascii="Times New Roman" w:cs="Times New Roman" w:eastAsia="Times New Roman" w:hAnsi="Times New Roman"/>
          <w:sz w:val="22"/>
          <w:szCs w:val="22"/>
          <w:color w:val="auto"/>
        </w:rPr>
      </w:pPr>
    </w:p>
    <w:p>
      <w:pPr>
        <w:jc w:val="both"/>
        <w:ind w:left="900" w:firstLine="647"/>
        <w:spacing w:after="0" w:line="250" w:lineRule="auto"/>
        <w:tabs>
          <w:tab w:leader="none" w:pos="2033" w:val="left"/>
        </w:tabs>
        <w:numPr>
          <w:ilvl w:val="2"/>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0" w:lineRule="exact"/>
        <w:rPr>
          <w:rFonts w:ascii="Times New Roman" w:cs="Times New Roman" w:eastAsia="Times New Roman" w:hAnsi="Times New Roman"/>
          <w:sz w:val="22"/>
          <w:szCs w:val="22"/>
          <w:color w:val="auto"/>
        </w:rPr>
      </w:pPr>
    </w:p>
    <w:p>
      <w:pPr>
        <w:jc w:val="both"/>
        <w:ind w:left="900" w:firstLine="647"/>
        <w:spacing w:after="0" w:line="250" w:lineRule="auto"/>
        <w:tabs>
          <w:tab w:leader="none" w:pos="2096" w:val="left"/>
        </w:tabs>
        <w:numPr>
          <w:ilvl w:val="2"/>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6" w:lineRule="exact"/>
        <w:rPr>
          <w:rFonts w:ascii="Times New Roman" w:cs="Times New Roman" w:eastAsia="Times New Roman" w:hAnsi="Times New Roman"/>
          <w:sz w:val="22"/>
          <w:szCs w:val="22"/>
          <w:color w:val="auto"/>
        </w:rPr>
      </w:pPr>
    </w:p>
    <w:p>
      <w:pPr>
        <w:ind w:left="900" w:firstLine="647"/>
        <w:spacing w:after="0" w:line="271" w:lineRule="auto"/>
        <w:tabs>
          <w:tab w:leader="none" w:pos="2082" w:val="left"/>
        </w:tabs>
        <w:numPr>
          <w:ilvl w:val="2"/>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7"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unless either (1) </w:t>
      </w:r>
      <w:r>
        <w:rPr>
          <w:rFonts w:ascii="Times New Roman" w:cs="Times New Roman" w:eastAsia="Times New Roman" w:hAnsi="Times New Roman"/>
          <w:sz w:val="21"/>
          <w:szCs w:val="21"/>
          <w:u w:val="single" w:color="auto"/>
          <w:color w:val="auto"/>
        </w:rPr>
        <w:t>sub-clause (i)</w:t>
      </w:r>
      <w:r>
        <w:rPr>
          <w:rFonts w:ascii="Times New Roman" w:cs="Times New Roman" w:eastAsia="Times New Roman" w:hAnsi="Times New Roman"/>
          <w:sz w:val="21"/>
          <w:szCs w:val="21"/>
          <w:color w:val="auto"/>
        </w:rPr>
        <w:t xml:space="preserve"> in the immediately preceding clause (a) is true with respect to a Lender or</w:t>
      </w:r>
    </w:p>
    <w:p>
      <w:pPr>
        <w:spacing w:after="0" w:line="39" w:lineRule="exact"/>
        <w:rPr>
          <w:rFonts w:ascii="Times New Roman" w:cs="Times New Roman" w:eastAsia="Times New Roman" w:hAnsi="Times New Roman"/>
          <w:sz w:val="21"/>
          <w:szCs w:val="21"/>
          <w:color w:val="auto"/>
        </w:rPr>
      </w:pPr>
    </w:p>
    <w:p>
      <w:pPr>
        <w:ind w:firstLine="8"/>
        <w:spacing w:after="0" w:line="248" w:lineRule="auto"/>
        <w:tabs>
          <w:tab w:leader="none" w:pos="32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Lender has provided another representation, warranty and covenant in accordance with </w:t>
      </w:r>
      <w:r>
        <w:rPr>
          <w:rFonts w:ascii="Times New Roman" w:cs="Times New Roman" w:eastAsia="Times New Roman" w:hAnsi="Times New Roman"/>
          <w:sz w:val="22"/>
          <w:szCs w:val="22"/>
          <w:u w:val="single" w:color="auto"/>
          <w:color w:val="auto"/>
        </w:rPr>
        <w:t>sub-clause (iv)</w:t>
      </w:r>
      <w:r>
        <w:rPr>
          <w:rFonts w:ascii="Times New Roman" w:cs="Times New Roman" w:eastAsia="Times New Roman" w:hAnsi="Times New Roman"/>
          <w:sz w:val="22"/>
          <w:szCs w:val="22"/>
          <w:color w:val="auto"/>
        </w:rPr>
        <w:t xml:space="preserve"> in the immediately preceding </w:t>
      </w:r>
      <w:r>
        <w:rPr>
          <w:rFonts w:ascii="Times New Roman" w:cs="Times New Roman" w:eastAsia="Times New Roman" w:hAnsi="Times New Roman"/>
          <w:sz w:val="22"/>
          <w:szCs w:val="22"/>
          <w:u w:val="single" w:color="auto"/>
          <w:color w:val="auto"/>
        </w:rPr>
        <w:t>subsection (a)</w:t>
      </w:r>
      <w:r>
        <w:rPr>
          <w:rFonts w:ascii="Times New Roman" w:cs="Times New Roman" w:eastAsia="Times New Roman" w:hAnsi="Times New Roman"/>
          <w:sz w:val="22"/>
          <w:szCs w:val="22"/>
          <w:color w:val="auto"/>
        </w:rPr>
        <w: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422" w:right="339" w:bottom="1440" w:gutter="0" w:footer="0" w:header="0"/>
        </w:sectPr>
      </w:pPr>
    </w:p>
    <w:bookmarkStart w:id="261" w:name="page262"/>
    <w:bookmarkEnd w:id="261"/>
    <w:p>
      <w:pPr>
        <w:jc w:val="both"/>
        <w:spacing w:after="0" w:line="250" w:lineRule="auto"/>
        <w:rPr>
          <w:sz w:val="20"/>
          <w:szCs w:val="20"/>
          <w:color w:val="auto"/>
        </w:rPr>
      </w:pPr>
      <w:r>
        <w:rPr>
          <w:rFonts w:ascii="Times New Roman" w:cs="Times New Roman" w:eastAsia="Times New Roman" w:hAnsi="Times New Roman"/>
          <w:sz w:val="22"/>
          <w:szCs w:val="22"/>
          <w:color w:val="auto"/>
        </w:rPr>
        <w:t>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9.11 Recovery of Erroneous Payments</w:t>
      </w:r>
      <w:r>
        <w:rPr>
          <w:rFonts w:ascii="Times New Roman" w:cs="Times New Roman" w:eastAsia="Times New Roman" w:hAnsi="Times New Roman"/>
          <w:sz w:val="22"/>
          <w:szCs w:val="22"/>
          <w:color w:val="auto"/>
        </w:rPr>
        <w:t>. Without limitation of any other provision in this Agreement, if at any time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Overnight Rate.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10.01 Amendments, Etc. </w:t>
      </w:r>
      <w:r>
        <w:rPr>
          <w:rFonts w:ascii="Times New Roman" w:cs="Times New Roman" w:eastAsia="Times New Roman" w:hAnsi="Times New Roman"/>
          <w:sz w:val="22"/>
          <w:szCs w:val="22"/>
          <w:color w:val="auto"/>
        </w:rPr>
        <w:t>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3.03(c)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2.19(a)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last two paragraphs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 amendment or waiver of any provision of this Agreement or any other Loan Document, and no consent to any departure by any Borrower therefrom, shall be effective unless in writing signed by the Required Lenders (or by the Administrative Agent with the consent of the Required Lenders) and the Borrowers,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waiver or consent shall:</w:t>
      </w:r>
    </w:p>
    <w:p>
      <w:pPr>
        <w:spacing w:after="0" w:line="179" w:lineRule="exact"/>
        <w:rPr>
          <w:sz w:val="20"/>
          <w:szCs w:val="20"/>
          <w:color w:val="auto"/>
        </w:rPr>
      </w:pPr>
    </w:p>
    <w:p>
      <w:pPr>
        <w:ind w:left="1120" w:hanging="464"/>
        <w:spacing w:after="0"/>
        <w:tabs>
          <w:tab w:leader="none" w:pos="112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waive any condition set forth in </w:t>
      </w:r>
      <w:r>
        <w:rPr>
          <w:rFonts w:ascii="Times New Roman" w:cs="Times New Roman" w:eastAsia="Times New Roman" w:hAnsi="Times New Roman"/>
          <w:sz w:val="22"/>
          <w:szCs w:val="22"/>
          <w:u w:val="single" w:color="auto"/>
          <w:color w:val="auto"/>
        </w:rPr>
        <w:t>Section 4.01(a)</w:t>
      </w:r>
      <w:r>
        <w:rPr>
          <w:rFonts w:ascii="Times New Roman" w:cs="Times New Roman" w:eastAsia="Times New Roman" w:hAnsi="Times New Roman"/>
          <w:sz w:val="22"/>
          <w:szCs w:val="22"/>
          <w:color w:val="auto"/>
        </w:rPr>
        <w:t xml:space="preserve"> without the written consent of each Lender;</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19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any Commitment of any Lender (or reinstate any Commitment terminated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8.02</w:t>
      </w:r>
      <w:r>
        <w:rPr>
          <w:rFonts w:ascii="Times New Roman" w:cs="Times New Roman" w:eastAsia="Times New Roman" w:hAnsi="Times New Roman"/>
          <w:sz w:val="22"/>
          <w:szCs w:val="22"/>
          <w:color w:val="auto"/>
        </w:rPr>
        <w:t>) without the written consent of such Lender;</w:t>
      </w:r>
    </w:p>
    <w:p>
      <w:pPr>
        <w:spacing w:after="0" w:line="157" w:lineRule="exact"/>
        <w:rPr>
          <w:rFonts w:ascii="Times New Roman" w:cs="Times New Roman" w:eastAsia="Times New Roman" w:hAnsi="Times New Roman"/>
          <w:sz w:val="22"/>
          <w:szCs w:val="22"/>
          <w:color w:val="auto"/>
        </w:rPr>
      </w:pPr>
    </w:p>
    <w:p>
      <w:pPr>
        <w:ind w:firstLine="656"/>
        <w:spacing w:after="0" w:line="284" w:lineRule="auto"/>
        <w:tabs>
          <w:tab w:leader="none" w:pos="1193"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fixed by this Agreement or any other Loan Document for any payment (excluding mandatory prepayments) of principal, interest, fees or other amounts due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22" w:right="339" w:bottom="1440" w:gutter="0" w:footer="0" w:header="0"/>
        </w:sectPr>
      </w:pPr>
    </w:p>
    <w:bookmarkStart w:id="262" w:name="page263"/>
    <w:bookmarkEnd w:id="262"/>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the Lenders (or any of them) hereunder or under any other Loan Document (except as expressly provided in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without the written consent of each Lender directly affected thereby;</w:t>
      </w:r>
    </w:p>
    <w:p>
      <w:pPr>
        <w:spacing w:after="0" w:line="158" w:lineRule="exact"/>
        <w:rPr>
          <w:sz w:val="20"/>
          <w:szCs w:val="20"/>
          <w:color w:val="auto"/>
        </w:rPr>
      </w:pPr>
    </w:p>
    <w:p>
      <w:pPr>
        <w:ind w:left="1160" w:hanging="504"/>
        <w:spacing w:after="0"/>
        <w:tabs>
          <w:tab w:leader="none" w:pos="1160"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principal of, or the rate of interest specified herein on, any Loan or L/C Borrowing, or (subject to clause</w:t>
      </w:r>
    </w:p>
    <w:p>
      <w:pPr>
        <w:spacing w:after="0" w:line="40" w:lineRule="exact"/>
        <w:rPr>
          <w:rFonts w:ascii="Times New Roman" w:cs="Times New Roman" w:eastAsia="Times New Roman" w:hAnsi="Times New Roman"/>
          <w:sz w:val="21"/>
          <w:szCs w:val="21"/>
          <w:color w:val="auto"/>
        </w:rPr>
      </w:pPr>
    </w:p>
    <w:p>
      <w:pPr>
        <w:jc w:val="both"/>
        <w:ind w:firstLine="8"/>
        <w:spacing w:after="0" w:line="249" w:lineRule="auto"/>
        <w:tabs>
          <w:tab w:leader="none" w:pos="37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second proviso to this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only the consent of the Required Lenders shall be necessary (i) to amend the definition of “Default Rate” or to waive any obligation of any Borrower to pay interest, Letter of Credit Fees or BA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81" w:lineRule="exact"/>
        <w:rPr>
          <w:rFonts w:ascii="Times New Roman" w:cs="Times New Roman" w:eastAsia="Times New Roman" w:hAnsi="Times New Roman"/>
          <w:sz w:val="22"/>
          <w:szCs w:val="22"/>
          <w:color w:val="auto"/>
        </w:rPr>
      </w:pPr>
    </w:p>
    <w:p>
      <w:pPr>
        <w:jc w:val="both"/>
        <w:ind w:firstLine="656"/>
        <w:spacing w:after="0" w:line="260" w:lineRule="auto"/>
        <w:tabs>
          <w:tab w:leader="none" w:pos="1176"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in a manner that would have the effect of altering the pro rata sharing of payments required thereby without the written consent of each Lender, (ii)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in a manner that would alter the order of application of any prepayments of Term Loans without the written consent of each Term Loan Lender, or (iii) subordinate, or have the effect of subordinating, the Obligations hereunder to any other Indebtedness or other obligation, in each case, without the written consent of each Lender directly affected thereby except in the case of (A) any Indebtedness that is expressly permitted by this Agreement to be senior to the Obligations and/or be secured, (B) any Indebtedness incurred pursuant to an asset based facility, factoring, securitization or other similar facility, the incurrence of which is otherwise approved by the Required Lenders,</w:t>
      </w:r>
    </w:p>
    <w:p>
      <w:pPr>
        <w:spacing w:after="0" w:line="1"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any “debtor-in-possession” facility (or similar financing under applicable law) that does not provide for the “roll up” of any existing obligations or the use of cash collateral in any insolvency proceeding or (D) any other Indebtedness so long as the opportunity to participate in such Indebtedness is offered ratably to all adversely affected Lenders;</w:t>
      </w:r>
    </w:p>
    <w:p>
      <w:pPr>
        <w:spacing w:after="0" w:line="200" w:lineRule="exact"/>
        <w:rPr>
          <w:rFonts w:ascii="Times New Roman" w:cs="Times New Roman" w:eastAsia="Times New Roman" w:hAnsi="Times New Roman"/>
          <w:sz w:val="21"/>
          <w:szCs w:val="21"/>
          <w:color w:val="auto"/>
        </w:rPr>
      </w:pPr>
    </w:p>
    <w:p>
      <w:pPr>
        <w:jc w:val="both"/>
        <w:ind w:firstLine="656"/>
        <w:spacing w:after="0" w:line="251" w:lineRule="auto"/>
        <w:tabs>
          <w:tab w:leader="none" w:pos="1214"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subclause (ii) of this clause (f)), without the written consent of each Lender or (ii) the definition of “Required (USD) Lenders”, “Required (MC) Lenders” or “Required Term Loan Lenders” without the written consent of each Committed (USD) Lender, each Committed (MC) Lender or each Term Loan Lender, as the case may be;</w:t>
      </w:r>
    </w:p>
    <w:p>
      <w:pPr>
        <w:spacing w:after="0" w:line="181" w:lineRule="exact"/>
        <w:rPr>
          <w:rFonts w:ascii="Times New Roman" w:cs="Times New Roman" w:eastAsia="Times New Roman" w:hAnsi="Times New Roman"/>
          <w:sz w:val="22"/>
          <w:szCs w:val="22"/>
          <w:color w:val="auto"/>
        </w:rPr>
      </w:pPr>
    </w:p>
    <w:p>
      <w:pPr>
        <w:jc w:val="both"/>
        <w:ind w:firstLine="656"/>
        <w:spacing w:after="0" w:line="252" w:lineRule="auto"/>
        <w:tabs>
          <w:tab w:leader="none" w:pos="115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greater restriction on the ability of any Lender under a Facility to assign any of its rights or obligations hereunder without the written consent of the Required (USD) Lenders, in the case of the Committed (USD) Facility, the Required (MC) Lenders, in the case of the Committed (MC) Facility, or the Required Term Loan Lenders, in the case of the Term Loan Facility;</w:t>
      </w:r>
    </w:p>
    <w:p>
      <w:pPr>
        <w:spacing w:after="0" w:line="17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 or</w:t>
      </w:r>
    </w:p>
    <w:p>
      <w:pPr>
        <w:spacing w:after="0" w:line="233"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191919"/>
        </w:rPr>
        <w:t>amend the definition of “Alternative Currency” without the written consent of each Lender directly affected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22" w:right="339" w:bottom="1440" w:gutter="0" w:footer="0" w:header="0"/>
        </w:sectPr>
      </w:pPr>
    </w:p>
    <w:bookmarkStart w:id="263" w:name="page264"/>
    <w:bookmarkEnd w:id="263"/>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or Bankers’ Acceptance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in order to implement any ESG Amendment, this Agreement and the other Loan Documents may be amended in accordance with </w:t>
      </w:r>
      <w:r>
        <w:rPr>
          <w:rFonts w:ascii="Times New Roman" w:cs="Times New Roman" w:eastAsia="Times New Roman" w:hAnsi="Times New Roman"/>
          <w:sz w:val="21"/>
          <w:szCs w:val="21"/>
          <w:u w:val="single" w:color="auto"/>
          <w:color w:val="auto"/>
        </w:rPr>
        <w:t>Section 2.19</w:t>
      </w:r>
      <w:r>
        <w:rPr>
          <w:rFonts w:ascii="Times New Roman" w:cs="Times New Roman" w:eastAsia="Times New Roman" w:hAnsi="Times New Roman"/>
          <w:sz w:val="21"/>
          <w:szCs w:val="21"/>
          <w:color w:val="auto"/>
        </w:rPr>
        <w:t xml:space="preserve"> with only the consent of the Company and the Sustainability Coordinator.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no Commitment of any Defaulting Lender may be increased or extended without the consent of such Lender and (y) any waiver, amendment, consent or modification requiring the consent of all Lenders or each affected Lender or all Lenders or each affected Lender under a Facility that by its terms affects any Defaulting Lender more adversely than other affected Lenders shall require the consent of such Defaulting Lender. In addition, notwithstanding the foregoing, (1) this Agreement may be amended with the written consent of the Administrative Agent, the Company and the Incremental Lenders providing the relevant Incremental Increase to permit the Incremental Amendment in accordance with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and (2) the Letter of Credit Sublimit and the Swing Line Sublimit may be increased by the L/C Issuer or the Swing Line Lender, as applicable, in accordance with </w:t>
      </w:r>
      <w:r>
        <w:rPr>
          <w:rFonts w:ascii="Times New Roman" w:cs="Times New Roman" w:eastAsia="Times New Roman" w:hAnsi="Times New Roman"/>
          <w:sz w:val="21"/>
          <w:szCs w:val="21"/>
          <w:u w:val="single" w:color="auto"/>
          <w:color w:val="auto"/>
        </w:rPr>
        <w:t>Section 2.15(d)</w:t>
      </w:r>
      <w:r>
        <w:rPr>
          <w:rFonts w:ascii="Times New Roman" w:cs="Times New Roman" w:eastAsia="Times New Roman" w:hAnsi="Times New Roman"/>
          <w:sz w:val="21"/>
          <w:szCs w:val="21"/>
          <w:color w:val="auto"/>
        </w:rPr>
        <w:t xml:space="preserve"> without the consent of any Lender.</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191919"/>
        </w:rPr>
        <w:t>Notwithstanding anything to the contrary herein, this Agreement may be amended and restated without the consent of any Lender (but with the consent of the Borrowers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Notwithstanding any provision herein to the contrary, if the Administrative Agent and the Borrowers acting together identify any ambiguity, omission, mistake, typographical error or other defect in any provision of this Agreement or any other Loan Document (including the schedules and exhibits thereto), then the Administrative Agent and the Borrowers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422" w:right="339" w:bottom="1440" w:gutter="0" w:footer="0" w:header="0"/>
        </w:sectPr>
      </w:pPr>
    </w:p>
    <w:bookmarkStart w:id="264" w:name="page265"/>
    <w:bookmarkEnd w:id="264"/>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10.02</w:t>
      </w:r>
      <w:r>
        <w:rPr>
          <w:sz w:val="20"/>
          <w:szCs w:val="20"/>
          <w:color w:val="auto"/>
        </w:rPr>
        <w:tab/>
      </w:r>
      <w:r>
        <w:rPr>
          <w:rFonts w:ascii="Times New Roman" w:cs="Times New Roman" w:eastAsia="Times New Roman" w:hAnsi="Times New Roman"/>
          <w:sz w:val="21"/>
          <w:szCs w:val="21"/>
          <w:b w:val="1"/>
          <w:bCs w:val="1"/>
          <w:color w:val="auto"/>
        </w:rPr>
        <w:t>Notices; Effectiveness; Electronic Communication.</w:t>
      </w:r>
    </w:p>
    <w:p>
      <w:pPr>
        <w:spacing w:after="0" w:line="224" w:lineRule="exact"/>
        <w:rPr>
          <w:sz w:val="20"/>
          <w:szCs w:val="20"/>
          <w:color w:val="auto"/>
        </w:rPr>
      </w:pPr>
    </w:p>
    <w:p>
      <w:pPr>
        <w:jc w:val="both"/>
        <w:ind w:firstLine="656"/>
        <w:spacing w:after="0" w:line="253" w:lineRule="auto"/>
        <w:tabs>
          <w:tab w:leader="none" w:pos="1225"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5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 Borrower, the Administrative Agent or Bank of America, in its capacity as an L/C Issuer or the Swing Line Lender, to the address, facsimile number, electronic mail address or telephone number specified for such Person on </w:t>
      </w:r>
      <w:r>
        <w:rPr>
          <w:rFonts w:ascii="Times New Roman" w:cs="Times New Roman" w:eastAsia="Times New Roman" w:hAnsi="Times New Roman"/>
          <w:sz w:val="22"/>
          <w:szCs w:val="22"/>
          <w:u w:val="single" w:color="auto"/>
          <w:color w:val="auto"/>
        </w:rPr>
        <w:t>Schedule 10.02</w:t>
      </w:r>
      <w:r>
        <w:rPr>
          <w:rFonts w:ascii="Times New Roman" w:cs="Times New Roman" w:eastAsia="Times New Roman" w:hAnsi="Times New Roman"/>
          <w:sz w:val="22"/>
          <w:szCs w:val="22"/>
          <w:color w:val="auto"/>
        </w:rPr>
        <w:t>; and</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 deemed to have been given when received; notices and other communications sent by facsimile or electronic mail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95" w:lineRule="exact"/>
        <w:rPr>
          <w:sz w:val="20"/>
          <w:szCs w:val="20"/>
          <w:color w:val="auto"/>
        </w:rPr>
      </w:pPr>
    </w:p>
    <w:p>
      <w:pPr>
        <w:jc w:val="both"/>
        <w:ind w:firstLine="656"/>
        <w:spacing w:after="0" w:line="249" w:lineRule="auto"/>
        <w:tabs>
          <w:tab w:leader="none" w:pos="111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or the L/C Issuer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418" w:right="339" w:bottom="1440" w:gutter="0" w:footer="0" w:header="0"/>
        </w:sectPr>
      </w:pPr>
    </w:p>
    <w:bookmarkStart w:id="265" w:name="page266"/>
    <w:bookmarkEnd w:id="265"/>
    <w:p>
      <w:pPr>
        <w:jc w:val="both"/>
        <w:ind w:firstLine="8"/>
        <w:spacing w:after="0" w:line="256" w:lineRule="auto"/>
        <w:tabs>
          <w:tab w:leader="none" w:pos="27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7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1"/>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Platform</w:t>
      </w:r>
      <w:r>
        <w:rPr>
          <w:rFonts w:ascii="Times New Roman" w:cs="Times New Roman" w:eastAsia="Times New Roman" w:hAnsi="Times New Roman"/>
          <w:sz w:val="21"/>
          <w:szCs w:val="21"/>
          <w:color w:val="auto"/>
        </w:rPr>
        <w:t>. THE PLATFORM IS PROVIDED “AS IS” AND “AS AVAILABLE.” THE AGENT PARTIES (AS</w:t>
      </w:r>
    </w:p>
    <w:p>
      <w:pPr>
        <w:spacing w:after="0" w:line="39" w:lineRule="exact"/>
        <w:rPr>
          <w:rFonts w:ascii="Times New Roman" w:cs="Times New Roman" w:eastAsia="Times New Roman" w:hAnsi="Times New Roman"/>
          <w:sz w:val="21"/>
          <w:szCs w:val="21"/>
          <w:color w:val="auto"/>
        </w:rPr>
      </w:pPr>
    </w:p>
    <w:p>
      <w:pPr>
        <w:jc w:val="both"/>
        <w:spacing w:after="0" w:line="25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189" w:lineRule="exact"/>
        <w:rPr>
          <w:rFonts w:ascii="Times New Roman" w:cs="Times New Roman" w:eastAsia="Times New Roman" w:hAnsi="Times New Roman"/>
          <w:sz w:val="21"/>
          <w:szCs w:val="21"/>
          <w:color w:val="auto"/>
        </w:rPr>
      </w:pPr>
    </w:p>
    <w:p>
      <w:pPr>
        <w:jc w:val="both"/>
        <w:ind w:firstLine="656"/>
        <w:spacing w:after="0" w:line="247" w:lineRule="auto"/>
        <w:tabs>
          <w:tab w:leader="none" w:pos="1224"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Each of the Borrowers,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422" w:right="339" w:bottom="1440" w:gutter="0" w:footer="0" w:header="0"/>
        </w:sectPr>
      </w:pPr>
    </w:p>
    <w:bookmarkStart w:id="266" w:name="page267"/>
    <w:bookmarkEnd w:id="266"/>
    <w:p>
      <w:pPr>
        <w:jc w:val="both"/>
        <w:ind w:firstLine="656"/>
        <w:spacing w:after="0" w:line="249" w:lineRule="auto"/>
        <w:tabs>
          <w:tab w:leader="none" w:pos="1239"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Reliance by Administrative Agent, L/C Issuer and Lenders</w:t>
      </w:r>
      <w:r>
        <w:rPr>
          <w:rFonts w:ascii="Times New Roman" w:cs="Times New Roman" w:eastAsia="Times New Roman" w:hAnsi="Times New Roman"/>
          <w:sz w:val="22"/>
          <w:szCs w:val="22"/>
          <w:color w:val="auto"/>
        </w:rPr>
        <w:t>. The Administrative Agent, the L/C Issuer and the Lenders shall be entitled to rely and act upon any notices (including telephonic or electronic notices, Loan Notices, Letter of Credit Applications, Notices of Loan Prepayment,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10.03 No Waiver; Cumulative Remedies; Enforcement. </w:t>
      </w:r>
      <w:r>
        <w:rPr>
          <w:rFonts w:ascii="Times New Roman" w:cs="Times New Roman" w:eastAsia="Times New Roman" w:hAnsi="Times New Roman"/>
          <w:sz w:val="21"/>
          <w:szCs w:val="21"/>
          <w:color w:val="auto"/>
        </w:rPr>
        <w:t>No failure by any Lender, the L/C Issuer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and the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1" w:lineRule="exact"/>
        <w:rPr>
          <w:sz w:val="20"/>
          <w:szCs w:val="20"/>
          <w:color w:val="auto"/>
        </w:rPr>
      </w:pPr>
    </w:p>
    <w:p>
      <w:pPr>
        <w:jc w:val="both"/>
        <w:ind w:firstLine="8"/>
        <w:spacing w:after="0" w:line="247" w:lineRule="auto"/>
        <w:tabs>
          <w:tab w:leader="none" w:pos="308"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2"/>
          <w:szCs w:val="22"/>
          <w:u w:val="single" w:color="auto"/>
          <w:color w:val="auto"/>
        </w:rPr>
        <w:t>Section 10.08</w:t>
      </w:r>
      <w:r>
        <w:rPr>
          <w:rFonts w:ascii="Times New Roman" w:cs="Times New Roman" w:eastAsia="Times New Roman" w:hAnsi="Times New Roman"/>
          <w:sz w:val="22"/>
          <w:szCs w:val="22"/>
          <w:color w:val="auto"/>
        </w:rPr>
        <w:t xml:space="preserve"> (subject to the terms of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xml:space="preserve">), or (d) any Lender from filing proofs of claim or appearing and filing pleadings on its own behalf during the pendency of a proceeding relative to any Borrower under any Debtor Relief Law;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2"/>
          <w:szCs w:val="22"/>
          <w:u w:val="single" w:color="auto"/>
          <w:color w:val="auto"/>
        </w:rPr>
        <w:t>Section 8.02</w:t>
      </w:r>
      <w:r>
        <w:rPr>
          <w:rFonts w:ascii="Times New Roman" w:cs="Times New Roman" w:eastAsia="Times New Roman" w:hAnsi="Times New Roman"/>
          <w:sz w:val="22"/>
          <w:szCs w:val="22"/>
          <w:color w:val="auto"/>
        </w:rPr>
        <w:t xml:space="preserve"> and (ii) in addition to the matters set forth in clauses (b), (c) and (d) of the preceding proviso and subject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 any Lender may, with the consent of the Required Lenders, enforce any rights and remedies available to it and as authorized by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40"/>
          </w:cols>
          <w:pgMar w:left="320" w:top="1422" w:right="339" w:bottom="1440" w:gutter="0" w:footer="0" w:header="0"/>
        </w:sectPr>
      </w:pPr>
    </w:p>
    <w:bookmarkStart w:id="267" w:name="page268"/>
    <w:bookmarkEnd w:id="267"/>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10.04</w:t>
      </w:r>
      <w:r>
        <w:rPr>
          <w:sz w:val="20"/>
          <w:szCs w:val="20"/>
          <w:color w:val="auto"/>
        </w:rPr>
        <w:tab/>
      </w:r>
      <w:r>
        <w:rPr>
          <w:rFonts w:ascii="Times New Roman" w:cs="Times New Roman" w:eastAsia="Times New Roman" w:hAnsi="Times New Roman"/>
          <w:sz w:val="21"/>
          <w:szCs w:val="21"/>
          <w:b w:val="1"/>
          <w:bCs w:val="1"/>
          <w:color w:val="auto"/>
        </w:rPr>
        <w:t>Expenses; Indemnity; Damage Waiver.</w:t>
      </w:r>
    </w:p>
    <w:p>
      <w:pPr>
        <w:spacing w:after="0" w:line="224" w:lineRule="exact"/>
        <w:rPr>
          <w:sz w:val="20"/>
          <w:szCs w:val="20"/>
          <w:color w:val="auto"/>
        </w:rPr>
      </w:pPr>
    </w:p>
    <w:p>
      <w:pPr>
        <w:jc w:val="both"/>
        <w:ind w:firstLine="656"/>
        <w:spacing w:after="0" w:line="247" w:lineRule="auto"/>
        <w:tabs>
          <w:tab w:leader="none" w:pos="110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Costs and Expenses</w:t>
      </w:r>
      <w:r>
        <w:rPr>
          <w:rFonts w:ascii="Times New Roman" w:cs="Times New Roman" w:eastAsia="Times New Roman" w:hAnsi="Times New Roman"/>
          <w:sz w:val="22"/>
          <w:szCs w:val="22"/>
          <w:color w:val="auto"/>
        </w:rPr>
        <w:t>. The Borrowers shall, jointly and severally, pay (i) all reasonable and documented out-of-pocket expenses incurred by the Administrative Agent and its Affiliates (limited in respect of legal fees to reasonable fees, charges and disbursements of counsel to the Administrative Agent, and of a single regulatory counsel and single local counsel in each appropriate jurisdiction which may include a special counsel acting in multiple jurisdictions),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Bankers’ Acceptance or any demand for payment thereunder and (iii) all out-of-pocket expenses incurred by the Administrative Agent, any Lender or the L/C Issuer (limited in respect of legal fees to the fees, charges and disbursements of one counsel and one local counsel and one applicable regulatory counsel in each relevant jurisdiction for the Administrative Agent and one counsel and one local counsel and one applicable regulatory counsel in each relevant jurisdiction for the Lenders (and, in the case of a conflict of interest, one additional counsel to all such affected Lenders similarly situated, taken as a whole)), in connection with the enforcement or protection of its rights (A) in connection with this Agreement and the other Loan Documents, including its rights under this Section, or (B) in connection with Loans made or Letters of Credit or Bankers’ Acceptances issued hereunder, including all such out-of-pocket expenses incurred during any workout, restructuring or negotiations in respect of such Loans, Letters of Credit or Bankers’ Acceptances.</w:t>
      </w:r>
    </w:p>
    <w:p>
      <w:pPr>
        <w:spacing w:after="0" w:line="190" w:lineRule="exact"/>
        <w:rPr>
          <w:rFonts w:ascii="Times New Roman" w:cs="Times New Roman" w:eastAsia="Times New Roman" w:hAnsi="Times New Roman"/>
          <w:sz w:val="22"/>
          <w:szCs w:val="22"/>
          <w:color w:val="auto"/>
        </w:rPr>
      </w:pPr>
    </w:p>
    <w:p>
      <w:pPr>
        <w:jc w:val="both"/>
        <w:ind w:firstLine="656"/>
        <w:spacing w:after="0" w:line="248" w:lineRule="auto"/>
        <w:tabs>
          <w:tab w:leader="none" w:pos="115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by the Borrowers</w:t>
      </w:r>
      <w:r>
        <w:rPr>
          <w:rFonts w:ascii="Times New Roman" w:cs="Times New Roman" w:eastAsia="Times New Roman" w:hAnsi="Times New Roman"/>
          <w:sz w:val="22"/>
          <w:szCs w:val="22"/>
          <w:color w:val="auto"/>
        </w:rPr>
        <w:t>. The Borrowers shall, jointly and severally,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xml:space="preserve">”) against, and hold each Indemnitee harmless from, any and all losses, claims, damages, liabilities and related expenses (including the fees, charges and disbursements of counsel), incurred by any Indemnitee or asserted against any Indemnitee by any third party or by any Borrower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(ii) any Loan, Letter of Credit or Bankers’ Acceptance or the use or proposed use of the proceeds therefrom (including any refusal by the L/C Issuer to honor a demand for payment under a Letter of Credit or Bankers’ Acceptance if the documents presented in connection with such demand do not strictly comply with the terms of such Letter of Credit), (iii) any actual or alleged presence or release of Hazardous Materials on or from any property owned or operated by any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1240"/>
          </w:cols>
          <w:pgMar w:left="320" w:top="1418" w:right="339" w:bottom="1440" w:gutter="0" w:footer="0" w:header="0"/>
        </w:sectPr>
      </w:pPr>
    </w:p>
    <w:bookmarkStart w:id="268" w:name="page269"/>
    <w:bookmarkEnd w:id="268"/>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any of its Subsidiaries, or any Environmental Liability related in any way to any Borrower or any of its Subsidiaries (other than any such presence, alleged presence, release or Environmental Liability resulting solely from acts or omissions by Persons other than any Borrower or any of its Subsidiaries after the Administrative Agent sells the applicable property pursuant to a foreclosure or has accepted a deed in lieu of foreclosure), or (iv) any actual or prospective claim, litigation, investigation or proceeding relating to any of the foregoing, whether based on contract, tort or any other theory, whether brought by a third party or by any Borrower, and regardless of whether any Indemnitee is a party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losses, claims, damages, liabilities or related expenses (w) relate to the matters referred to in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(which Sections set forth the sole remedies in respect of the matters set forth therein) or relate to any other Taxes (other than Taxes that represent losses, claims, damages, liabilities or related expenses arising from a non-Tax claim), (x) are determined by a court of competent jurisdiction by final and nonappealable judgment to have resulted from the gross negligence or willful misconduct of such Indemnitee, (y) result from a claim brought by any Borrower against an Indemnitee for breach in bad faith of such Indemnitee’s obligations hereunder or under any other Loan Document, if such Borrower has obtained a final and nonappealable judgment in its favor on such claim as determined by a court of competent jurisdiction or (z) arise out of, or in connection with, any proceeding that does not involve an act or omission by a Borrower or any of its Affiliates that is brought by an Indemnitee against any other Indemnitee (other than any proceeding against any Indemnitee in its capacity or fulfilling its role as the Administrative Agent, an Arranger, the L/C Issuer or any similar role);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reimbursement of fees, charges and disbursements of counsel shall be limited to one counsel and one local counsel and one applicable regulatory counsel in each relevant jurisdiction for the Administrative Agent and one counsel and one local counsel and one applicable regulatory counsel in each relevant jurisdiction for the other Indemnitees (and, in the case of a conflict of interest, one additional counsel to all such affected Indemnitees similarly situated, taken as a whole).</w:t>
      </w:r>
    </w:p>
    <w:p>
      <w:pPr>
        <w:spacing w:after="0" w:line="188" w:lineRule="exact"/>
        <w:rPr>
          <w:sz w:val="20"/>
          <w:szCs w:val="20"/>
          <w:color w:val="auto"/>
        </w:rPr>
      </w:pPr>
    </w:p>
    <w:p>
      <w:pPr>
        <w:jc w:val="both"/>
        <w:ind w:firstLine="656"/>
        <w:spacing w:after="0" w:line="251" w:lineRule="auto"/>
        <w:tabs>
          <w:tab w:leader="none" w:pos="1185"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 by Lenders</w:t>
      </w:r>
      <w:r>
        <w:rPr>
          <w:rFonts w:ascii="Times New Roman" w:cs="Times New Roman" w:eastAsia="Times New Roman" w:hAnsi="Times New Roman"/>
          <w:sz w:val="22"/>
          <w:szCs w:val="22"/>
          <w:color w:val="auto"/>
        </w:rPr>
        <w:t xml:space="preserve">. To the extent that the Borrowers for any reason fail to indefeasibly pay any amount required under subsection (a) or (b)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L/C Issuer or the Swing Line Lender in connection with such capacity. The obligations of the Lenders under this subsection (c) are subject to the provisions of </w:t>
      </w:r>
      <w:r>
        <w:rPr>
          <w:rFonts w:ascii="Times New Roman" w:cs="Times New Roman" w:eastAsia="Times New Roman" w:hAnsi="Times New Roman"/>
          <w:sz w:val="22"/>
          <w:szCs w:val="22"/>
          <w:u w:val="single" w:color="auto"/>
          <w:color w:val="auto"/>
        </w:rPr>
        <w:t>Section 2.12(d)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422" w:right="339" w:bottom="1440" w:gutter="0" w:footer="0" w:header="0"/>
        </w:sectPr>
      </w:pPr>
    </w:p>
    <w:bookmarkStart w:id="269" w:name="page270"/>
    <w:bookmarkEnd w:id="269"/>
    <w:p>
      <w:pPr>
        <w:jc w:val="both"/>
        <w:ind w:firstLine="656"/>
        <w:spacing w:after="0" w:line="261" w:lineRule="auto"/>
        <w:tabs>
          <w:tab w:leader="none" w:pos="1143"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Consequential Damages, Etc</w:t>
      </w:r>
      <w:r>
        <w:rPr>
          <w:rFonts w:ascii="Times New Roman" w:cs="Times New Roman" w:eastAsia="Times New Roman" w:hAnsi="Times New Roman"/>
          <w:sz w:val="21"/>
          <w:szCs w:val="21"/>
          <w:color w:val="auto"/>
        </w:rPr>
        <w:t>. To the fullest extent permitted by applicable law, no Borrower shall assert, and each Borrower hereby waives, any claim against any Indemnitee, and no Indemnitee shall assert, and each Indemnitee hereby waives, any claim against any Borrower, in each case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Letter of Credit or Bankers’ Acceptance or the use of the proceeds thereof.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75"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All amounts due under this Section shall be payable not later than ten Business Days after demand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therefor.</w:t>
      </w:r>
    </w:p>
    <w:p>
      <w:pPr>
        <w:spacing w:after="0" w:line="19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5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The agreements in this Section and the indemnity provisions of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6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10.05 Payments Set Aside. </w:t>
      </w:r>
      <w:r>
        <w:rPr>
          <w:rFonts w:ascii="Times New Roman" w:cs="Times New Roman" w:eastAsia="Times New Roman" w:hAnsi="Times New Roman"/>
          <w:sz w:val="22"/>
          <w:szCs w:val="22"/>
          <w:color w:val="auto"/>
        </w:rPr>
        <w:t>To the extent that any payment by or on behalf of any Borrower is made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79"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10.06</w:t>
      </w:r>
      <w:r>
        <w:rPr>
          <w:sz w:val="20"/>
          <w:szCs w:val="20"/>
          <w:color w:val="auto"/>
        </w:rPr>
        <w:tab/>
      </w:r>
      <w:r>
        <w:rPr>
          <w:rFonts w:ascii="Times New Roman" w:cs="Times New Roman" w:eastAsia="Times New Roman" w:hAnsi="Times New Roman"/>
          <w:sz w:val="21"/>
          <w:szCs w:val="21"/>
          <w:b w:val="1"/>
          <w:bCs w:val="1"/>
          <w:color w:val="auto"/>
        </w:rPr>
        <w:t>Successors and Assigns.</w:t>
      </w:r>
    </w:p>
    <w:p>
      <w:pPr>
        <w:spacing w:after="0" w:line="237" w:lineRule="exact"/>
        <w:rPr>
          <w:sz w:val="20"/>
          <w:szCs w:val="20"/>
          <w:color w:val="auto"/>
        </w:rPr>
      </w:pPr>
    </w:p>
    <w:p>
      <w:pPr>
        <w:ind w:firstLine="656"/>
        <w:spacing w:after="0" w:line="271" w:lineRule="auto"/>
        <w:tabs>
          <w:tab w:leader="none" w:pos="1131"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 Generally</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422" w:right="339" w:bottom="1440" w:gutter="0" w:footer="0" w:header="0"/>
        </w:sectPr>
      </w:pPr>
    </w:p>
    <w:bookmarkStart w:id="270" w:name="page271"/>
    <w:bookmarkEnd w:id="270"/>
    <w:p>
      <w:pPr>
        <w:jc w:val="both"/>
        <w:spacing w:after="0" w:line="249" w:lineRule="auto"/>
        <w:rPr>
          <w:sz w:val="20"/>
          <w:szCs w:val="20"/>
          <w:color w:val="auto"/>
        </w:rPr>
      </w:pPr>
      <w:r>
        <w:rPr>
          <w:rFonts w:ascii="Times New Roman" w:cs="Times New Roman" w:eastAsia="Times New Roman" w:hAnsi="Times New Roman"/>
          <w:sz w:val="22"/>
          <w:szCs w:val="22"/>
          <w:color w:val="auto"/>
        </w:rPr>
        <w:t>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83" w:lineRule="exact"/>
        <w:rPr>
          <w:sz w:val="20"/>
          <w:szCs w:val="20"/>
          <w:color w:val="auto"/>
        </w:rPr>
      </w:pPr>
    </w:p>
    <w:p>
      <w:pPr>
        <w:jc w:val="both"/>
        <w:ind w:firstLine="656"/>
        <w:spacing w:after="0" w:line="253" w:lineRule="auto"/>
        <w:tabs>
          <w:tab w:leader="none" w:pos="1143"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subsection (b), participations in L/C Obligations and in Swing Line Loans) at the time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with respect to any Facility) any such assignment shall be subject to the following conditions:</w:t>
      </w:r>
    </w:p>
    <w:p>
      <w:pPr>
        <w:spacing w:after="0" w:line="178"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8" w:lineRule="auto"/>
        <w:tabs>
          <w:tab w:leader="none" w:pos="2506" w:val="left"/>
        </w:tabs>
        <w:numPr>
          <w:ilvl w:val="2"/>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subsection (b)(i)(B) of this Section in the aggregate or in the case of an assignment to a Lender, an Affiliate of a Lender or an Approved Fund, no minimum amount need be assigned; and</w:t>
      </w:r>
    </w:p>
    <w:p>
      <w:pPr>
        <w:spacing w:after="0" w:line="163" w:lineRule="exact"/>
        <w:rPr>
          <w:rFonts w:ascii="Times New Roman" w:cs="Times New Roman" w:eastAsia="Times New Roman" w:hAnsi="Times New Roman"/>
          <w:sz w:val="21"/>
          <w:szCs w:val="21"/>
          <w:color w:val="auto"/>
        </w:rPr>
      </w:pPr>
    </w:p>
    <w:p>
      <w:pPr>
        <w:jc w:val="both"/>
        <w:ind w:left="1300" w:firstLine="652"/>
        <w:spacing w:after="0" w:line="249" w:lineRule="auto"/>
        <w:tabs>
          <w:tab w:leader="none" w:pos="2617" w:val="left"/>
        </w:tabs>
        <w:numPr>
          <w:ilvl w:val="2"/>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case not described in subsection (b)(i)(A)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88"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and the other Loan Documents with respect to the Loans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422" w:right="339" w:bottom="1440" w:gutter="0" w:footer="0" w:header="0"/>
        </w:sectPr>
      </w:pPr>
    </w:p>
    <w:bookmarkStart w:id="271" w:name="page272"/>
    <w:bookmarkEnd w:id="271"/>
    <w:p>
      <w:pPr>
        <w:ind w:right="20"/>
        <w:spacing w:after="0" w:line="271" w:lineRule="auto"/>
        <w:rPr>
          <w:sz w:val="20"/>
          <w:szCs w:val="20"/>
          <w:color w:val="auto"/>
        </w:rPr>
      </w:pPr>
      <w:r>
        <w:rPr>
          <w:rFonts w:ascii="Times New Roman" w:cs="Times New Roman" w:eastAsia="Times New Roman" w:hAnsi="Times New Roman"/>
          <w:sz w:val="22"/>
          <w:szCs w:val="22"/>
          <w:color w:val="auto"/>
        </w:rPr>
        <w:t>Commitment assigned, except that this clause (ii) shall not apply to the Swing Line Lender’s rights and obligations in respect of Swing Line Loans.</w:t>
      </w:r>
    </w:p>
    <w:p>
      <w:pPr>
        <w:spacing w:after="0" w:line="158" w:lineRule="exact"/>
        <w:rPr>
          <w:sz w:val="20"/>
          <w:szCs w:val="20"/>
          <w:color w:val="auto"/>
        </w:rPr>
      </w:pPr>
    </w:p>
    <w:p>
      <w:pPr>
        <w:ind w:right="20" w:firstLine="644"/>
        <w:spacing w:after="0" w:line="284" w:lineRule="auto"/>
        <w:tabs>
          <w:tab w:leader="none" w:pos="1323"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No consent shall be required for any assignment except to the extent required by subsection (b)(i)(B) of this Section and, in addition:</w:t>
      </w:r>
    </w:p>
    <w:p>
      <w:pPr>
        <w:spacing w:after="0" w:line="143"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915"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Company (such consent not to be unreasonably withheld or delayed) shall be required unless (1) an Event of Default pursuant to </w:t>
      </w:r>
      <w:r>
        <w:rPr>
          <w:rFonts w:ascii="Times New Roman" w:cs="Times New Roman" w:eastAsia="Times New Roman" w:hAnsi="Times New Roman"/>
          <w:sz w:val="22"/>
          <w:szCs w:val="22"/>
          <w:u w:val="single" w:color="auto"/>
          <w:color w:val="auto"/>
        </w:rPr>
        <w:t>Sections 8.01(a)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8.01(f)</w:t>
      </w:r>
      <w:r>
        <w:rPr>
          <w:rFonts w:ascii="Times New Roman" w:cs="Times New Roman" w:eastAsia="Times New Roman" w:hAnsi="Times New Roman"/>
          <w:sz w:val="22"/>
          <w:szCs w:val="22"/>
          <w:color w:val="auto"/>
        </w:rPr>
        <w:t xml:space="preserve"> has occurred and is continuing at the time of such assignment or (2) in the case of an assignment of any Term Loan or unfunded Term Loan Commitment, such assignment is to a Lender, an Affiliate of a Lender or an Approved Fund; </w:t>
      </w:r>
      <w:r>
        <w:rPr>
          <w:rFonts w:ascii="Times New Roman" w:cs="Times New Roman" w:eastAsia="Times New Roman" w:hAnsi="Times New Roman"/>
          <w:sz w:val="22"/>
          <w:szCs w:val="22"/>
          <w:u w:val="single" w:color="auto"/>
          <w:color w:val="191919"/>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that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Company shall be deemed to have consented to any such assignment unless it shall object thereto by written notice to the Administrative Agent within ten (10) Business Days after having received notice thereof;</w:t>
      </w:r>
    </w:p>
    <w:p>
      <w:pPr>
        <w:spacing w:after="0" w:line="181" w:lineRule="exact"/>
        <w:rPr>
          <w:rFonts w:ascii="Times New Roman" w:cs="Times New Roman" w:eastAsia="Times New Roman" w:hAnsi="Times New Roman"/>
          <w:sz w:val="22"/>
          <w:szCs w:val="22"/>
          <w:color w:val="auto"/>
        </w:rPr>
      </w:pPr>
    </w:p>
    <w:p>
      <w:pPr>
        <w:jc w:val="both"/>
        <w:ind w:left="640" w:firstLine="652"/>
        <w:spacing w:after="0" w:line="251" w:lineRule="auto"/>
        <w:tabs>
          <w:tab w:leader="none" w:pos="1843"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 not to be unreasonably withheld or delayed) shall be required for assignments in respect of (i) any unfunded Term Loan Commitment, any USD Commitment or any MC Commitment if such assignment is to a Person that is not a Lender with a Commitment in respect of the applicable Facility, an Affiliate of such Lender or an Approved Fund with respect to such Lender or (ii) any Term Loan to a Person that is not a Lender, an Affiliate of such Lender or an Approved Fund with respect to such Lender; and</w:t>
      </w:r>
    </w:p>
    <w:p>
      <w:pPr>
        <w:spacing w:after="0" w:line="181" w:lineRule="exact"/>
        <w:rPr>
          <w:rFonts w:ascii="Times New Roman" w:cs="Times New Roman" w:eastAsia="Times New Roman" w:hAnsi="Times New Roman"/>
          <w:sz w:val="22"/>
          <w:szCs w:val="22"/>
          <w:color w:val="auto"/>
        </w:rPr>
      </w:pPr>
    </w:p>
    <w:p>
      <w:pPr>
        <w:ind w:left="640" w:firstLine="652"/>
        <w:spacing w:after="0" w:line="271" w:lineRule="auto"/>
        <w:tabs>
          <w:tab w:leader="none" w:pos="1919"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L/C Issuer and the Swing Line Lender (such consent not to be unreasonably withheld or delayed) shall be required for any assignment in respect of the Committed (USD) Facility.</w:t>
      </w:r>
    </w:p>
    <w:p>
      <w:pPr>
        <w:spacing w:after="0" w:line="157" w:lineRule="exact"/>
        <w:rPr>
          <w:rFonts w:ascii="Times New Roman" w:cs="Times New Roman" w:eastAsia="Times New Roman" w:hAnsi="Times New Roman"/>
          <w:sz w:val="22"/>
          <w:szCs w:val="22"/>
          <w:color w:val="auto"/>
        </w:rPr>
      </w:pPr>
    </w:p>
    <w:p>
      <w:pPr>
        <w:jc w:val="both"/>
        <w:ind w:firstLine="644"/>
        <w:spacing w:after="0" w:line="253" w:lineRule="auto"/>
        <w:tabs>
          <w:tab w:leader="none" w:pos="117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8" w:lineRule="exact"/>
        <w:rPr>
          <w:rFonts w:ascii="Times New Roman" w:cs="Times New Roman" w:eastAsia="Times New Roman" w:hAnsi="Times New Roman"/>
          <w:sz w:val="22"/>
          <w:szCs w:val="22"/>
          <w:color w:val="auto"/>
        </w:rPr>
      </w:pPr>
    </w:p>
    <w:p>
      <w:pPr>
        <w:jc w:val="both"/>
        <w:ind w:firstLine="644"/>
        <w:spacing w:after="0" w:line="253" w:lineRule="auto"/>
        <w:tabs>
          <w:tab w:leader="none" w:pos="1197"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one or more natural Persons).</w:t>
      </w:r>
    </w:p>
    <w:p>
      <w:pPr>
        <w:spacing w:after="0" w:line="178" w:lineRule="exact"/>
        <w:rPr>
          <w:rFonts w:ascii="Times New Roman" w:cs="Times New Roman" w:eastAsia="Times New Roman" w:hAnsi="Times New Roman"/>
          <w:sz w:val="22"/>
          <w:szCs w:val="22"/>
          <w:color w:val="auto"/>
        </w:rPr>
      </w:pPr>
    </w:p>
    <w:p>
      <w:pPr>
        <w:jc w:val="both"/>
        <w:ind w:firstLine="644"/>
        <w:spacing w:after="0" w:line="263" w:lineRule="auto"/>
        <w:tabs>
          <w:tab w:leader="none" w:pos="117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Additional Payments</w:t>
      </w:r>
      <w:r>
        <w:rPr>
          <w:rFonts w:ascii="Times New Roman" w:cs="Times New Roman" w:eastAsia="Times New Roman" w:hAnsi="Times New Roman"/>
          <w:sz w:val="22"/>
          <w:szCs w:val="22"/>
          <w:color w:val="auto"/>
        </w:rPr>
        <w:t>. In connection with any assignment of rights and obligations of any Defaulting Lender hereunder, no such assignment shall be effective unless and until, in addition to the other conditions thereto set forth 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0580"/>
          </w:cols>
          <w:pgMar w:left="980" w:top="1422" w:right="339" w:bottom="1440" w:gutter="0" w:footer="0" w:header="0"/>
        </w:sectPr>
      </w:pPr>
    </w:p>
    <w:bookmarkStart w:id="272" w:name="page273"/>
    <w:bookmarkEnd w:id="272"/>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Bankers’ Acceptances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sz w:val="20"/>
          <w:szCs w:val="20"/>
          <w:color w:val="auto"/>
        </w:rPr>
      </w:pPr>
    </w:p>
    <w:p>
      <w:pPr>
        <w:jc w:val="both"/>
        <w:ind w:left="660" w:firstLine="644"/>
        <w:spacing w:after="0" w:line="248" w:lineRule="auto"/>
        <w:tabs>
          <w:tab w:leader="none" w:pos="1930"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7"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4"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Administrative Agent, acting solely for this purpose as a non-fiduciary agent of the Borrowers,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and the Borrowers, the Administrative Agent and the Lenders shall treat each Person whose name is recorded in the Register pursuant to the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57" w:lineRule="auto"/>
        <w:rPr>
          <w:sz w:val="20"/>
          <w:szCs w:val="20"/>
          <w:color w:val="auto"/>
        </w:rPr>
      </w:pPr>
      <w:r>
        <w:rPr>
          <w:rFonts w:ascii="Times New Roman" w:cs="Times New Roman" w:eastAsia="Times New Roman" w:hAnsi="Times New Roman"/>
          <w:sz w:val="22"/>
          <w:szCs w:val="22"/>
          <w:color w:val="auto"/>
        </w:rPr>
        <w:t>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86" w:lineRule="exact"/>
        <w:rPr>
          <w:sz w:val="20"/>
          <w:szCs w:val="20"/>
          <w:color w:val="auto"/>
        </w:rPr>
      </w:pPr>
    </w:p>
    <w:p>
      <w:pPr>
        <w:jc w:val="both"/>
        <w:ind w:firstLine="656"/>
        <w:spacing w:after="0" w:line="260" w:lineRule="auto"/>
        <w:tabs>
          <w:tab w:leader="none" w:pos="1143"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any Borrower, the Administrative Agent, the Swing Line Lender or the L/C Issuer, sell participations to any Person (other than a natural Person, or a holding company, investment vehicle or trust for, or owned and operated for the primary benefit of one or more natural Persons, a Defaulting Lender or the Company or any of the Company’s Affiliates or Subsidiaries)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or enter into a swap or derivative transaction in respect of all or a portion of, such Lender’s rights and/or obligations under this Agreement (including all or a portion of its Commitment(s) and/or the Loans (including such Lender’s participations in L/C Obligations and/or Swing Line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3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2"/>
          <w:szCs w:val="22"/>
          <w:u w:val="single" w:color="auto"/>
          <w:color w:val="auto"/>
        </w:rPr>
        <w:t>Section 10.04(c)</w:t>
      </w:r>
      <w:r>
        <w:rPr>
          <w:rFonts w:ascii="Times New Roman" w:cs="Times New Roman" w:eastAsia="Times New Roman" w:hAnsi="Times New Roman"/>
          <w:sz w:val="22"/>
          <w:szCs w:val="22"/>
          <w:color w:val="auto"/>
        </w:rPr>
        <w:t xml:space="preserve">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that affects such Participant. Each Borrower agrees that each Participant shall be entitled to the benefits of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3.05</w:t>
      </w:r>
      <w:r>
        <w:rPr>
          <w:rFonts w:ascii="Times New Roman" w:cs="Times New Roman" w:eastAsia="Times New Roman" w:hAnsi="Times New Roman"/>
          <w:sz w:val="22"/>
          <w:szCs w:val="22"/>
          <w:color w:val="auto"/>
        </w:rPr>
        <w:t xml:space="preserve"> (subject to the requirements and limitations therein, including the requirements under </w:t>
      </w:r>
      <w:r>
        <w:rPr>
          <w:rFonts w:ascii="Times New Roman" w:cs="Times New Roman" w:eastAsia="Times New Roman" w:hAnsi="Times New Roman"/>
          <w:sz w:val="22"/>
          <w:szCs w:val="22"/>
          <w:u w:val="single" w:color="auto"/>
          <w:color w:val="auto"/>
        </w:rPr>
        <w:t>Section 3.01(e)</w:t>
      </w:r>
      <w:r>
        <w:rPr>
          <w:rFonts w:ascii="Times New Roman" w:cs="Times New Roman" w:eastAsia="Times New Roman" w:hAnsi="Times New Roman"/>
          <w:sz w:val="22"/>
          <w:szCs w:val="22"/>
          <w:color w:val="auto"/>
        </w:rPr>
        <w:t xml:space="preserve">) to the same extent as if it were a Lender and had acquired its interest by assignment pursuant to subsection (b) of this Section </w:t>
      </w:r>
      <w:r>
        <w:rPr>
          <w:rFonts w:ascii="Times New Roman" w:cs="Times New Roman" w:eastAsia="Times New Roman" w:hAnsi="Times New Roman"/>
          <w:sz w:val="22"/>
          <w:szCs w:val="22"/>
          <w:color w:val="191919"/>
        </w:rPr>
        <w:t>(it being understood that the documentation required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under </w:t>
      </w:r>
      <w:r>
        <w:rPr>
          <w:rFonts w:ascii="Times New Roman" w:cs="Times New Roman" w:eastAsia="Times New Roman" w:hAnsi="Times New Roman"/>
          <w:sz w:val="22"/>
          <w:szCs w:val="22"/>
          <w:u w:val="single" w:color="auto"/>
          <w:color w:val="191919"/>
        </w:rPr>
        <w:t>Section 3.01(e)</w:t>
      </w:r>
      <w:r>
        <w:rPr>
          <w:rFonts w:ascii="Times New Roman" w:cs="Times New Roman" w:eastAsia="Times New Roman" w:hAnsi="Times New Roman"/>
          <w:sz w:val="22"/>
          <w:szCs w:val="22"/>
          <w:color w:val="191919"/>
        </w:rPr>
        <w:t xml:space="preserve"> shall be delivered to the Lender who sells the participation) to the same extent as if it were a Lender and had acquired its interest by assignment pursuant to subsection (b) of this Section; </w:t>
      </w:r>
      <w:r>
        <w:rPr>
          <w:rFonts w:ascii="Times New Roman" w:cs="Times New Roman" w:eastAsia="Times New Roman" w:hAnsi="Times New Roman"/>
          <w:sz w:val="22"/>
          <w:szCs w:val="22"/>
          <w:u w:val="single" w:color="auto"/>
          <w:color w:val="191919"/>
        </w:rPr>
        <w:t>provided</w:t>
      </w:r>
      <w:r>
        <w:rPr>
          <w:rFonts w:ascii="Times New Roman" w:cs="Times New Roman" w:eastAsia="Times New Roman" w:hAnsi="Times New Roman"/>
          <w:sz w:val="22"/>
          <w:szCs w:val="22"/>
          <w:color w:val="191919"/>
        </w:rPr>
        <w:t xml:space="preserve"> that such Participant (A) agrees to be subject to the provisions of </w:t>
      </w:r>
      <w:r>
        <w:rPr>
          <w:rFonts w:ascii="Times New Roman" w:cs="Times New Roman" w:eastAsia="Times New Roman" w:hAnsi="Times New Roman"/>
          <w:sz w:val="22"/>
          <w:szCs w:val="22"/>
          <w:u w:val="single" w:color="auto"/>
          <w:color w:val="191919"/>
        </w:rPr>
        <w:t>Sections 3.06</w:t>
      </w:r>
      <w:r>
        <w:rPr>
          <w:rFonts w:ascii="Times New Roman" w:cs="Times New Roman" w:eastAsia="Times New Roman" w:hAnsi="Times New Roman"/>
          <w:sz w:val="22"/>
          <w:szCs w:val="22"/>
          <w:color w:val="191919"/>
        </w:rPr>
        <w:t xml:space="preserve"> and </w:t>
      </w:r>
      <w:r>
        <w:rPr>
          <w:rFonts w:ascii="Times New Roman" w:cs="Times New Roman" w:eastAsia="Times New Roman" w:hAnsi="Times New Roman"/>
          <w:sz w:val="22"/>
          <w:szCs w:val="22"/>
          <w:u w:val="single" w:color="auto"/>
          <w:color w:val="191919"/>
        </w:rPr>
        <w:t>10.13</w:t>
      </w:r>
      <w:r>
        <w:rPr>
          <w:rFonts w:ascii="Times New Roman" w:cs="Times New Roman" w:eastAsia="Times New Roman" w:hAnsi="Times New Roman"/>
          <w:sz w:val="22"/>
          <w:szCs w:val="22"/>
          <w:color w:val="191919"/>
        </w:rPr>
        <w:t xml:space="preserve"> as if it were an assignee under subsection (b) of this Section and (B) </w:t>
      </w:r>
      <w:r>
        <w:rPr>
          <w:rFonts w:ascii="Times New Roman" w:cs="Times New Roman" w:eastAsia="Times New Roman" w:hAnsi="Times New Roman"/>
          <w:sz w:val="22"/>
          <w:szCs w:val="22"/>
          <w:color w:val="000000"/>
        </w:rPr>
        <w:t>shall not</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 xml:space="preserve">be entitled to receive any greater payment under </w:t>
      </w:r>
      <w:r>
        <w:rPr>
          <w:rFonts w:ascii="Times New Roman" w:cs="Times New Roman" w:eastAsia="Times New Roman" w:hAnsi="Times New Roman"/>
          <w:sz w:val="22"/>
          <w:szCs w:val="22"/>
          <w:u w:val="single" w:color="auto"/>
          <w:color w:val="191919"/>
        </w:rPr>
        <w:t>Sections 3.01</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91919"/>
        </w:rPr>
        <w:t>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191919"/>
        </w:rPr>
        <w:t>3.04</w:t>
      </w:r>
      <w:r>
        <w:rPr>
          <w:rFonts w:ascii="Times New Roman" w:cs="Times New Roman" w:eastAsia="Times New Roman" w:hAnsi="Times New Roman"/>
          <w:sz w:val="22"/>
          <w:szCs w:val="22"/>
          <w:color w:val="191919"/>
        </w:rPr>
        <w:t>, with respect to any participation, than the Lender from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91919"/>
        </w:rPr>
        <w:t xml:space="preserve">whom it acquired the applicable participation </w:t>
      </w:r>
      <w:r>
        <w:rPr>
          <w:rFonts w:ascii="Times New Roman" w:cs="Times New Roman" w:eastAsia="Times New Roman" w:hAnsi="Times New Roman"/>
          <w:sz w:val="22"/>
          <w:szCs w:val="22"/>
          <w:color w:val="000000"/>
        </w:rPr>
        <w:t>would have been entitled to receive</w:t>
      </w:r>
      <w:r>
        <w:rPr>
          <w:rFonts w:ascii="Times New Roman" w:cs="Times New Roman" w:eastAsia="Times New Roman" w:hAnsi="Times New Roman"/>
          <w:sz w:val="22"/>
          <w:szCs w:val="22"/>
          <w:color w:val="191919"/>
        </w:rPr>
        <w:t xml:space="preser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Borrowers to effectuate the provisions of </w:t>
      </w:r>
      <w:r>
        <w:rPr>
          <w:rFonts w:ascii="Times New Roman" w:cs="Times New Roman" w:eastAsia="Times New Roman" w:hAnsi="Times New Roman"/>
          <w:sz w:val="22"/>
          <w:szCs w:val="22"/>
          <w:u w:val="single" w:color="auto"/>
          <w:color w:val="191919"/>
        </w:rPr>
        <w:t>Section 3.06</w:t>
      </w:r>
      <w:r>
        <w:rPr>
          <w:rFonts w:ascii="Times New Roman" w:cs="Times New Roman" w:eastAsia="Times New Roman" w:hAnsi="Times New Roman"/>
          <w:sz w:val="22"/>
          <w:szCs w:val="22"/>
          <w:color w:val="191919"/>
        </w:rPr>
        <w:t xml:space="preserve"> and </w:t>
      </w:r>
      <w:r>
        <w:rPr>
          <w:rFonts w:ascii="Times New Roman" w:cs="Times New Roman" w:eastAsia="Times New Roman" w:hAnsi="Times New Roman"/>
          <w:sz w:val="22"/>
          <w:szCs w:val="22"/>
          <w:u w:val="single" w:color="auto"/>
          <w:color w:val="191919"/>
        </w:rPr>
        <w:t>Section 10.13</w:t>
      </w:r>
      <w:r>
        <w:rPr>
          <w:rFonts w:ascii="Times New Roman" w:cs="Times New Roman" w:eastAsia="Times New Roman" w:hAnsi="Times New Roman"/>
          <w:sz w:val="22"/>
          <w:szCs w:val="22"/>
          <w:color w:val="191919"/>
        </w:rPr>
        <w:t xml:space="preserve"> with respect to any Participant</w:t>
      </w:r>
      <w:r>
        <w:rPr>
          <w:rFonts w:ascii="Times New Roman" w:cs="Times New Roman" w:eastAsia="Times New Roman" w:hAnsi="Times New Roman"/>
          <w:sz w:val="22"/>
          <w:szCs w:val="22"/>
          <w:color w:val="000000"/>
        </w:rPr>
        <w:t>. To the extent permitted</w:t>
      </w:r>
      <w:r>
        <w:rPr>
          <w:rFonts w:ascii="Times New Roman" w:cs="Times New Roman" w:eastAsia="Times New Roman" w:hAnsi="Times New Roman"/>
          <w:sz w:val="22"/>
          <w:szCs w:val="22"/>
          <w:color w:val="191919"/>
        </w:rPr>
        <w:t xml:space="preserve"> </w:t>
      </w:r>
      <w:r>
        <w:rPr>
          <w:rFonts w:ascii="Times New Roman" w:cs="Times New Roman" w:eastAsia="Times New Roman" w:hAnsi="Times New Roman"/>
          <w:sz w:val="22"/>
          <w:szCs w:val="22"/>
          <w:color w:val="000000"/>
        </w:rPr>
        <w:t xml:space="preserve">by law, each Participant also shall be entitled to the benefits of </w:t>
      </w:r>
      <w:r>
        <w:rPr>
          <w:rFonts w:ascii="Times New Roman" w:cs="Times New Roman" w:eastAsia="Times New Roman" w:hAnsi="Times New Roman"/>
          <w:sz w:val="22"/>
          <w:szCs w:val="22"/>
          <w:u w:val="single" w:color="auto"/>
          <w:color w:val="000000"/>
        </w:rPr>
        <w:t>Section 10.08</w:t>
      </w:r>
      <w:r>
        <w:rPr>
          <w:rFonts w:ascii="Times New Roman" w:cs="Times New Roman" w:eastAsia="Times New Roman" w:hAnsi="Times New Roman"/>
          <w:sz w:val="22"/>
          <w:szCs w:val="22"/>
          <w:color w:val="000000"/>
        </w:rPr>
        <w:t xml:space="preserve"> as though it were a Lender;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such Participant agrees to be subject to </w:t>
      </w:r>
      <w:r>
        <w:rPr>
          <w:rFonts w:ascii="Times New Roman" w:cs="Times New Roman" w:eastAsia="Times New Roman" w:hAnsi="Times New Roman"/>
          <w:sz w:val="22"/>
          <w:szCs w:val="22"/>
          <w:u w:val="single" w:color="auto"/>
          <w:color w:val="000000"/>
        </w:rPr>
        <w:t>Section 2.13</w:t>
      </w:r>
      <w:r>
        <w:rPr>
          <w:rFonts w:ascii="Times New Roman" w:cs="Times New Roman" w:eastAsia="Times New Roman" w:hAnsi="Times New Roman"/>
          <w:sz w:val="22"/>
          <w:szCs w:val="22"/>
          <w:color w:val="000000"/>
        </w:rPr>
        <w:t xml:space="preserve"> as though it were a Lender. </w:t>
      </w:r>
      <w:r>
        <w:rPr>
          <w:rFonts w:ascii="Times New Roman" w:cs="Times New Roman" w:eastAsia="Times New Roman" w:hAnsi="Times New Roman"/>
          <w:sz w:val="22"/>
          <w:szCs w:val="22"/>
          <w:color w:val="191919"/>
        </w:rPr>
        <w:t>Each Lender that sells a participation shall, acting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191919"/>
        </w:rPr>
        <w:t>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191919"/>
        </w:rPr>
        <w:t>Participant Register</w:t>
      </w:r>
      <w:r>
        <w:rPr>
          <w:rFonts w:ascii="Times New Roman" w:cs="Times New Roman" w:eastAsia="Times New Roman" w:hAnsi="Times New Roman"/>
          <w:sz w:val="22"/>
          <w:szCs w:val="22"/>
          <w:color w:val="19191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422" w:right="339" w:bottom="1440" w:gutter="0" w:footer="0" w:header="0"/>
        </w:sectPr>
      </w:pPr>
    </w:p>
    <w:bookmarkStart w:id="274" w:name="page275"/>
    <w:bookmarkEnd w:id="274"/>
    <w:p>
      <w:pPr>
        <w:jc w:val="both"/>
        <w:spacing w:after="0" w:line="249" w:lineRule="auto"/>
        <w:rPr>
          <w:sz w:val="20"/>
          <w:szCs w:val="20"/>
          <w:color w:val="auto"/>
        </w:rPr>
      </w:pPr>
      <w:r>
        <w:rPr>
          <w:rFonts w:ascii="Times New Roman" w:cs="Times New Roman" w:eastAsia="Times New Roman" w:hAnsi="Times New Roman"/>
          <w:sz w:val="22"/>
          <w:szCs w:val="22"/>
          <w:u w:val="single" w:color="auto"/>
          <w:color w:val="191919"/>
        </w:rPr>
        <w:t>provided</w:t>
      </w:r>
      <w:r>
        <w:rPr>
          <w:rFonts w:ascii="Times New Roman" w:cs="Times New Roman" w:eastAsia="Times New Roman" w:hAnsi="Times New Roman"/>
          <w:sz w:val="22"/>
          <w:szCs w:val="22"/>
          <w:color w:val="191919"/>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5" w:lineRule="exact"/>
        <w:rPr>
          <w:sz w:val="20"/>
          <w:szCs w:val="20"/>
          <w:color w:val="auto"/>
        </w:rPr>
      </w:pPr>
    </w:p>
    <w:p>
      <w:pPr>
        <w:jc w:val="both"/>
        <w:ind w:firstLine="656"/>
        <w:spacing w:after="0" w:line="252" w:lineRule="auto"/>
        <w:tabs>
          <w:tab w:leader="none" w:pos="1158"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2"/>
          <w:szCs w:val="22"/>
          <w:color w:val="auto"/>
        </w:rPr>
      </w:pPr>
    </w:p>
    <w:p>
      <w:pPr>
        <w:jc w:val="both"/>
        <w:ind w:firstLine="656"/>
        <w:spacing w:after="0" w:line="247" w:lineRule="auto"/>
        <w:tabs>
          <w:tab w:leader="none" w:pos="124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as L/C Issuer or Swing Line Lender after Assignment</w:t>
      </w:r>
      <w:r>
        <w:rPr>
          <w:rFonts w:ascii="Times New Roman" w:cs="Times New Roman" w:eastAsia="Times New Roman" w:hAnsi="Times New Roman"/>
          <w:sz w:val="22"/>
          <w:szCs w:val="22"/>
          <w:color w:val="auto"/>
        </w:rPr>
        <w:t xml:space="preserve">. Notwithstanding anything to the contrary contained herein, (i) if at any time Bank of America assigns all of its USD Commitment and Loans under the Committed (USD) Facility pursuant to subsection (b) above, Bank of America may, (A) upon 30 days’ notice to the Company and the Committed (USD) Lenders, resign as L/C Issuer and/or (B) upon 30 days’ notice to the Company, resign as Swing Line Lender, and (ii) if at any time any other Lender acting as an L/C Issuer assigns all of its USD Commitment and Loans under the Committed (USD) Facility pursuant to </w:t>
      </w:r>
      <w:r>
        <w:rPr>
          <w:rFonts w:ascii="Times New Roman" w:cs="Times New Roman" w:eastAsia="Times New Roman" w:hAnsi="Times New Roman"/>
          <w:sz w:val="22"/>
          <w:szCs w:val="22"/>
          <w:u w:val="single" w:color="auto"/>
          <w:color w:val="auto"/>
        </w:rPr>
        <w:t>subsection (b)</w:t>
      </w:r>
      <w:r>
        <w:rPr>
          <w:rFonts w:ascii="Times New Roman" w:cs="Times New Roman" w:eastAsia="Times New Roman" w:hAnsi="Times New Roman"/>
          <w:sz w:val="22"/>
          <w:szCs w:val="22"/>
          <w:color w:val="auto"/>
        </w:rPr>
        <w:t xml:space="preserve"> above, such Lender may, upon 30 days’ notice to the Company and the Committed (USD) Lenders, resign as an L/C Issuer. In the event of any such resignation as an L/C Issuer or Swing Line Lender, the Company shall be entitled to appoint from among the Lenders a successor L/C Issuer or Swing Line Lender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failure by the Company to appoint any such successor shall affect the resignation of Bank of America as L/C Issuer or Swing Line Lender, as the case may be, or any other Lender as an L/C Issuer. If Bank of America or any other Lender resigns as an L/C Issuer, it shall retain all the rights, powers, privileges and duties of an L/C Issuer hereunder with respect to all Letters of Credit and Bankers’ Acceptances outstanding and issued by it as of the effective date of its resignation as an L/C Issuer and all L/C Obligations with respect thereto (including the right to require the Lenders to make Base Rate Committed (USD) Loans or fund risk participations in Unreimbursed Amounts pursuant to </w:t>
      </w:r>
      <w:r>
        <w:rPr>
          <w:rFonts w:ascii="Times New Roman" w:cs="Times New Roman" w:eastAsia="Times New Roman" w:hAnsi="Times New Roman"/>
          <w:sz w:val="22"/>
          <w:szCs w:val="22"/>
          <w:u w:val="single" w:color="auto"/>
          <w:color w:val="auto"/>
        </w:rPr>
        <w:t>Section 2.03(d)</w:t>
      </w:r>
      <w:r>
        <w:rPr>
          <w:rFonts w:ascii="Times New Roman" w:cs="Times New Roman" w:eastAsia="Times New Roman" w:hAnsi="Times New Roman"/>
          <w:sz w:val="22"/>
          <w:szCs w:val="22"/>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(USD) Loans or fund risk participations in outstanding Swing Line Loans pursuant to </w:t>
      </w:r>
      <w:r>
        <w:rPr>
          <w:rFonts w:ascii="Times New Roman" w:cs="Times New Roman" w:eastAsia="Times New Roman" w:hAnsi="Times New Roman"/>
          <w:sz w:val="22"/>
          <w:szCs w:val="22"/>
          <w:u w:val="single" w:color="auto"/>
          <w:color w:val="auto"/>
        </w:rPr>
        <w:t>Section 2.04(c)</w:t>
      </w:r>
      <w:r>
        <w:rPr>
          <w:rFonts w:ascii="Times New Roman" w:cs="Times New Roman" w:eastAsia="Times New Roman" w:hAnsi="Times New Roman"/>
          <w:sz w:val="22"/>
          <w:szCs w:val="22"/>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422" w:right="339" w:bottom="1440" w:gutter="0" w:footer="0" w:header="0"/>
        </w:sectPr>
      </w:pPr>
    </w:p>
    <w:bookmarkStart w:id="275" w:name="page276"/>
    <w:bookmarkEnd w:id="275"/>
    <w:p>
      <w:pPr>
        <w:jc w:val="both"/>
        <w:spacing w:after="0" w:line="256" w:lineRule="auto"/>
        <w:rPr>
          <w:sz w:val="20"/>
          <w:szCs w:val="20"/>
          <w:color w:val="auto"/>
        </w:rPr>
      </w:pPr>
      <w:r>
        <w:rPr>
          <w:rFonts w:ascii="Times New Roman" w:cs="Times New Roman" w:eastAsia="Times New Roman" w:hAnsi="Times New Roman"/>
          <w:sz w:val="22"/>
          <w:szCs w:val="22"/>
          <w:color w:val="auto"/>
        </w:rPr>
        <w:t>letters of credit and bankers’ acceptances in substitution for the Letters of Credit and Bankers’ Acceptances, if any, outstanding at the time of such succession or make other arrangements satisfactory to Bank of America or such other retiring L/C Issuer, as the case may be, to effectively assume the obligations of Bank of America or such other retiring L/C Issuer, as the case may be, with respect to such Letters of Credit or Bankers’ Acceptances issued by it.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10.07 Treatment of Certain Information; Confidentiality. </w:t>
      </w:r>
      <w:r>
        <w:rPr>
          <w:rFonts w:ascii="Times New Roman" w:cs="Times New Roman" w:eastAsia="Times New Roman" w:hAnsi="Times New Roman"/>
          <w:sz w:val="21"/>
          <w:szCs w:val="21"/>
          <w:color w:val="auto"/>
        </w:rPr>
        <w:t>Each of the Administrative Agent, the Lenders and the 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Issuer agrees to maintain the confidentiality of the Information (as defined below), except that Information may be disclosed (a) to its Affiliates, its auditors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xml:space="preserve"> or (ii) any actual or prospective counterparty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the L/C Issuer or the Swing Line Lender to deliver Borrower Materials or notices to the Lenders or (iii)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the L/C Issuer or any of their respective Affiliates on a nonconfidential basis from a source other than the Company or</w:t>
      </w:r>
    </w:p>
    <w:p>
      <w:pPr>
        <w:spacing w:after="0" w:line="17" w:lineRule="exact"/>
        <w:rPr>
          <w:sz w:val="20"/>
          <w:szCs w:val="20"/>
          <w:color w:val="auto"/>
        </w:rPr>
      </w:pPr>
    </w:p>
    <w:p>
      <w:pPr>
        <w:jc w:val="both"/>
        <w:ind w:firstLine="8"/>
        <w:spacing w:after="0" w:line="244" w:lineRule="auto"/>
        <w:tabs>
          <w:tab w:leader="none" w:pos="30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independently discovered or developed by a party hereto without utilizing any Information received from the Company or violating the terms of this </w:t>
      </w:r>
      <w:r>
        <w:rPr>
          <w:rFonts w:ascii="Times New Roman" w:cs="Times New Roman" w:eastAsia="Times New Roman" w:hAnsi="Times New Roman"/>
          <w:sz w:val="22"/>
          <w:szCs w:val="22"/>
          <w:u w:val="single" w:color="auto"/>
          <w:color w:val="auto"/>
        </w:rPr>
        <w:t>Section 10.07</w:t>
      </w:r>
      <w:r>
        <w:rPr>
          <w:rFonts w:ascii="Times New Roman" w:cs="Times New Roman" w:eastAsia="Times New Roman" w:hAnsi="Times New Roman"/>
          <w:sz w:val="22"/>
          <w:szCs w:val="22"/>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For purposes of this Section,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means all information received from the Company or any Subsidiary relating to the Company or any Subsidiary or any of their respective businesses, other than any such information that is available to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422" w:right="339" w:bottom="1440" w:gutter="0" w:footer="0" w:header="0"/>
        </w:sectPr>
      </w:pPr>
    </w:p>
    <w:bookmarkStart w:id="276" w:name="page277"/>
    <w:bookmarkEnd w:id="276"/>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Lender or the L/C Issuer on a nonconfidential basis prior to disclosure by the Company or any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information received from the Company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10.08 Right of Setoff. </w:t>
      </w:r>
      <w:r>
        <w:rPr>
          <w:rFonts w:ascii="Times New Roman" w:cs="Times New Roman" w:eastAsia="Times New Roman" w:hAnsi="Times New Roman"/>
          <w:sz w:val="22"/>
          <w:szCs w:val="22"/>
          <w:color w:val="auto"/>
        </w:rPr>
        <w:t>If an Event of Default shall have occurred and be continuing, each Lender, the L/C Issuer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Borrower may be contingent or unmatured or are owed to a branch or office of such Lender, the L/C Issuer or such Affiliate different from the branch or office holding such deposit or obligated on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2"/>
          <w:szCs w:val="22"/>
          <w:u w:val="single" w:color="auto"/>
          <w:color w:val="auto"/>
        </w:rPr>
        <w:t>Section 2.17</w:t>
      </w:r>
      <w:r>
        <w:rPr>
          <w:rFonts w:ascii="Times New Roman" w:cs="Times New Roman" w:eastAsia="Times New Roman" w:hAnsi="Times New Roman"/>
          <w:sz w:val="22"/>
          <w:szCs w:val="22"/>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10.09 Interest Rate Limitation. </w:t>
      </w:r>
      <w:r>
        <w:rPr>
          <w:rFonts w:ascii="Times New Roman" w:cs="Times New Roman" w:eastAsia="Times New Roman" w:hAnsi="Times New Roman"/>
          <w:sz w:val="22"/>
          <w:szCs w:val="22"/>
          <w:color w:val="auto"/>
        </w:rPr>
        <w:t>Notwithstanding anything to the contrary contained in any Loan Document,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paid or agreed to be paid under the Loan Documents shall not exceed the maximum rate of non-usurious interest permitted by applicable Law (the “</w:t>
      </w: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If the Administrative Agent or any Lender shall receive interest in an amount that exceeds the Maximum Rate, the excess interest shall be applied to the principal of the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422" w:right="339" w:bottom="1440" w:gutter="0" w:footer="0" w:header="0"/>
        </w:sectPr>
      </w:pPr>
    </w:p>
    <w:bookmarkStart w:id="277" w:name="page278"/>
    <w:bookmarkEnd w:id="277"/>
    <w:p>
      <w:pPr>
        <w:jc w:val="both"/>
        <w:spacing w:after="0" w:line="253" w:lineRule="auto"/>
        <w:rPr>
          <w:sz w:val="20"/>
          <w:szCs w:val="20"/>
          <w:color w:val="auto"/>
        </w:rPr>
      </w:pPr>
      <w:r>
        <w:rPr>
          <w:rFonts w:ascii="Times New Roman" w:cs="Times New Roman" w:eastAsia="Times New Roman" w:hAnsi="Times New Roman"/>
          <w:sz w:val="22"/>
          <w:szCs w:val="22"/>
          <w:color w:val="auto"/>
        </w:rPr>
        <w:t>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b w:val="1"/>
          <w:bCs w:val="1"/>
          <w:color w:val="auto"/>
        </w:rPr>
        <w:t xml:space="preserve">10.10 Integration; Effectiveness. </w:t>
      </w:r>
      <w:r>
        <w:rPr>
          <w:rFonts w:ascii="Times New Roman" w:cs="Times New Roman" w:eastAsia="Times New Roman" w:hAnsi="Times New Roman"/>
          <w:sz w:val="22"/>
          <w:szCs w:val="22"/>
          <w:color w:val="auto"/>
        </w:rPr>
        <w:t>This Agreement, the other Loan Documents and any separate letter agreements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80"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b w:val="1"/>
          <w:bCs w:val="1"/>
          <w:color w:val="auto"/>
        </w:rPr>
        <w:t xml:space="preserve">10.11 Survival of Representations and Warranties. </w:t>
      </w:r>
      <w:r>
        <w:rPr>
          <w:rFonts w:ascii="Times New Roman" w:cs="Times New Roman" w:eastAsia="Times New Roman" w:hAnsi="Times New Roman"/>
          <w:sz w:val="21"/>
          <w:szCs w:val="21"/>
          <w:color w:val="auto"/>
        </w:rPr>
        <w:t>All representations and warranties made hereunder and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or Bankers’ Acceptance shall remain outstanding.</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10.12 Severability. </w:t>
      </w:r>
      <w:r>
        <w:rPr>
          <w:rFonts w:ascii="Times New Roman" w:cs="Times New Roman" w:eastAsia="Times New Roman" w:hAnsi="Times New Roman"/>
          <w:sz w:val="22"/>
          <w:szCs w:val="22"/>
          <w:color w:val="auto"/>
        </w:rPr>
        <w:t>If any provision of this Agreement or the other Loan Documents is held to be illegal, invalid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10.13 Replacement of Lenders. </w:t>
      </w:r>
      <w:r>
        <w:rPr>
          <w:rFonts w:ascii="Times New Roman" w:cs="Times New Roman" w:eastAsia="Times New Roman" w:hAnsi="Times New Roman"/>
          <w:sz w:val="22"/>
          <w:szCs w:val="22"/>
          <w:color w:val="auto"/>
        </w:rPr>
        <w:t>If the Company is entitled to replace a Lender pursuant to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3.06</w:t>
      </w:r>
      <w:r>
        <w:rPr>
          <w:rFonts w:ascii="Times New Roman" w:cs="Times New Roman" w:eastAsia="Times New Roman" w:hAnsi="Times New Roman"/>
          <w:sz w:val="22"/>
          <w:szCs w:val="22"/>
          <w:color w:val="auto"/>
        </w:rPr>
        <w:t>, or if any Lender is a Defaulting Lender, or if any Lender is a Non-Consenting Lender (as defined below), then the Company may, at its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422" w:right="339" w:bottom="1440" w:gutter="0" w:footer="0" w:header="0"/>
        </w:sectPr>
      </w:pPr>
    </w:p>
    <w:bookmarkStart w:id="278" w:name="page279"/>
    <w:bookmarkEnd w:id="278"/>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2"/>
          <w:szCs w:val="22"/>
          <w:u w:val="single" w:color="auto"/>
          <w:color w:val="auto"/>
        </w:rPr>
        <w:t>Section 10.06</w:t>
      </w:r>
      <w:r>
        <w:rPr>
          <w:rFonts w:ascii="Times New Roman" w:cs="Times New Roman" w:eastAsia="Times New Roman" w:hAnsi="Times New Roman"/>
          <w:sz w:val="22"/>
          <w:szCs w:val="22"/>
          <w:color w:val="auto"/>
        </w:rPr>
        <w:t xml:space="preserve">), all of its interests, rights (other than its existing rights to payments pursuant to </w:t>
      </w:r>
      <w:r>
        <w:rPr>
          <w:rFonts w:ascii="Times New Roman" w:cs="Times New Roman" w:eastAsia="Times New Roman" w:hAnsi="Times New Roman"/>
          <w:sz w:val="22"/>
          <w:szCs w:val="22"/>
          <w:u w:val="single" w:color="auto"/>
          <w:color w:val="auto"/>
        </w:rPr>
        <w:t>Sections 3.01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3.04</w:t>
      </w:r>
      <w:r>
        <w:rPr>
          <w:rFonts w:ascii="Times New Roman" w:cs="Times New Roman" w:eastAsia="Times New Roman" w:hAnsi="Times New Roman"/>
          <w:sz w:val="22"/>
          <w:szCs w:val="22"/>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79" w:lineRule="exact"/>
        <w:rPr>
          <w:sz w:val="20"/>
          <w:szCs w:val="20"/>
          <w:color w:val="auto"/>
        </w:rPr>
      </w:pPr>
    </w:p>
    <w:p>
      <w:pPr>
        <w:ind w:left="1120" w:hanging="464"/>
        <w:spacing w:after="0"/>
        <w:tabs>
          <w:tab w:leader="none" w:pos="1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paid to the Administrative Agent the assignment fee specified in </w:t>
      </w:r>
      <w:r>
        <w:rPr>
          <w:rFonts w:ascii="Times New Roman" w:cs="Times New Roman" w:eastAsia="Times New Roman" w:hAnsi="Times New Roman"/>
          <w:sz w:val="22"/>
          <w:szCs w:val="22"/>
          <w:u w:val="single" w:color="auto"/>
          <w:color w:val="auto"/>
        </w:rPr>
        <w:t>Section 10.06(b)</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656"/>
        <w:spacing w:after="0" w:line="256" w:lineRule="auto"/>
        <w:tabs>
          <w:tab w:leader="none" w:pos="114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2"/>
          <w:szCs w:val="22"/>
          <w:u w:val="single" w:color="auto"/>
          <w:color w:val="auto"/>
        </w:rPr>
        <w:t>Section 3.05</w:t>
      </w:r>
      <w:r>
        <w:rPr>
          <w:rFonts w:ascii="Times New Roman" w:cs="Times New Roman" w:eastAsia="Times New Roman" w:hAnsi="Times New Roman"/>
          <w:sz w:val="22"/>
          <w:szCs w:val="22"/>
          <w:color w:val="auto"/>
        </w:rPr>
        <w:t>) from the assignee (to the extent of such outstanding principal and accrued interest and fees) or the Company (in the case of all other amounts);</w:t>
      </w:r>
    </w:p>
    <w:p>
      <w:pPr>
        <w:spacing w:after="0" w:line="176" w:lineRule="exact"/>
        <w:rPr>
          <w:rFonts w:ascii="Times New Roman" w:cs="Times New Roman" w:eastAsia="Times New Roman" w:hAnsi="Times New Roman"/>
          <w:sz w:val="22"/>
          <w:szCs w:val="22"/>
          <w:color w:val="auto"/>
        </w:rPr>
      </w:pPr>
    </w:p>
    <w:p>
      <w:pPr>
        <w:ind w:firstLine="656"/>
        <w:spacing w:after="0" w:line="295" w:lineRule="auto"/>
        <w:tabs>
          <w:tab w:leader="none" w:pos="1110"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135" w:lineRule="exact"/>
        <w:rPr>
          <w:rFonts w:ascii="Times New Roman" w:cs="Times New Roman" w:eastAsia="Times New Roman" w:hAnsi="Times New Roman"/>
          <w:sz w:val="21"/>
          <w:szCs w:val="21"/>
          <w:color w:val="auto"/>
        </w:rPr>
      </w:pPr>
    </w:p>
    <w:p>
      <w:pPr>
        <w:ind w:firstLine="656"/>
        <w:spacing w:after="0" w:line="271" w:lineRule="auto"/>
        <w:tabs>
          <w:tab w:leader="none" w:pos="118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by a Non-Consenting Lender, the assignee must have approved in writing the substance of the amendment, waiver or consent which caused the assignor to be a Non-Consenting Lender; and</w:t>
      </w:r>
    </w:p>
    <w:p>
      <w:pPr>
        <w:spacing w:after="0" w:line="171"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10.13</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xml:space="preserve">” means (a) any Lender that does not approve any consent, waiver or amendment that (i) requires the approval of all Lenders or all affected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Required Lenders, (b) any Committed (USD) Lender that does not approve any consent, waiver or amendment that (i) requires the approval of all Committed (USD) Lenders or all affected Committed (USD)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Required (USD) Lenders, (c) any Committed (MC) Lender that does not approve any consent, waiver or amendment that (i) requires the approval of all Committed (MC) Lenders or all affected Committed (MC)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Required (MC) Lenders or (d) any Term Loan Lender that does not approve any consent, waiver or amendment that (i) requires the approval of all Term Loan Lenders or all affected Term Loan Lenders in accordance with the terms of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(ii) has been approved by the Term Loan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163</w:t>
      </w:r>
    </w:p>
    <w:p>
      <w:pPr>
        <w:sectPr>
          <w:pgSz w:w="11900" w:h="16838" w:orient="portrait"/>
          <w:cols w:equalWidth="0" w:num="1">
            <w:col w:w="11240"/>
          </w:cols>
          <w:pgMar w:left="320" w:top="1422" w:right="339" w:bottom="1440" w:gutter="0" w:footer="0" w:header="0"/>
        </w:sectPr>
      </w:pPr>
    </w:p>
    <w:bookmarkStart w:id="279" w:name="page280"/>
    <w:bookmarkEnd w:id="279"/>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Each party hereto agrees that (a) an assignment required pursuant to this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may be effected pursuant to an Assignment and Assumption executed by the Borrowers, the Administrative Agent and the assignee and (b) the Lender required to make such assignment need not be a party thereto in order for such assignment to be effective and shall be deemed to have consented to be bound by the terms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any such documents shall be without recourse to or warranty by the parties thereto.</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Notwithstanding anything in this </w:t>
      </w:r>
      <w:r>
        <w:rPr>
          <w:rFonts w:ascii="Times New Roman" w:cs="Times New Roman" w:eastAsia="Times New Roman" w:hAnsi="Times New Roman"/>
          <w:sz w:val="21"/>
          <w:szCs w:val="21"/>
          <w:u w:val="single" w:color="auto"/>
          <w:color w:val="auto"/>
        </w:rPr>
        <w:t>Section 10.13</w:t>
      </w:r>
      <w:r>
        <w:rPr>
          <w:rFonts w:ascii="Times New Roman" w:cs="Times New Roman" w:eastAsia="Times New Roman" w:hAnsi="Times New Roman"/>
          <w:sz w:val="21"/>
          <w:szCs w:val="21"/>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w:t>
      </w:r>
    </w:p>
    <w:p>
      <w:pPr>
        <w:spacing w:after="0" w:line="2" w:lineRule="exact"/>
        <w:rPr>
          <w:sz w:val="20"/>
          <w:szCs w:val="20"/>
          <w:color w:val="auto"/>
        </w:rPr>
      </w:pPr>
    </w:p>
    <w:p>
      <w:pPr>
        <w:ind w:firstLine="8"/>
        <w:spacing w:after="0" w:line="248" w:lineRule="auto"/>
        <w:tabs>
          <w:tab w:leader="none" w:pos="349"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 that acts as the Administrative Agent may not be replaced hereunder except in accordance with the terms of </w:t>
      </w:r>
      <w:r>
        <w:rPr>
          <w:rFonts w:ascii="Times New Roman" w:cs="Times New Roman" w:eastAsia="Times New Roman" w:hAnsi="Times New Roman"/>
          <w:sz w:val="22"/>
          <w:szCs w:val="22"/>
          <w:u w:val="single" w:color="auto"/>
          <w:color w:val="auto"/>
        </w:rPr>
        <w:t>Section 9.06</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10.14</w:t>
      </w:r>
      <w:r>
        <w:rPr>
          <w:sz w:val="20"/>
          <w:szCs w:val="20"/>
          <w:color w:val="auto"/>
        </w:rPr>
        <w:tab/>
      </w:r>
      <w:r>
        <w:rPr>
          <w:rFonts w:ascii="Times New Roman" w:cs="Times New Roman" w:eastAsia="Times New Roman" w:hAnsi="Times New Roman"/>
          <w:sz w:val="21"/>
          <w:szCs w:val="21"/>
          <w:b w:val="1"/>
          <w:bCs w:val="1"/>
          <w:color w:val="auto"/>
        </w:rPr>
        <w:t>Governing Law; Jurisdiction; Etc.</w:t>
      </w:r>
    </w:p>
    <w:p>
      <w:pPr>
        <w:spacing w:after="0" w:line="237" w:lineRule="exact"/>
        <w:rPr>
          <w:sz w:val="20"/>
          <w:szCs w:val="20"/>
          <w:color w:val="auto"/>
        </w:rPr>
      </w:pPr>
    </w:p>
    <w:p>
      <w:pPr>
        <w:jc w:val="both"/>
        <w:ind w:firstLine="656"/>
        <w:spacing w:after="0" w:line="250" w:lineRule="auto"/>
        <w:tabs>
          <w:tab w:leader="none" w:pos="1239"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CONFLICTS OF LAW THAT WOULD REQUIRE THE APPLICATION OF THE LAWS OF ANOTHER JURISDICTION.</w:t>
      </w:r>
    </w:p>
    <w:p>
      <w:pPr>
        <w:spacing w:after="0" w:line="180" w:lineRule="exact"/>
        <w:rPr>
          <w:rFonts w:ascii="Times New Roman" w:cs="Times New Roman" w:eastAsia="Times New Roman" w:hAnsi="Times New Roman"/>
          <w:sz w:val="22"/>
          <w:szCs w:val="22"/>
          <w:color w:val="auto"/>
        </w:rPr>
      </w:pPr>
    </w:p>
    <w:p>
      <w:pPr>
        <w:jc w:val="both"/>
        <w:ind w:firstLine="656"/>
        <w:spacing w:after="0" w:line="249" w:lineRule="auto"/>
        <w:tabs>
          <w:tab w:leader="none" w:pos="125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TO JURISDICTION</w:t>
      </w:r>
      <w:r>
        <w:rPr>
          <w:rFonts w:ascii="Times New Roman" w:cs="Times New Roman" w:eastAsia="Times New Roman" w:hAnsi="Times New Roman"/>
          <w:sz w:val="22"/>
          <w:szCs w:val="22"/>
          <w:color w:val="auto"/>
        </w:rPr>
        <w:t>. 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164</w:t>
      </w:r>
    </w:p>
    <w:p>
      <w:pPr>
        <w:sectPr>
          <w:pgSz w:w="11900" w:h="16838" w:orient="portrait"/>
          <w:cols w:equalWidth="0" w:num="1">
            <w:col w:w="11240"/>
          </w:cols>
          <w:pgMar w:left="320" w:top="1422" w:right="339" w:bottom="1440" w:gutter="0" w:footer="0" w:header="0"/>
        </w:sectPr>
      </w:pPr>
    </w:p>
    <w:bookmarkStart w:id="280" w:name="page281"/>
    <w:bookmarkEnd w:id="280"/>
    <w:p>
      <w:pPr>
        <w:jc w:val="both"/>
        <w:spacing w:after="0" w:line="251" w:lineRule="auto"/>
        <w:rPr>
          <w:sz w:val="20"/>
          <w:szCs w:val="20"/>
          <w:color w:val="auto"/>
        </w:rPr>
      </w:pPr>
      <w:r>
        <w:rPr>
          <w:rFonts w:ascii="Times New Roman" w:cs="Times New Roman" w:eastAsia="Times New Roman" w:hAnsi="Times New Roman"/>
          <w:sz w:val="22"/>
          <w:szCs w:val="22"/>
          <w:color w:val="auto"/>
        </w:rPr>
        <w:t>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181" w:lineRule="exact"/>
        <w:rPr>
          <w:sz w:val="20"/>
          <w:szCs w:val="20"/>
          <w:color w:val="auto"/>
        </w:rPr>
      </w:pPr>
    </w:p>
    <w:p>
      <w:pPr>
        <w:jc w:val="both"/>
        <w:ind w:firstLine="656"/>
        <w:spacing w:after="0" w:line="250" w:lineRule="auto"/>
        <w:tabs>
          <w:tab w:leader="none" w:pos="119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VENUE</w:t>
      </w:r>
      <w:r>
        <w:rPr>
          <w:rFonts w:ascii="Times New Roman" w:cs="Times New Roman" w:eastAsia="Times New Roman" w:hAnsi="Times New Roman"/>
          <w:sz w:val="22"/>
          <w:szCs w:val="22"/>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0" w:lineRule="exact"/>
        <w:rPr>
          <w:rFonts w:ascii="Times New Roman" w:cs="Times New Roman" w:eastAsia="Times New Roman" w:hAnsi="Times New Roman"/>
          <w:sz w:val="22"/>
          <w:szCs w:val="22"/>
          <w:color w:val="auto"/>
        </w:rPr>
      </w:pPr>
    </w:p>
    <w:p>
      <w:pPr>
        <w:jc w:val="both"/>
        <w:ind w:firstLine="656"/>
        <w:spacing w:after="0" w:line="256" w:lineRule="auto"/>
        <w:tabs>
          <w:tab w:leader="none" w:pos="1170"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OF PROCESS</w:t>
      </w:r>
      <w:r>
        <w:rPr>
          <w:rFonts w:ascii="Times New Roman" w:cs="Times New Roman" w:eastAsia="Times New Roman" w:hAnsi="Times New Roman"/>
          <w:sz w:val="22"/>
          <w:szCs w:val="22"/>
          <w:color w:val="auto"/>
        </w:rPr>
        <w:t xml:space="preserve">. 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NOTHING IN THIS AGREEMENT WILL AFFECT THE RIGHT OF ANY PARTY HERETO TO SERVE PROCESS IN ANY OTHER MANNER PERMITTED BY APPLICABLE LAW.</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10.15 Waiver of Jury Trial. </w:t>
      </w:r>
      <w:r>
        <w:rPr>
          <w:rFonts w:ascii="Times New Roman" w:cs="Times New Roman" w:eastAsia="Times New Roman" w:hAnsi="Times New Roman"/>
          <w:sz w:val="22"/>
          <w:szCs w:val="22"/>
          <w:color w:val="auto"/>
        </w:rPr>
        <w:t>EACH PARTY HERETO HEREBY IRREVOCABLY WAIVES, TO THE FULLEST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10.16 No Advisory or Fiduciary Responsibility. </w:t>
      </w:r>
      <w:r>
        <w:rPr>
          <w:rFonts w:ascii="Times New Roman" w:cs="Times New Roman" w:eastAsia="Times New Roman" w:hAnsi="Times New Roman"/>
          <w:sz w:val="22"/>
          <w:szCs w:val="22"/>
          <w:color w:val="auto"/>
        </w:rPr>
        <w:t>In connection with all aspects of each transaction contemplated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165</w:t>
      </w:r>
    </w:p>
    <w:p>
      <w:pPr>
        <w:sectPr>
          <w:pgSz w:w="11900" w:h="16838" w:orient="portrait"/>
          <w:cols w:equalWidth="0" w:num="1">
            <w:col w:w="11240"/>
          </w:cols>
          <w:pgMar w:left="320" w:top="1422" w:right="339" w:bottom="1440" w:gutter="0" w:footer="0" w:header="0"/>
        </w:sectPr>
      </w:pPr>
    </w:p>
    <w:bookmarkStart w:id="281" w:name="page282"/>
    <w:bookmarkEnd w:id="281"/>
    <w:p>
      <w:pPr>
        <w:jc w:val="both"/>
        <w:spacing w:after="0" w:line="248" w:lineRule="auto"/>
        <w:rPr>
          <w:sz w:val="20"/>
          <w:szCs w:val="20"/>
          <w:color w:val="auto"/>
        </w:rPr>
      </w:pPr>
      <w:r>
        <w:rPr>
          <w:rFonts w:ascii="Times New Roman" w:cs="Times New Roman" w:eastAsia="Times New Roman" w:hAnsi="Times New Roman"/>
          <w:sz w:val="22"/>
          <w:szCs w:val="22"/>
          <w:color w:val="auto"/>
        </w:rPr>
        <w:t>Lenders are arm’s-length commercial transactions between such Borrower and its Affiliates, on the one hand, and the Administrative Agent, the Arrangers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Arrangers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such Borrower or any of its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of the Borrowers hereby waives and releases any claims that it may have against the Administrative Agent, any Arranger or any Lender with respect to any breach or alleged breach of agency or fiduciary duty in connection with any aspect of any transaction contemplated hereby.</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10.17 Electronic Execution; Electronic Records; Counterparts. </w:t>
      </w:r>
      <w:r>
        <w:rPr>
          <w:rFonts w:ascii="Times New Roman" w:cs="Times New Roman" w:eastAsia="Times New Roman" w:hAnsi="Times New Roman"/>
          <w:sz w:val="22"/>
          <w:szCs w:val="22"/>
          <w:color w:val="auto"/>
        </w:rPr>
        <w:t>This Agreement, any Loan Document and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including Communications required to be in writing, may be in the form of an Electronic Record and may be executed using Electronic Signatures. Each of the Borrowers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2"/>
          <w:szCs w:val="22"/>
          <w:u w:val="single" w:color="auto"/>
          <w:color w:val="auto"/>
        </w:rPr>
        <w:t>Electronic Copy</w:t>
      </w:r>
      <w:r>
        <w:rPr>
          <w:rFonts w:ascii="Times New Roman" w:cs="Times New Roman" w:eastAsia="Times New Roman" w:hAnsi="Times New Roman"/>
          <w:sz w:val="22"/>
          <w:szCs w:val="22"/>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 under any obligation to accept an Electronic Signature in any form or in any format unless expressly agreed to by such Person pursuant to procedures approved by it;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166</w:t>
      </w:r>
    </w:p>
    <w:p>
      <w:pPr>
        <w:sectPr>
          <w:pgSz w:w="11900" w:h="16838" w:orient="portrait"/>
          <w:cols w:equalWidth="0" w:num="1">
            <w:col w:w="11240"/>
          </w:cols>
          <w:pgMar w:left="320" w:top="1422" w:right="339" w:bottom="1440" w:gutter="0" w:footer="0" w:header="0"/>
        </w:sectPr>
      </w:pPr>
    </w:p>
    <w:bookmarkStart w:id="282" w:name="page283"/>
    <w:bookmarkEnd w:id="282"/>
    <w:p>
      <w:pPr>
        <w:jc w:val="both"/>
        <w:spacing w:after="0" w:line="253" w:lineRule="auto"/>
        <w:rPr>
          <w:sz w:val="20"/>
          <w:szCs w:val="20"/>
          <w:color w:val="auto"/>
        </w:rPr>
      </w:pPr>
      <w:r>
        <w:rPr>
          <w:rFonts w:ascii="Times New Roman" w:cs="Times New Roman" w:eastAsia="Times New Roman" w:hAnsi="Times New Roman"/>
          <w:sz w:val="22"/>
          <w:szCs w:val="22"/>
          <w:color w:val="auto"/>
        </w:rPr>
        <w:t>further, without limiting the foregoing, (a) to the extent the Administrative Agent, L/C Issuer and/or Swing Line Lender has agreed to accept such Electronic Signature, the Administrative Agent and each of the Lender Parties shall be entitled to rely on any such Electronic Signature purportedly given by or on behalf of any Borrower and/or any Lender Party without further verification and (b) upon the request of the Administrative Agent or any Lender Party, any Electronic Signature shall be promptly followed by such manually executed counterpart.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Each of the Borrowers and each Lender Party hereby waives (i) any argument, defense or right to contest the legal effect, validity or enforceability of this Agreement or any other Loan Document based solely on the lack of paper original copies of this Agreement or such other Loan Document, and (ii) waives any claim against the Administrative Agent, each Lender Party and each Related Party of any of the foregoing for any liabilities arising solely from the Administrative Agent’s and/or any Lender Party’s reliance on or use of Electronic Signatures, including any liabilities arising as a result of the failure of the Borrowers to use any available security measures in connection with the execution, delivery or transmission of any Electronic Signature.</w:t>
      </w:r>
    </w:p>
    <w:p>
      <w:pPr>
        <w:spacing w:after="0" w:line="16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10.18 USA PATRIOT Act Notice. </w:t>
      </w:r>
      <w:r>
        <w:rPr>
          <w:rFonts w:ascii="Times New Roman" w:cs="Times New Roman" w:eastAsia="Times New Roman" w:hAnsi="Times New Roman"/>
          <w:sz w:val="22"/>
          <w:szCs w:val="22"/>
          <w:color w:val="auto"/>
        </w:rPr>
        <w:t>Each Lender that is subject to the Act (as hereinafter defined)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rules and regulations and Anti-Money Laundering Laws, including the Act.</w:t>
      </w:r>
    </w:p>
    <w:p>
      <w:pPr>
        <w:spacing w:after="0" w:line="18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10.19 Judgment Currency. </w:t>
      </w:r>
      <w:r>
        <w:rPr>
          <w:rFonts w:ascii="Times New Roman" w:cs="Times New Roman" w:eastAsia="Times New Roman" w:hAnsi="Times New Roman"/>
          <w:sz w:val="22"/>
          <w:szCs w:val="22"/>
          <w:color w:val="auto"/>
        </w:rPr>
        <w:t>If, for the purposes of obtaining judgment in any court, it is necessary to convert a sum due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or any other Loan Document in one currency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167</w:t>
      </w:r>
    </w:p>
    <w:p>
      <w:pPr>
        <w:sectPr>
          <w:pgSz w:w="11900" w:h="16838" w:orient="portrait"/>
          <w:cols w:equalWidth="0" w:num="1">
            <w:col w:w="11240"/>
          </w:cols>
          <w:pgMar w:left="320" w:top="1422" w:right="339" w:bottom="1440" w:gutter="0" w:footer="0" w:header="0"/>
        </w:sectPr>
      </w:pPr>
    </w:p>
    <w:bookmarkStart w:id="283" w:name="page284"/>
    <w:bookmarkEnd w:id="283"/>
    <w:p>
      <w:pPr>
        <w:jc w:val="both"/>
        <w:spacing w:after="0" w:line="248" w:lineRule="auto"/>
        <w:rPr>
          <w:sz w:val="20"/>
          <w:szCs w:val="20"/>
          <w:color w:val="auto"/>
        </w:rPr>
      </w:pPr>
      <w:r>
        <w:rPr>
          <w:rFonts w:ascii="Times New Roman" w:cs="Times New Roman" w:eastAsia="Times New Roman" w:hAnsi="Times New Roman"/>
          <w:sz w:val="22"/>
          <w:szCs w:val="22"/>
          <w:color w:val="auto"/>
        </w:rPr>
        <w:t>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10.20 Designation as Senior Debt. </w:t>
      </w:r>
      <w:r>
        <w:rPr>
          <w:rFonts w:ascii="Times New Roman" w:cs="Times New Roman" w:eastAsia="Times New Roman" w:hAnsi="Times New Roman"/>
          <w:sz w:val="22"/>
          <w:szCs w:val="22"/>
          <w:color w:val="auto"/>
        </w:rPr>
        <w:t>All Obligations shall be “Designated Senior Indebtedness” (or any similar term)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purposes of and as defined in any documentation evidencing any other Indebtedness of the Company or any of its Restricted Subsidiaries in which such concept is applicable.</w:t>
      </w:r>
    </w:p>
    <w:p>
      <w:pPr>
        <w:spacing w:after="0" w:line="166"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10.21</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10.22 Acknowledgement and Consent to Bail-In of Affected Financial Institutions. </w:t>
      </w:r>
      <w:r>
        <w:rPr>
          <w:rFonts w:ascii="Times New Roman" w:cs="Times New Roman" w:eastAsia="Times New Roman" w:hAnsi="Times New Roman"/>
          <w:sz w:val="22"/>
          <w:szCs w:val="22"/>
          <w:color w:val="auto"/>
        </w:rPr>
        <w:t>Solely to the extent any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firstLine="656"/>
        <w:spacing w:after="0" w:line="295" w:lineRule="auto"/>
        <w:tabs>
          <w:tab w:leader="none" w:pos="1220" w:val="left"/>
        </w:tabs>
        <w:numPr>
          <w:ilvl w:val="0"/>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35" w:lineRule="exact"/>
        <w:rPr>
          <w:rFonts w:ascii="Times New Roman" w:cs="Times New Roman" w:eastAsia="Times New Roman" w:hAnsi="Times New Roman"/>
          <w:sz w:val="21"/>
          <w:szCs w:val="21"/>
          <w:color w:val="auto"/>
        </w:rPr>
      </w:pPr>
    </w:p>
    <w:p>
      <w:pPr>
        <w:ind w:left="1120" w:hanging="464"/>
        <w:spacing w:after="0"/>
        <w:tabs>
          <w:tab w:leader="none" w:pos="1120"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19"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168</w:t>
      </w:r>
    </w:p>
    <w:p>
      <w:pPr>
        <w:sectPr>
          <w:pgSz w:w="11900" w:h="16838" w:orient="portrait"/>
          <w:cols w:equalWidth="0" w:num="1">
            <w:col w:w="11240"/>
          </w:cols>
          <w:pgMar w:left="320" w:top="1422" w:right="339" w:bottom="1440" w:gutter="0" w:footer="0" w:header="0"/>
        </w:sectPr>
      </w:pPr>
    </w:p>
    <w:bookmarkStart w:id="284" w:name="page285"/>
    <w:bookmarkEnd w:id="284"/>
    <w:p>
      <w:pPr>
        <w:jc w:val="both"/>
        <w:ind w:left="480" w:firstLine="644"/>
        <w:spacing w:after="0" w:line="256" w:lineRule="auto"/>
        <w:tabs>
          <w:tab w:leader="none" w:pos="1723"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6" w:lineRule="exact"/>
        <w:rPr>
          <w:rFonts w:ascii="Times New Roman" w:cs="Times New Roman" w:eastAsia="Times New Roman" w:hAnsi="Times New Roman"/>
          <w:sz w:val="22"/>
          <w:szCs w:val="22"/>
          <w:color w:val="auto"/>
        </w:rPr>
      </w:pPr>
    </w:p>
    <w:p>
      <w:pPr>
        <w:ind w:left="480" w:firstLine="644"/>
        <w:spacing w:after="0" w:line="271" w:lineRule="auto"/>
        <w:tabs>
          <w:tab w:leader="none" w:pos="1870"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10.23 Acknowledgement </w:t>
      </w:r>
      <w:r>
        <w:rPr>
          <w:rFonts w:ascii="Times New Roman" w:cs="Times New Roman" w:eastAsia="Times New Roman" w:hAnsi="Times New Roman"/>
          <w:sz w:val="19"/>
          <w:szCs w:val="19"/>
          <w:b w:val="1"/>
          <w:bCs w:val="1"/>
          <w:color w:val="auto"/>
        </w:rPr>
        <w:t>Regarding Any Supported QFCs.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extent that the Loan Documents provide support,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a guarantee or otherwise, for any Swap Contract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Resolution 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2" w:lineRule="exact"/>
        <w:rPr>
          <w:sz w:val="20"/>
          <w:szCs w:val="20"/>
          <w:color w:val="auto"/>
        </w:rPr>
      </w:pPr>
    </w:p>
    <w:p>
      <w:pPr>
        <w:jc w:val="both"/>
        <w:ind w:left="660" w:firstLine="656"/>
        <w:spacing w:after="0" w:line="247" w:lineRule="auto"/>
        <w:tabs>
          <w:tab w:leader="none" w:pos="178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2" w:lineRule="exact"/>
        <w:rPr>
          <w:rFonts w:ascii="Times New Roman" w:cs="Times New Roman" w:eastAsia="Times New Roman" w:hAnsi="Times New Roman"/>
          <w:sz w:val="22"/>
          <w:szCs w:val="22"/>
          <w:color w:val="auto"/>
        </w:rPr>
      </w:pPr>
    </w:p>
    <w:p>
      <w:pPr>
        <w:ind w:left="1780" w:hanging="464"/>
        <w:spacing w:after="0"/>
        <w:tabs>
          <w:tab w:leader="none" w:pos="1780"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10.23</w:t>
      </w:r>
      <w:r>
        <w:rPr>
          <w:rFonts w:ascii="Times New Roman" w:cs="Times New Roman" w:eastAsia="Times New Roman" w:hAnsi="Times New Roman"/>
          <w:sz w:val="22"/>
          <w:szCs w:val="22"/>
          <w:color w:val="auto"/>
        </w:rPr>
        <w: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169</w:t>
      </w:r>
    </w:p>
    <w:p>
      <w:pPr>
        <w:sectPr>
          <w:pgSz w:w="11900" w:h="16838" w:orient="portrait"/>
          <w:cols w:equalWidth="0" w:num="1">
            <w:col w:w="11060"/>
          </w:cols>
          <w:pgMar w:left="500" w:top="1422" w:right="339" w:bottom="1440" w:gutter="0" w:footer="0" w:header="0"/>
        </w:sectPr>
      </w:pPr>
    </w:p>
    <w:bookmarkStart w:id="285" w:name="page286"/>
    <w:bookmarkEnd w:id="285"/>
    <w:p>
      <w:pPr>
        <w:jc w:val="both"/>
        <w:ind w:lef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pacing w:after="0" w:line="185"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03" w:lineRule="exact"/>
        <w:rPr>
          <w:sz w:val="20"/>
          <w:szCs w:val="20"/>
          <w:color w:val="auto"/>
        </w:rPr>
      </w:pPr>
    </w:p>
    <w:p>
      <w:pPr>
        <w:jc w:val="both"/>
        <w:ind w:left="1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94" w:lineRule="exact"/>
        <w:rPr>
          <w:sz w:val="20"/>
          <w:szCs w:val="20"/>
          <w:color w:val="auto"/>
        </w:rPr>
      </w:pPr>
    </w:p>
    <w:p>
      <w:pPr>
        <w:jc w:val="both"/>
        <w:ind w:left="1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12 U.S.C. 5390(c)(8)(D).</w:t>
      </w:r>
    </w:p>
    <w:p>
      <w:pPr>
        <w:spacing w:after="0" w:line="1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170</w:t>
      </w:r>
    </w:p>
    <w:p>
      <w:pPr>
        <w:sectPr>
          <w:pgSz w:w="11900" w:h="16838" w:orient="portrait"/>
          <w:cols w:equalWidth="0" w:num="1">
            <w:col w:w="10120"/>
          </w:cols>
          <w:pgMar w:left="1440" w:top="1422" w:right="339" w:bottom="1440" w:gutter="0" w:footer="0" w:header="0"/>
        </w:sectPr>
      </w:pPr>
    </w:p>
    <w:bookmarkStart w:id="286" w:name="page287"/>
    <w:bookmarkEnd w:id="286"/>
    <w:p>
      <w:pPr>
        <w:spacing w:after="0" w:line="9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u w:val="single" w:color="auto"/>
          <w:color w:val="auto"/>
        </w:rPr>
        <w:t>Annex B</w:t>
      </w:r>
    </w:p>
    <w:p>
      <w:pPr>
        <w:spacing w:after="0" w:line="11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Amended Exhibit A</w:t>
      </w:r>
    </w:p>
    <w:p>
      <w:pPr>
        <w:spacing w:after="0" w:line="11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i w:val="1"/>
          <w:iCs w:val="1"/>
          <w:color w:val="auto"/>
        </w:rPr>
        <w:t>See attached.</w:t>
      </w:r>
    </w:p>
    <w:p>
      <w:pPr>
        <w:sectPr>
          <w:pgSz w:w="11900" w:h="16838" w:orient="portrait"/>
          <w:cols w:equalWidth="0" w:num="1">
            <w:col w:w="9019"/>
          </w:cols>
          <w:pgMar w:left="1440" w:top="1440" w:right="1440"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A</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OF LOAN NOTICE</w:t>
      </w:r>
    </w:p>
    <w:p>
      <w:pPr>
        <w:spacing w:after="0" w:line="2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2"/>
          <w:szCs w:val="22"/>
          <w:color w:val="auto"/>
        </w:rPr>
        <w:t>Date: ___________, _____</w:t>
      </w:r>
    </w:p>
    <w:p>
      <w:pPr>
        <w:spacing w:after="0" w:line="98"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Bank of America, N.A., as Administrative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Reference is made to that certain Credit Agreement, dated as of November 1, 2021 (as amended, restated, extended, supplemented or otherwise modified in writing from time to time,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the terms defined therein being used herein as therein defined), among MasTec, Inc., a Florida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MasTec North America, Inc., a Florida corporation (together with the Company, collectively,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individually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xml:space="preserve"> ”), the Lenders from time to time party thereto, and Bank of America, N.A., as Administrative Agent, L/C Issuer and Swing Line Lender.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Company hereby requests, on behalf of itself or, if applicable, the Borrower referenced in item 6 below (select one):</w:t>
      </w:r>
    </w:p>
    <w:p>
      <w:pPr>
        <w:spacing w:after="0" w:line="2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 Borrowing of [Committed (USD) Loans][Committed (MC) Loans][Term Loans]</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 conversion or continuation of [Committed (USD) Loans][Committed (MC) Loans][Term Loans]</w:t>
      </w:r>
    </w:p>
    <w:p>
      <w:pPr>
        <w:spacing w:after="0" w:line="328" w:lineRule="exact"/>
        <w:rPr>
          <w:sz w:val="20"/>
          <w:szCs w:val="20"/>
          <w:color w:val="auto"/>
        </w:rPr>
      </w:pPr>
    </w:p>
    <w:p>
      <w:pPr>
        <w:ind w:left="660"/>
        <w:spacing w:after="0"/>
        <w:tabs>
          <w:tab w:leader="none" w:pos="1140" w:val="left"/>
          <w:tab w:leader="none" w:pos="4380" w:val="left"/>
        </w:tabs>
        <w:rPr>
          <w:sz w:val="20"/>
          <w:szCs w:val="20"/>
          <w:color w:val="auto"/>
        </w:rPr>
      </w:pPr>
      <w:r>
        <w:rPr>
          <w:rFonts w:ascii="Times New Roman" w:cs="Times New Roman" w:eastAsia="Times New Roman" w:hAnsi="Times New Roman"/>
          <w:sz w:val="22"/>
          <w:szCs w:val="22"/>
          <w:color w:val="auto"/>
        </w:rPr>
        <w:t>1.</w:t>
        <w:tab/>
        <w:t>On _________________________</w:t>
      </w:r>
      <w:r>
        <w:rPr>
          <w:sz w:val="20"/>
          <w:szCs w:val="20"/>
          <w:color w:val="auto"/>
        </w:rPr>
        <w:tab/>
      </w:r>
      <w:r>
        <w:rPr>
          <w:rFonts w:ascii="Times New Roman" w:cs="Times New Roman" w:eastAsia="Times New Roman" w:hAnsi="Times New Roman"/>
          <w:sz w:val="21"/>
          <w:szCs w:val="21"/>
          <w:color w:val="auto"/>
        </w:rPr>
        <w:t>(a Business Day).</w:t>
      </w:r>
    </w:p>
    <w:p>
      <w:pPr>
        <w:spacing w:after="0" w:line="206" w:lineRule="exact"/>
        <w:rPr>
          <w:sz w:val="20"/>
          <w:szCs w:val="20"/>
          <w:color w:val="auto"/>
        </w:rPr>
      </w:pPr>
    </w:p>
    <w:p>
      <w:pPr>
        <w:ind w:left="1160" w:hanging="504"/>
        <w:spacing w:after="0"/>
        <w:tabs>
          <w:tab w:leader="none" w:pos="11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amount of ______________.</w:t>
      </w:r>
    </w:p>
    <w:p>
      <w:pPr>
        <w:spacing w:after="0" w:line="206"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Comprised of  __________________________.</w:t>
      </w:r>
    </w:p>
    <w:p>
      <w:pPr>
        <w:spacing w:after="0" w:line="1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[Type of Committed Loan or Term Loan requested]</w:t>
      </w:r>
    </w:p>
    <w:p>
      <w:pPr>
        <w:spacing w:after="0" w:line="196" w:lineRule="exact"/>
        <w:rPr>
          <w:sz w:val="20"/>
          <w:szCs w:val="20"/>
          <w:color w:val="auto"/>
        </w:rPr>
      </w:pPr>
    </w:p>
    <w:p>
      <w:pPr>
        <w:ind w:left="1160" w:hanging="504"/>
        <w:spacing w:after="0"/>
        <w:tabs>
          <w:tab w:leader="none" w:pos="11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following currency _____________________.</w:t>
      </w:r>
    </w:p>
    <w:p>
      <w:pPr>
        <w:spacing w:after="0" w:line="219" w:lineRule="exact"/>
        <w:rPr>
          <w:rFonts w:ascii="Times New Roman" w:cs="Times New Roman" w:eastAsia="Times New Roman" w:hAnsi="Times New Roman"/>
          <w:sz w:val="22"/>
          <w:szCs w:val="22"/>
          <w:color w:val="auto"/>
        </w:rPr>
      </w:pPr>
    </w:p>
    <w:p>
      <w:pPr>
        <w:ind w:left="1180" w:right="2900" w:hanging="524"/>
        <w:spacing w:after="0" w:line="264" w:lineRule="auto"/>
        <w:tabs>
          <w:tab w:leader="none" w:pos="1175"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[Term SOFR][Alternative Currency Term Rate] Loans: with an Interest Period of_____________________[days][months].</w:t>
      </w:r>
      <w:r>
        <w:rPr>
          <w:rFonts w:ascii="Times New Roman" w:cs="Times New Roman" w:eastAsia="Times New Roman" w:hAnsi="Times New Roman"/>
          <w:sz w:val="28"/>
          <w:szCs w:val="28"/>
          <w:color w:val="auto"/>
          <w:vertAlign w:val="superscript"/>
        </w:rPr>
        <w:t>1</w:t>
      </w:r>
    </w:p>
    <w:p>
      <w:pPr>
        <w:spacing w:after="0" w:line="84"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behalf of ________________________</w:t>
      </w:r>
      <w:r>
        <w:rPr>
          <w:rFonts w:ascii="Times New Roman" w:cs="Times New Roman" w:eastAsia="Times New Roman" w:hAnsi="Times New Roman"/>
          <w:sz w:val="22"/>
          <w:szCs w:val="22"/>
          <w:i w:val="1"/>
          <w:iCs w:val="1"/>
          <w:color w:val="auto"/>
        </w:rPr>
        <w:t>[insert name of applicable Borrower]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80" w:lineRule="exact"/>
        <w:rPr>
          <w:sz w:val="20"/>
          <w:szCs w:val="20"/>
          <w:color w:val="auto"/>
        </w:rPr>
      </w:pPr>
    </w:p>
    <w:p>
      <w:pPr>
        <w:ind w:firstLine="8"/>
        <w:spacing w:after="0" w:line="329" w:lineRule="auto"/>
        <w:tabs>
          <w:tab w:leader="none" w:pos="95" w:val="left"/>
        </w:tabs>
        <w:numPr>
          <w:ilvl w:val="0"/>
          <w:numId w:val="241"/>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If denominated in Dollars, select one, three or six months. If denominated in Canadian Dollars, select one or three months. If denominated in Mexican Pesos, select 28, 91 or 182 days.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 of Loan Notice</w:t>
      </w:r>
    </w:p>
    <w:p>
      <w:pPr>
        <w:sectPr>
          <w:pgSz w:w="11900" w:h="16838" w:orient="portrait"/>
          <w:cols w:equalWidth="0" w:num="1">
            <w:col w:w="11200"/>
          </w:cols>
          <w:pgMar w:left="320" w:top="1416" w:right="37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Policy Regarding Insider Trading</w:t>
      </w:r>
    </w:p>
    <w:p>
      <w:pPr>
        <w:spacing w:after="0" w:line="1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THIS POLICY HAS BEEN APPROVED</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BY THE BOARD OF DIRECTORS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MASTEC,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AMENDED ON MARCH 9, 2023</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IS APPLICABLE TO ALL INSIDERS OF MASTEC,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 of MasTec’s Insider Trading Policy</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color w:val="auto"/>
        </w:rPr>
        <w:t>For many years, the Securities and Exchange Commission (the "SEC") and the Justice Department have pursued individuals for violations of the laws with respect to insider trading (i.e., trading in a company's securities while in possession of material nonpublic information about that company) under the Securities Exchange Act of 1934, as amended, and the Insider Trading and Securities Fraud Enforcement Act (the "Acts"). In addition to severe penalties for insider trading, the Acts impose liability on companies and possibly other "controlling persons" for violations by company personnel. Although the Acts are aimed primarily at firms in the securities industry, and individuals who trade or tip information to others who trade, the Acts also apply to all companies, with the result that if companies such as ours do not take active steps to adopt preventive policies and procedures covering securities trades by our personnel, the consequences to MasTec, Inc. and our affiliates and subsidiaries ("MasTec") could be severe.</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 xml:space="preserve">MasTec has adopted this policy for MasTec's directors, officers, and employees (collectively, the "Insiders") with respect to the trading of MasTec’s securities, as well as, the securities of other companies with which MasTec has a business relationship. Each Insider is responsible for ensuring such Insider does not violate federal or state securities laws or MasTec's policy concerning securities trading. </w:t>
      </w:r>
      <w:r>
        <w:rPr>
          <w:rFonts w:ascii="Times New Roman" w:cs="Times New Roman" w:eastAsia="Times New Roman" w:hAnsi="Times New Roman"/>
          <w:sz w:val="16"/>
          <w:szCs w:val="16"/>
          <w:b w:val="1"/>
          <w:bCs w:val="1"/>
          <w:color w:val="auto"/>
        </w:rPr>
        <w:t>This policy is designed to promote compliance with the federal securities laws and to protect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MasTec, as well as its Insiders, from the very serious liabilities and penalties that can result from violations of these laws.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Consequences of Insider Trading Violations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consequences of insider trading violations can be staggering: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For individuals</w:t>
      </w:r>
      <w:r>
        <w:rPr>
          <w:rFonts w:ascii="Times New Roman" w:cs="Times New Roman" w:eastAsia="Times New Roman" w:hAnsi="Times New Roman"/>
          <w:sz w:val="16"/>
          <w:szCs w:val="16"/>
          <w:color w:val="auto"/>
        </w:rPr>
        <w:t xml:space="preserve"> who trade on inside information (or "tip" (pass on) information to others):</w:t>
      </w:r>
    </w:p>
    <w:p>
      <w:pPr>
        <w:spacing w:after="0" w:line="181" w:lineRule="exact"/>
        <w:rPr>
          <w:sz w:val="20"/>
          <w:szCs w:val="20"/>
          <w:color w:val="auto"/>
        </w:rPr>
      </w:pPr>
    </w:p>
    <w:p>
      <w:pPr>
        <w:ind w:left="960" w:hanging="304"/>
        <w:spacing w:after="0"/>
        <w:tabs>
          <w:tab w:leader="none" w:pos="96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civil penalty of up to three times the profit gained or loss avoided;</w:t>
      </w:r>
    </w:p>
    <w:p>
      <w:pPr>
        <w:spacing w:after="0" w:line="99"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criminal fine (no matter how small the profit) of up to $5 million; and</w:t>
      </w:r>
    </w:p>
    <w:p>
      <w:pPr>
        <w:spacing w:after="0" w:line="99"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jail term of up to twenty years.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u w:val="single" w:color="auto"/>
          <w:color w:val="auto"/>
        </w:rPr>
        <w:t>For a company</w:t>
      </w:r>
      <w:r>
        <w:rPr>
          <w:rFonts w:ascii="Times New Roman" w:cs="Times New Roman" w:eastAsia="Times New Roman" w:hAnsi="Times New Roman"/>
          <w:sz w:val="16"/>
          <w:szCs w:val="16"/>
          <w:color w:val="auto"/>
        </w:rPr>
        <w:t xml:space="preserve"> (and possibly any control supervisory person) that fails to take appropriate steps to prevent illegal trading:</w:t>
      </w:r>
    </w:p>
    <w:p>
      <w:pPr>
        <w:spacing w:after="0" w:line="194" w:lineRule="exact"/>
        <w:rPr>
          <w:sz w:val="20"/>
          <w:szCs w:val="20"/>
          <w:color w:val="auto"/>
        </w:rPr>
      </w:pPr>
    </w:p>
    <w:p>
      <w:pPr>
        <w:ind w:left="960" w:hanging="304"/>
        <w:spacing w:after="0"/>
        <w:tabs>
          <w:tab w:leader="none" w:pos="9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civil penalty of the greater of $1 million or three times the profit gained or loss avoided as a result of the Insider's violation; and</w:t>
      </w:r>
    </w:p>
    <w:p>
      <w:pPr>
        <w:spacing w:after="0" w:line="99" w:lineRule="exact"/>
        <w:rPr>
          <w:rFonts w:ascii="Times New Roman" w:cs="Times New Roman" w:eastAsia="Times New Roman" w:hAnsi="Times New Roman"/>
          <w:sz w:val="16"/>
          <w:szCs w:val="16"/>
          <w:color w:val="auto"/>
        </w:rPr>
      </w:pPr>
    </w:p>
    <w:p>
      <w:pPr>
        <w:ind w:left="960" w:hanging="304"/>
        <w:spacing w:after="0"/>
        <w:tabs>
          <w:tab w:leader="none" w:pos="96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criminal penalty of up to $25 million.</w:t>
      </w:r>
    </w:p>
    <w:p>
      <w:pPr>
        <w:spacing w:after="0" w:line="19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Moreover, if one of MasTec's Insiders violates this insider trading policy, MasTec may impose sanctions, including dismissal for cause and forfeiture of all trading profits, vested and unvested options, severance package and accrued bonus. Needless to say, any of the above consequences, or even an SEC investigation that does not result in prosecution, can tarnish one's reputation and irreparably damage a career.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Policy</w:t>
      </w:r>
    </w:p>
    <w:p>
      <w:pPr>
        <w:spacing w:after="0" w:line="1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MasTec Insiders may not trade in the stock or other securities of MasTec or of any other firm with which MasTec does business when they know "material nonpublic information" about MasTec or the other firm. Information is "material" if it is important enough to influence someone to buy, sell or hold securities. See “Definition of Material Nonpublic Information” below for further clarification. An SEC rule makes it clear that a person will be deemed to have traded on the basis of material nonpublic information if the person effects the transaction while "aware" of the information. Thus, a person will not be able to claim that the material nonpublic information did not affect his or her decision to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0" w:right="339" w:bottom="1440" w:gutter="0" w:footer="0" w:header="0"/>
        </w:sectPr>
      </w:pPr>
    </w:p>
    <w:bookmarkStart w:id="289" w:name="page290"/>
    <w:bookmarkEnd w:id="289"/>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This restriction on "insider trading" is not limited to trading in MasTec's securities. It includes trading in the securities of other companies, such as customers, suppliers or vendors of MasTec and those with which MasTec may be negotiating transactions, such as an acquisition, investment or sale. Information that is not material to MasTec may nevertheless be material to one of those other companies.</w:t>
      </w:r>
    </w:p>
    <w:p>
      <w:pPr>
        <w:spacing w:after="0" w:line="14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color w:val="auto"/>
        </w:rPr>
        <w:t xml:space="preserve">Assuming no awareness of “material nonpublic information,” certain Insiders, including directors, officers (including service line presidents and directors of finance) and certain other persons that work with such directors and officers and have access to the same information (collectively, the “Pre-Clearance Insiders”), may still </w:t>
      </w:r>
      <w:r>
        <w:rPr>
          <w:rFonts w:ascii="Times New Roman" w:cs="Times New Roman" w:eastAsia="Times New Roman" w:hAnsi="Times New Roman"/>
          <w:sz w:val="16"/>
          <w:szCs w:val="16"/>
          <w:u w:val="single" w:color="auto"/>
          <w:color w:val="auto"/>
        </w:rPr>
        <w:t>only</w:t>
      </w:r>
      <w:r>
        <w:rPr>
          <w:rFonts w:ascii="Times New Roman" w:cs="Times New Roman" w:eastAsia="Times New Roman" w:hAnsi="Times New Roman"/>
          <w:sz w:val="16"/>
          <w:szCs w:val="16"/>
          <w:color w:val="auto"/>
        </w:rPr>
        <w:t xml:space="preserve"> trade in MasTec's securities during certain "Trading Windows" discussed below (and subject to an exception that is also discussed below), and then only if the Pre-Clearance Insider does not have knowledge of any material nonpublic information relating to MasTec </w:t>
      </w:r>
      <w:r>
        <w:rPr>
          <w:rFonts w:ascii="Times New Roman" w:cs="Times New Roman" w:eastAsia="Times New Roman" w:hAnsi="Times New Roman"/>
          <w:sz w:val="16"/>
          <w:szCs w:val="16"/>
          <w:u w:val="single" w:color="auto"/>
          <w:color w:val="auto"/>
        </w:rPr>
        <w:t>and</w:t>
      </w:r>
      <w:r>
        <w:rPr>
          <w:rFonts w:ascii="Times New Roman" w:cs="Times New Roman" w:eastAsia="Times New Roman" w:hAnsi="Times New Roman"/>
          <w:sz w:val="16"/>
          <w:szCs w:val="16"/>
          <w:color w:val="auto"/>
        </w:rPr>
        <w:t xml:space="preserve"> has pre-cleared the trade with MasTec’s General Counsel or MasTec’s Chief Financial Officer. Please see "Procedure for Trading in MasTec Stock Applicable to Pre-Clearance Insiders" below.</w:t>
      </w:r>
    </w:p>
    <w:p>
      <w:pPr>
        <w:spacing w:after="0" w:line="15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For all purposes of this policy, MasTec’s Chief Financial Officer is authorized to receive notices and to make any determination or grant any approval when the General Counsel is unavailable or where action by the General Counsel could involve a conflict of interest (such as where the General Counsel is the Insider seeking to effect a trade).</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u w:val="single" w:color="auto"/>
          <w:color w:val="auto"/>
        </w:rPr>
        <w:t>Trading</w:t>
      </w:r>
      <w:r>
        <w:rPr>
          <w:rFonts w:ascii="Times New Roman" w:cs="Times New Roman" w:eastAsia="Times New Roman" w:hAnsi="Times New Roman"/>
          <w:sz w:val="16"/>
          <w:szCs w:val="16"/>
          <w:color w:val="auto"/>
        </w:rPr>
        <w:t>. "Trading" includes purchases and dispositions (whether by sale, exchange or gift) of stock, partnership units, bonds, debentures, options, puts, calls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similar securities. This policy includes trades made pursuant to any investment direction given under MasTec benefit plans as well as trades in the open market. This policy also applies to the exercise of options with an immediate sale of some or all of the shares. The policy does not preclude trading pursuant to a properly implemented trading plan under SEC Rule 10b5-1. This policy does not preclude the disposition of MasTec securities to MasTec pursuant to the terms of a MasTec incentive compensation plan or an award under any such plan, or a determination of the Board of Directors or the Compensation Committee of the Board of Directors made pursuant to the terms of any such plan or award, including, without limitation, any such disposition to MasTec made to pay the exercise price of stock options or withholding tax obligations related to an award.</w:t>
      </w:r>
    </w:p>
    <w:p>
      <w:pPr>
        <w:spacing w:after="0" w:line="3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SEC has recently taken the position that gifting of securities while in possession of non-public information in circumstances where it is likely that the donee will immediately sell those securities (typical for gifts to charitable organizations) may constitute insider trading, particularly where the donor will receive some benefit, such as a tax deduction or a favorable relationship. Accordingly, this policy also covers all gifts of securities. New SEC rules have also tightened the requirements to report the making of a gift for persons subject to Section 16 reporting, a change intended to increase visibility of gifts and to enhance enforcement of insider trading laws.</w:t>
      </w:r>
    </w:p>
    <w:p>
      <w:pPr>
        <w:spacing w:after="0" w:line="13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Tipping Information to Others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Insiders must not pass material nonpublic information on to others or recommend to anyone the purchase or sale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securities on the basis of such information. This practice, known as "tipping," also violates the securities laws and can result in the same civil and criminal penalties that apply to insider trading, whether or not the Insider derives any benefit from another's actions. For example, the SEC has imposed a $470,000 penalty on a tipper even though he did not profit from his tippee's trading.</w:t>
      </w:r>
    </w:p>
    <w:p>
      <w:pPr>
        <w:spacing w:after="0" w:line="1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6"/>
          <w:szCs w:val="16"/>
          <w:b w:val="1"/>
          <w:bCs w:val="1"/>
          <w:u w:val="single" w:color="auto"/>
          <w:color w:val="auto"/>
        </w:rPr>
        <w:t>Internet Postings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Posting material nonpublic information, or responding to or making statements or recommendations based on this information, on any 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website, social media platform (such as Facebook, Twitter or Instagram, for example), electronic bulletin board, Internet message board, Internet chat room or other similar form of electronic communication can also constitute tipping under the securities laws. Because of the high potential for leaks of material nonpublic information posed by these activities and the resulting liability under the securities laws for the Insider and MasTec, Insiders may not post any information either directly or in response to a posting about MasTec, its business plans, employees, directors, customers, suppliers or vendors, nor engage in any discussions about MasTec, its business plans, employees, directors, customers, suppliers or vendors, on any of these forums. Furthermore, Insiders are expected to notify MasTec’s General Counsel, if they are aware of such activities by any employee.</w:t>
      </w:r>
    </w:p>
    <w:p>
      <w:pPr>
        <w:spacing w:after="0" w:line="15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6"/>
          <w:szCs w:val="16"/>
          <w:b w:val="1"/>
          <w:bCs w:val="1"/>
          <w:u w:val="single" w:color="auto"/>
          <w:color w:val="auto"/>
        </w:rPr>
        <w:t>Transactions By Family Members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same restrictions as to trading and tipping apply to family members and other persons living in an Insider's household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any family members who do not live in your household but whose transactions in MasTec securities are directed by you or are subject to your influence or control (such as parents or children who consult with you before they trade in MasTec securities). Insiders are expected to be responsible for the compliance of the members of their immediate family and personal household. In fact, an SEC rule makes clear that the receipt of information from a spouse, parent, child or sibling will in most cases provide a sufficient basis for insider trading liability, both for the person trading on the material nonpublic information and for the person tipping such information.</w:t>
      </w:r>
    </w:p>
    <w:p>
      <w:pPr>
        <w:spacing w:after="0" w:line="13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6"/>
          <w:szCs w:val="16"/>
          <w:b w:val="1"/>
          <w:bCs w:val="1"/>
          <w:u w:val="single" w:color="auto"/>
          <w:color w:val="auto"/>
        </w:rPr>
        <w:t>No Exceptions to Policy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Transactions that may be necessary or justifiable for independent reasons, such as the need to raise money for an emergency expenditure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to satisfy margin calls, are no exception to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22" w:right="339" w:bottom="1440" w:gutter="0" w:footer="0" w:header="0"/>
        </w:sectPr>
      </w:pPr>
    </w:p>
    <w:bookmarkStart w:id="290" w:name="page291"/>
    <w:bookmarkEnd w:id="290"/>
    <w:p>
      <w:pPr>
        <w:jc w:val="both"/>
        <w:ind w:right="20" w:firstLine="648"/>
        <w:spacing w:after="0" w:line="283" w:lineRule="auto"/>
        <w:rPr>
          <w:sz w:val="20"/>
          <w:szCs w:val="20"/>
          <w:color w:val="auto"/>
        </w:rPr>
      </w:pPr>
      <w:r>
        <w:rPr>
          <w:rFonts w:ascii="Times New Roman" w:cs="Times New Roman" w:eastAsia="Times New Roman" w:hAnsi="Times New Roman"/>
          <w:sz w:val="16"/>
          <w:szCs w:val="16"/>
          <w:b w:val="1"/>
          <w:bCs w:val="1"/>
          <w:u w:val="single" w:color="auto"/>
          <w:color w:val="auto"/>
        </w:rPr>
        <w:t>Prohibition on Certain Transactions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Short sales (a sale of securities which are not then owned), including a “sale against the box” (a sale with delayed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delivery), and the buying or selling of puts or calls or other derivative securities are prohibited.</w:t>
      </w:r>
    </w:p>
    <w:p>
      <w:pPr>
        <w:spacing w:after="0" w:line="13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Insiders also are prohibited from holding MasTec securities in a margin account or pledging MasTec securities as collateral for a loan. An exception to this prohibition may be granted where a person wishes to pledge MasTec securities as collateral for a loan (not including margin debt) and clearly demonstrates the financial capacity to repay the loan without resort to the pledged securities. Any person who wishes to pledge MasTec securities as collateral for a loan must submit a request for approval to MasTec’s General Counsel at least ten business days prior to the proposed execution of documents evidencing the proposed pledge.</w:t>
      </w:r>
    </w:p>
    <w:p>
      <w:pPr>
        <w:spacing w:after="0" w:line="15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b w:val="1"/>
          <w:bCs w:val="1"/>
          <w:u w:val="single" w:color="auto"/>
          <w:color w:val="auto"/>
        </w:rPr>
        <w:t>Post-Termination Transactions</w:t>
      </w:r>
      <w:r>
        <w:rPr>
          <w:rFonts w:ascii="Times New Roman" w:cs="Times New Roman" w:eastAsia="Times New Roman" w:hAnsi="Times New Roman"/>
          <w:sz w:val="16"/>
          <w:szCs w:val="16"/>
          <w:color w:val="auto"/>
        </w:rPr>
        <w:t>. This Policy continues to apply to your transactions in MasTec securities even after you have terminated employment, if you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possession of material nonpublic information when your employment terminates. In that event you may not trade in MasTec securities until that information has become public or is no longer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Procedure for Trading in MasTec Stock Applicable to Pre-Clearance Insiders</w:t>
      </w:r>
    </w:p>
    <w:p>
      <w:pPr>
        <w:spacing w:after="0" w:line="183"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To provide assistance in preventing inadvertent insider trading violations and avoiding even the appearance of an improper transaction, MasTec has established the following procedures for Pre-Clearance Insiders trading in MasTec's stock:</w:t>
      </w:r>
    </w:p>
    <w:p>
      <w:pPr>
        <w:spacing w:after="0" w:line="108" w:lineRule="exact"/>
        <w:rPr>
          <w:sz w:val="20"/>
          <w:szCs w:val="20"/>
          <w:color w:val="auto"/>
        </w:rPr>
      </w:pPr>
    </w:p>
    <w:p>
      <w:pPr>
        <w:ind w:left="660" w:hanging="652"/>
        <w:spacing w:after="0" w:line="301" w:lineRule="auto"/>
        <w:tabs>
          <w:tab w:leader="none" w:pos="6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General Prohibition: </w:t>
      </w:r>
      <w:r>
        <w:rPr>
          <w:rFonts w:ascii="Times New Roman" w:cs="Times New Roman" w:eastAsia="Times New Roman" w:hAnsi="Times New Roman"/>
          <w:sz w:val="16"/>
          <w:szCs w:val="16"/>
          <w:color w:val="auto"/>
        </w:rPr>
        <w:t>An Insider of MasTec may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never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trade MasTec's stock while in possession of material nonpublic information relating to MasTec, even if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trading "window" described in Section 2 below is "open." Please see "Definition of Material Nonpublic Information" below.</w:t>
      </w:r>
    </w:p>
    <w:p>
      <w:pPr>
        <w:spacing w:after="0" w:line="24" w:lineRule="exact"/>
        <w:rPr>
          <w:rFonts w:ascii="Times New Roman" w:cs="Times New Roman" w:eastAsia="Times New Roman" w:hAnsi="Times New Roman"/>
          <w:sz w:val="16"/>
          <w:szCs w:val="16"/>
          <w:color w:val="auto"/>
        </w:rPr>
      </w:pPr>
    </w:p>
    <w:p>
      <w:pPr>
        <w:jc w:val="both"/>
        <w:ind w:left="660" w:hanging="652"/>
        <w:spacing w:after="0" w:line="273" w:lineRule="auto"/>
        <w:tabs>
          <w:tab w:leader="none" w:pos="6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Trading Windows: </w:t>
      </w:r>
      <w:r>
        <w:rPr>
          <w:rFonts w:ascii="Times New Roman" w:cs="Times New Roman" w:eastAsia="Times New Roman" w:hAnsi="Times New Roman"/>
          <w:sz w:val="16"/>
          <w:szCs w:val="16"/>
          <w:color w:val="auto"/>
        </w:rPr>
        <w:t>In addition, Pre-Clearance Insiders may only trade (buy or sell) with pre-clearance and may not trade during the period beginning on the last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day of the quarter and ending after the one full trading day following the public release of results for that quarter or year. It is important to note that in addition to these quarterly blackout periods, MasTec may impose an event-specific blackout at any time and for such amount of time as MasTec deems necessary.</w:t>
      </w:r>
    </w:p>
    <w:p>
      <w:pPr>
        <w:spacing w:after="0" w:line="49" w:lineRule="exact"/>
        <w:rPr>
          <w:rFonts w:ascii="Times New Roman" w:cs="Times New Roman" w:eastAsia="Times New Roman" w:hAnsi="Times New Roman"/>
          <w:sz w:val="16"/>
          <w:szCs w:val="16"/>
          <w:color w:val="auto"/>
        </w:rPr>
      </w:pPr>
    </w:p>
    <w:p>
      <w:pPr>
        <w:jc w:val="both"/>
        <w:ind w:left="66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Pre-Clearance Insider has a need to conduct a transaction in MasTec stock outside of a trading window period, a special request must be made to MasTec’s General Counsel for prior approval of the transaction, with a copy to MasTec’s Chief Financial Officer. This is true whether or not the Pre-Clearance Insider possesses material nonpublic information. Depending upon circumstances at the time a request is made, and upon the position within MasTec of the Pre-Clearance Insider making the request, approval may be given for the trade.</w:t>
      </w:r>
    </w:p>
    <w:p>
      <w:pPr>
        <w:spacing w:after="0" w:line="55" w:lineRule="exact"/>
        <w:rPr>
          <w:rFonts w:ascii="Times New Roman" w:cs="Times New Roman" w:eastAsia="Times New Roman" w:hAnsi="Times New Roman"/>
          <w:sz w:val="16"/>
          <w:szCs w:val="16"/>
          <w:color w:val="auto"/>
        </w:rPr>
      </w:pPr>
    </w:p>
    <w:p>
      <w:pPr>
        <w:jc w:val="both"/>
        <w:ind w:left="660" w:hanging="652"/>
        <w:spacing w:after="0" w:line="264" w:lineRule="auto"/>
        <w:tabs>
          <w:tab w:leader="none" w:pos="66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SEC Filings: </w:t>
      </w:r>
      <w:r>
        <w:rPr>
          <w:rFonts w:ascii="Times New Roman" w:cs="Times New Roman" w:eastAsia="Times New Roman" w:hAnsi="Times New Roman"/>
          <w:sz w:val="16"/>
          <w:szCs w:val="16"/>
          <w:color w:val="auto"/>
        </w:rPr>
        <w:t>As discussed above, in advance of any transaction in MasTec stock (acquisitions, dispositions, transfers, etc.), all Pre-Clearance Insiders are required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report such transactions to and obtain pre-clearance from MasTec’s General Counsel. In connection with any Trade, any officers or directors subject to Section 16 of the Exchange Act may be required to file a Form 4 (including for gifts), Form 144 or other documents with the SEC. The ultimate responsibility for the filing of such forms rests with the Pre-Clearance Insider. Please make sure to ask the General Counsel if you have any questions regarding the filing of such forms.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Protection for Prearranged Trades</w:t>
      </w:r>
    </w:p>
    <w:p>
      <w:pPr>
        <w:spacing w:after="0" w:line="18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6"/>
          <w:szCs w:val="16"/>
          <w:color w:val="auto"/>
        </w:rPr>
        <w:t>Since 2000, SEC Rule 10b5-1 has provided an exception to the general prohibition on trading while in possession of material nonpublic information and trading limitations noted above. The rule provides that a person will not be viewed as having traded "on the basis of" material nonpublic information if the person demonstrates that the transaction was effected pursuant to a contract, instructions or a written plan that was established before the person become aware of the information.</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6"/>
          <w:szCs w:val="16"/>
          <w:color w:val="auto"/>
        </w:rPr>
        <w:t xml:space="preserve">In addition to acting as an affirmative defense to a charge of insider trading, transactions pursuant to "trading plans" have other benefits, such as maintaining insiders' ability to sell outside of trading windows, avoiding the need for fact-specific "materiality" determinations, and providing an easy basis for explaining insider sales to the public. Please note that there are certain elements that should be considered in establishing any trading plan. For example, in order to receive full protection under this policy, a principle feature of any such trading plan should include a provision whereby the party whose stock is being sold has relinquished all control to the timing of the trades. Recently adopted amendments to Rule 10b5-1 have added significant additional requirements for 10b5-1 plans, including cooling-off periods (a delay between adopting a plan and the commencement of sales), prohibitions on multiple overlapping plans, limitations on single-trade plans and mandated representations regarding legal compliance. Insiders of MasTec must coordinate with MasTec in designing or adopting a Rule 10b5-1 trading plan, and must provide MasTec’s General Counsel with a copy of the plan at least ten business days prior to its adoption for MasTec's review and approval. In addition, the SEC has expressed concerns with respect to terminations of Rule 10b5-1 plans and new rules will require quarterly disclosures by MasTec if any director or officer has adopted, modified or </w:t>
      </w:r>
      <w:r>
        <w:rPr>
          <w:rFonts w:ascii="Times New Roman" w:cs="Times New Roman" w:eastAsia="Times New Roman" w:hAnsi="Times New Roman"/>
          <w:sz w:val="16"/>
          <w:szCs w:val="16"/>
          <w:b w:val="1"/>
          <w:bCs w:val="1"/>
          <w:color w:val="auto"/>
        </w:rPr>
        <w:t>terminated</w:t>
      </w:r>
      <w:r>
        <w:rPr>
          <w:rFonts w:ascii="Times New Roman" w:cs="Times New Roman" w:eastAsia="Times New Roman" w:hAnsi="Times New Roman"/>
          <w:sz w:val="16"/>
          <w:szCs w:val="16"/>
          <w:color w:val="auto"/>
        </w:rPr>
        <w:t xml:space="preserve"> a Rule 10b5-1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20" w:right="339" w:bottom="1440" w:gutter="0" w:footer="0" w:header="0"/>
        </w:sectPr>
      </w:pPr>
    </w:p>
    <w:bookmarkStart w:id="291" w:name="page292"/>
    <w:bookmarkEnd w:id="291"/>
    <w:p>
      <w:pPr>
        <w:jc w:val="both"/>
        <w:spacing w:after="0" w:line="263" w:lineRule="auto"/>
        <w:rPr>
          <w:sz w:val="20"/>
          <w:szCs w:val="20"/>
          <w:color w:val="auto"/>
        </w:rPr>
      </w:pPr>
      <w:r>
        <w:rPr>
          <w:rFonts w:ascii="Times New Roman" w:cs="Times New Roman" w:eastAsia="Times New Roman" w:hAnsi="Times New Roman"/>
          <w:sz w:val="16"/>
          <w:szCs w:val="16"/>
          <w:color w:val="auto"/>
        </w:rPr>
        <w:t>plan or other written trading arrangement even if such other trading arrangement is not designed to comply with Rule 10b5-1. Accordingly, in addition to preclearance of the adoption of a Rule 10b5-1 plan, Insiders of MasTec must provide MasTec’s General Counsel with written notice of any modification or termination of an existing 10b5-1 plan or other written trading arrangement at least ten business days prior to its implementation and obtain approval therefor. The new rules also limit the use of the Rule 10b5-1 safe harbor to one “single trade plan” in any 12 month period. This covers plans designed to effect the open-market purchase or sale of all securities covered by the plan as a single transaction. Accordingly, such Rule 10b5-1 plans will be required to comply with this limitation as well.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of Material Nonpublic Information</w:t>
      </w:r>
    </w:p>
    <w:p>
      <w:pPr>
        <w:spacing w:after="0" w:line="19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6"/>
          <w:szCs w:val="16"/>
          <w:b w:val="1"/>
          <w:bCs w:val="1"/>
          <w:u w:val="single" w:color="auto"/>
          <w:color w:val="auto"/>
        </w:rPr>
        <w:t>Material Information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Information is material if there is a substantial likelihood that a reasonable investor would consider it important in deciding whether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buy, hold or sell a security. Therefore, any information that could reasonably be expected to affect the price of the security is material. Common examples of information that, depending on the facts and circumstances, could be material are:</w:t>
      </w:r>
    </w:p>
    <w:p>
      <w:pPr>
        <w:spacing w:after="0" w:line="144" w:lineRule="exact"/>
        <w:rPr>
          <w:sz w:val="20"/>
          <w:szCs w:val="20"/>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Projections of future earnings or losses, confirmations or changes in such projections;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changes in earnings inconsistent with expectations;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pending or prospective joint venture, merger, acquisition, change in assets, tender offer, financing or change in control;</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sale of assets or disposition of a subsidiary or operation other than in the ordinary course of business;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gain or loss of a contract, customer, tenant or supplier, or material changes in the profitability status of a current contract;</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development or release of new products, discoveries or services;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 previously announced schedule for the development or release of a new product or service;</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management, major personnel changes or labor negotiations;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liquidity problems, bankruptcies or receiverships;</w:t>
      </w:r>
    </w:p>
    <w:p>
      <w:pPr>
        <w:spacing w:after="0" w:line="9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auditors or auditor notification that the issuer may no longer rely on an auditor's audit report or that the auditor’s opinion will be qualified;</w:t>
      </w:r>
    </w:p>
    <w:p>
      <w:pPr>
        <w:spacing w:after="0" w:line="99" w:lineRule="exact"/>
        <w:rPr>
          <w:rFonts w:ascii="Times New Roman" w:cs="Times New Roman" w:eastAsia="Times New Roman" w:hAnsi="Times New Roman"/>
          <w:sz w:val="16"/>
          <w:szCs w:val="16"/>
          <w:color w:val="auto"/>
        </w:rPr>
      </w:pPr>
    </w:p>
    <w:p>
      <w:pPr>
        <w:ind w:left="1300" w:hanging="644"/>
        <w:spacing w:after="0" w:line="280" w:lineRule="auto"/>
        <w:tabs>
          <w:tab w:leader="none" w:pos="1289"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regarding securities (e.g., defaults on senior securities, calls of securities for redemption, breach of covenant relating to debt obligations, repurchase plans, stock splits or changes in dividends, changes to the rights of security holders, public or private sales of additional securities); and</w:t>
      </w:r>
    </w:p>
    <w:p>
      <w:pPr>
        <w:spacing w:after="0" w:line="43"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existence of litigation, claims or investigations.</w:t>
      </w:r>
    </w:p>
    <w:p>
      <w:pPr>
        <w:spacing w:after="0" w:line="194" w:lineRule="exact"/>
        <w:rPr>
          <w:sz w:val="20"/>
          <w:szCs w:val="20"/>
          <w:color w:val="auto"/>
        </w:rPr>
      </w:pPr>
    </w:p>
    <w:p>
      <w:pPr>
        <w:jc w:val="both"/>
        <w:ind w:right="20" w:firstLine="648"/>
        <w:spacing w:after="0" w:line="298" w:lineRule="auto"/>
        <w:rPr>
          <w:sz w:val="20"/>
          <w:szCs w:val="20"/>
          <w:color w:val="auto"/>
        </w:rPr>
      </w:pPr>
      <w:r>
        <w:rPr>
          <w:rFonts w:ascii="Times New Roman" w:cs="Times New Roman" w:eastAsia="Times New Roman" w:hAnsi="Times New Roman"/>
          <w:sz w:val="16"/>
          <w:szCs w:val="16"/>
          <w:color w:val="auto"/>
        </w:rPr>
        <w:t>Both positive and negative information can be material. Because any trading that receives scrutiny will be evaluated after the fact (with the benefit of hindsight), questions concerning the materiality of particular information should be resolved in favor of materiality, and trading should be avoided.</w:t>
      </w:r>
    </w:p>
    <w:p>
      <w:pPr>
        <w:spacing w:after="0" w:line="10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6"/>
          <w:szCs w:val="16"/>
          <w:b w:val="1"/>
          <w:bCs w:val="1"/>
          <w:u w:val="single" w:color="auto"/>
          <w:color w:val="auto"/>
        </w:rPr>
        <w:t>Nonpublic Information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Nonpublic information is information that is not generally known or available to the public. Information is considered to be available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the public only when it has been released to the public through appropriate channels, e.g., by means of a press release, a filing with the SEC or a statement from one of the senior officers, </w:t>
      </w:r>
      <w:r>
        <w:rPr>
          <w:rFonts w:ascii="Times New Roman" w:cs="Times New Roman" w:eastAsia="Times New Roman" w:hAnsi="Times New Roman"/>
          <w:sz w:val="16"/>
          <w:szCs w:val="16"/>
          <w:u w:val="single" w:color="auto"/>
          <w:color w:val="auto"/>
        </w:rPr>
        <w:t>and</w:t>
      </w:r>
      <w:r>
        <w:rPr>
          <w:rFonts w:ascii="Times New Roman" w:cs="Times New Roman" w:eastAsia="Times New Roman" w:hAnsi="Times New Roman"/>
          <w:sz w:val="16"/>
          <w:szCs w:val="16"/>
          <w:color w:val="auto"/>
        </w:rPr>
        <w:t xml:space="preserve"> enough time has elapsed to permit the investment market to absorb and evaluate the information. As a general rule, information is considered nonpublic until after the first full trading day after the information is released. For example, if MasTec announces financial earnings or makes another material announcement before trading begins on a Tuesday, the first time you can buy or sell MasTec securities is the opening of the market on Wednesday (assuming you are not aware of other material nonpublic information at that time). However, if MasTec announces earnings or makes another material announcement after trading begins on that Tuesday, the first time you can buy or sell MasTec securities is the opening of the market on Thursday. Employees should assume that all information obtained in the course of their employment is nonpublic.</w:t>
      </w:r>
    </w:p>
    <w:p>
      <w:pPr>
        <w:spacing w:after="0" w:line="35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6"/>
          <w:szCs w:val="16"/>
          <w:b w:val="1"/>
          <w:bCs w:val="1"/>
          <w:color w:val="auto"/>
        </w:rPr>
        <w:t>If you ever have a question regarding whether the information you possess about MasTec is either "material" or "nonpublic," please contact MasTec’s General Counsel for guidance before you trade in MasTec's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22"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6"/>
          <w:szCs w:val="16"/>
          <w:b w:val="1"/>
          <w:bCs w:val="1"/>
          <w:color w:val="auto"/>
        </w:rPr>
        <w:t>Unauthorized Disclosure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6"/>
          <w:szCs w:val="16"/>
          <w:b w:val="1"/>
          <w:bCs w:val="1"/>
          <w:color w:val="auto"/>
        </w:rPr>
        <w:t>It is the policy of MasTec to respond “no comment” to inquiries of any kind concerning the stock value or activities of MasTec, including possible acquisitions or business combinations which might affect the stock value. It is also the policy of MasTec to respond “no comment” in response to any inquiries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involving speculation or rumors that might appear or be raised. </w:t>
      </w:r>
      <w:r>
        <w:rPr>
          <w:rFonts w:ascii="Times New Roman" w:cs="Times New Roman" w:eastAsia="Times New Roman" w:hAnsi="Times New Roman"/>
          <w:sz w:val="16"/>
          <w:szCs w:val="16"/>
          <w:color w:val="auto"/>
        </w:rPr>
        <w:t>Maintaining the confidentiality of MasTec information is essential for competitive, security and other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business reasons, as well as to comply with securities laws. Information an Insider learns about MasTec or its business plans is potentially "inside" information until publicly disclosed or made available by MasTec. The Insider should treat all such information as confidential and proprietary to MasTec. The Insider may not disclose information to others, such as family members, other relatives, or business or social acquaintances, who do not need to know it for legitimate business reasons. This prohibition includes disclosure of all such information on any social media, Internet website, electronic bulletin board or message board, chat room, or other similar form of electronic communication.</w:t>
      </w:r>
    </w:p>
    <w:p>
      <w:pPr>
        <w:spacing w:after="0" w:line="16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Also, the timing and nature of MasTec's disclosure of material information to outsiders is subject to legal rules, the breach of which could result in substantial liability to the Insider, MasTec and its management. Accordingly, it is important that only specifically designated representatives of MasTec discuss the business of MasTec and its affiliates with the news media, securities analysts and investors. If you receive any inquiry of this type, you should refer the inquiry to MasTec’s General Counsel, who will make certain the inquiry is directed to the appropriate individual within MasTec.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Personal Responsibility; Company Assistance</w:t>
      </w:r>
    </w:p>
    <w:p>
      <w:pPr>
        <w:spacing w:after="0" w:line="19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 xml:space="preserve">Each Insider should remember that the ultimate responsibility for adhering to this policy and avoiding improper trading rests with the Insider. In this regard, it is important that each Insider use his or her best judgment. </w:t>
      </w:r>
      <w:r>
        <w:rPr>
          <w:rFonts w:ascii="Times New Roman" w:cs="Times New Roman" w:eastAsia="Times New Roman" w:hAnsi="Times New Roman"/>
          <w:sz w:val="16"/>
          <w:szCs w:val="16"/>
          <w:b w:val="1"/>
          <w:bCs w:val="1"/>
          <w:color w:val="auto"/>
        </w:rPr>
        <w:t>If an Insider violates this policy, MasTec may take disciplinary action, including termination for cause.</w:t>
      </w:r>
    </w:p>
    <w:p>
      <w:pPr>
        <w:spacing w:after="0" w:line="138"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6"/>
          <w:szCs w:val="16"/>
          <w:color w:val="auto"/>
        </w:rPr>
        <w:t>Compliance with this policy by all Insiders is of the utmost importance both for the Insider and for MasTec. Any person who has any questions about the application of this policy to any particular case may obtain additional guidance from MasTec’s General Counsel, at (305) 599-1800.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1420" w:right="3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4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MasTec, Inc.</w:t>
      </w:r>
    </w:p>
    <w:p>
      <w:pPr>
        <w:spacing w:after="0" w:line="7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SUBSIDIARIES OF MASTEC,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Following is a listing of subsidiaries of MasTec, Inc., which includes the name of the subsidiary, as well as any name under which the subsidiary does business (in italics), and the subsidiary's related jurisdiction of incorporation or organization. Certain subsidiaries have been omitted given that such subsidiaries, individually or in the aggregate, would not constitute a significant subsidiary.</w:t>
      </w:r>
    </w:p>
    <w:p>
      <w:pPr>
        <w:sectPr>
          <w:pgSz w:w="11900" w:h="16838" w:orient="portrait"/>
          <w:cols w:equalWidth="0" w:num="1">
            <w:col w:w="11240"/>
          </w:cols>
          <w:pgMar w:left="320" w:top="893" w:right="339" w:bottom="1440" w:gutter="0" w:footer="0" w:header="0"/>
        </w:sectPr>
      </w:pPr>
    </w:p>
    <w:p>
      <w:pPr>
        <w:spacing w:after="0" w:line="2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A-1 Excavating,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A-1 Express Trucking,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A1 Traffic Control &amp; Safety,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Acietel Mexicana, S.A.</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Aidco de Mexico, S.A. de C.V.</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American Civil Constructors West Coast, LLC</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California</w:t>
      </w:r>
    </w:p>
    <w:p>
      <w:pPr>
        <w:spacing w:after="0" w:line="18"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6"/>
          <w:szCs w:val="16"/>
          <w:i w:val="1"/>
          <w:iCs w:val="1"/>
          <w:color w:val="auto"/>
        </w:rPr>
        <w:t>ACC West Coast</w:t>
      </w:r>
    </w:p>
    <w:p>
      <w:pPr>
        <w:sectPr>
          <w:pgSz w:w="11900" w:h="16838" w:orient="portrait"/>
          <w:cols w:equalWidth="0" w:num="1">
            <w:col w:w="11240"/>
          </w:cols>
          <w:pgMar w:left="320" w:top="893" w:right="339" w:bottom="1440" w:gutter="0" w:footer="0" w:header="0"/>
          <w:type w:val="continuous"/>
        </w:sectPr>
      </w:pP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American Civil Constructors, LLC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26"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5"/>
          <w:szCs w:val="15"/>
          <w:i w:val="1"/>
          <w:iCs w:val="1"/>
          <w:color w:val="auto"/>
        </w:rPr>
        <w:t>ACC Mountain West</w:t>
      </w:r>
    </w:p>
    <w:p>
      <w:pPr>
        <w:sectPr>
          <w:pgSz w:w="11900" w:h="16838" w:orient="portrait"/>
          <w:cols w:equalWidth="0" w:num="1">
            <w:col w:w="11240"/>
          </w:cols>
          <w:pgMar w:left="320" w:top="893" w:right="339" w:bottom="1440" w:gutter="0" w:footer="0" w:header="0"/>
          <w:type w:val="continuous"/>
        </w:sectPr>
      </w:pP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Bakken Aggregates,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Belvidere Stone,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Bianchi Electric,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Biggs Construction Company,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Bottom Line Services,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Broadband Access Services,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Byers Engineering Company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Virginia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Hampshire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Georgia</w:t>
      </w:r>
    </w:p>
    <w:p>
      <w:pPr>
        <w:spacing w:after="0" w:line="18" w:lineRule="exact"/>
        <w:rPr>
          <w:sz w:val="20"/>
          <w:szCs w:val="20"/>
          <w:color w:val="auto"/>
        </w:rPr>
      </w:pPr>
    </w:p>
    <w:p>
      <w:pPr>
        <w:sectPr>
          <w:pgSz w:w="11900" w:h="16838" w:orient="portrait"/>
          <w:cols w:equalWidth="0" w:num="2">
            <w:col w:w="6560" w:space="720"/>
            <w:col w:w="3960"/>
          </w:cols>
          <w:pgMar w:left="320" w:top="893"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6"/>
          <w:szCs w:val="16"/>
          <w:i w:val="1"/>
          <w:iCs w:val="1"/>
          <w:color w:val="auto"/>
        </w:rPr>
        <w:t>Byers Technical Services, Inc.</w:t>
      </w:r>
    </w:p>
    <w:p>
      <w:pPr>
        <w:sectPr>
          <w:pgSz w:w="11900" w:h="16838" w:orient="portrait"/>
          <w:cols w:equalWidth="0" w:num="1">
            <w:col w:w="11240"/>
          </w:cols>
          <w:pgMar w:left="320" w:top="893" w:right="339" w:bottom="1440" w:gutter="0" w:footer="0" w:header="0"/>
          <w:type w:val="continuous"/>
        </w:sectPr>
      </w:pP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C&amp;T Insurance Company</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Casey Industrial,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Cash Construction Company,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CCM Investment Holding Co.</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CE&amp;I Services,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Church &amp; Tower,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CIDE Engenharia, Ltda.</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CJ 320,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Condotte – Ryan JV</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Condotte America Industrial Properties,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Condotte America Properties,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Condotte de Moya JV</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Confluence Networks,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Consolidated Construction Solutions I,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Consolidated Construction Solutions II,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Decisive Communications, Inc.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DPK,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East State Stone,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EC Source Services,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ECS West, LLC</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Energy Erectors, Inc.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Vermont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Oregon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Maryland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ectPr>
          <w:pgSz w:w="11900" w:h="16838" w:orient="portrait"/>
          <w:cols w:equalWidth="0" w:num="2">
            <w:col w:w="6560" w:space="720"/>
            <w:col w:w="3960"/>
          </w:cols>
          <w:pgMar w:left="320" w:top="893" w:right="33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6"/>
          <w:szCs w:val="16"/>
          <w:color w:val="auto"/>
        </w:rPr>
        <w:t>Environmental and Dewatering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Environmental Contractors,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Florence 80,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FNF Construction,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FNF New Mexico,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Foothills Energy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Forest City Logistics,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GGI Constructors JV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H&amp;M Shared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H.B. White Canada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Hanging H Companies,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Holdings,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Henkels &amp; McCoy,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HMSS Realty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Constructors,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Colorado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sectPr>
      </w:pPr>
    </w:p>
    <w:p>
      <w:pPr>
        <w:ind w:left="640"/>
        <w:spacing w:after="0"/>
        <w:rPr>
          <w:sz w:val="20"/>
          <w:szCs w:val="20"/>
          <w:color w:val="auto"/>
        </w:rPr>
      </w:pPr>
      <w:r>
        <w:rPr>
          <w:rFonts w:ascii="Times New Roman" w:cs="Times New Roman" w:eastAsia="Times New Roman" w:hAnsi="Times New Roman"/>
          <w:sz w:val="16"/>
          <w:szCs w:val="16"/>
          <w:i w:val="1"/>
          <w:iCs w:val="1"/>
          <w:color w:val="auto"/>
        </w:rPr>
        <w:t>IEA Renewable Energy, Inc.</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Energy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Engineering North Carolina,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Engineering,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Equipment Management,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Intermediate Holdco,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IEA Management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 CCDD Operating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and Energy Alternatives, Inc.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North Carolina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6"/>
          <w:szCs w:val="16"/>
          <w:i w:val="1"/>
          <w:iCs w:val="1"/>
          <w:color w:val="auto"/>
        </w:rPr>
        <w:t>M III Acquisition Corp.</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Development Holdings,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Infrastructure Holdings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Intren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Intren, LLC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5"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6"/>
          <w:szCs w:val="16"/>
          <w:i w:val="1"/>
          <w:iCs w:val="1"/>
          <w:color w:val="auto"/>
        </w:rPr>
        <w:t>L2 Construction Management Solutions</w:t>
      </w:r>
    </w:p>
    <w:p>
      <w:pPr>
        <w:ind w:left="640"/>
        <w:spacing w:after="0"/>
        <w:rPr>
          <w:sz w:val="20"/>
          <w:szCs w:val="20"/>
          <w:color w:val="auto"/>
        </w:rPr>
      </w:pPr>
      <w:r>
        <w:rPr>
          <w:rFonts w:ascii="Times New Roman" w:cs="Times New Roman" w:eastAsia="Times New Roman" w:hAnsi="Times New Roman"/>
          <w:sz w:val="16"/>
          <w:szCs w:val="16"/>
          <w:i w:val="1"/>
          <w:iCs w:val="1"/>
          <w:color w:val="auto"/>
        </w:rPr>
        <w:t>Trench-It</w:t>
      </w:r>
    </w:p>
    <w:p>
      <w:pPr>
        <w:sectPr>
          <w:pgSz w:w="11900" w:h="16838" w:orient="portrait"/>
          <w:cols w:equalWidth="0" w:num="1">
            <w:col w:w="9619"/>
          </w:cols>
          <w:pgMar w:left="840" w:top="1044" w:right="1440"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John's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Johnston Quarry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JRD Texas, LLC</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8"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6"/>
          <w:szCs w:val="16"/>
          <w:i w:val="1"/>
          <w:iCs w:val="1"/>
          <w:color w:val="auto"/>
        </w:rPr>
        <w:t>Maslonka Powerline Services</w:t>
      </w:r>
    </w:p>
    <w:p>
      <w:pPr>
        <w:sectPr>
          <w:pgSz w:w="11900" w:h="16838" w:orient="portrait"/>
          <w:cols w:equalWidth="0" w:num="1">
            <w:col w:w="9619"/>
          </w:cols>
          <w:pgMar w:left="840" w:top="1044" w:right="1440"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Kingsley Constructors,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PR Corporation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Lemartec USVI,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Brasil S/A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Brazil I,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Brazil II,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Canada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Canadian Holdco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Caribbean KY, Ltd</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Virgin Islands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Caymans</w:t>
      </w:r>
    </w:p>
    <w:p>
      <w:pPr>
        <w:sectPr>
          <w:pgSz w:w="11900" w:h="16838" w:orient="portrait"/>
          <w:cols w:equalWidth="0" w:num="2">
            <w:col w:w="6040" w:space="720"/>
            <w:col w:w="2859"/>
          </w:cols>
          <w:pgMar w:left="840" w:top="1044" w:right="1440"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6"/>
          <w:szCs w:val="16"/>
          <w:color w:val="auto"/>
        </w:rPr>
        <w:t>MasTec Caribbean PR,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Civil Constructors,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Civil,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Comanche,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Condotte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Engineering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ETS Service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Foreign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India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Industrial Corp.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Infraestructuras de Mexico,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Infrastructure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International,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Latin America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Latin America,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Mexico Foreign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Services Colombia S.A.S.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Puerto Rico,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Network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North America,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Nsoro Procurement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Participacoes Do Brasil LTDA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Philippines,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Pipeline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Property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Puerto Rico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Quadgen Wireless, LLP</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Renewables Construction Company,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Renewables Puerto Rico,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Services Company,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Solutions Puerto Rico,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Spain,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TPP,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Utility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Venezuela,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MasTec Wireless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MBS Investors,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MCC Investment and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Meadow Valley Trucking,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MNS South,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MP Drilling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MSTEC Enterprises 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MTCO Energias de Mexico,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Michigan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Colombia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ectPr>
          <w:pgSz w:w="11900" w:h="16838" w:orient="portrait"/>
          <w:cols w:equalWidth="0" w:num="2">
            <w:col w:w="6040" w:space="720"/>
            <w:col w:w="2859"/>
          </w:cols>
          <w:pgMar w:left="840" w:top="1044" w:right="1440"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6"/>
          <w:szCs w:val="16"/>
          <w:color w:val="auto"/>
        </w:rPr>
        <w:t>MTZ Energias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MTZ Enterprises, S. de R.L. de C.V.</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MTZ Purnell,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Mulford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NALL Communications,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A-1 Express,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A-1 Power,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Stout Excavating Group Texas,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Stout Excavating Group,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Nsoro MasTec International,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Phoenix Industrial,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Porter Brothers,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Porter's Stone,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Acquisition,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Aggregate Products,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Dewatering,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Engineering Solutions,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Fabrication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Infrastructure,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Pipeline,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Transport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Precision West,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Pretec Directional Drilling,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Pumpco,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Purnell Energy Services,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Quadgen Wireless Solutions,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R&amp;J Leasing,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R.J. Carroll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Ragnar Benson,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Rhino Cable Services,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Rockford Blacktop Construction Co.,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Saiia Construction Company,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Saiia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SEFNCO Communications,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Sequoia Utility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Shade Tree Service Company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Stout Construction,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Stout Trucking,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Structors,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Support Operations Services,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SUS Holdings,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 &amp; D Power, Inc.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Thornton 40, LLC</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Three Phase Line Construction,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Hampshire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Pennsylvania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Missouri</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Wisconsin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Hampshire</w:t>
      </w:r>
    </w:p>
    <w:p>
      <w:pPr>
        <w:sectPr>
          <w:pgSz w:w="11900" w:h="16838" w:orient="portrait"/>
          <w:cols w:equalWidth="0" w:num="2">
            <w:col w:w="6040" w:space="720"/>
            <w:col w:w="2859"/>
          </w:cols>
          <w:pgMar w:left="840" w:top="1098" w:right="1440"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5"/>
          <w:szCs w:val="15"/>
          <w:color w:val="auto"/>
        </w:rPr>
        <w:t>Three-Way 28,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Arizona</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Union Real Estate,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Utility Services Group West,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111"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Wanzek Construction,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North Dakota</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White Construction Energy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White Construction,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Indiana</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William Charles Construction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William Charles Electric,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William Charles Purchasing,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Illinois</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William Charles,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00" w:lineRule="exact"/>
        <w:rPr>
          <w:sz w:val="20"/>
          <w:szCs w:val="20"/>
          <w:color w:val="auto"/>
        </w:rPr>
      </w:pPr>
    </w:p>
    <w:p>
      <w:pPr>
        <w:sectPr>
          <w:pgSz w:w="11900" w:h="16838" w:orient="portrait"/>
          <w:cols w:equalWidth="0" w:num="2">
            <w:col w:w="6040" w:space="720"/>
            <w:col w:w="2859"/>
          </w:cols>
          <w:pgMar w:left="840" w:top="104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WYCO Field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Wyoming</w:t>
      </w:r>
    </w:p>
    <w:p>
      <w:pPr>
        <w:sectPr>
          <w:pgSz w:w="11900" w:h="16838" w:orient="portrait"/>
          <w:cols w:equalWidth="0" w:num="2">
            <w:col w:w="6040" w:space="720"/>
            <w:col w:w="2859"/>
          </w:cols>
          <w:pgMar w:left="840" w:top="1044" w:right="1440" w:bottom="1440" w:gutter="0" w:footer="0" w:header="0"/>
          <w:type w:val="continuous"/>
        </w:sectPr>
      </w:pPr>
    </w:p>
    <w:bookmarkStart w:id="298" w:name="page299"/>
    <w:bookmarkEnd w:id="298"/>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 333-268812) and Form S-8 (Nos. 333-279907, 333-279906, 333-277593, 333-256905, 333-139996, 333-174922, 333-188974, 333-209061 and 033-55327) of MasTec, Inc. of our report dated February 29, 2024, except for Note 13, as to which the date is February 28, 2025, relating to the consolidated financial statements and financial statement schedule which appear in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BDO USA, P.C.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ectPr>
          <w:pgSz w:w="11900" w:h="16838" w:orient="portrait"/>
          <w:cols w:equalWidth="0" w:num="1">
            <w:col w:w="11240"/>
          </w:cols>
          <w:pgMar w:left="320" w:top="893" w:right="339" w:bottom="1440" w:gutter="0" w:footer="0" w:header="0"/>
        </w:sectPr>
      </w:pPr>
    </w:p>
    <w:bookmarkStart w:id="299" w:name="page300"/>
    <w:bookmarkEnd w:id="299"/>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 333- 268812 on Form S-3 and Registration Statement Nos. 333- 279907, 333-279906, 333-277593, 333-256905, 333-139996, 333-174922, 333-188974, 333-209061 and 033-55327 on Form S-8 of our report dated February 29, 2024 relating to the 2023 financial statements of IEA Energy Services, LLC appearing in the Annual Report on Form 10-K of MasTec, Inc. for the year ended December 31,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6"/>
          <w:szCs w:val="16"/>
          <w:i w:val="1"/>
          <w:iCs w:val="1"/>
          <w:color w:val="auto"/>
        </w:rPr>
        <w:t>Deloitte &amp; Touche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Indianapolis, Indiana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ectPr>
          <w:pgSz w:w="11900" w:h="16838" w:orient="portrait"/>
          <w:cols w:equalWidth="0" w:num="1">
            <w:col w:w="11240"/>
          </w:cols>
          <w:pgMar w:left="320" w:top="893" w:right="339" w:bottom="1440" w:gutter="0" w:footer="0" w:header="0"/>
        </w:sectPr>
      </w:pPr>
    </w:p>
    <w:bookmarkStart w:id="300" w:name="page301"/>
    <w:bookmarkEnd w:id="300"/>
    <w:p>
      <w:pPr>
        <w:ind w:left="10400"/>
        <w:spacing w:after="0"/>
        <w:rPr>
          <w:sz w:val="20"/>
          <w:szCs w:val="20"/>
          <w:color w:val="auto"/>
        </w:rPr>
      </w:pPr>
      <w:r>
        <w:rPr>
          <w:rFonts w:ascii="Times New Roman" w:cs="Times New Roman" w:eastAsia="Times New Roman" w:hAnsi="Times New Roman"/>
          <w:sz w:val="16"/>
          <w:szCs w:val="16"/>
          <w:b w:val="1"/>
          <w:bCs w:val="1"/>
          <w:color w:val="auto"/>
        </w:rPr>
        <w:t>Exhibit 23.3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Statements on Form S-3 No. 333-268812 and Form S-8 (Nos. 333-256905, 333-139996, 333-174922, 333-188974, 333-209061, 033-55327, 333-279907, 333-279906 and 333-277593) of MasTec, Inc. of our report dated February 28, 2025 relating to the financial statements, financial statement schedule and the effectiveness of internal control over financial reporting, which appears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Miami, Florida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ectPr>
          <w:pgSz w:w="11900" w:h="16838" w:orient="portrait"/>
          <w:cols w:equalWidth="0" w:num="1">
            <w:col w:w="11240"/>
          </w:cols>
          <w:pgMar w:left="320" w:top="893" w:right="339" w:bottom="1440" w:gutter="0" w:footer="0" w:header="0"/>
        </w:sectPr>
      </w:pPr>
    </w:p>
    <w:bookmarkStart w:id="301" w:name="page302"/>
    <w:bookmarkEnd w:id="301"/>
    <w:p>
      <w:pPr>
        <w:ind w:left="1040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José R. Mas,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460" w:hanging="7"/>
        <w:spacing w:after="0" w:line="272" w:lineRule="auto"/>
        <w:tabs>
          <w:tab w:leader="none" w:pos="683"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8"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16"/>
          <w:szCs w:val="16"/>
          <w:color w:val="auto"/>
        </w:rPr>
      </w:pPr>
    </w:p>
    <w:p>
      <w:pPr>
        <w:ind w:left="460" w:hanging="7"/>
        <w:spacing w:after="0" w:line="280" w:lineRule="auto"/>
        <w:tabs>
          <w:tab w:leader="none" w:pos="704"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7"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460" w:hanging="7"/>
        <w:spacing w:after="0" w:line="298" w:lineRule="auto"/>
        <w:tabs>
          <w:tab w:leader="none" w:pos="68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460" w:hanging="7"/>
        <w:spacing w:after="0" w:line="298" w:lineRule="auto"/>
        <w:tabs>
          <w:tab w:leader="none" w:pos="702"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28, 2025</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ectPr>
          <w:pgSz w:w="11900" w:h="16838" w:orient="portrait"/>
          <w:cols w:equalWidth="0" w:num="1">
            <w:col w:w="11240"/>
          </w:cols>
          <w:pgMar w:left="320" w:top="893" w:right="339" w:bottom="1440" w:gutter="0" w:footer="0" w:header="0"/>
        </w:sectPr>
      </w:pPr>
    </w:p>
    <w:bookmarkStart w:id="302" w:name="page303"/>
    <w:bookmarkEnd w:id="302"/>
    <w:p>
      <w:pPr>
        <w:ind w:left="1040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CERTIFICATIONS REQUIRED BY SECTION 302(a)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DiMarco, certify that: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have reviewed this Form 10-K of MasTec, Inc.;</w:t>
      </w:r>
    </w:p>
    <w:p>
      <w:pPr>
        <w:spacing w:after="0" w:line="2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460" w:hanging="7"/>
        <w:spacing w:after="0" w:line="272" w:lineRule="auto"/>
        <w:tabs>
          <w:tab w:leader="none" w:pos="683"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8"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Times New Roman" w:cs="Times New Roman" w:eastAsia="Times New Roman" w:hAnsi="Times New Roman"/>
          <w:sz w:val="16"/>
          <w:szCs w:val="16"/>
          <w:color w:val="auto"/>
        </w:rPr>
      </w:pPr>
    </w:p>
    <w:p>
      <w:pPr>
        <w:ind w:left="460" w:hanging="7"/>
        <w:spacing w:after="0" w:line="280" w:lineRule="auto"/>
        <w:tabs>
          <w:tab w:leader="none" w:pos="704"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Times New Roman" w:cs="Times New Roman" w:eastAsia="Times New Roman" w:hAnsi="Times New Roman"/>
          <w:sz w:val="16"/>
          <w:szCs w:val="16"/>
          <w:color w:val="auto"/>
        </w:rPr>
      </w:pPr>
    </w:p>
    <w:p>
      <w:pPr>
        <w:jc w:val="both"/>
        <w:ind w:left="460" w:hanging="7"/>
        <w:spacing w:after="0" w:line="272" w:lineRule="auto"/>
        <w:tabs>
          <w:tab w:leader="none" w:pos="697" w:val="left"/>
        </w:tabs>
        <w:numPr>
          <w:ilvl w:val="0"/>
          <w:numId w:val="2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460" w:hanging="7"/>
        <w:spacing w:after="0" w:line="298" w:lineRule="auto"/>
        <w:tabs>
          <w:tab w:leader="none" w:pos="68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Times New Roman" w:cs="Times New Roman" w:eastAsia="Times New Roman" w:hAnsi="Times New Roman"/>
          <w:sz w:val="16"/>
          <w:szCs w:val="16"/>
          <w:color w:val="auto"/>
        </w:rPr>
      </w:pPr>
    </w:p>
    <w:p>
      <w:pPr>
        <w:ind w:left="460" w:hanging="7"/>
        <w:spacing w:after="0" w:line="298" w:lineRule="auto"/>
        <w:tabs>
          <w:tab w:leader="none" w:pos="702" w:val="left"/>
        </w:tabs>
        <w:numPr>
          <w:ilvl w:val="0"/>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February 28, 2025</w:t>
      </w:r>
    </w:p>
    <w:p>
      <w:pPr>
        <w:spacing w:after="0" w:line="2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20320</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Officer)</w:t>
      </w:r>
    </w:p>
    <w:p>
      <w:pPr>
        <w:sectPr>
          <w:pgSz w:w="11900" w:h="16838" w:orient="portrait"/>
          <w:cols w:equalWidth="0" w:num="1">
            <w:col w:w="11240"/>
          </w:cols>
          <w:pgMar w:left="320" w:top="893" w:right="339" w:bottom="1440" w:gutter="0" w:footer="0" w:header="0"/>
        </w:sectPr>
      </w:pPr>
    </w:p>
    <w:bookmarkStart w:id="303" w:name="page304"/>
    <w:bookmarkEnd w:id="30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2024 as filed with the Securities and Exchange Commission on the date hereof (the “Report”), I, José R. Mas, Chief Executive Officer of the Company, certify, pursuant to 18 U.S.C. Section 1350, as adopted pursuant to Section 906 of the Sarbanes-Oxley Act of 2002, that, to the best of my knowledge:</w:t>
      </w:r>
    </w:p>
    <w:p>
      <w:pPr>
        <w:spacing w:after="0" w:line="171" w:lineRule="exact"/>
        <w:rPr>
          <w:sz w:val="20"/>
          <w:szCs w:val="20"/>
          <w:color w:val="auto"/>
        </w:rPr>
      </w:pPr>
    </w:p>
    <w:p>
      <w:pPr>
        <w:ind w:left="840" w:hanging="346"/>
        <w:spacing w:after="0"/>
        <w:tabs>
          <w:tab w:leader="none" w:pos="840"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February 28, 2025</w:t>
      </w:r>
    </w:p>
    <w:p>
      <w:pPr>
        <w:spacing w:after="0" w:line="8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21590</wp:posOffset>
            </wp:positionV>
            <wp:extent cx="3360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13"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6"/>
          <w:szCs w:val="16"/>
          <w:color w:val="auto"/>
        </w:rPr>
        <w:t>In connection with the Annual Report of MasTec, Inc. (the “Company”) on Form 10-K for the year ended December 31, 2024 as filed with the Securities and Exchange Commission on the date hereof (the “Report”), I, Paul DiMarco, Executive Vice President and Chief Financial Officer of the Company, certify, pursuant to 18 U.S.C. Section 1350, as adopted pursuant to Section 906 of the Sarbanes-Oxley Act of 2002, that, to the best of my knowledge:</w:t>
      </w:r>
    </w:p>
    <w:p>
      <w:pPr>
        <w:spacing w:after="0" w:line="171" w:lineRule="exact"/>
        <w:rPr>
          <w:sz w:val="20"/>
          <w:szCs w:val="20"/>
          <w:color w:val="auto"/>
        </w:rPr>
      </w:pPr>
    </w:p>
    <w:p>
      <w:pPr>
        <w:ind w:left="840" w:hanging="346"/>
        <w:spacing w:after="0"/>
        <w:tabs>
          <w:tab w:leader="none" w:pos="840"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20" w:right="1000" w:firstLine="474"/>
        <w:spacing w:after="0" w:line="474" w:lineRule="auto"/>
        <w:tabs>
          <w:tab w:leader="none" w:pos="836"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February 28, 2025</w:t>
      </w:r>
    </w:p>
    <w:p>
      <w:pPr>
        <w:spacing w:after="0" w:line="8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20320</wp:posOffset>
            </wp:positionV>
            <wp:extent cx="33604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Paul DiMarco</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2"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35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certification set forth above is being furnished as an Exhibit solely pursuant to Section 906 of the Sarbanes–Oxley Act of 2002 and is not being filed as part of the Annual Report of MasTec, Inc. on Form 10-K for the period ending December 31, 2024, or as a separate disclosure document of the Company or the certifying officers.</w:t>
      </w:r>
    </w:p>
    <w:p>
      <w:pPr>
        <w:sectPr>
          <w:pgSz w:w="11900" w:h="16838" w:orient="portrait"/>
          <w:cols w:equalWidth="0" w:num="1">
            <w:col w:w="11240"/>
          </w:cols>
          <w:pgMar w:left="320" w:top="893" w:right="339" w:bottom="1440" w:gutter="0" w:footer="0" w:header="0"/>
        </w:sectPr>
      </w:pPr>
    </w:p>
    <w:bookmarkStart w:id="305" w:name="page306"/>
    <w:bookmarkEnd w:id="305"/>
    <w:p>
      <w:pPr>
        <w:ind w:left="10160"/>
        <w:spacing w:after="0"/>
        <w:rPr>
          <w:sz w:val="20"/>
          <w:szCs w:val="20"/>
          <w:color w:val="auto"/>
        </w:rPr>
      </w:pPr>
      <w:r>
        <w:rPr>
          <w:rFonts w:ascii="Times New Roman" w:cs="Times New Roman" w:eastAsia="Times New Roman" w:hAnsi="Times New Roman"/>
          <w:sz w:val="16"/>
          <w:szCs w:val="16"/>
          <w:b w:val="1"/>
          <w:bCs w:val="1"/>
          <w:color w:val="auto"/>
        </w:rPr>
        <w:t>Exhibit 95.1</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MINE SAFETY DISCLOSURES</w:t>
      </w:r>
    </w:p>
    <w:p>
      <w:pPr>
        <w:spacing w:after="0" w:line="250" w:lineRule="exact"/>
        <w:rPr>
          <w:sz w:val="20"/>
          <w:szCs w:val="20"/>
          <w:color w:val="auto"/>
        </w:rPr>
      </w:pPr>
    </w:p>
    <w:p>
      <w:pPr>
        <w:jc w:val="both"/>
        <w:ind w:firstLine="648"/>
        <w:spacing w:after="0" w:line="304" w:lineRule="auto"/>
        <w:rPr>
          <w:sz w:val="20"/>
          <w:szCs w:val="20"/>
          <w:color w:val="auto"/>
        </w:rPr>
      </w:pPr>
      <w:r>
        <w:rPr>
          <w:rFonts w:ascii="Times New Roman" w:cs="Times New Roman" w:eastAsia="Times New Roman" w:hAnsi="Times New Roman"/>
          <w:sz w:val="16"/>
          <w:szCs w:val="16"/>
          <w:color w:val="auto"/>
        </w:rPr>
        <w:t xml:space="preserve">We operate aggregate mines that are subject to regulation by the federal Mine Safety and Health Administration (“MSHA”) under the Federal Mine Safety and Health Act of 1977, 30 U.S.C. § 801 </w:t>
      </w:r>
      <w:r>
        <w:rPr>
          <w:rFonts w:ascii="Times New Roman" w:cs="Times New Roman" w:eastAsia="Times New Roman" w:hAnsi="Times New Roman"/>
          <w:sz w:val="16"/>
          <w:szCs w:val="16"/>
          <w:i w:val="1"/>
          <w:iCs w:val="1"/>
          <w:color w:val="auto"/>
        </w:rPr>
        <w:t>et seq</w:t>
      </w:r>
      <w:r>
        <w:rPr>
          <w:rFonts w:ascii="Times New Roman" w:cs="Times New Roman" w:eastAsia="Times New Roman" w:hAnsi="Times New Roman"/>
          <w:sz w:val="16"/>
          <w:szCs w:val="16"/>
          <w:color w:val="auto"/>
        </w:rPr>
        <w:t>. (the “Mine Act”). Set forth below is the required information regarding certain mining safety and health matters for the year ended December 31, 2024. Citations and orders may be contested and appealed, and in that process, may be reduced in severity and amount, and are sometimes dismissed. The table below includes references to specific sections of the Mine Act.</w:t>
      </w:r>
    </w:p>
    <w:p>
      <w:pPr>
        <w:spacing w:after="0" w:line="80" w:lineRule="exact"/>
        <w:rPr>
          <w:sz w:val="20"/>
          <w:szCs w:val="20"/>
          <w:color w:val="auto"/>
        </w:rPr>
      </w:pPr>
    </w:p>
    <w:p>
      <w:pPr>
        <w:jc w:val="both"/>
        <w:ind w:right="20" w:firstLine="648"/>
        <w:spacing w:after="0" w:line="333" w:lineRule="auto"/>
        <w:rPr>
          <w:sz w:val="20"/>
          <w:szCs w:val="20"/>
          <w:color w:val="auto"/>
        </w:rPr>
      </w:pPr>
      <w:r>
        <w:rPr>
          <w:rFonts w:ascii="Times New Roman" w:cs="Times New Roman" w:eastAsia="Times New Roman" w:hAnsi="Times New Roman"/>
          <w:sz w:val="16"/>
          <w:szCs w:val="16"/>
          <w:color w:val="auto"/>
        </w:rPr>
        <w:t>The information in the table below is presented by mine, consistent with the manner in which we maintain safety and compliance information about our mining operations.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104(d)</w:t>
            </w: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Pending</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Citations</w:t>
            </w: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104</w:t>
            </w:r>
          </w:p>
        </w:tc>
        <w:tc>
          <w:tcPr>
            <w:tcW w:w="80" w:type="dxa"/>
            <w:vAlign w:val="bottom"/>
          </w:tcPr>
          <w:p>
            <w:pPr>
              <w:spacing w:after="0"/>
              <w:rPr>
                <w:sz w:val="14"/>
                <w:szCs w:val="14"/>
                <w:color w:val="auto"/>
              </w:rPr>
            </w:pPr>
          </w:p>
        </w:tc>
        <w:tc>
          <w:tcPr>
            <w:tcW w:w="9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104(b)</w:t>
            </w:r>
          </w:p>
        </w:tc>
        <w:tc>
          <w:tcPr>
            <w:tcW w:w="10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and</w:t>
            </w:r>
          </w:p>
        </w:tc>
        <w:tc>
          <w:tcPr>
            <w:tcW w:w="11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110(b)(2)</w:t>
            </w:r>
          </w:p>
        </w:tc>
        <w:tc>
          <w:tcPr>
            <w:tcW w:w="9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107(a)</w:t>
            </w:r>
          </w:p>
        </w:tc>
        <w:tc>
          <w:tcPr>
            <w:tcW w:w="132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Legal</w:t>
            </w:r>
          </w:p>
        </w:tc>
        <w:tc>
          <w:tcPr>
            <w:tcW w:w="0" w:type="dxa"/>
            <w:vAlign w:val="bottom"/>
          </w:tcPr>
          <w:p>
            <w:pPr>
              <w:spacing w:after="0"/>
              <w:rPr>
                <w:sz w:val="1"/>
                <w:szCs w:val="1"/>
                <w:color w:val="auto"/>
              </w:rPr>
            </w:pPr>
          </w:p>
        </w:tc>
      </w:tr>
      <w:tr>
        <w:trPr>
          <w:trHeight w:val="24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Mine Name / ID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Citations</w:t>
            </w:r>
            <w:r>
              <w:rPr>
                <w:rFonts w:ascii="Times New Roman" w:cs="Times New Roman" w:eastAsia="Times New Roman" w:hAnsi="Times New Roman"/>
                <w:sz w:val="21"/>
                <w:szCs w:val="21"/>
                <w:b w:val="1"/>
                <w:bCs w:val="1"/>
                <w:color w:val="auto"/>
                <w:w w:val="96"/>
                <w:vertAlign w:val="superscript"/>
              </w:rPr>
              <w:t>(a)</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(b)</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Orders</w:t>
            </w:r>
            <w:r>
              <w:rPr>
                <w:rFonts w:ascii="Times New Roman" w:cs="Times New Roman" w:eastAsia="Times New Roman" w:hAnsi="Times New Roman"/>
                <w:sz w:val="21"/>
                <w:szCs w:val="21"/>
                <w:b w:val="1"/>
                <w:bCs w:val="1"/>
                <w:color w:val="auto"/>
                <w:w w:val="96"/>
                <w:vertAlign w:val="superscript"/>
              </w:rPr>
              <w:t>(c)</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Violations</w:t>
            </w:r>
            <w:r>
              <w:rPr>
                <w:rFonts w:ascii="Times New Roman" w:cs="Times New Roman" w:eastAsia="Times New Roman" w:hAnsi="Times New Roman"/>
                <w:sz w:val="21"/>
                <w:szCs w:val="21"/>
                <w:b w:val="1"/>
                <w:bCs w:val="1"/>
                <w:color w:val="auto"/>
                <w:w w:val="94"/>
                <w:vertAlign w:val="superscript"/>
              </w:rPr>
              <w:t>(d)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Orders</w:t>
            </w:r>
            <w:r>
              <w:rPr>
                <w:rFonts w:ascii="Times New Roman" w:cs="Times New Roman" w:eastAsia="Times New Roman" w:hAnsi="Times New Roman"/>
                <w:sz w:val="21"/>
                <w:szCs w:val="21"/>
                <w:b w:val="1"/>
                <w:bCs w:val="1"/>
                <w:color w:val="auto"/>
                <w:w w:val="93"/>
                <w:vertAlign w:val="superscript"/>
              </w:rPr>
              <w:t>(e)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Assessments</w:t>
            </w:r>
            <w:r>
              <w:rPr>
                <w:rFonts w:ascii="Times New Roman" w:cs="Times New Roman" w:eastAsia="Times New Roman" w:hAnsi="Times New Roman"/>
                <w:sz w:val="21"/>
                <w:szCs w:val="21"/>
                <w:b w:val="1"/>
                <w:bCs w:val="1"/>
                <w:color w:val="auto"/>
                <w:w w:val="97"/>
                <w:vertAlign w:val="superscript"/>
              </w:rPr>
              <w:t>(f)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Fatalities</w:t>
            </w:r>
            <w:r>
              <w:rPr>
                <w:rFonts w:ascii="Times New Roman" w:cs="Times New Roman" w:eastAsia="Times New Roman" w:hAnsi="Times New Roman"/>
                <w:sz w:val="21"/>
                <w:szCs w:val="21"/>
                <w:b w:val="1"/>
                <w:bCs w:val="1"/>
                <w:color w:val="auto"/>
                <w:w w:val="95"/>
                <w:vertAlign w:val="superscript"/>
              </w:rPr>
              <w:t>(g)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Action</w:t>
            </w:r>
            <w:r>
              <w:rPr>
                <w:rFonts w:ascii="Times New Roman" w:cs="Times New Roman" w:eastAsia="Times New Roman" w:hAnsi="Times New Roman"/>
                <w:sz w:val="21"/>
                <w:szCs w:val="21"/>
                <w:b w:val="1"/>
                <w:bCs w:val="1"/>
                <w:color w:val="auto"/>
                <w:w w:val="92"/>
                <w:vertAlign w:val="superscript"/>
              </w:rPr>
              <w:t>(h)</w:t>
            </w: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Arizona / VTW </w:t>
            </w:r>
            <w:r>
              <w:rPr>
                <w:rFonts w:ascii="Times New Roman" w:cs="Times New Roman" w:eastAsia="Times New Roman" w:hAnsi="Times New Roman"/>
                <w:sz w:val="21"/>
                <w:szCs w:val="21"/>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1 / 02-03091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2 / 02-02622</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3 / 02-02774</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4 / 02-03036</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5 / 29-02226</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6 / 02-02589</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FNF Crushing 7 / 02-03079</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FNF Crushing 8 / 02-03035</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Topaz Mine 26-02440</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Mesquite Wash Plant 26-02774</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Oklahoma / B7441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Tennessee / B7441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B7441 </w:t>
            </w:r>
            <w:r>
              <w:rPr>
                <w:rFonts w:ascii="Times New Roman" w:cs="Times New Roman" w:eastAsia="Times New Roman" w:hAnsi="Times New Roman"/>
                <w:sz w:val="21"/>
                <w:szCs w:val="21"/>
                <w:color w:val="auto"/>
                <w:vertAlign w:val="superscript"/>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80" w:type="dxa"/>
            <w:vAlign w:val="bottom"/>
          </w:tcPr>
          <w:p>
            <w:pPr>
              <w:spacing w:after="0"/>
              <w:rPr>
                <w:sz w:val="18"/>
                <w:szCs w:val="18"/>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$6,374</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Utah / B7441 </w:t>
            </w:r>
            <w:r>
              <w:rPr>
                <w:rFonts w:ascii="Times New Roman" w:cs="Times New Roman" w:eastAsia="Times New Roman" w:hAnsi="Times New Roman"/>
                <w:sz w:val="21"/>
                <w:szCs w:val="21"/>
                <w:color w:val="auto"/>
                <w:vertAlign w:val="superscript"/>
              </w:rPr>
              <w:t>(1)</w:t>
            </w:r>
          </w:p>
        </w:tc>
        <w:tc>
          <w:tcPr>
            <w:tcW w:w="10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Texas / C4778 </w:t>
            </w:r>
            <w:r>
              <w:rPr>
                <w:rFonts w:ascii="Times New Roman" w:cs="Times New Roman" w:eastAsia="Times New Roman" w:hAnsi="Times New Roman"/>
                <w:sz w:val="21"/>
                <w:szCs w:val="21"/>
                <w:color w:val="auto"/>
                <w:vertAlign w:val="superscript"/>
              </w:rPr>
              <w:t>(1)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Wisconsin / A6370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WCC State St Quarry 1103011</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Alabama / 1KJ </w:t>
            </w:r>
            <w:r>
              <w:rPr>
                <w:rFonts w:ascii="Times New Roman" w:cs="Times New Roman" w:eastAsia="Times New Roman" w:hAnsi="Times New Roman"/>
                <w:sz w:val="21"/>
                <w:szCs w:val="21"/>
                <w:color w:val="auto"/>
                <w:vertAlign w:val="superscript"/>
              </w:rPr>
              <w:t>(1)</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$948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$9,233</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hanging="352"/>
        <w:spacing w:after="0"/>
        <w:tabs>
          <w:tab w:leader="none" w:pos="36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Denotes where we are working as an "independent contractor" at another operator's mine.</w:t>
      </w:r>
    </w:p>
    <w:p>
      <w:pPr>
        <w:spacing w:after="0" w:line="42" w:lineRule="exact"/>
        <w:rPr>
          <w:sz w:val="20"/>
          <w:szCs w:val="20"/>
          <w:color w:val="auto"/>
        </w:rPr>
      </w:pPr>
    </w:p>
    <w:p>
      <w:pPr>
        <w:ind w:left="260" w:hanging="252"/>
        <w:spacing w:after="0" w:line="291" w:lineRule="auto"/>
        <w:tabs>
          <w:tab w:leader="none" w:pos="353"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orders issued under Section 104(b)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citations and orders for unwarrantable failure of the mine operator to comply with mandatory health or safety standards under Section 104(d) of the Mine Act.</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flagrant violations under Section 110(b)(2)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imminent danger orders issued under Section 107(a) of the Mine Act.</w:t>
      </w:r>
    </w:p>
    <w:p>
      <w:pPr>
        <w:spacing w:after="0" w:line="41" w:lineRule="exact"/>
        <w:rPr>
          <w:rFonts w:ascii="Times New Roman" w:cs="Times New Roman" w:eastAsia="Times New Roman" w:hAnsi="Times New Roman"/>
          <w:sz w:val="14"/>
          <w:szCs w:val="14"/>
          <w:color w:val="auto"/>
        </w:rPr>
      </w:pPr>
    </w:p>
    <w:p>
      <w:pPr>
        <w:ind w:left="300" w:hanging="292"/>
        <w:spacing w:after="0"/>
        <w:tabs>
          <w:tab w:leader="none" w:pos="30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dollar value of proposed assessments from the MSHA under the Mine Act.</w:t>
      </w:r>
    </w:p>
    <w:p>
      <w:pPr>
        <w:spacing w:after="0" w:line="2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mining-related fatalities.</w:t>
      </w:r>
    </w:p>
    <w:p>
      <w:pPr>
        <w:spacing w:after="0" w:line="4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pending legal action before the Federal Mine Safety and Health Review Commission involving the applicable mine(s).</w:t>
      </w:r>
    </w:p>
    <w:p>
      <w:pPr>
        <w:spacing w:after="0" w:line="212"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6"/>
          <w:szCs w:val="16"/>
          <w:color w:val="auto"/>
        </w:rPr>
        <w:t>During the year ended December 31, 2024,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1)"/>
      <w:numFmt w:val="decimal"/>
      <w:start w:val="305"/>
    </w:lvl>
  </w:abstractNum>
  <w:abstractNum w:abstractNumId="7">
    <w:nsid w:val="75E0858A"/>
    <w:multiLevelType w:val="hybridMultilevel"/>
    <w:lvl w:ilvl="0">
      <w:lvlJc w:val="left"/>
      <w:lvlText w:val="(%1)"/>
      <w:numFmt w:val="lowerRoman"/>
      <w:start w:val="6"/>
    </w:lvl>
  </w:abstractNum>
  <w:abstractNum w:abstractNumId="8">
    <w:nsid w:val="57A61A29"/>
    <w:multiLevelType w:val="hybridMultilevel"/>
    <w:lvl w:ilvl="0">
      <w:lvlJc w:val="left"/>
      <w:lvlText w:val="(%1)"/>
      <w:numFmt w:val="lowerRoman"/>
      <w:start w:val="1"/>
    </w:lvl>
  </w:abstractNum>
  <w:abstractNum w:abstractNumId="9">
    <w:nsid w:val="5399C654"/>
    <w:multiLevelType w:val="hybridMultilevel"/>
    <w:lvl w:ilvl="0">
      <w:lvlJc w:val="left"/>
      <w:lvlText w:val="(%1)"/>
      <w:numFmt w:val="lowerLetter"/>
      <w:start w:val="1"/>
    </w:lvl>
  </w:abstractNum>
  <w:abstractNum w:abstractNumId="10">
    <w:nsid w:val="20EE1348"/>
    <w:multiLevelType w:val="hybridMultilevel"/>
    <w:lvl w:ilvl="0">
      <w:lvlJc w:val="left"/>
      <w:lvlText w:val="•"/>
      <w:numFmt w:val="bullet"/>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1)"/>
      <w:numFmt w:val="lowerLetter"/>
      <w:start w:val="1"/>
    </w:lvl>
  </w:abstractNum>
  <w:abstractNum w:abstractNumId="13">
    <w:nsid w:val="2157F6BC"/>
    <w:multiLevelType w:val="hybridMultilevel"/>
    <w:lvl w:ilvl="0">
      <w:lvlJc w:val="left"/>
      <w:lvlText w:val="(%1)"/>
      <w:numFmt w:val="lowerLetter"/>
      <w:start w:val="1"/>
    </w:lvl>
  </w:abstractNum>
  <w:abstractNum w:abstractNumId="14">
    <w:nsid w:val="704E1DD5"/>
    <w:multiLevelType w:val="hybridMultilevel"/>
    <w:lvl w:ilvl="0">
      <w:lvlJc w:val="left"/>
      <w:lvlText w:val="(%1)"/>
      <w:numFmt w:val="lowerLetter"/>
      <w:start w:val="1"/>
    </w:lvl>
  </w:abstractNum>
  <w:abstractNum w:abstractNumId="15">
    <w:nsid w:val="57D2F10E"/>
    <w:multiLevelType w:val="hybridMultilevel"/>
    <w:lvl w:ilvl="0">
      <w:lvlJc w:val="left"/>
      <w:lvlText w:val="(%1)"/>
      <w:numFmt w:val="lowerLetter"/>
      <w:start w:val="1"/>
    </w:lvl>
  </w:abstractNum>
  <w:abstractNum w:abstractNumId="16">
    <w:nsid w:val="BFFAE18"/>
    <w:multiLevelType w:val="hybridMultilevel"/>
    <w:lvl w:ilvl="0">
      <w:lvlJc w:val="left"/>
      <w:lvlText w:val="(%1)"/>
      <w:numFmt w:val="lowerRoman"/>
      <w:start w:val="1"/>
    </w:lvl>
  </w:abstractNum>
  <w:abstractNum w:abstractNumId="17">
    <w:nsid w:val="E3E47A8"/>
    <w:multiLevelType w:val="hybridMultilevel"/>
    <w:lvl w:ilvl="0">
      <w:lvlJc w:val="left"/>
      <w:lvlText w:val="(%1)"/>
      <w:numFmt w:val="lowerLetter"/>
      <w:start w:val="1"/>
    </w:lvl>
  </w:abstractNum>
  <w:abstractNum w:abstractNumId="18">
    <w:nsid w:val="2E48F044"/>
    <w:multiLevelType w:val="hybridMultilevel"/>
    <w:lvl w:ilvl="0">
      <w:lvlJc w:val="left"/>
      <w:lvlText w:val="(%1)"/>
      <w:numFmt w:val="lowerLetter"/>
      <w:start w:val="1"/>
    </w:lvl>
  </w:abstractNum>
  <w:abstractNum w:abstractNumId="19">
    <w:nsid w:val="49D0FEAC"/>
    <w:multiLevelType w:val="hybridMultilevel"/>
    <w:lvl w:ilvl="0">
      <w:lvlJc w:val="left"/>
      <w:lvlText w:val="(%1)"/>
      <w:numFmt w:val="lowerLetter"/>
      <w:start w:val="1"/>
    </w:lvl>
  </w:abstractNum>
  <w:abstractNum w:abstractNumId="20">
    <w:nsid w:val="4BEE5A5B"/>
    <w:multiLevelType w:val="hybridMultilevel"/>
    <w:lvl w:ilvl="0">
      <w:lvlJc w:val="left"/>
      <w:lvlText w:val="(%1)"/>
      <w:numFmt w:val="lowerLetter"/>
      <w:start w:val="1"/>
    </w:lvl>
  </w:abstractNum>
  <w:abstractNum w:abstractNumId="21">
    <w:nsid w:val="5551B9F3"/>
    <w:multiLevelType w:val="hybridMultilevel"/>
    <w:lvl w:ilvl="0">
      <w:lvlJc w:val="left"/>
      <w:lvlText w:val="(%1)"/>
      <w:numFmt w:val="lowerLetter"/>
      <w:start w:val="1"/>
    </w:lvl>
  </w:abstractNum>
  <w:abstractNum w:abstractNumId="22">
    <w:nsid w:val="24F6AB8E"/>
    <w:multiLevelType w:val="hybridMultilevel"/>
    <w:lvl w:ilvl="0">
      <w:lvlJc w:val="left"/>
      <w:lvlText w:val="(%1)"/>
      <w:numFmt w:val="lowerLetter"/>
      <w:start w:val="1"/>
    </w:lvl>
  </w:abstractNum>
  <w:abstractNum w:abstractNumId="23">
    <w:nsid w:val="634C574C"/>
    <w:multiLevelType w:val="hybridMultilevel"/>
    <w:lvl w:ilvl="0">
      <w:lvlJc w:val="left"/>
      <w:lvlText w:val="(%1)"/>
      <w:numFmt w:val="lowerRoman"/>
      <w:start w:val="1"/>
    </w:lvl>
  </w:abstractNum>
  <w:abstractNum w:abstractNumId="24">
    <w:nsid w:val="24E99DD7"/>
    <w:multiLevelType w:val="hybridMultilevel"/>
    <w:lvl w:ilvl="0">
      <w:lvlJc w:val="left"/>
      <w:lvlText w:val="(%1)"/>
      <w:numFmt w:val="decimal"/>
      <w:start w:val="1"/>
    </w:lvl>
  </w:abstractNum>
  <w:abstractNum w:abstractNumId="25">
    <w:nsid w:val="2A31B62D"/>
    <w:multiLevelType w:val="hybridMultilevel"/>
    <w:lvl w:ilvl="0">
      <w:lvlJc w:val="left"/>
      <w:lvlText w:val="(%1)"/>
      <w:numFmt w:val="decimal"/>
      <w:start w:val="1"/>
    </w:lvl>
  </w:abstractNum>
  <w:abstractNum w:abstractNumId="26">
    <w:nsid w:val="1849C29B"/>
    <w:multiLevelType w:val="hybridMultilevel"/>
    <w:lvl w:ilvl="0">
      <w:lvlJc w:val="left"/>
      <w:lvlText w:val="(%1)"/>
      <w:numFmt w:val="lowerLetter"/>
      <w:start w:val="1"/>
    </w:lvl>
    <w:lvl w:ilvl="1">
      <w:lvlJc w:val="left"/>
      <w:lvlText w:val="%2."/>
      <w:numFmt w:val="decimal"/>
      <w:start w:val="2"/>
    </w:lvl>
  </w:abstractNum>
  <w:abstractNum w:abstractNumId="27">
    <w:nsid w:val="7DFF9D09"/>
    <w:multiLevelType w:val="hybridMultilevel"/>
    <w:lvl w:ilvl="0">
      <w:lvlJc w:val="left"/>
      <w:lvlText w:val="%1"/>
      <w:numFmt w:val="decimal"/>
      <w:start w:val="104"/>
    </w:lvl>
  </w:abstractNum>
  <w:abstractNum w:abstractNumId="28">
    <w:nsid w:val="754342"/>
    <w:multiLevelType w:val="hybridMultilevel"/>
    <w:lvl w:ilvl="0">
      <w:lvlJc w:val="left"/>
      <w:lvlText w:val="(%1)"/>
      <w:numFmt w:val="decimal"/>
      <w:start w:val="1"/>
    </w:lvl>
  </w:abstractNum>
  <w:abstractNum w:abstractNumId="29">
    <w:nsid w:val="69E7F3E5"/>
    <w:multiLevelType w:val="hybridMultilevel"/>
    <w:lvl w:ilvl="0">
      <w:lvlJc w:val="left"/>
      <w:lvlText w:val="(%1)"/>
      <w:numFmt w:val="lowerLetter"/>
      <w:start w:val="1"/>
    </w:lvl>
  </w:abstractNum>
  <w:abstractNum w:abstractNumId="30">
    <w:nsid w:val="2A6DE806"/>
    <w:multiLevelType w:val="hybridMultilevel"/>
    <w:lvl w:ilvl="0">
      <w:lvlJc w:val="left"/>
      <w:lvlText w:val="%1."/>
      <w:numFmt w:val="upperLetter"/>
      <w:start w:val="1"/>
    </w:lvl>
  </w:abstractNum>
  <w:abstractNum w:abstractNumId="31">
    <w:nsid w:val="1816F8C4"/>
    <w:multiLevelType w:val="hybridMultilevel"/>
    <w:lvl w:ilvl="0">
      <w:lvlJc w:val="left"/>
      <w:lvlText w:val="(%1)"/>
      <w:numFmt w:val="lowerLetter"/>
      <w:start w:val="1"/>
    </w:lvl>
  </w:abstractNum>
  <w:abstractNum w:abstractNumId="32">
    <w:nsid w:val="37DF2233"/>
    <w:multiLevelType w:val="hybridMultilevel"/>
    <w:lvl w:ilvl="0">
      <w:lvlJc w:val="left"/>
      <w:lvlText w:val="(%1)"/>
      <w:numFmt w:val="lowerLetter"/>
      <w:start w:val="1"/>
    </w:lvl>
  </w:abstractNum>
  <w:abstractNum w:abstractNumId="33">
    <w:nsid w:val="7AB49DAF"/>
    <w:multiLevelType w:val="hybridMultilevel"/>
    <w:lvl w:ilvl="0">
      <w:lvlJc w:val="left"/>
      <w:lvlText w:val="(%1)"/>
      <w:numFmt w:val="lowerLetter"/>
      <w:start w:val="1"/>
    </w:lvl>
  </w:abstractNum>
  <w:abstractNum w:abstractNumId="34">
    <w:nsid w:val="759F82CD"/>
    <w:multiLevelType w:val="hybridMultilevel"/>
    <w:lvl w:ilvl="0">
      <w:lvlJc w:val="left"/>
      <w:lvlText w:val="(%1)"/>
      <w:numFmt w:val="lowerLetter"/>
      <w:start w:val="1"/>
    </w:lvl>
  </w:abstractNum>
  <w:abstractNum w:abstractNumId="35">
    <w:nsid w:val="61E74EA3"/>
    <w:multiLevelType w:val="hybridMultilevel"/>
    <w:lvl w:ilvl="0">
      <w:lvlJc w:val="left"/>
      <w:lvlText w:val="(%1)"/>
      <w:numFmt w:val="lowerLetter"/>
      <w:start w:val="7"/>
    </w:lvl>
  </w:abstractNum>
  <w:abstractNum w:abstractNumId="36">
    <w:nsid w:val="597B4D84"/>
    <w:multiLevelType w:val="hybridMultilevel"/>
    <w:lvl w:ilvl="0">
      <w:lvlJc w:val="left"/>
      <w:lvlText w:val="I"/>
      <w:numFmt w:val="bullet"/>
      <w:start w:val="1"/>
    </w:lvl>
  </w:abstractNum>
  <w:abstractNum w:abstractNumId="37">
    <w:nsid w:val="F819E7F"/>
    <w:multiLevelType w:val="hybridMultilevel"/>
    <w:lvl w:ilvl="0">
      <w:lvlJc w:val="left"/>
      <w:lvlText w:val="A"/>
      <w:numFmt w:val="bullet"/>
      <w:start w:val="1"/>
    </w:lvl>
  </w:abstractNum>
  <w:abstractNum w:abstractNumId="38">
    <w:nsid w:val="57C7D42D"/>
    <w:multiLevelType w:val="hybridMultilevel"/>
    <w:lvl w:ilvl="0">
      <w:lvlJc w:val="left"/>
      <w:lvlText w:val="B"/>
      <w:numFmt w:val="bullet"/>
      <w:start w:val="1"/>
    </w:lvl>
  </w:abstractNum>
  <w:abstractNum w:abstractNumId="39">
    <w:nsid w:val="312167AD"/>
    <w:multiLevelType w:val="hybridMultilevel"/>
    <w:lvl w:ilvl="0">
      <w:lvlJc w:val="left"/>
      <w:lvlText w:val="C"/>
      <w:numFmt w:val="bullet"/>
      <w:start w:val="1"/>
    </w:lvl>
  </w:abstractNum>
  <w:abstractNum w:abstractNumId="40">
    <w:nsid w:val="631B64D4"/>
    <w:multiLevelType w:val="hybridMultilevel"/>
    <w:lvl w:ilvl="0">
      <w:lvlJc w:val="left"/>
      <w:lvlText w:val="D"/>
      <w:numFmt w:val="bullet"/>
      <w:start w:val="1"/>
    </w:lvl>
  </w:abstractNum>
  <w:abstractNum w:abstractNumId="41">
    <w:nsid w:val="78B5E776"/>
    <w:multiLevelType w:val="hybridMultilevel"/>
    <w:lvl w:ilvl="0">
      <w:lvlJc w:val="left"/>
      <w:lvlText w:val="E"/>
      <w:numFmt w:val="bullet"/>
      <w:start w:val="1"/>
    </w:lvl>
  </w:abstractNum>
  <w:abstractNum w:abstractNumId="42">
    <w:nsid w:val="75486E47"/>
    <w:multiLevelType w:val="hybridMultilevel"/>
    <w:lvl w:ilvl="0">
      <w:lvlJc w:val="left"/>
      <w:lvlText w:val="G"/>
      <w:numFmt w:val="bullet"/>
      <w:start w:val="1"/>
    </w:lvl>
  </w:abstractNum>
  <w:abstractNum w:abstractNumId="43">
    <w:nsid w:val="6E534CDE"/>
    <w:multiLevelType w:val="hybridMultilevel"/>
    <w:lvl w:ilvl="0">
      <w:lvlJc w:val="left"/>
      <w:lvlText w:val="(%1)"/>
      <w:numFmt w:val="lowerLetter"/>
      <w:start w:val="1"/>
    </w:lvl>
  </w:abstractNum>
  <w:abstractNum w:abstractNumId="44">
    <w:nsid w:val="1A0DDE32"/>
    <w:multiLevelType w:val="hybridMultilevel"/>
    <w:lvl w:ilvl="0">
      <w:lvlJc w:val="left"/>
      <w:lvlText w:val="(%1)"/>
      <w:numFmt w:val="lowerLetter"/>
      <w:start w:val="2"/>
    </w:lvl>
  </w:abstractNum>
  <w:abstractNum w:abstractNumId="45">
    <w:nsid w:val="65968C1C"/>
    <w:multiLevelType w:val="hybridMultilevel"/>
    <w:lvl w:ilvl="0">
      <w:lvlJc w:val="left"/>
      <w:lvlText w:val="(%1)"/>
      <w:numFmt w:val="lowerRoman"/>
      <w:start w:val="2"/>
    </w:lvl>
  </w:abstractNum>
  <w:abstractNum w:abstractNumId="46">
    <w:nsid w:val="46263DEC"/>
    <w:multiLevelType w:val="hybridMultilevel"/>
    <w:lvl w:ilvl="0">
      <w:lvlJc w:val="left"/>
      <w:lvlText w:val="(%1)"/>
      <w:numFmt w:val="lowerLetter"/>
      <w:start w:val="1"/>
    </w:lvl>
  </w:abstractNum>
  <w:abstractNum w:abstractNumId="47">
    <w:nsid w:val="260D8C4A"/>
    <w:multiLevelType w:val="hybridMultilevel"/>
    <w:lvl w:ilvl="0">
      <w:lvlJc w:val="left"/>
      <w:lvlText w:val="%1"/>
      <w:numFmt w:val="upperLetter"/>
      <w:start w:val="1"/>
    </w:lvl>
    <w:lvl w:ilvl="1">
      <w:lvlJc w:val="left"/>
      <w:lvlText w:val="(%2)"/>
      <w:numFmt w:val="lowerLetter"/>
      <w:start w:val="3"/>
    </w:lvl>
  </w:abstractNum>
  <w:abstractNum w:abstractNumId="48">
    <w:nsid w:val="73D4D3C4"/>
    <w:multiLevelType w:val="hybridMultilevel"/>
    <w:lvl w:ilvl="0">
      <w:lvlJc w:val="left"/>
      <w:lvlText w:val="(%1)"/>
      <w:numFmt w:val="upperLetter"/>
      <w:start w:val="1"/>
    </w:lvl>
    <w:lvl w:ilvl="1">
      <w:lvlJc w:val="left"/>
      <w:lvlText w:val="(%2)"/>
      <w:numFmt w:val="lowerLetter"/>
      <w:start w:val="4"/>
    </w:lvl>
  </w:abstractNum>
  <w:abstractNum w:abstractNumId="49">
    <w:nsid w:val="746F2E30"/>
    <w:multiLevelType w:val="hybridMultilevel"/>
    <w:lvl w:ilvl="0">
      <w:lvlJc w:val="left"/>
      <w:lvlText w:val="%1"/>
      <w:numFmt w:val="upperLetter"/>
      <w:start w:val="1"/>
    </w:lvl>
    <w:lvl w:ilvl="1">
      <w:lvlJc w:val="left"/>
      <w:lvlText w:val="(%2)"/>
      <w:numFmt w:val="lowerLetter"/>
      <w:start w:val="1"/>
    </w:lvl>
  </w:abstractNum>
  <w:abstractNum w:abstractNumId="50">
    <w:nsid w:val="6FDE8AF6"/>
    <w:multiLevelType w:val="hybridMultilevel"/>
    <w:lvl w:ilvl="0">
      <w:lvlJc w:val="left"/>
      <w:lvlText w:val="(%1)"/>
      <w:numFmt w:val="upperLetter"/>
      <w:start w:val="1"/>
    </w:lvl>
    <w:lvl w:ilvl="1">
      <w:lvlJc w:val="left"/>
      <w:lvlText w:val="(%2)"/>
      <w:numFmt w:val="lowerLetter"/>
      <w:start w:val="4"/>
    </w:lvl>
  </w:abstractNum>
  <w:abstractNum w:abstractNumId="51">
    <w:nsid w:val="3FC32E20"/>
    <w:multiLevelType w:val="hybridMultilevel"/>
    <w:lvl w:ilvl="0">
      <w:lvlJc w:val="left"/>
      <w:lvlText w:val="(%1)"/>
      <w:numFmt w:val="lowerLetter"/>
      <w:start w:val="1"/>
    </w:lvl>
  </w:abstractNum>
  <w:abstractNum w:abstractNumId="52">
    <w:nsid w:val="49C0E823"/>
    <w:multiLevelType w:val="hybridMultilevel"/>
    <w:lvl w:ilvl="0">
      <w:lvlJc w:val="left"/>
      <w:lvlText w:val="(%1)"/>
      <w:numFmt w:val="lowerRoman"/>
      <w:start w:val="7"/>
    </w:lvl>
  </w:abstractNum>
  <w:abstractNum w:abstractNumId="53">
    <w:nsid w:val="14D53685"/>
    <w:multiLevelType w:val="hybridMultilevel"/>
    <w:lvl w:ilvl="0">
      <w:lvlJc w:val="left"/>
      <w:lvlText w:val="(%1)"/>
      <w:numFmt w:val="lowerLetter"/>
      <w:start w:val="2"/>
    </w:lvl>
  </w:abstractNum>
  <w:abstractNum w:abstractNumId="54">
    <w:nsid w:val="230F856C"/>
    <w:multiLevelType w:val="hybridMultilevel"/>
    <w:lvl w:ilvl="0">
      <w:lvlJc w:val="left"/>
      <w:lvlText w:val="(%1)"/>
      <w:numFmt w:val="lowerLetter"/>
      <w:start w:val="3"/>
    </w:lvl>
  </w:abstractNum>
  <w:abstractNum w:abstractNumId="55">
    <w:nsid w:val="6EAA85FB"/>
    <w:multiLevelType w:val="hybridMultilevel"/>
    <w:lvl w:ilvl="0">
      <w:lvlJc w:val="left"/>
      <w:lvlText w:val="(%1)"/>
      <w:numFmt w:val="lowerLetter"/>
      <w:start w:val="1"/>
    </w:lvl>
  </w:abstractNum>
  <w:abstractNum w:abstractNumId="56">
    <w:nsid w:val="3F06ECB2"/>
    <w:multiLevelType w:val="hybridMultilevel"/>
    <w:lvl w:ilvl="0">
      <w:lvlJc w:val="left"/>
      <w:lvlText w:val="(%1)"/>
      <w:numFmt w:val="lowerLetter"/>
      <w:start w:val="2"/>
    </w:lvl>
  </w:abstractNum>
  <w:abstractNum w:abstractNumId="57">
    <w:nsid w:val="3B594807"/>
    <w:multiLevelType w:val="hybridMultilevel"/>
    <w:lvl w:ilvl="0">
      <w:lvlJc w:val="left"/>
      <w:lvlText w:val="(%1)"/>
      <w:numFmt w:val="lowerRoman"/>
      <w:start w:val="1"/>
    </w:lvl>
  </w:abstractNum>
  <w:abstractNum w:abstractNumId="58">
    <w:nsid w:val="6CAA2304"/>
    <w:multiLevelType w:val="hybridMultilevel"/>
    <w:lvl w:ilvl="0">
      <w:lvlJc w:val="left"/>
      <w:lvlText w:val="(%1)"/>
      <w:numFmt w:val="lowerRoman"/>
      <w:start w:val="1"/>
    </w:lvl>
  </w:abstractNum>
  <w:abstractNum w:abstractNumId="59">
    <w:nsid w:val="3F7C2FF4"/>
    <w:multiLevelType w:val="hybridMultilevel"/>
    <w:lvl w:ilvl="0">
      <w:lvlJc w:val="left"/>
      <w:lvlText w:val="(%1)"/>
      <w:numFmt w:val="lowerRoman"/>
      <w:start w:val="3"/>
    </w:lvl>
  </w:abstractNum>
  <w:abstractNum w:abstractNumId="60">
    <w:nsid w:val="25413BEC"/>
    <w:multiLevelType w:val="hybridMultilevel"/>
    <w:lvl w:ilvl="0">
      <w:lvlJc w:val="left"/>
      <w:lvlText w:val="(%1)"/>
      <w:numFmt w:val="lowerLetter"/>
      <w:start w:val="1"/>
    </w:lvl>
  </w:abstractNum>
  <w:abstractNum w:abstractNumId="61">
    <w:nsid w:val="17180B0B"/>
    <w:multiLevelType w:val="hybridMultilevel"/>
    <w:lvl w:ilvl="0">
      <w:lvlJc w:val="left"/>
      <w:lvlText w:val="(%1)"/>
      <w:numFmt w:val="lowerLetter"/>
      <w:start w:val="1"/>
    </w:lvl>
  </w:abstractNum>
  <w:abstractNum w:abstractNumId="62">
    <w:nsid w:val="579328B9"/>
    <w:multiLevelType w:val="hybridMultilevel"/>
    <w:lvl w:ilvl="0">
      <w:lvlJc w:val="left"/>
      <w:lvlText w:val="(%1)"/>
      <w:numFmt w:val="lowerLetter"/>
      <w:start w:val="2"/>
    </w:lvl>
  </w:abstractNum>
  <w:abstractNum w:abstractNumId="63">
    <w:nsid w:val="5D205E20"/>
    <w:multiLevelType w:val="hybridMultilevel"/>
    <w:lvl w:ilvl="0">
      <w:lvlJc w:val="left"/>
      <w:lvlText w:val="(%1)"/>
      <w:numFmt w:val="lowerLetter"/>
      <w:start w:val="2"/>
    </w:lvl>
  </w:abstractNum>
  <w:abstractNum w:abstractNumId="64">
    <w:nsid w:val="11CCA8BA"/>
    <w:multiLevelType w:val="hybridMultilevel"/>
    <w:lvl w:ilvl="0">
      <w:lvlJc w:val="left"/>
      <w:lvlText w:val="(%1)"/>
      <w:numFmt w:val="lowerLetter"/>
      <w:start w:val="1"/>
    </w:lvl>
  </w:abstractNum>
  <w:abstractNum w:abstractNumId="65">
    <w:nsid w:val="4D32AB86"/>
    <w:multiLevelType w:val="hybridMultilevel"/>
    <w:lvl w:ilvl="0">
      <w:lvlJc w:val="left"/>
      <w:lvlText w:val="%1"/>
      <w:numFmt w:val="lowerLetter"/>
      <w:start w:val="1"/>
    </w:lvl>
    <w:lvl w:ilvl="1">
      <w:lvlJc w:val="left"/>
      <w:lvlText w:val="(%2)"/>
      <w:numFmt w:val="lowerLetter"/>
      <w:start w:val="1"/>
    </w:lvl>
  </w:abstractNum>
  <w:abstractNum w:abstractNumId="66">
    <w:nsid w:val="3F07ACC3"/>
    <w:multiLevelType w:val="hybridMultilevel"/>
    <w:lvl w:ilvl="0">
      <w:lvlJc w:val="left"/>
      <w:lvlText w:val="(%1)"/>
      <w:numFmt w:val="lowerLetter"/>
      <w:start w:val="35"/>
    </w:lvl>
    <w:lvl w:ilvl="1">
      <w:lvlJc w:val="left"/>
      <w:lvlText w:val="(%2)"/>
      <w:numFmt w:val="lowerLetter"/>
      <w:start w:val="2"/>
    </w:lvl>
  </w:abstractNum>
  <w:abstractNum w:abstractNumId="67">
    <w:nsid w:val="6B47F63E"/>
    <w:multiLevelType w:val="hybridMultilevel"/>
    <w:lvl w:ilvl="0">
      <w:lvlJc w:val="left"/>
      <w:lvlText w:val="(%1)"/>
      <w:numFmt w:val="lowerLetter"/>
      <w:start w:val="2"/>
    </w:lvl>
  </w:abstractNum>
  <w:abstractNum w:abstractNumId="68">
    <w:nsid w:val="5CB44A05"/>
    <w:multiLevelType w:val="hybridMultilevel"/>
    <w:lvl w:ilvl="0">
      <w:lvlJc w:val="left"/>
      <w:lvlText w:val="(%1)"/>
      <w:numFmt w:val="lowerLetter"/>
      <w:start w:val="2"/>
    </w:lvl>
  </w:abstractNum>
  <w:abstractNum w:abstractNumId="69">
    <w:nsid w:val="16CF80F1"/>
    <w:multiLevelType w:val="hybridMultilevel"/>
    <w:lvl w:ilvl="0">
      <w:lvlJc w:val="left"/>
      <w:lvlText w:val="(%1)"/>
      <w:numFmt w:val="lowerLetter"/>
      <w:start w:val="1"/>
    </w:lvl>
  </w:abstractNum>
  <w:abstractNum w:abstractNumId="70">
    <w:nsid w:val="1C695DEC"/>
    <w:multiLevelType w:val="hybridMultilevel"/>
    <w:lvl w:ilvl="0">
      <w:lvlJc w:val="left"/>
      <w:lvlText w:val="%1"/>
      <w:numFmt w:val="upperLetter"/>
      <w:start w:val="1"/>
    </w:lvl>
    <w:lvl w:ilvl="1">
      <w:lvlJc w:val="left"/>
      <w:lvlText w:val="(%2)"/>
      <w:numFmt w:val="lowerLetter"/>
      <w:start w:val="1"/>
    </w:lvl>
  </w:abstractNum>
  <w:abstractNum w:abstractNumId="71">
    <w:nsid w:val="3FCFAED9"/>
    <w:multiLevelType w:val="hybridMultilevel"/>
    <w:lvl w:ilvl="0">
      <w:lvlJc w:val="left"/>
      <w:lvlText w:val="(%1)"/>
      <w:numFmt w:val="upperLetter"/>
      <w:start w:val="1"/>
    </w:lvl>
    <w:lvl w:ilvl="1">
      <w:lvlJc w:val="left"/>
      <w:lvlText w:val="%2"/>
      <w:numFmt w:val="lowerLetter"/>
      <w:start w:val="1"/>
    </w:lvl>
  </w:abstractNum>
  <w:abstractNum w:abstractNumId="72">
    <w:nsid w:val="F856867"/>
    <w:multiLevelType w:val="hybridMultilevel"/>
    <w:lvl w:ilvl="0">
      <w:lvlJc w:val="left"/>
      <w:lvlText w:val="(%1)"/>
      <w:numFmt w:val="upperLetter"/>
      <w:start w:val="61"/>
    </w:lvl>
    <w:lvl w:ilvl="1">
      <w:lvlJc w:val="left"/>
      <w:lvlText w:val="%2"/>
      <w:numFmt w:val="lowerLetter"/>
      <w:start w:val="1"/>
    </w:lvl>
  </w:abstractNum>
  <w:abstractNum w:abstractNumId="73">
    <w:nsid w:val="11B1CC33"/>
    <w:multiLevelType w:val="hybridMultilevel"/>
    <w:lvl w:ilvl="0">
      <w:lvlJc w:val="left"/>
      <w:lvlText w:val="(%1)"/>
      <w:numFmt w:val="lowerLetter"/>
      <w:start w:val="3"/>
    </w:lvl>
  </w:abstractNum>
  <w:abstractNum w:abstractNumId="74">
    <w:nsid w:val="2E22FBB7"/>
    <w:multiLevelType w:val="hybridMultilevel"/>
    <w:lvl w:ilvl="0">
      <w:lvlJc w:val="left"/>
      <w:lvlText w:val="(%1)"/>
      <w:numFmt w:val="lowerLetter"/>
      <w:start w:val="1"/>
    </w:lvl>
  </w:abstractNum>
  <w:abstractNum w:abstractNumId="75">
    <w:nsid w:val="29934699"/>
    <w:multiLevelType w:val="hybridMultilevel"/>
    <w:lvl w:ilvl="0">
      <w:lvlJc w:val="left"/>
      <w:lvlText w:val="(%1)"/>
      <w:numFmt w:val="lowerLetter"/>
      <w:start w:val="2"/>
    </w:lvl>
  </w:abstractNum>
  <w:abstractNum w:abstractNumId="76">
    <w:nsid w:val="77485850"/>
    <w:multiLevelType w:val="hybridMultilevel"/>
    <w:lvl w:ilvl="0">
      <w:lvlJc w:val="left"/>
      <w:lvlText w:val="(%1)"/>
      <w:numFmt w:val="lowerLetter"/>
      <w:start w:val="1"/>
    </w:lvl>
  </w:abstractNum>
  <w:abstractNum w:abstractNumId="77">
    <w:nsid w:val="744939A3"/>
    <w:multiLevelType w:val="hybridMultilevel"/>
    <w:lvl w:ilvl="0">
      <w:lvlJc w:val="left"/>
      <w:lvlText w:val="(%1)"/>
      <w:numFmt w:val="lowerRoman"/>
      <w:start w:val="5"/>
    </w:lvl>
  </w:abstractNum>
  <w:abstractNum w:abstractNumId="78">
    <w:nsid w:val="4FA0D2E3"/>
    <w:multiLevelType w:val="hybridMultilevel"/>
    <w:lvl w:ilvl="0">
      <w:lvlJc w:val="left"/>
      <w:lvlText w:val="(%1)"/>
      <w:numFmt w:val="lowerLetter"/>
      <w:start w:val="2"/>
    </w:lvl>
  </w:abstractNum>
  <w:abstractNum w:abstractNumId="79">
    <w:nsid w:val="6B1D2C14"/>
    <w:multiLevelType w:val="hybridMultilevel"/>
    <w:lvl w:ilvl="0">
      <w:lvlJc w:val="left"/>
      <w:lvlText w:val="(%1)"/>
      <w:numFmt w:val="lowerLetter"/>
      <w:start w:val="6"/>
    </w:lvl>
  </w:abstractNum>
  <w:abstractNum w:abstractNumId="80">
    <w:nsid w:val="68B867D3"/>
    <w:multiLevelType w:val="hybridMultilevel"/>
    <w:lvl w:ilvl="0">
      <w:lvlJc w:val="left"/>
      <w:lvlText w:val="(%1)"/>
      <w:numFmt w:val="lowerLetter"/>
      <w:start w:val="1"/>
    </w:lvl>
    <w:lvl w:ilvl="1">
      <w:lvlJc w:val="left"/>
      <w:lvlText w:val="(%2)"/>
      <w:numFmt w:val="lowerLetter"/>
      <w:start w:val="9"/>
    </w:lvl>
  </w:abstractNum>
  <w:abstractNum w:abstractNumId="81">
    <w:nsid w:val="3F7F5DD9"/>
    <w:multiLevelType w:val="hybridMultilevel"/>
    <w:lvl w:ilvl="0">
      <w:lvlJc w:val="left"/>
      <w:lvlText w:val="(%1)"/>
      <w:numFmt w:val="lowerRoman"/>
      <w:start w:val="2"/>
    </w:lvl>
    <w:lvl w:ilvl="1">
      <w:lvlJc w:val="left"/>
      <w:lvlText w:val="(%2)"/>
      <w:numFmt w:val="upperLetter"/>
      <w:start w:val="1"/>
    </w:lvl>
  </w:abstractNum>
  <w:abstractNum w:abstractNumId="82">
    <w:nsid w:val="2AE05A34"/>
    <w:multiLevelType w:val="hybridMultilevel"/>
    <w:lvl w:ilvl="0">
      <w:lvlJc w:val="left"/>
      <w:lvlText w:val="%1"/>
      <w:numFmt w:val="lowerRoman"/>
      <w:start w:val="1"/>
    </w:lvl>
    <w:lvl w:ilvl="1">
      <w:lvlJc w:val="left"/>
      <w:lvlText w:val="(%2)"/>
      <w:numFmt w:val="upperLetter"/>
      <w:start w:val="2"/>
    </w:lvl>
  </w:abstractNum>
  <w:abstractNum w:abstractNumId="83">
    <w:nsid w:val="32794FF7"/>
    <w:multiLevelType w:val="hybridMultilevel"/>
    <w:lvl w:ilvl="0">
      <w:lvlJc w:val="left"/>
      <w:lvlText w:val="(%1)"/>
      <w:numFmt w:val="lowerRoman"/>
      <w:start w:val="4"/>
    </w:lvl>
    <w:lvl w:ilvl="1">
      <w:lvlJc w:val="left"/>
      <w:lvlText w:val="%2"/>
      <w:numFmt w:val="upperLetter"/>
      <w:start w:val="1"/>
    </w:lvl>
  </w:abstractNum>
  <w:abstractNum w:abstractNumId="84">
    <w:nsid w:val="5454945E"/>
    <w:multiLevelType w:val="hybridMultilevel"/>
    <w:lvl w:ilvl="0">
      <w:lvlJc w:val="left"/>
      <w:lvlText w:val="%1"/>
      <w:numFmt w:val="lowerLetter"/>
      <w:start w:val="1"/>
    </w:lvl>
    <w:lvl w:ilvl="1">
      <w:lvlJc w:val="left"/>
      <w:lvlText w:val="(%2)"/>
      <w:numFmt w:val="lowerRoman"/>
      <w:start w:val="6"/>
    </w:lvl>
  </w:abstractNum>
  <w:abstractNum w:abstractNumId="85">
    <w:nsid w:val="4DEFDFA0"/>
    <w:multiLevelType w:val="hybridMultilevel"/>
    <w:lvl w:ilvl="0">
      <w:lvlJc w:val="left"/>
      <w:lvlText w:val="(%1)"/>
      <w:numFmt w:val="lowerLetter"/>
      <w:start w:val="2"/>
    </w:lvl>
    <w:lvl w:ilvl="1">
      <w:lvlJc w:val="left"/>
      <w:lvlText w:val="(%2)"/>
      <w:numFmt w:val="lowerRoman"/>
      <w:start w:val="1"/>
    </w:lvl>
  </w:abstractNum>
  <w:abstractNum w:abstractNumId="86">
    <w:nsid w:val="2123D5F2"/>
    <w:multiLevelType w:val="hybridMultilevel"/>
    <w:lvl w:ilvl="0">
      <w:lvlJc w:val="left"/>
      <w:lvlText w:val="%1"/>
      <w:numFmt w:val="lowerRoman"/>
      <w:start w:val="1"/>
    </w:lvl>
    <w:lvl w:ilvl="1">
      <w:lvlJc w:val="left"/>
      <w:lvlText w:val="(%2)"/>
      <w:numFmt w:val="lowerRoman"/>
      <w:start w:val="3"/>
    </w:lvl>
  </w:abstractNum>
  <w:abstractNum w:abstractNumId="87">
    <w:nsid w:val="135B8110"/>
    <w:multiLevelType w:val="hybridMultilevel"/>
    <w:lvl w:ilvl="0">
      <w:lvlJc w:val="left"/>
      <w:lvlText w:val="(%1)"/>
      <w:numFmt w:val="lowerRoman"/>
      <w:start w:val="2"/>
    </w:lvl>
    <w:lvl w:ilvl="1">
      <w:lvlJc w:val="left"/>
      <w:lvlText w:val="(%2)"/>
      <w:numFmt w:val="lowerRoman"/>
      <w:start w:val="4"/>
    </w:lvl>
  </w:abstractNum>
  <w:abstractNum w:abstractNumId="88">
    <w:nsid w:val="94927A8"/>
    <w:multiLevelType w:val="hybridMultilevel"/>
    <w:lvl w:ilvl="0">
      <w:lvlJc w:val="left"/>
      <w:lvlText w:val="(%1)"/>
      <w:numFmt w:val="lowerLetter"/>
      <w:start w:val="3"/>
    </w:lvl>
    <w:lvl w:ilvl="1">
      <w:lvlJc w:val="left"/>
      <w:lvlText w:val="(%2)"/>
      <w:numFmt w:val="lowerRoman"/>
      <w:start w:val="1"/>
    </w:lvl>
  </w:abstractNum>
  <w:abstractNum w:abstractNumId="89">
    <w:nsid w:val="DCDF8F6"/>
    <w:multiLevelType w:val="hybridMultilevel"/>
    <w:lvl w:ilvl="0">
      <w:lvlJc w:val="left"/>
      <w:lvlText w:val="(%1)"/>
      <w:numFmt w:val="lowerRoman"/>
      <w:start w:val="2"/>
    </w:lvl>
  </w:abstractNum>
  <w:abstractNum w:abstractNumId="90">
    <w:nsid w:val="52D7B105"/>
    <w:multiLevelType w:val="hybridMultilevel"/>
    <w:lvl w:ilvl="0">
      <w:lvlJc w:val="left"/>
      <w:lvlText w:val="(%1)"/>
      <w:numFmt w:val="lowerRoman"/>
      <w:start w:val="3"/>
    </w:lvl>
  </w:abstractNum>
  <w:abstractNum w:abstractNumId="91">
    <w:nsid w:val="2E8A6394"/>
    <w:multiLevelType w:val="hybridMultilevel"/>
    <w:lvl w:ilvl="0">
      <w:lvlJc w:val="left"/>
      <w:lvlText w:val="(%1)"/>
      <w:numFmt w:val="lowerLetter"/>
      <w:start w:val="5"/>
    </w:lvl>
    <w:lvl w:ilvl="1">
      <w:lvlJc w:val="left"/>
      <w:lvlText w:val="(%2)"/>
      <w:numFmt w:val="lowerRoman"/>
      <w:start w:val="1"/>
    </w:lvl>
  </w:abstractNum>
  <w:abstractNum w:abstractNumId="92">
    <w:nsid w:val="24E60401"/>
    <w:multiLevelType w:val="hybridMultilevel"/>
    <w:lvl w:ilvl="0">
      <w:lvlJc w:val="left"/>
      <w:lvlText w:val="(%1)"/>
      <w:numFmt w:val="lowerRoman"/>
      <w:start w:val="2"/>
    </w:lvl>
  </w:abstractNum>
  <w:abstractNum w:abstractNumId="93">
    <w:nsid w:val="2A6AD9BE"/>
    <w:multiLevelType w:val="hybridMultilevel"/>
    <w:lvl w:ilvl="0">
      <w:lvlJc w:val="left"/>
      <w:lvlText w:val="(%1)"/>
      <w:numFmt w:val="lowerLetter"/>
      <w:start w:val="7"/>
    </w:lvl>
  </w:abstractNum>
  <w:abstractNum w:abstractNumId="94">
    <w:nsid w:val="BAAC1B4"/>
    <w:multiLevelType w:val="hybridMultilevel"/>
    <w:lvl w:ilvl="0">
      <w:lvlJc w:val="left"/>
      <w:lvlText w:val="(%1)"/>
      <w:numFmt w:val="lowerLetter"/>
      <w:start w:val="9"/>
    </w:lvl>
  </w:abstractNum>
  <w:abstractNum w:abstractNumId="95">
    <w:nsid w:val="36B2ACBC"/>
    <w:multiLevelType w:val="hybridMultilevel"/>
    <w:lvl w:ilvl="0">
      <w:lvlJc w:val="left"/>
      <w:lvlText w:val="(%1)"/>
      <w:numFmt w:val="lowerLetter"/>
      <w:start w:val="11"/>
    </w:lvl>
  </w:abstractNum>
  <w:abstractNum w:abstractNumId="96">
    <w:nsid w:val="779D854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7">
    <w:nsid w:val="4AB26E7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8">
    <w:nsid w:val="21FAA2FA"/>
    <w:multiLevelType w:val="hybridMultilevel"/>
    <w:lvl w:ilvl="0">
      <w:lvlJc w:val="left"/>
      <w:lvlText w:val="(%1)"/>
      <w:numFmt w:val="lowerLetter"/>
      <w:start w:val="15"/>
    </w:lvl>
    <w:lvl w:ilvl="1">
      <w:lvlJc w:val="left"/>
      <w:lvlText w:val="%2"/>
      <w:numFmt w:val="decimal"/>
      <w:start w:val="1"/>
    </w:lvl>
    <w:lvl w:ilvl="2">
      <w:lvlJc w:val="left"/>
      <w:lvlText w:val="%3"/>
      <w:numFmt w:val="lowerRoman"/>
      <w:start w:val="1"/>
    </w:lvl>
  </w:abstractNum>
  <w:abstractNum w:abstractNumId="99">
    <w:nsid w:val="5451CF49"/>
    <w:multiLevelType w:val="hybridMultilevel"/>
    <w:lvl w:ilvl="0">
      <w:lvlJc w:val="left"/>
      <w:lvlText w:val="(%1)"/>
      <w:numFmt w:val="lowerLetter"/>
      <w:start w:val="1"/>
    </w:lvl>
  </w:abstractNum>
  <w:abstractNum w:abstractNumId="100">
    <w:nsid w:val="6181EF69"/>
    <w:multiLevelType w:val="hybridMultilevel"/>
    <w:lvl w:ilvl="0">
      <w:lvlJc w:val="left"/>
      <w:lvlText w:val="(%1)"/>
      <w:numFmt w:val="lowerLetter"/>
      <w:start w:val="3"/>
    </w:lvl>
    <w:lvl w:ilvl="1">
      <w:lvlJc w:val="left"/>
      <w:lvlText w:val="(%2)"/>
      <w:numFmt w:val="lowerRoman"/>
      <w:start w:val="1"/>
    </w:lvl>
  </w:abstractNum>
  <w:abstractNum w:abstractNumId="101">
    <w:nsid w:val="3E6400E6"/>
    <w:multiLevelType w:val="hybridMultilevel"/>
    <w:lvl w:ilvl="0">
      <w:lvlJc w:val="left"/>
      <w:lvlText w:val="%1"/>
      <w:numFmt w:val="lowerLetter"/>
      <w:start w:val="1"/>
    </w:lvl>
    <w:lvl w:ilvl="1">
      <w:lvlJc w:val="left"/>
      <w:lvlText w:val="(%2)"/>
      <w:numFmt w:val="lowerRoman"/>
      <w:start w:val="4"/>
    </w:lvl>
  </w:abstractNum>
  <w:abstractNum w:abstractNumId="102">
    <w:nsid w:val="14217E23"/>
    <w:multiLevelType w:val="hybridMultilevel"/>
    <w:lvl w:ilvl="0">
      <w:lvlJc w:val="left"/>
      <w:lvlText w:val="(%1)"/>
      <w:numFmt w:val="lowerLetter"/>
      <w:start w:val="4"/>
    </w:lvl>
    <w:lvl w:ilvl="1">
      <w:lvlJc w:val="left"/>
      <w:lvlText w:val="(%2)"/>
      <w:numFmt w:val="lowerRoman"/>
      <w:start w:val="1"/>
    </w:lvl>
  </w:abstractNum>
  <w:abstractNum w:abstractNumId="103">
    <w:nsid w:val="710757D0"/>
    <w:multiLevelType w:val="hybridMultilevel"/>
    <w:lvl w:ilvl="0">
      <w:lvlJc w:val="left"/>
      <w:lvlText w:val="(%1)"/>
      <w:numFmt w:val="lowerLetter"/>
      <w:start w:val="6"/>
    </w:lvl>
  </w:abstractNum>
  <w:abstractNum w:abstractNumId="104">
    <w:nsid w:val="5015CD1A"/>
    <w:multiLevelType w:val="hybridMultilevel"/>
    <w:lvl w:ilvl="0">
      <w:lvlJc w:val="left"/>
      <w:lvlText w:val="(%1)"/>
      <w:numFmt w:val="lowerLetter"/>
      <w:start w:val="2"/>
    </w:lvl>
  </w:abstractNum>
  <w:abstractNum w:abstractNumId="105">
    <w:nsid w:val="424479DA"/>
    <w:multiLevelType w:val="hybridMultilevel"/>
    <w:lvl w:ilvl="0">
      <w:lvlJc w:val="left"/>
      <w:lvlText w:val="(%1)"/>
      <w:numFmt w:val="lowerLetter"/>
      <w:start w:val="4"/>
    </w:lvl>
  </w:abstractNum>
  <w:abstractNum w:abstractNumId="106">
    <w:nsid w:val="1A9A9E69"/>
    <w:multiLevelType w:val="hybridMultilevel"/>
    <w:lvl w:ilvl="0">
      <w:lvlJc w:val="left"/>
      <w:lvlText w:val="(%1)"/>
      <w:numFmt w:val="lowerLetter"/>
      <w:start w:val="1"/>
    </w:lvl>
  </w:abstractNum>
  <w:abstractNum w:abstractNumId="107">
    <w:nsid w:val="475E256A"/>
    <w:multiLevelType w:val="hybridMultilevel"/>
    <w:lvl w:ilvl="0">
      <w:lvlJc w:val="left"/>
      <w:lvlText w:val="(%1)"/>
      <w:numFmt w:val="lowerLetter"/>
      <w:start w:val="2"/>
    </w:lvl>
  </w:abstractNum>
  <w:abstractNum w:abstractNumId="108">
    <w:nsid w:val="368DB37E"/>
    <w:multiLevelType w:val="hybridMultilevel"/>
    <w:lvl w:ilvl="0">
      <w:lvlJc w:val="left"/>
      <w:lvlText w:val="(%1)"/>
      <w:numFmt w:val="lowerLetter"/>
      <w:start w:val="2"/>
    </w:lvl>
    <w:lvl w:ilvl="1">
      <w:lvlJc w:val="left"/>
      <w:lvlText w:val="(%2)"/>
      <w:numFmt w:val="lowerRoman"/>
      <w:start w:val="2"/>
    </w:lvl>
  </w:abstractNum>
  <w:abstractNum w:abstractNumId="109">
    <w:nsid w:val="6A3B714C"/>
    <w:multiLevelType w:val="hybridMultilevel"/>
    <w:lvl w:ilvl="0">
      <w:lvlJc w:val="left"/>
      <w:lvlText w:val="%1"/>
      <w:numFmt w:val="lowerLetter"/>
      <w:start w:val="1"/>
    </w:lvl>
    <w:lvl w:ilvl="1">
      <w:lvlJc w:val="left"/>
      <w:lvlText w:val="(%2)"/>
      <w:numFmt w:val="lowerRoman"/>
      <w:start w:val="4"/>
    </w:lvl>
  </w:abstractNum>
  <w:abstractNum w:abstractNumId="110">
    <w:nsid w:val="327B517E"/>
    <w:multiLevelType w:val="hybridMultilevel"/>
    <w:lvl w:ilvl="0">
      <w:lvlJc w:val="left"/>
      <w:lvlText w:val="(%1)"/>
      <w:numFmt w:val="lowerLetter"/>
      <w:start w:val="3"/>
    </w:lvl>
    <w:lvl w:ilvl="1">
      <w:lvlJc w:val="left"/>
      <w:lvlText w:val="%2"/>
      <w:numFmt w:val="lowerRoman"/>
      <w:start w:val="1"/>
    </w:lvl>
  </w:abstractNum>
  <w:abstractNum w:abstractNumId="111">
    <w:nsid w:val="1F461B51"/>
    <w:multiLevelType w:val="hybridMultilevel"/>
    <w:lvl w:ilvl="0">
      <w:lvlJc w:val="left"/>
      <w:lvlText w:val="(%1)"/>
      <w:numFmt w:val="lowerLetter"/>
      <w:start w:val="1"/>
    </w:lvl>
    <w:lvl w:ilvl="1">
      <w:lvlJc w:val="left"/>
      <w:lvlText w:val="(%2)"/>
      <w:numFmt w:val="lowerLetter"/>
      <w:start w:val="35"/>
    </w:lvl>
  </w:abstractNum>
  <w:abstractNum w:abstractNumId="112">
    <w:nsid w:val="29BACF25"/>
    <w:multiLevelType w:val="hybridMultilevel"/>
    <w:lvl w:ilvl="0">
      <w:lvlJc w:val="left"/>
      <w:lvlText w:val="(%1)"/>
      <w:numFmt w:val="lowerLetter"/>
      <w:start w:val="2"/>
    </w:lvl>
    <w:lvl w:ilvl="1">
      <w:lvlJc w:val="left"/>
      <w:lvlText w:val="(%2)"/>
      <w:numFmt w:val="lowerLetter"/>
      <w:start w:val="35"/>
    </w:lvl>
  </w:abstractNum>
  <w:abstractNum w:abstractNumId="113">
    <w:nsid w:val="5D5BABB3"/>
    <w:multiLevelType w:val="hybridMultilevel"/>
    <w:lvl w:ilvl="0">
      <w:lvlJc w:val="left"/>
      <w:lvlText w:val="(%1)"/>
      <w:numFmt w:val="lowerLetter"/>
      <w:start w:val="2"/>
    </w:lvl>
  </w:abstractNum>
  <w:abstractNum w:abstractNumId="114">
    <w:nsid w:val="51BF6B48"/>
    <w:multiLevelType w:val="hybridMultilevel"/>
    <w:lvl w:ilvl="0">
      <w:lvlJc w:val="left"/>
      <w:lvlText w:val="(%1)"/>
      <w:numFmt w:val="lowerLetter"/>
      <w:start w:val="2"/>
    </w:lvl>
  </w:abstractNum>
  <w:abstractNum w:abstractNumId="115">
    <w:nsid w:val="7E0F6384"/>
    <w:multiLevelType w:val="hybridMultilevel"/>
    <w:lvl w:ilvl="0">
      <w:lvlJc w:val="left"/>
      <w:lvlText w:val="(%1)"/>
      <w:numFmt w:val="lowerLetter"/>
      <w:start w:val="2"/>
    </w:lvl>
    <w:lvl w:ilvl="1">
      <w:lvlJc w:val="left"/>
      <w:lvlText w:val="(%2)"/>
      <w:numFmt w:val="lowerLetter"/>
      <w:start w:val="35"/>
    </w:lvl>
  </w:abstractNum>
  <w:abstractNum w:abstractNumId="116">
    <w:nsid w:val="2B4B8B53"/>
    <w:multiLevelType w:val="hybridMultilevel"/>
    <w:lvl w:ilvl="0">
      <w:lvlJc w:val="left"/>
      <w:lvlText w:val="(%1)"/>
      <w:numFmt w:val="lowerLetter"/>
      <w:start w:val="2"/>
    </w:lvl>
    <w:lvl w:ilvl="1">
      <w:lvlJc w:val="left"/>
      <w:lvlText w:val="(%2)"/>
      <w:numFmt w:val="lowerLetter"/>
      <w:start w:val="3"/>
    </w:lvl>
  </w:abstractNum>
  <w:abstractNum w:abstractNumId="117">
    <w:nsid w:val="72E3413A"/>
    <w:multiLevelType w:val="hybridMultilevel"/>
    <w:lvl w:ilvl="0">
      <w:lvlJc w:val="left"/>
      <w:lvlText w:val="(%1)"/>
      <w:numFmt w:val="lowerRoman"/>
      <w:start w:val="1"/>
    </w:lvl>
  </w:abstractNum>
  <w:abstractNum w:abstractNumId="118">
    <w:nsid w:val="116AE494"/>
    <w:multiLevelType w:val="hybridMultilevel"/>
    <w:lvl w:ilvl="0">
      <w:lvlJc w:val="left"/>
      <w:lvlText w:val="(%1)"/>
      <w:numFmt w:val="lowerLetter"/>
      <w:start w:val="1"/>
    </w:lvl>
  </w:abstractNum>
  <w:abstractNum w:abstractNumId="119">
    <w:nsid w:val="3494B2FB"/>
    <w:multiLevelType w:val="hybridMultilevel"/>
    <w:lvl w:ilvl="0">
      <w:lvlJc w:val="left"/>
      <w:lvlText w:val="(%1)"/>
      <w:numFmt w:val="lowerLetter"/>
      <w:start w:val="2"/>
    </w:lvl>
  </w:abstractNum>
  <w:abstractNum w:abstractNumId="120">
    <w:nsid w:val="B13A31"/>
    <w:multiLevelType w:val="hybridMultilevel"/>
    <w:lvl w:ilvl="0">
      <w:lvlJc w:val="left"/>
      <w:lvlText w:val="(%1)"/>
      <w:numFmt w:val="lowerLetter"/>
      <w:start w:val="3"/>
    </w:lvl>
    <w:lvl w:ilvl="1">
      <w:lvlJc w:val="left"/>
      <w:lvlText w:val="(%2)"/>
      <w:numFmt w:val="lowerRoman"/>
      <w:start w:val="1"/>
    </w:lvl>
  </w:abstractNum>
  <w:abstractNum w:abstractNumId="121">
    <w:nsid w:val="64429599"/>
    <w:multiLevelType w:val="hybridMultilevel"/>
    <w:lvl w:ilvl="0">
      <w:lvlJc w:val="left"/>
      <w:lvlText w:val="%1"/>
      <w:numFmt w:val="lowerLetter"/>
      <w:start w:val="1"/>
    </w:lvl>
    <w:lvl w:ilvl="1">
      <w:lvlJc w:val="left"/>
      <w:lvlText w:val="(%2)"/>
      <w:numFmt w:val="lowerRoman"/>
      <w:start w:val="9"/>
    </w:lvl>
  </w:abstractNum>
  <w:abstractNum w:abstractNumId="122">
    <w:nsid w:val="631F1690"/>
    <w:multiLevelType w:val="hybridMultilevel"/>
    <w:lvl w:ilvl="0">
      <w:lvlJc w:val="left"/>
      <w:lvlText w:val="(%1)"/>
      <w:numFmt w:val="lowerLetter"/>
      <w:start w:val="4"/>
    </w:lvl>
    <w:lvl w:ilvl="1">
      <w:lvlJc w:val="left"/>
      <w:lvlText w:val="%2"/>
      <w:numFmt w:val="lowerRoman"/>
      <w:start w:val="1"/>
    </w:lvl>
  </w:abstractNum>
  <w:abstractNum w:abstractNumId="123">
    <w:nsid w:val="25973E32"/>
    <w:multiLevelType w:val="hybridMultilevel"/>
    <w:lvl w:ilvl="0">
      <w:lvlJc w:val="left"/>
      <w:lvlText w:val="(%1)"/>
      <w:numFmt w:val="lowerLetter"/>
      <w:start w:val="8"/>
    </w:lvl>
  </w:abstractNum>
  <w:abstractNum w:abstractNumId="124">
    <w:nsid w:val="EAD6F57"/>
    <w:multiLevelType w:val="hybridMultilevel"/>
    <w:lvl w:ilvl="0">
      <w:lvlJc w:val="left"/>
      <w:lvlText w:val="(%1)"/>
      <w:numFmt w:val="lowerLetter"/>
      <w:start w:val="1"/>
    </w:lvl>
  </w:abstractNum>
  <w:abstractNum w:abstractNumId="125">
    <w:nsid w:val="6EC9D844"/>
    <w:multiLevelType w:val="hybridMultilevel"/>
    <w:lvl w:ilvl="0">
      <w:lvlJc w:val="left"/>
      <w:lvlText w:val="(%1)"/>
      <w:numFmt w:val="lowerLetter"/>
      <w:start w:val="3"/>
    </w:lvl>
  </w:abstractNum>
  <w:abstractNum w:abstractNumId="126">
    <w:nsid w:val="5C49EAEE"/>
    <w:multiLevelType w:val="hybridMultilevel"/>
    <w:lvl w:ilvl="0">
      <w:lvlJc w:val="left"/>
      <w:lvlText w:val="(%1)"/>
      <w:numFmt w:val="lowerLetter"/>
      <w:start w:val="5"/>
    </w:lvl>
    <w:lvl w:ilvl="1">
      <w:lvlJc w:val="left"/>
      <w:lvlText w:val="(%2)"/>
      <w:numFmt w:val="lowerRoman"/>
      <w:start w:val="1"/>
    </w:lvl>
  </w:abstractNum>
  <w:abstractNum w:abstractNumId="127">
    <w:nsid w:val="64AF49B"/>
    <w:multiLevelType w:val="hybridMultilevel"/>
    <w:lvl w:ilvl="0">
      <w:lvlJc w:val="left"/>
      <w:lvlText w:val="%1"/>
      <w:numFmt w:val="lowerLetter"/>
      <w:start w:val="1"/>
    </w:lvl>
    <w:lvl w:ilvl="1">
      <w:lvlJc w:val="left"/>
      <w:lvlText w:val="(%2)"/>
      <w:numFmt w:val="lowerRoman"/>
      <w:start w:val="4"/>
    </w:lvl>
  </w:abstractNum>
  <w:abstractNum w:abstractNumId="128">
    <w:nsid w:val="397C46BC"/>
    <w:multiLevelType w:val="hybridMultilevel"/>
    <w:lvl w:ilvl="0">
      <w:lvlJc w:val="left"/>
      <w:lvlText w:val="(%1)"/>
      <w:numFmt w:val="lowerLetter"/>
      <w:start w:val="7"/>
    </w:lvl>
    <w:lvl w:ilvl="1">
      <w:lvlJc w:val="left"/>
      <w:lvlText w:val="%2"/>
      <w:numFmt w:val="lowerRoman"/>
      <w:start w:val="1"/>
    </w:lvl>
  </w:abstractNum>
  <w:abstractNum w:abstractNumId="129">
    <w:nsid w:val="7E448DE9"/>
    <w:multiLevelType w:val="hybridMultilevel"/>
    <w:lvl w:ilvl="0">
      <w:lvlJc w:val="left"/>
      <w:lvlText w:val="(%1)"/>
      <w:numFmt w:val="lowerLetter"/>
      <w:start w:val="1"/>
    </w:lvl>
    <w:lvl w:ilvl="1">
      <w:lvlJc w:val="left"/>
      <w:lvlText w:val="(%2)"/>
      <w:numFmt w:val="lowerLetter"/>
      <w:start w:val="35"/>
    </w:lvl>
  </w:abstractNum>
  <w:abstractNum w:abstractNumId="130">
    <w:nsid w:val="5A9CC3E5"/>
    <w:multiLevelType w:val="hybridMultilevel"/>
    <w:lvl w:ilvl="0">
      <w:lvlJc w:val="left"/>
      <w:lvlText w:val="%1"/>
      <w:numFmt w:val="lowerLetter"/>
      <w:start w:val="1"/>
    </w:lvl>
    <w:lvl w:ilvl="1">
      <w:lvlJc w:val="left"/>
      <w:lvlText w:val="(%2)"/>
      <w:numFmt w:val="lowerLetter"/>
      <w:start w:val="61"/>
    </w:lvl>
  </w:abstractNum>
  <w:abstractNum w:abstractNumId="131">
    <w:nsid w:val="1AFE3625"/>
    <w:multiLevelType w:val="hybridMultilevel"/>
    <w:lvl w:ilvl="0">
      <w:lvlJc w:val="left"/>
      <w:lvlText w:val="(%1)"/>
      <w:numFmt w:val="lowerLetter"/>
      <w:start w:val="2"/>
    </w:lvl>
    <w:lvl w:ilvl="1">
      <w:lvlJc w:val="left"/>
      <w:lvlText w:val="%2"/>
      <w:numFmt w:val="lowerLetter"/>
      <w:start w:val="1"/>
    </w:lvl>
  </w:abstractNum>
  <w:abstractNum w:abstractNumId="132">
    <w:nsid w:val="3CA88ECF"/>
    <w:multiLevelType w:val="hybridMultilevel"/>
    <w:lvl w:ilvl="0">
      <w:lvlJc w:val="left"/>
      <w:lvlText w:val="(%1)"/>
      <w:numFmt w:val="lowerLetter"/>
      <w:start w:val="1"/>
    </w:lvl>
    <w:lvl w:ilvl="1">
      <w:lvlJc w:val="left"/>
      <w:lvlText w:val="(%2)"/>
      <w:numFmt w:val="lowerRoman"/>
      <w:start w:val="1"/>
    </w:lvl>
  </w:abstractNum>
  <w:abstractNum w:abstractNumId="133">
    <w:nsid w:val="6EBE4208"/>
    <w:multiLevelType w:val="hybridMultilevel"/>
    <w:lvl w:ilvl="0">
      <w:lvlJc w:val="left"/>
      <w:lvlText w:val="(%1)"/>
      <w:numFmt w:val="lowerRoman"/>
      <w:start w:val="3"/>
    </w:lvl>
    <w:lvl w:ilvl="1">
      <w:lvlJc w:val="left"/>
      <w:lvlText w:val="(%2)"/>
      <w:numFmt w:val="upperLetter"/>
      <w:start w:val="1"/>
    </w:lvl>
  </w:abstractNum>
  <w:abstractNum w:abstractNumId="134">
    <w:nsid w:val="C058DF5"/>
    <w:multiLevelType w:val="hybridMultilevel"/>
    <w:lvl w:ilvl="0">
      <w:lvlJc w:val="left"/>
      <w:lvlText w:val="%1"/>
      <w:numFmt w:val="lowerLetter"/>
      <w:start w:val="1"/>
    </w:lvl>
    <w:lvl w:ilvl="1">
      <w:lvlJc w:val="left"/>
      <w:lvlText w:val="(%2)"/>
      <w:numFmt w:val="lowerLetter"/>
      <w:start w:val="22"/>
    </w:lvl>
  </w:abstractNum>
  <w:abstractNum w:abstractNumId="135">
    <w:nsid w:val="CBE5BE9"/>
    <w:multiLevelType w:val="hybridMultilevel"/>
    <w:lvl w:ilvl="0">
      <w:lvlJc w:val="left"/>
      <w:lvlText w:val="(%1)"/>
      <w:numFmt w:val="lowerLetter"/>
      <w:start w:val="2"/>
    </w:lvl>
    <w:lvl w:ilvl="1">
      <w:lvlJc w:val="left"/>
      <w:lvlText w:val="%2"/>
      <w:numFmt w:val="lowerLetter"/>
      <w:start w:val="1"/>
    </w:lvl>
  </w:abstractNum>
  <w:abstractNum w:abstractNumId="136">
    <w:nsid w:val="3102BB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7">
    <w:nsid w:val="26A02C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8">
    <w:nsid w:val="541C8153"/>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9">
    <w:nsid w:val="67906F6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0">
    <w:nsid w:val="10DB9DAA"/>
    <w:multiLevelType w:val="hybridMultilevel"/>
    <w:lvl w:ilvl="0">
      <w:lvlJc w:val="left"/>
      <w:lvlText w:val="(%1)"/>
      <w:numFmt w:val="lowerLetter"/>
      <w:start w:val="3"/>
    </w:lvl>
  </w:abstractNum>
  <w:abstractNum w:abstractNumId="141">
    <w:nsid w:val="697D2D2"/>
    <w:multiLevelType w:val="hybridMultilevel"/>
    <w:lvl w:ilvl="0">
      <w:lvlJc w:val="left"/>
      <w:lvlText w:val="(%1)"/>
      <w:numFmt w:val="lowerLetter"/>
      <w:start w:val="1"/>
    </w:lvl>
  </w:abstractNum>
  <w:abstractNum w:abstractNumId="142">
    <w:nsid w:val="6D68AB2"/>
    <w:multiLevelType w:val="hybridMultilevel"/>
    <w:lvl w:ilvl="0">
      <w:lvlJc w:val="left"/>
      <w:lvlText w:val="(%1)"/>
      <w:numFmt w:val="lowerLetter"/>
      <w:start w:val="2"/>
    </w:lvl>
  </w:abstractNum>
  <w:abstractNum w:abstractNumId="143">
    <w:nsid w:val="3A966CD0"/>
    <w:multiLevelType w:val="hybridMultilevel"/>
    <w:lvl w:ilvl="0">
      <w:lvlJc w:val="left"/>
      <w:lvlText w:val="(%1)"/>
      <w:numFmt w:val="lowerLetter"/>
      <w:start w:val="1"/>
    </w:lvl>
    <w:lvl w:ilvl="1">
      <w:lvlJc w:val="left"/>
      <w:lvlText w:val="(%2)"/>
      <w:numFmt w:val="lowerRoman"/>
      <w:start w:val="1"/>
    </w:lvl>
  </w:abstractNum>
  <w:abstractNum w:abstractNumId="144">
    <w:nsid w:val="63F37E8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45">
    <w:nsid w:val="5895F5F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2"/>
    </w:lvl>
  </w:abstractNum>
  <w:abstractNum w:abstractNumId="146">
    <w:nsid w:val="38A5D05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47">
    <w:nsid w:val="F3F09D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8">
    <w:nsid w:val="4B793735"/>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149">
    <w:nsid w:val="4A10B4E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50">
    <w:nsid w:val="43D3BCD4"/>
    <w:multiLevelType w:val="hybridMultilevel"/>
    <w:lvl w:ilvl="0">
      <w:lvlJc w:val="left"/>
      <w:lvlText w:val="(%1)"/>
      <w:numFmt w:val="upperLetter"/>
      <w:start w:val="9"/>
    </w:lvl>
  </w:abstractNum>
  <w:abstractNum w:abstractNumId="151">
    <w:nsid w:val="4C2A7166"/>
    <w:multiLevelType w:val="hybridMultilevel"/>
    <w:lvl w:ilvl="0">
      <w:lvlJc w:val="left"/>
      <w:lvlText w:val="(%1)"/>
      <w:numFmt w:val="upperLetter"/>
      <w:start w:val="35"/>
    </w:lvl>
  </w:abstractNum>
  <w:abstractNum w:abstractNumId="152">
    <w:nsid w:val="2E534A82"/>
    <w:multiLevelType w:val="hybridMultilevel"/>
    <w:lvl w:ilvl="0">
      <w:lvlJc w:val="left"/>
      <w:lvlText w:val="(%1)"/>
      <w:numFmt w:val="upperLetter"/>
      <w:start w:val="61"/>
    </w:lvl>
  </w:abstractNum>
  <w:abstractNum w:abstractNumId="153">
    <w:nsid w:val="26F2D364"/>
    <w:multiLevelType w:val="hybridMultilevel"/>
    <w:lvl w:ilvl="0">
      <w:lvlJc w:val="left"/>
      <w:lvlText w:val="%1"/>
      <w:numFmt w:val="upperLetter"/>
      <w:start w:val="1"/>
    </w:lvl>
    <w:lvl w:ilvl="1">
      <w:lvlJc w:val="left"/>
      <w:lvlText w:val="(%2)"/>
      <w:numFmt w:val="upperLetter"/>
      <w:start w:val="22"/>
    </w:lvl>
  </w:abstractNum>
  <w:abstractNum w:abstractNumId="154">
    <w:nsid w:val="71C1AF98"/>
    <w:multiLevelType w:val="hybridMultilevel"/>
    <w:lvl w:ilvl="0">
      <w:lvlJc w:val="left"/>
      <w:lvlText w:val="(%1)"/>
      <w:numFmt w:val="upperLetter"/>
      <w:start w:val="3"/>
    </w:lvl>
    <w:lvl w:ilvl="1">
      <w:lvlJc w:val="left"/>
      <w:lvlText w:val="%2"/>
      <w:numFmt w:val="upperLetter"/>
      <w:start w:val="1"/>
    </w:lvl>
  </w:abstractNum>
  <w:abstractNum w:abstractNumId="155">
    <w:nsid w:val="3D00B9D9"/>
    <w:multiLevelType w:val="hybridMultilevel"/>
    <w:lvl w:ilvl="0">
      <w:lvlJc w:val="left"/>
      <w:lvlText w:val="(%1)"/>
      <w:numFmt w:val="lowerRoman"/>
      <w:start w:val="3"/>
    </w:lvl>
  </w:abstractNum>
  <w:abstractNum w:abstractNumId="156">
    <w:nsid w:val="15BCABA8"/>
    <w:multiLevelType w:val="hybridMultilevel"/>
    <w:lvl w:ilvl="0">
      <w:lvlJc w:val="left"/>
      <w:lvlText w:val="(%1)"/>
      <w:numFmt w:val="lowerLetter"/>
      <w:start w:val="6"/>
    </w:lvl>
  </w:abstractNum>
  <w:abstractNum w:abstractNumId="157">
    <w:nsid w:val="4E0B9A87"/>
    <w:multiLevelType w:val="hybridMultilevel"/>
    <w:lvl w:ilvl="0">
      <w:lvlJc w:val="left"/>
      <w:lvlText w:val="(%1)"/>
      <w:numFmt w:val="lowerLetter"/>
      <w:start w:val="7"/>
    </w:lvl>
  </w:abstractNum>
  <w:abstractNum w:abstractNumId="158">
    <w:nsid w:val="434BAE75"/>
    <w:multiLevelType w:val="hybridMultilevel"/>
    <w:lvl w:ilvl="0">
      <w:lvlJc w:val="left"/>
      <w:lvlText w:val="(%1)"/>
      <w:numFmt w:val="lowerLetter"/>
      <w:start w:val="1"/>
    </w:lvl>
  </w:abstractNum>
  <w:abstractNum w:abstractNumId="159">
    <w:nsid w:val="4F38F26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0">
    <w:nsid w:val="4C502870"/>
    <w:multiLevelType w:val="hybridMultilevel"/>
    <w:lvl w:ilvl="0">
      <w:lvlJc w:val="left"/>
      <w:lvlText w:val="(%1)"/>
      <w:numFmt w:val="lowerLetter"/>
      <w:start w:val="3"/>
    </w:lvl>
    <w:lvl w:ilvl="1">
      <w:lvlJc w:val="left"/>
      <w:lvlText w:val="(%2)"/>
      <w:numFmt w:val="lowerRoman"/>
      <w:start w:val="1"/>
    </w:lvl>
  </w:abstractNum>
  <w:abstractNum w:abstractNumId="161">
    <w:nsid w:val="1DE8725A"/>
    <w:multiLevelType w:val="hybridMultilevel"/>
    <w:lvl w:ilvl="0">
      <w:lvlJc w:val="left"/>
      <w:lvlText w:val="(%1)"/>
      <w:numFmt w:val="lowerLetter"/>
      <w:start w:val="4"/>
    </w:lvl>
  </w:abstractNum>
  <w:abstractNum w:abstractNumId="162">
    <w:nsid w:val="6A37288A"/>
    <w:multiLevelType w:val="hybridMultilevel"/>
    <w:lvl w:ilvl="0">
      <w:lvlJc w:val="left"/>
      <w:lvlText w:val="(%1)"/>
      <w:numFmt w:val="lowerLetter"/>
      <w:start w:val="5"/>
    </w:lvl>
  </w:abstractNum>
  <w:abstractNum w:abstractNumId="163">
    <w:nsid w:val="8F8B73F"/>
    <w:multiLevelType w:val="hybridMultilevel"/>
    <w:lvl w:ilvl="0">
      <w:lvlJc w:val="left"/>
      <w:lvlText w:val="(%1)"/>
      <w:numFmt w:val="lowerLetter"/>
      <w:start w:val="1"/>
    </w:lvl>
    <w:lvl w:ilvl="1">
      <w:lvlJc w:val="left"/>
      <w:lvlText w:val="(%2)"/>
      <w:numFmt w:val="lowerRoman"/>
      <w:start w:val="1"/>
    </w:lvl>
  </w:abstractNum>
  <w:abstractNum w:abstractNumId="164">
    <w:nsid w:val="CA6B462"/>
    <w:multiLevelType w:val="hybridMultilevel"/>
    <w:lvl w:ilvl="0">
      <w:lvlJc w:val="left"/>
      <w:lvlText w:val="(%1)"/>
      <w:numFmt w:val="lowerLetter"/>
      <w:start w:val="5"/>
    </w:lvl>
    <w:lvl w:ilvl="1">
      <w:lvlJc w:val="left"/>
      <w:lvlText w:val="(%2)"/>
      <w:numFmt w:val="lowerRoman"/>
      <w:start w:val="3"/>
    </w:lvl>
  </w:abstractNum>
  <w:abstractNum w:abstractNumId="165">
    <w:nsid w:val="763CB680"/>
    <w:multiLevelType w:val="hybridMultilevel"/>
    <w:lvl w:ilvl="0">
      <w:lvlJc w:val="left"/>
      <w:lvlText w:val="(%1)"/>
      <w:numFmt w:val="lowerLetter"/>
      <w:start w:val="2"/>
    </w:lvl>
  </w:abstractNum>
  <w:abstractNum w:abstractNumId="166">
    <w:nsid w:val="15B71329"/>
    <w:multiLevelType w:val="hybridMultilevel"/>
    <w:lvl w:ilvl="0">
      <w:lvlJc w:val="left"/>
      <w:lvlText w:val="(%1)"/>
      <w:numFmt w:val="lowerLetter"/>
      <w:start w:val="3"/>
    </w:lvl>
  </w:abstractNum>
  <w:abstractNum w:abstractNumId="167">
    <w:nsid w:val="3DA97044"/>
    <w:multiLevelType w:val="hybridMultilevel"/>
    <w:lvl w:ilvl="0">
      <w:lvlJc w:val="left"/>
      <w:lvlText w:val="(%1)"/>
      <w:numFmt w:val="lowerLetter"/>
      <w:start w:val="1"/>
    </w:lvl>
  </w:abstractNum>
  <w:abstractNum w:abstractNumId="168">
    <w:nsid w:val="1CDCE2DE"/>
    <w:multiLevelType w:val="hybridMultilevel"/>
    <w:lvl w:ilvl="0">
      <w:lvlJc w:val="left"/>
      <w:lvlText w:val="(%1)"/>
      <w:numFmt w:val="lowerLetter"/>
      <w:start w:val="2"/>
    </w:lvl>
  </w:abstractNum>
  <w:abstractNum w:abstractNumId="169">
    <w:nsid w:val="69D3947C"/>
    <w:multiLevelType w:val="hybridMultilevel"/>
    <w:lvl w:ilvl="0">
      <w:lvlJc w:val="left"/>
      <w:lvlText w:val="(%1)"/>
      <w:numFmt w:val="lowerLetter"/>
      <w:start w:val="1"/>
    </w:lvl>
  </w:abstractNum>
  <w:abstractNum w:abstractNumId="170">
    <w:nsid w:val="2539DFA5"/>
    <w:multiLevelType w:val="hybridMultilevel"/>
    <w:lvl w:ilvl="0">
      <w:lvlJc w:val="left"/>
      <w:lvlText w:val="(%1)"/>
      <w:numFmt w:val="lowerLetter"/>
      <w:start w:val="2"/>
    </w:lvl>
  </w:abstractNum>
  <w:abstractNum w:abstractNumId="171">
    <w:nsid w:val="2DB88089"/>
    <w:multiLevelType w:val="hybridMultilevel"/>
    <w:lvl w:ilvl="0">
      <w:lvlJc w:val="left"/>
      <w:lvlText w:val="%1"/>
      <w:numFmt w:val="upperLetter"/>
      <w:start w:val="1"/>
    </w:lvl>
    <w:lvl w:ilvl="1">
      <w:lvlJc w:val="left"/>
      <w:lvlText w:val="(%2)"/>
      <w:numFmt w:val="lowerLetter"/>
      <w:start w:val="1"/>
    </w:lvl>
  </w:abstractNum>
  <w:abstractNum w:abstractNumId="172">
    <w:nsid w:val="706B674E"/>
    <w:multiLevelType w:val="hybridMultilevel"/>
    <w:lvl w:ilvl="0">
      <w:lvlJc w:val="left"/>
      <w:lvlText w:val="(%1)"/>
      <w:numFmt w:val="upperLetter"/>
      <w:start w:val="3"/>
    </w:lvl>
    <w:lvl w:ilvl="1">
      <w:lvlJc w:val="left"/>
      <w:lvlText w:val="(%2)"/>
      <w:numFmt w:val="lowerLetter"/>
      <w:start w:val="2"/>
    </w:lvl>
  </w:abstractNum>
  <w:abstractNum w:abstractNumId="173">
    <w:nsid w:val="2C106A57"/>
    <w:multiLevelType w:val="hybridMultilevel"/>
    <w:lvl w:ilvl="0">
      <w:lvlJc w:val="left"/>
      <w:lvlText w:val="(%1)"/>
      <w:numFmt w:val="lowerLetter"/>
      <w:start w:val="1"/>
    </w:lvl>
  </w:abstractNum>
  <w:abstractNum w:abstractNumId="174">
    <w:nsid w:val="684EED59"/>
    <w:multiLevelType w:val="hybridMultilevel"/>
    <w:lvl w:ilvl="0">
      <w:lvlJc w:val="left"/>
      <w:lvlText w:val="(%1)"/>
      <w:numFmt w:val="lowerLetter"/>
      <w:start w:val="4"/>
    </w:lvl>
  </w:abstractNum>
  <w:abstractNum w:abstractNumId="175">
    <w:nsid w:val="545EE5D3"/>
    <w:multiLevelType w:val="hybridMultilevel"/>
    <w:lvl w:ilvl="0">
      <w:lvlJc w:val="left"/>
      <w:lvlText w:val="(%1)"/>
      <w:numFmt w:val="lowerLetter"/>
      <w:start w:val="1"/>
    </w:lvl>
  </w:abstractNum>
  <w:abstractNum w:abstractNumId="176">
    <w:nsid w:val="4A66051"/>
    <w:multiLevelType w:val="hybridMultilevel"/>
    <w:lvl w:ilvl="0">
      <w:lvlJc w:val="left"/>
      <w:lvlText w:val="(%1)"/>
      <w:numFmt w:val="lowerLetter"/>
      <w:start w:val="4"/>
    </w:lvl>
    <w:lvl w:ilvl="1">
      <w:lvlJc w:val="left"/>
      <w:lvlText w:val="(%2)"/>
      <w:numFmt w:val="lowerRoman"/>
      <w:start w:val="1"/>
    </w:lvl>
  </w:abstractNum>
  <w:abstractNum w:abstractNumId="177">
    <w:nsid w:val="20F4BDAD"/>
    <w:multiLevelType w:val="hybridMultilevel"/>
    <w:lvl w:ilvl="0">
      <w:lvlJc w:val="left"/>
      <w:lvlText w:val="(%1)"/>
      <w:numFmt w:val="lowerLetter"/>
      <w:start w:val="6"/>
    </w:lvl>
  </w:abstractNum>
  <w:abstractNum w:abstractNumId="178">
    <w:nsid w:val="639DEFAC"/>
    <w:multiLevelType w:val="hybridMultilevel"/>
    <w:lvl w:ilvl="0">
      <w:lvlJc w:val="left"/>
      <w:lvlText w:val="(%1)"/>
      <w:numFmt w:val="lowerLetter"/>
      <w:start w:val="1"/>
    </w:lvl>
  </w:abstractNum>
  <w:abstractNum w:abstractNumId="179">
    <w:nsid w:val="501F9786"/>
    <w:multiLevelType w:val="hybridMultilevel"/>
    <w:lvl w:ilvl="0">
      <w:lvlJc w:val="left"/>
      <w:lvlText w:val="(%1)"/>
      <w:numFmt w:val="lowerLetter"/>
      <w:start w:val="1"/>
    </w:lvl>
  </w:abstractNum>
  <w:abstractNum w:abstractNumId="180">
    <w:nsid w:val="6B057295"/>
    <w:multiLevelType w:val="hybridMultilevel"/>
    <w:lvl w:ilvl="0">
      <w:lvlJc w:val="left"/>
      <w:lvlText w:val="(%1)"/>
      <w:numFmt w:val="lowerLetter"/>
      <w:start w:val="1"/>
    </w:lvl>
  </w:abstractNum>
  <w:abstractNum w:abstractNumId="181">
    <w:nsid w:val="2771AC80"/>
    <w:multiLevelType w:val="hybridMultilevel"/>
    <w:lvl w:ilvl="0">
      <w:lvlJc w:val="left"/>
      <w:lvlText w:val="(%1)"/>
      <w:numFmt w:val="lowerLetter"/>
      <w:start w:val="2"/>
    </w:lvl>
  </w:abstractNum>
  <w:abstractNum w:abstractNumId="182">
    <w:nsid w:val="1C4A08EC"/>
    <w:multiLevelType w:val="hybridMultilevel"/>
    <w:lvl w:ilvl="0">
      <w:lvlJc w:val="left"/>
      <w:lvlText w:val="(%1)"/>
      <w:numFmt w:val="lowerLetter"/>
      <w:start w:val="1"/>
    </w:lvl>
  </w:abstractNum>
  <w:abstractNum w:abstractNumId="183">
    <w:nsid w:val="1958BD17"/>
    <w:multiLevelType w:val="hybridMultilevel"/>
    <w:lvl w:ilvl="0">
      <w:lvlJc w:val="left"/>
      <w:lvlText w:val="(%1)"/>
      <w:numFmt w:val="lowerLetter"/>
      <w:start w:val="6"/>
    </w:lvl>
  </w:abstractNum>
  <w:abstractNum w:abstractNumId="184">
    <w:nsid w:val="4E647FE4"/>
    <w:multiLevelType w:val="hybridMultilevel"/>
    <w:lvl w:ilvl="0">
      <w:lvlJc w:val="left"/>
      <w:lvlText w:val="(%1)"/>
      <w:numFmt w:val="lowerLetter"/>
      <w:start w:val="1"/>
    </w:lvl>
  </w:abstractNum>
  <w:abstractNum w:abstractNumId="185">
    <w:nsid w:val="E0BB885"/>
    <w:multiLevelType w:val="hybridMultilevel"/>
    <w:lvl w:ilvl="0">
      <w:lvlJc w:val="left"/>
      <w:lvlText w:val="(%1)"/>
      <w:numFmt w:val="lowerLetter"/>
      <w:start w:val="1"/>
    </w:lvl>
  </w:abstractNum>
  <w:abstractNum w:abstractNumId="186">
    <w:nsid w:val="565976F1"/>
    <w:multiLevelType w:val="hybridMultilevel"/>
    <w:lvl w:ilvl="0">
      <w:lvlJc w:val="left"/>
      <w:lvlText w:val="(%1)"/>
      <w:numFmt w:val="lowerLetter"/>
      <w:start w:val="5"/>
    </w:lvl>
  </w:abstractNum>
  <w:abstractNum w:abstractNumId="187">
    <w:nsid w:val="64212B8C"/>
    <w:multiLevelType w:val="hybridMultilevel"/>
    <w:lvl w:ilvl="0">
      <w:lvlJc w:val="left"/>
      <w:lvlText w:val="(%1)"/>
      <w:numFmt w:val="lowerLetter"/>
      <w:start w:val="16"/>
    </w:lvl>
  </w:abstractNum>
  <w:abstractNum w:abstractNumId="188">
    <w:nsid w:val="5C17530C"/>
    <w:multiLevelType w:val="hybridMultilevel"/>
    <w:lvl w:ilvl="0">
      <w:lvlJc w:val="left"/>
      <w:lvlText w:val="(%1)"/>
      <w:numFmt w:val="lowerLetter"/>
      <w:start w:val="27"/>
    </w:lvl>
  </w:abstractNum>
  <w:abstractNum w:abstractNumId="189">
    <w:nsid w:val="19A52566"/>
    <w:multiLevelType w:val="hybridMultilevel"/>
    <w:lvl w:ilvl="0">
      <w:lvlJc w:val="left"/>
      <w:lvlText w:val="(%1)"/>
      <w:numFmt w:val="lowerLetter"/>
      <w:start w:val="1"/>
    </w:lvl>
  </w:abstractNum>
  <w:abstractNum w:abstractNumId="190">
    <w:nsid w:val="335A1DF1"/>
    <w:multiLevelType w:val="hybridMultilevel"/>
    <w:lvl w:ilvl="0">
      <w:lvlJc w:val="left"/>
      <w:lvlText w:val="%1"/>
      <w:numFmt w:val="decimal"/>
      <w:start w:val="1"/>
    </w:lvl>
    <w:lvl w:ilvl="1">
      <w:lvlJc w:val="left"/>
      <w:lvlText w:val="(%2)"/>
      <w:numFmt w:val="lowerLetter"/>
      <w:start w:val="11"/>
    </w:lvl>
  </w:abstractNum>
  <w:abstractNum w:abstractNumId="191">
    <w:nsid w:val="28677B7C"/>
    <w:multiLevelType w:val="hybridMultilevel"/>
    <w:lvl w:ilvl="0">
      <w:lvlJc w:val="left"/>
      <w:lvlText w:val="(%1)"/>
      <w:numFmt w:val="decimal"/>
      <w:start w:val="225"/>
    </w:lvl>
    <w:lvl w:ilvl="1">
      <w:lvlJc w:val="left"/>
      <w:lvlText w:val="(%2)"/>
      <w:numFmt w:val="lowerLetter"/>
      <w:start w:val="16"/>
    </w:lvl>
  </w:abstractNum>
  <w:abstractNum w:abstractNumId="192">
    <w:nsid w:val="378D97C0"/>
    <w:multiLevelType w:val="hybridMultilevel"/>
    <w:lvl w:ilvl="0">
      <w:lvlJc w:val="left"/>
      <w:lvlText w:val="(%1)"/>
      <w:numFmt w:val="lowerLetter"/>
      <w:start w:val="1"/>
    </w:lvl>
  </w:abstractNum>
  <w:abstractNum w:abstractNumId="193">
    <w:nsid w:val="1D91467C"/>
    <w:multiLevelType w:val="hybridMultilevel"/>
    <w:lvl w:ilvl="0">
      <w:lvlJc w:val="left"/>
      <w:lvlText w:val="(%1)"/>
      <w:numFmt w:val="lowerLetter"/>
      <w:start w:val="1"/>
    </w:lvl>
  </w:abstractNum>
  <w:abstractNum w:abstractNumId="194">
    <w:nsid w:val="316032BB"/>
    <w:multiLevelType w:val="hybridMultilevel"/>
    <w:lvl w:ilvl="0">
      <w:lvlJc w:val="left"/>
      <w:lvlText w:val="(%1)"/>
      <w:numFmt w:val="lowerLetter"/>
      <w:start w:val="5"/>
    </w:lvl>
  </w:abstractNum>
  <w:abstractNum w:abstractNumId="195">
    <w:nsid w:val="44344C22"/>
    <w:multiLevelType w:val="hybridMultilevel"/>
    <w:lvl w:ilvl="0">
      <w:lvlJc w:val="left"/>
      <w:lvlText w:val="(%1)"/>
      <w:numFmt w:val="lowerLetter"/>
      <w:start w:val="1"/>
    </w:lvl>
  </w:abstractNum>
  <w:abstractNum w:abstractNumId="196">
    <w:nsid w:val="13CDFCFC"/>
    <w:multiLevelType w:val="hybridMultilevel"/>
    <w:lvl w:ilvl="0">
      <w:lvlJc w:val="left"/>
      <w:lvlText w:val="(%1)"/>
      <w:numFmt w:val="lowerLetter"/>
      <w:start w:val="1"/>
    </w:lvl>
  </w:abstractNum>
  <w:abstractNum w:abstractNumId="197">
    <w:nsid w:val="471745E4"/>
    <w:multiLevelType w:val="hybridMultilevel"/>
    <w:lvl w:ilvl="0">
      <w:lvlJc w:val="left"/>
      <w:lvlText w:val="(%1)"/>
      <w:numFmt w:val="lowerLetter"/>
      <w:start w:val="1"/>
    </w:lvl>
  </w:abstractNum>
  <w:abstractNum w:abstractNumId="198">
    <w:nsid w:val="1DDBC66"/>
    <w:multiLevelType w:val="hybridMultilevel"/>
    <w:lvl w:ilvl="0">
      <w:lvlJc w:val="left"/>
      <w:lvlText w:val="(%1)"/>
      <w:numFmt w:val="lowerLetter"/>
      <w:start w:val="2"/>
    </w:lvl>
  </w:abstractNum>
  <w:abstractNum w:abstractNumId="199">
    <w:nsid w:val="30AADFDA"/>
    <w:multiLevelType w:val="hybridMultilevel"/>
    <w:lvl w:ilvl="0">
      <w:lvlJc w:val="left"/>
      <w:lvlText w:val="(%1)"/>
      <w:numFmt w:val="lowerLetter"/>
      <w:start w:val="1"/>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1)"/>
      <w:numFmt w:val="lowerLetter"/>
      <w:start w:val="2"/>
    </w:lvl>
  </w:abstractNum>
  <w:abstractNum w:abstractNumId="202">
    <w:nsid w:val="5E636063"/>
    <w:multiLevelType w:val="hybridMultilevel"/>
    <w:lvl w:ilvl="0">
      <w:lvlJc w:val="left"/>
      <w:lvlText w:val="%1"/>
      <w:numFmt w:val="lowerLetter"/>
      <w:start w:val="1"/>
    </w:lvl>
    <w:lvl w:ilvl="1">
      <w:lvlJc w:val="left"/>
      <w:lvlText w:val="(%2)"/>
      <w:numFmt w:val="lowerLetter"/>
      <w:start w:val="7"/>
    </w:lvl>
  </w:abstractNum>
  <w:abstractNum w:abstractNumId="203">
    <w:nsid w:val="215641AF"/>
    <w:multiLevelType w:val="hybridMultilevel"/>
    <w:lvl w:ilvl="0">
      <w:lvlJc w:val="left"/>
      <w:lvlText w:val="(%1)"/>
      <w:numFmt w:val="lowerLetter"/>
      <w:start w:val="35"/>
    </w:lvl>
    <w:lvl w:ilvl="1">
      <w:lvlJc w:val="left"/>
      <w:lvlText w:val="(%2)"/>
      <w:numFmt w:val="lowerLetter"/>
      <w:start w:val="10"/>
    </w:lvl>
  </w:abstractNum>
  <w:abstractNum w:abstractNumId="204">
    <w:nsid w:val="53280662"/>
    <w:multiLevelType w:val="hybridMultilevel"/>
    <w:lvl w:ilvl="0">
      <w:lvlJc w:val="left"/>
      <w:lvlText w:val="(%1)"/>
      <w:numFmt w:val="lowerLetter"/>
      <w:start w:val="1"/>
    </w:lvl>
  </w:abstractNum>
  <w:abstractNum w:abstractNumId="205">
    <w:nsid w:val="46B24DBC"/>
    <w:multiLevelType w:val="hybridMultilevel"/>
    <w:lvl w:ilvl="0">
      <w:lvlJc w:val="left"/>
      <w:lvlText w:val="(%1)"/>
      <w:numFmt w:val="lowerLetter"/>
      <w:start w:val="1"/>
    </w:lvl>
  </w:abstractNum>
  <w:abstractNum w:abstractNumId="206">
    <w:nsid w:val="75B52783"/>
    <w:multiLevelType w:val="hybridMultilevel"/>
    <w:lvl w:ilvl="0">
      <w:lvlJc w:val="left"/>
      <w:lvlText w:val="(%1)"/>
      <w:numFmt w:val="lowerLetter"/>
      <w:start w:val="5"/>
    </w:lvl>
  </w:abstractNum>
  <w:abstractNum w:abstractNumId="207">
    <w:nsid w:val="57CE66B4"/>
    <w:multiLevelType w:val="hybridMultilevel"/>
    <w:lvl w:ilvl="0">
      <w:lvlJc w:val="left"/>
      <w:lvlText w:val="(%1)"/>
      <w:numFmt w:val="lowerLetter"/>
      <w:start w:val="3"/>
    </w:lvl>
  </w:abstractNum>
  <w:abstractNum w:abstractNumId="208">
    <w:nsid w:val="67A70B69"/>
    <w:multiLevelType w:val="hybridMultilevel"/>
    <w:lvl w:ilvl="0">
      <w:lvlJc w:val="left"/>
      <w:lvlText w:val="(%1)"/>
      <w:numFmt w:val="lowerLetter"/>
      <w:start w:val="1"/>
    </w:lvl>
  </w:abstractNum>
  <w:abstractNum w:abstractNumId="209">
    <w:nsid w:val="595317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0">
    <w:nsid w:val="27EDFE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1">
    <w:nsid w:val="52AC7DFF"/>
    <w:multiLevelType w:val="hybridMultilevel"/>
    <w:lvl w:ilvl="0">
      <w:lvlJc w:val="left"/>
      <w:lvlText w:val="(%1)"/>
      <w:numFmt w:val="lowerLetter"/>
      <w:start w:val="1"/>
    </w:lvl>
  </w:abstractNum>
  <w:abstractNum w:abstractNumId="212">
    <w:nsid w:val="C4C3AF"/>
    <w:multiLevelType w:val="hybridMultilevel"/>
    <w:lvl w:ilvl="0">
      <w:lvlJc w:val="left"/>
      <w:lvlText w:val="%1"/>
      <w:numFmt w:val="lowerRoman"/>
      <w:start w:val="1"/>
    </w:lvl>
    <w:lvl w:ilvl="1">
      <w:lvlJc w:val="left"/>
      <w:lvlText w:val="(%2)"/>
      <w:numFmt w:val="lowerLetter"/>
      <w:start w:val="4"/>
    </w:lvl>
  </w:abstractNum>
  <w:abstractNum w:abstractNumId="213">
    <w:nsid w:val="44380727"/>
    <w:multiLevelType w:val="hybridMultilevel"/>
    <w:lvl w:ilvl="0">
      <w:lvlJc w:val="left"/>
      <w:lvlText w:val="(%1)"/>
      <w:numFmt w:val="lowerRoman"/>
      <w:start w:val="4"/>
    </w:lvl>
    <w:lvl w:ilvl="1">
      <w:lvlJc w:val="left"/>
      <w:lvlText w:val="(%2)"/>
      <w:numFmt w:val="lowerLetter"/>
      <w:start w:val="5"/>
    </w:lvl>
  </w:abstractNum>
  <w:abstractNum w:abstractNumId="214">
    <w:nsid w:val="6C053B16"/>
    <w:multiLevelType w:val="hybridMultilevel"/>
    <w:lvl w:ilvl="0">
      <w:lvlJc w:val="left"/>
      <w:lvlText w:val="(%1)"/>
      <w:numFmt w:val="lowerLetter"/>
      <w:start w:val="1"/>
    </w:lvl>
    <w:lvl w:ilvl="1">
      <w:lvlJc w:val="left"/>
      <w:lvlText w:val="(%2)"/>
      <w:numFmt w:val="lowerRoman"/>
      <w:start w:val="1"/>
    </w:lvl>
  </w:abstractNum>
  <w:abstractNum w:abstractNumId="215">
    <w:nsid w:val="4F294393"/>
    <w:multiLevelType w:val="hybridMultilevel"/>
    <w:lvl w:ilvl="0">
      <w:lvlJc w:val="left"/>
      <w:lvlText w:val="(%1)"/>
      <w:numFmt w:val="lowerLetter"/>
      <w:start w:val="2"/>
    </w:lvl>
  </w:abstractNum>
  <w:abstractNum w:abstractNumId="216">
    <w:nsid w:val="5243BFAC"/>
    <w:multiLevelType w:val="hybridMultilevel"/>
    <w:lvl w:ilvl="0">
      <w:lvlJc w:val="left"/>
      <w:lvlText w:val="(%1)"/>
      <w:numFmt w:val="lowerLetter"/>
      <w:start w:val="9"/>
    </w:lvl>
    <w:lvl w:ilvl="1">
      <w:lvlJc w:val="left"/>
      <w:lvlText w:val="(%2)"/>
      <w:numFmt w:val="lowerLetter"/>
      <w:start w:val="3"/>
    </w:lvl>
  </w:abstractNum>
  <w:abstractNum w:abstractNumId="217">
    <w:nsid w:val="425EB207"/>
    <w:multiLevelType w:val="hybridMultilevel"/>
    <w:lvl w:ilvl="0">
      <w:lvlJc w:val="left"/>
      <w:lvlText w:val="(%1)"/>
      <w:numFmt w:val="lowerLetter"/>
      <w:start w:val="5"/>
    </w:lvl>
  </w:abstractNum>
  <w:abstractNum w:abstractNumId="218">
    <w:nsid w:val="334A6F1F"/>
    <w:multiLevelType w:val="hybridMultilevel"/>
    <w:lvl w:ilvl="0">
      <w:lvlJc w:val="left"/>
      <w:lvlText w:val="(%1)"/>
      <w:numFmt w:val="lowerLetter"/>
      <w:start w:val="2"/>
    </w:lvl>
  </w:abstractNum>
  <w:abstractNum w:abstractNumId="219">
    <w:nsid w:val="2E5B12B8"/>
    <w:multiLevelType w:val="hybridMultilevel"/>
    <w:lvl w:ilvl="0">
      <w:lvlJc w:val="left"/>
      <w:lvlText w:val="(%1)"/>
      <w:numFmt w:val="lowerLetter"/>
      <w:start w:val="1"/>
    </w:lvl>
  </w:abstractNum>
  <w:abstractNum w:abstractNumId="220">
    <w:nsid w:val="5C03D76D"/>
    <w:multiLevelType w:val="hybridMultilevel"/>
    <w:lvl w:ilvl="0">
      <w:lvlJc w:val="left"/>
      <w:lvlText w:val="(%1)"/>
      <w:numFmt w:val="lowerLetter"/>
      <w:start w:val="3"/>
    </w:lvl>
  </w:abstractNum>
  <w:abstractNum w:abstractNumId="221">
    <w:nsid w:val="66A48D11"/>
    <w:multiLevelType w:val="hybridMultilevel"/>
    <w:lvl w:ilvl="0">
      <w:lvlJc w:val="left"/>
      <w:lvlText w:val="(%1)"/>
      <w:numFmt w:val="lowerLetter"/>
      <w:start w:val="4"/>
    </w:lvl>
  </w:abstractNum>
  <w:abstractNum w:abstractNumId="222">
    <w:nsid w:val="56C28E34"/>
    <w:multiLevelType w:val="hybridMultilevel"/>
    <w:lvl w:ilvl="0">
      <w:lvlJc w:val="left"/>
      <w:lvlText w:val="(%1)"/>
      <w:numFmt w:val="lowerLetter"/>
      <w:start w:val="1"/>
    </w:lvl>
  </w:abstractNum>
  <w:abstractNum w:abstractNumId="223">
    <w:nsid w:val="13916F2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24">
    <w:nsid w:val="435D38D"/>
    <w:multiLevelType w:val="hybridMultilevel"/>
    <w:lvl w:ilvl="0">
      <w:lvlJc w:val="left"/>
      <w:lvlText w:val="(%1)"/>
      <w:numFmt w:val="lowerRoman"/>
      <w:start w:val="3"/>
    </w:lvl>
    <w:lvl w:ilvl="1">
      <w:lvlJc w:val="left"/>
      <w:lvlText w:val="(%2)"/>
      <w:numFmt w:val="upperLetter"/>
      <w:start w:val="1"/>
    </w:lvl>
  </w:abstractNum>
  <w:abstractNum w:abstractNumId="225">
    <w:nsid w:val="822C0EF"/>
    <w:multiLevelType w:val="hybridMultilevel"/>
    <w:lvl w:ilvl="0">
      <w:lvlJc w:val="left"/>
      <w:lvlText w:val="%1"/>
      <w:numFmt w:val="lowerLetter"/>
      <w:start w:val="1"/>
    </w:lvl>
    <w:lvl w:ilvl="1">
      <w:lvlJc w:val="left"/>
      <w:lvlText w:val="(%2)"/>
      <w:numFmt w:val="lowerRoman"/>
      <w:start w:val="7"/>
    </w:lvl>
  </w:abstractNum>
  <w:abstractNum w:abstractNumId="226">
    <w:nsid w:val="57C5BB4F"/>
    <w:multiLevelType w:val="hybridMultilevel"/>
    <w:lvl w:ilvl="0">
      <w:lvlJc w:val="left"/>
      <w:lvlText w:val="(%1)"/>
      <w:numFmt w:val="lowerLetter"/>
      <w:start w:val="3"/>
    </w:lvl>
    <w:lvl w:ilvl="1">
      <w:lvlJc w:val="left"/>
      <w:lvlText w:val="%2"/>
      <w:numFmt w:val="lowerRoman"/>
      <w:start w:val="1"/>
    </w:lvl>
  </w:abstractNum>
  <w:abstractNum w:abstractNumId="227">
    <w:nsid w:val="1803D089"/>
    <w:multiLevelType w:val="hybridMultilevel"/>
    <w:lvl w:ilvl="0">
      <w:lvlJc w:val="left"/>
      <w:lvlText w:val="%1"/>
      <w:numFmt w:val="lowerLetter"/>
      <w:start w:val="1"/>
    </w:lvl>
    <w:lvl w:ilvl="1">
      <w:lvlJc w:val="left"/>
      <w:lvlText w:val="(%2)"/>
      <w:numFmt w:val="lowerLetter"/>
      <w:start w:val="4"/>
    </w:lvl>
  </w:abstractNum>
  <w:abstractNum w:abstractNumId="228">
    <w:nsid w:val="4F3A06D4"/>
    <w:multiLevelType w:val="hybridMultilevel"/>
    <w:lvl w:ilvl="0">
      <w:lvlJc w:val="left"/>
      <w:lvlText w:val="(%1)"/>
      <w:numFmt w:val="lowerLetter"/>
      <w:start w:val="35"/>
    </w:lvl>
    <w:lvl w:ilvl="1">
      <w:lvlJc w:val="left"/>
      <w:lvlText w:val="%2"/>
      <w:numFmt w:val="lowerLetter"/>
      <w:start w:val="1"/>
    </w:lvl>
  </w:abstractNum>
  <w:abstractNum w:abstractNumId="229">
    <w:nsid w:val="59A377B6"/>
    <w:multiLevelType w:val="hybridMultilevel"/>
    <w:lvl w:ilvl="0">
      <w:lvlJc w:val="left"/>
      <w:lvlText w:val="(%1)"/>
      <w:numFmt w:val="lowerLetter"/>
      <w:start w:val="5"/>
    </w:lvl>
  </w:abstractNum>
  <w:abstractNum w:abstractNumId="230">
    <w:nsid w:val="48AEB063"/>
    <w:multiLevelType w:val="hybridMultilevel"/>
    <w:lvl w:ilvl="0">
      <w:lvlJc w:val="left"/>
      <w:lvlText w:val="(%1)"/>
      <w:numFmt w:val="lowerLetter"/>
      <w:start w:val="26"/>
    </w:lvl>
  </w:abstractNum>
  <w:abstractNum w:abstractNumId="231">
    <w:nsid w:val="24E135"/>
    <w:multiLevelType w:val="hybridMultilevel"/>
    <w:lvl w:ilvl="0">
      <w:lvlJc w:val="left"/>
      <w:lvlText w:val="(%1)"/>
      <w:numFmt w:val="lowerLetter"/>
      <w:start w:val="1"/>
    </w:lvl>
  </w:abstractNum>
  <w:abstractNum w:abstractNumId="232">
    <w:nsid w:val="BB13C1"/>
    <w:multiLevelType w:val="hybridMultilevel"/>
    <w:lvl w:ilvl="0">
      <w:lvlJc w:val="left"/>
      <w:lvlText w:val="(%1)"/>
      <w:numFmt w:val="lowerRoman"/>
      <w:start w:val="2"/>
    </w:lvl>
  </w:abstractNum>
  <w:abstractNum w:abstractNumId="233">
    <w:nsid w:val="271210C7"/>
    <w:multiLevelType w:val="hybridMultilevel"/>
    <w:lvl w:ilvl="0">
      <w:lvlJc w:val="left"/>
      <w:lvlText w:val="(%1)"/>
      <w:numFmt w:val="lowerLetter"/>
      <w:start w:val="1"/>
    </w:lvl>
  </w:abstractNum>
  <w:abstractNum w:abstractNumId="234">
    <w:nsid w:val="217B22E4"/>
    <w:multiLevelType w:val="hybridMultilevel"/>
    <w:lvl w:ilvl="0">
      <w:lvlJc w:val="left"/>
      <w:lvlText w:val="(%1)"/>
      <w:numFmt w:val="lowerLetter"/>
      <w:start w:val="3"/>
    </w:lvl>
  </w:abstractNum>
  <w:abstractNum w:abstractNumId="235">
    <w:nsid w:val="53E31A24"/>
    <w:multiLevelType w:val="hybridMultilevel"/>
    <w:lvl w:ilvl="0">
      <w:lvlJc w:val="left"/>
      <w:lvlText w:val="(%1)"/>
      <w:numFmt w:val="lowerLetter"/>
      <w:start w:val="1"/>
    </w:lvl>
    <w:lvl w:ilvl="1">
      <w:lvlJc w:val="left"/>
      <w:lvlText w:val="(%2)"/>
      <w:numFmt w:val="lowerLetter"/>
      <w:start w:val="9"/>
    </w:lvl>
  </w:abstractNum>
  <w:abstractNum w:abstractNumId="236">
    <w:nsid w:val="6DC45E83"/>
    <w:multiLevelType w:val="hybridMultilevel"/>
    <w:lvl w:ilvl="0">
      <w:lvlJc w:val="left"/>
      <w:lvlText w:val="(%1)"/>
      <w:numFmt w:val="lowerRoman"/>
      <w:start w:val="2"/>
    </w:lvl>
  </w:abstractNum>
  <w:abstractNum w:abstractNumId="237">
    <w:nsid w:val="17304A67"/>
    <w:multiLevelType w:val="hybridMultilevel"/>
    <w:lvl w:ilvl="0">
      <w:lvlJc w:val="left"/>
      <w:lvlText w:val="(%1)"/>
      <w:numFmt w:val="lowerLetter"/>
      <w:start w:val="1"/>
    </w:lvl>
  </w:abstractNum>
  <w:abstractNum w:abstractNumId="238">
    <w:nsid w:val="2BB180D8"/>
    <w:multiLevelType w:val="hybridMultilevel"/>
    <w:lvl w:ilvl="0">
      <w:lvlJc w:val="left"/>
      <w:lvlText w:val="%1."/>
      <w:numFmt w:val="decimal"/>
      <w:start w:val="2"/>
    </w:lvl>
  </w:abstractNum>
  <w:abstractNum w:abstractNumId="239">
    <w:nsid w:val="556B69ED"/>
    <w:multiLevelType w:val="hybridMultilevel"/>
    <w:lvl w:ilvl="0">
      <w:lvlJc w:val="left"/>
      <w:lvlText w:val="%1."/>
      <w:numFmt w:val="decimal"/>
      <w:start w:val="4"/>
    </w:lvl>
  </w:abstractNum>
  <w:abstractNum w:abstractNumId="240">
    <w:nsid w:val="70836196"/>
    <w:multiLevelType w:val="hybridMultilevel"/>
    <w:lvl w:ilvl="0">
      <w:lvlJc w:val="left"/>
      <w:lvlText w:val="1"/>
      <w:numFmt w:val="bullet"/>
      <w:start w:val="1"/>
    </w:lvl>
  </w:abstractNum>
  <w:abstractNum w:abstractNumId="241">
    <w:nsid w:val="539F7F12"/>
    <w:multiLevelType w:val="hybridMultilevel"/>
    <w:lvl w:ilvl="0">
      <w:lvlJc w:val="left"/>
      <w:lvlText w:val="•"/>
      <w:numFmt w:val="bullet"/>
      <w:start w:val="1"/>
    </w:lvl>
  </w:abstractNum>
  <w:abstractNum w:abstractNumId="242">
    <w:nsid w:val="2817E7EC"/>
    <w:multiLevelType w:val="hybridMultilevel"/>
    <w:lvl w:ilvl="0">
      <w:lvlJc w:val="left"/>
      <w:lvlText w:val="•"/>
      <w:numFmt w:val="bullet"/>
      <w:start w:val="1"/>
    </w:lvl>
  </w:abstractNum>
  <w:abstractNum w:abstractNumId="243">
    <w:nsid w:val="71482545"/>
    <w:multiLevelType w:val="hybridMultilevel"/>
    <w:lvl w:ilvl="0">
      <w:lvlJc w:val="left"/>
      <w:lvlText w:val="%1."/>
      <w:numFmt w:val="decimal"/>
      <w:start w:val="1"/>
    </w:lvl>
  </w:abstractNum>
  <w:abstractNum w:abstractNumId="244">
    <w:nsid w:val="17D78639"/>
    <w:multiLevelType w:val="hybridMultilevel"/>
    <w:lvl w:ilvl="0">
      <w:lvlJc w:val="left"/>
      <w:lvlText w:val="•"/>
      <w:numFmt w:val="bullet"/>
      <w:start w:val="1"/>
    </w:lvl>
  </w:abstractNum>
  <w:abstractNum w:abstractNumId="245">
    <w:nsid w:val="141D2302"/>
    <w:multiLevelType w:val="hybridMultilevel"/>
    <w:lvl w:ilvl="0">
      <w:lvlJc w:val="left"/>
      <w:lvlText w:val="(%1)"/>
      <w:numFmt w:val="lowerLetter"/>
      <w:start w:val="1"/>
    </w:lvl>
  </w:abstractNum>
  <w:abstractNum w:abstractNumId="246">
    <w:nsid w:val="407168D8"/>
    <w:multiLevelType w:val="hybridMultilevel"/>
    <w:lvl w:ilvl="0">
      <w:lvlJc w:val="left"/>
      <w:lvlText w:val="(%1)"/>
      <w:numFmt w:val="lowerLetter"/>
      <w:start w:val="1"/>
    </w:lvl>
  </w:abstractNum>
  <w:abstractNum w:abstractNumId="247">
    <w:nsid w:val="6A1B45E5"/>
    <w:multiLevelType w:val="hybridMultilevel"/>
    <w:lvl w:ilvl="0">
      <w:lvlJc w:val="left"/>
      <w:lvlText w:val="(%1)"/>
      <w:numFmt w:val="lowerLetter"/>
      <w:start w:val="1"/>
    </w:lvl>
  </w:abstractNum>
  <w:abstractNum w:abstractNumId="248">
    <w:nsid w:val="567BD50A"/>
    <w:multiLevelType w:val="hybridMultilevel"/>
    <w:lvl w:ilvl="0">
      <w:lvlJc w:val="left"/>
      <w:lvlText w:val="(%1)"/>
      <w:numFmt w:val="lowerLetter"/>
      <w:start w:val="1"/>
    </w:lvl>
  </w:abstractNum>
  <w:abstractNum w:abstractNumId="249">
    <w:nsid w:val="73BBD7F8"/>
    <w:multiLevelType w:val="hybridMultilevel"/>
    <w:lvl w:ilvl="0">
      <w:lvlJc w:val="left"/>
      <w:lvlText w:val="(%1)"/>
      <w:numFmt w:val="decimal"/>
      <w:start w:val="1"/>
    </w:lvl>
  </w:abstractNum>
  <w:abstractNum w:abstractNumId="250">
    <w:nsid w:val="1876589D"/>
    <w:multiLevelType w:val="hybridMultilevel"/>
    <w:lvl w:ilvl="0">
      <w:lvlJc w:val="left"/>
      <w:lvlText w:val="(%1)"/>
      <w:numFmt w:val="decimal"/>
      <w:start w:val="1"/>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19" Type="http://schemas.openxmlformats.org/officeDocument/2006/relationships/hyperlink" Target="https://www.sec.gov/Archives/edgar/data/15615/000119312510039265/dex31.htm" TargetMode="External"/><Relationship Id="rId120" Type="http://schemas.openxmlformats.org/officeDocument/2006/relationships/hyperlink" Target="https://www.sec.gov/Archives/edgar/data/15615/000119312510015833/dex31.htm" TargetMode="External"/><Relationship Id="rId121" Type="http://schemas.openxmlformats.org/officeDocument/2006/relationships/hyperlink" Target="https://www.sec.gov/Archives/edgar/data/15615/000119312509126293/dex42.htm" TargetMode="External"/><Relationship Id="rId122" Type="http://schemas.openxmlformats.org/officeDocument/2006/relationships/hyperlink" Target="https://www.sec.gov/Archives/edgar/data/15615/000119312524158356/d765599dex42.htm" TargetMode="External"/><Relationship Id="rId125" Type="http://schemas.openxmlformats.org/officeDocument/2006/relationships/hyperlink" Target="https://www.sec.gov/Archives/edgar/data/15615/000119312520209447/d79552dex42.htm#cov" TargetMode="External"/><Relationship Id="rId126" Type="http://schemas.openxmlformats.org/officeDocument/2006/relationships/hyperlink" Target="https://www.sec.gov/Archives/edgar/data/15615/000119312520209447/d79552dex42.htm#exa" TargetMode="External"/><Relationship Id="rId127" Type="http://schemas.openxmlformats.org/officeDocument/2006/relationships/hyperlink" Target="https://www.sec.gov/Archives/edgar/data/15615/000001561520000005/mtz12311910-kex417.htm" TargetMode="External"/><Relationship Id="rId128" Type="http://schemas.openxmlformats.org/officeDocument/2006/relationships/hyperlink" Target="https://www.sec.gov/Archives/edgar/data/15615/000001561518000007/mtz12311710-kex101.htm" TargetMode="External"/><Relationship Id="rId129" Type="http://schemas.openxmlformats.org/officeDocument/2006/relationships/hyperlink" Target="https://www.sec.gov/Archives/edgar/data/15615/000001561518000007/mtz12311710-kex102.htm" TargetMode="External"/><Relationship Id="rId130" Type="http://schemas.openxmlformats.org/officeDocument/2006/relationships/hyperlink" Target="https://www.sec.gov/Archives/edgar/data/15615/000095014407003626/g06830exv10w1.htm" TargetMode="External"/><Relationship Id="rId131" Type="http://schemas.openxmlformats.org/officeDocument/2006/relationships/hyperlink" Target="https://www.sec.gov/Archives/edgar/data/15615/000119312514131768/d706956dex102.htm" TargetMode="External"/><Relationship Id="rId132" Type="http://schemas.openxmlformats.org/officeDocument/2006/relationships/hyperlink" Target="https://www.sec.gov/Archives/edgar/data/15615/000119312510015833/dex102.htm" TargetMode="External"/><Relationship Id="rId133" Type="http://schemas.openxmlformats.org/officeDocument/2006/relationships/hyperlink" Target="https://www.sec.gov/Archives/edgar/data/15615/000119312514131768/d706956dex104.htm" TargetMode="External"/><Relationship Id="rId134" Type="http://schemas.openxmlformats.org/officeDocument/2006/relationships/hyperlink" Target="https://www.sec.gov/Archives/edgar/data/15615/000119312514131768/d706956dex101.htm" TargetMode="External"/><Relationship Id="rId135" Type="http://schemas.openxmlformats.org/officeDocument/2006/relationships/hyperlink" Target="https://www.sec.gov/Archives/edgar/data/15615/000001561523000018/mtz3312310-qex101.htm" TargetMode="External"/><Relationship Id="rId136" Type="http://schemas.openxmlformats.org/officeDocument/2006/relationships/hyperlink" Target="https://www.sec.gov/Archives/edgar/data/15615/000001561523000018/mtz3312310-qex102.htm" TargetMode="External"/><Relationship Id="rId137" Type="http://schemas.openxmlformats.org/officeDocument/2006/relationships/hyperlink" Target="https://www.sec.gov/Archives/edgar/data/15615/000001561505000097/deferredplan.htm" TargetMode="External"/><Relationship Id="rId138" Type="http://schemas.openxmlformats.org/officeDocument/2006/relationships/hyperlink" Target="https://www.sec.gov/Archives/edgar/data/15615/000001561521000006/mtz12312010-kex103.htm" TargetMode="External"/><Relationship Id="rId139" Type="http://schemas.openxmlformats.org/officeDocument/2006/relationships/hyperlink" Target="https://www.sec.gov/Archives/edgar/data/15615/000001561521000006/mtz12312010-kex1012.htm" TargetMode="External"/><Relationship Id="rId140" Type="http://schemas.openxmlformats.org/officeDocument/2006/relationships/hyperlink" Target="https://www.sec.gov/Archives/edgar/data/15615/000001561522000017/mtz3312210-qex101.htm" TargetMode="External"/><Relationship Id="rId141" Type="http://schemas.openxmlformats.org/officeDocument/2006/relationships/hyperlink" Target="https://www.sec.gov/Archives/edgar/data/15615/000001561523000018/mtz3312310-qex104.htm" TargetMode="External"/><Relationship Id="rId142" Type="http://schemas.openxmlformats.org/officeDocument/2006/relationships/hyperlink" Target="https://www.sec.gov/ix?doc=/Archives/edgar/data/15615/000114036124017972/ny20021129x1_def14a.htm" TargetMode="External"/><Relationship Id="rId143" Type="http://schemas.openxmlformats.org/officeDocument/2006/relationships/hyperlink" Target="https://www.sec.gov/Archives/edgar/data/15615/000001561520000024/mtz6302010-qex101.htm" TargetMode="External"/><Relationship Id="rId144" Type="http://schemas.openxmlformats.org/officeDocument/2006/relationships/hyperlink" Target="https://www.sec.gov/Archives/edgar/data/15615/000001561520000024/mtz6302010-qex102.htm" TargetMode="External"/><Relationship Id="rId145" Type="http://schemas.openxmlformats.org/officeDocument/2006/relationships/hyperlink" Target="https://www.sec.gov/Archives/edgar/data/15615/000001561523000009/mtz12312210-kex1018.htm" TargetMode="External"/><Relationship Id="rId146" Type="http://schemas.openxmlformats.org/officeDocument/2006/relationships/hyperlink" Target="https://www.sec.gov/Archives/edgar/data/15615/000001561523000009/mtz12312210-kex1019.htm" TargetMode="External"/><Relationship Id="rId147" Type="http://schemas.openxmlformats.org/officeDocument/2006/relationships/hyperlink" Target="https://www.sec.gov/Archives/edgar/data/15615/000001561523000009/mtz12312210-kex1020.htm" TargetMode="External"/><Relationship Id="rId148" Type="http://schemas.openxmlformats.org/officeDocument/2006/relationships/hyperlink" Target="https://www.sec.gov/Archives/edgar/data/15615/000001561522000011/mtz12312110-kex107.htm" TargetMode="External"/><Relationship Id="rId149" Type="http://schemas.openxmlformats.org/officeDocument/2006/relationships/hyperlink" Target="https://www.sec.gov/Archives/edgar/data/15615/000119312522236556/d370427dex102.htm" TargetMode="External"/><Relationship Id="rId150" Type="http://schemas.openxmlformats.org/officeDocument/2006/relationships/hyperlink" Target="https://www.sec.gov/Archives/edgar/data/15615/000119312524062573/d803245dex161.htm" TargetMode="External"/><Relationship Id="rId153" Type="http://schemas.openxmlformats.org/officeDocument/2006/relationships/hyperlink" Target="https://www.sec.gov/Archives/edgar/data/15615/000001561524000021/mtz123123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2025-02-28T05:49:22Z</dcterms:created>
  <dcterms:modified xsi:type="dcterms:W3CDTF">2025-02-28T05:49:22Z</dcterms:modified>
</cp:coreProperties>
</file>